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E52109" w14:paraId="7C7660A1" w14:textId="77777777" w:rsidTr="006476E1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1717B8" w14:textId="77777777" w:rsidR="00E52109" w:rsidRPr="002A32CB" w:rsidRDefault="00E52109" w:rsidP="004858F5"/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F5E01C" w14:textId="77777777" w:rsidR="00E52109" w:rsidRDefault="00E52109" w:rsidP="006476E1">
            <w:pPr>
              <w:spacing w:after="80"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A36C16" w14:textId="02B61DEE" w:rsidR="00E52109" w:rsidRDefault="00823363" w:rsidP="00823363">
            <w:pPr>
              <w:suppressAutoHyphens w:val="0"/>
              <w:jc w:val="right"/>
            </w:pPr>
            <w:r w:rsidRPr="00823363">
              <w:rPr>
                <w:sz w:val="40"/>
              </w:rPr>
              <w:t>ST</w:t>
            </w:r>
            <w:r>
              <w:t>/SG/AC.10/C.3/2022/41</w:t>
            </w:r>
          </w:p>
        </w:tc>
      </w:tr>
      <w:tr w:rsidR="00E52109" w14:paraId="6DF63E78" w14:textId="77777777" w:rsidTr="006476E1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465FC1E" w14:textId="77777777" w:rsidR="00E52109" w:rsidRDefault="00E52109" w:rsidP="006476E1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E7E524F" wp14:editId="7F28A5EB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7860003" w14:textId="77777777" w:rsidR="00E52109" w:rsidRDefault="00D94B05" w:rsidP="006476E1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BF6C6CD" w14:textId="77777777" w:rsidR="00D94B05" w:rsidRDefault="00823363" w:rsidP="00823363">
            <w:pPr>
              <w:suppressAutoHyphens w:val="0"/>
              <w:spacing w:before="240" w:line="240" w:lineRule="exact"/>
            </w:pPr>
            <w:r>
              <w:t>Distr.: General</w:t>
            </w:r>
          </w:p>
          <w:p w14:paraId="02D6A811" w14:textId="217AEE76" w:rsidR="00823363" w:rsidRDefault="00F44A94" w:rsidP="00823363">
            <w:pPr>
              <w:suppressAutoHyphens w:val="0"/>
              <w:spacing w:line="240" w:lineRule="exact"/>
            </w:pPr>
            <w:r>
              <w:t>12</w:t>
            </w:r>
            <w:r w:rsidR="00823363">
              <w:t xml:space="preserve"> April 2022</w:t>
            </w:r>
          </w:p>
          <w:p w14:paraId="3FCF6104" w14:textId="77777777" w:rsidR="00823363" w:rsidRDefault="00823363" w:rsidP="00823363">
            <w:pPr>
              <w:suppressAutoHyphens w:val="0"/>
              <w:spacing w:line="240" w:lineRule="exact"/>
            </w:pPr>
          </w:p>
          <w:p w14:paraId="2ABB4942" w14:textId="11C9A31C" w:rsidR="00823363" w:rsidRDefault="00823363" w:rsidP="00823363">
            <w:pPr>
              <w:suppressAutoHyphens w:val="0"/>
              <w:spacing w:line="240" w:lineRule="exact"/>
            </w:pPr>
            <w:r>
              <w:t>Original: English</w:t>
            </w:r>
          </w:p>
        </w:tc>
      </w:tr>
    </w:tbl>
    <w:p w14:paraId="22CD077F" w14:textId="77777777" w:rsidR="0047575F" w:rsidRPr="006500BA" w:rsidRDefault="0047575F" w:rsidP="004858F5">
      <w:pPr>
        <w:spacing w:before="120"/>
        <w:rPr>
          <w:b/>
          <w:sz w:val="24"/>
          <w:szCs w:val="24"/>
        </w:rPr>
      </w:pPr>
      <w:r w:rsidRPr="006500BA">
        <w:rPr>
          <w:b/>
          <w:sz w:val="24"/>
          <w:szCs w:val="24"/>
        </w:rPr>
        <w:t>Committee of Experts on the Transport of Dangerous Goods</w:t>
      </w:r>
      <w:r w:rsidRPr="006500BA">
        <w:rPr>
          <w:b/>
          <w:sz w:val="24"/>
          <w:szCs w:val="24"/>
        </w:rPr>
        <w:br/>
        <w:t>and on the Globally Harmonized System of Classification</w:t>
      </w:r>
      <w:r w:rsidRPr="006500BA">
        <w:rPr>
          <w:b/>
          <w:sz w:val="24"/>
          <w:szCs w:val="24"/>
        </w:rPr>
        <w:br/>
        <w:t>and Labelling of Chemicals</w:t>
      </w:r>
    </w:p>
    <w:p w14:paraId="2EA55F0A" w14:textId="77777777" w:rsidR="0047575F" w:rsidRPr="006500BA" w:rsidRDefault="0047575F" w:rsidP="004858F5">
      <w:pPr>
        <w:spacing w:before="120"/>
        <w:rPr>
          <w:rFonts w:ascii="Helv" w:hAnsi="Helv" w:cs="Helv"/>
          <w:b/>
          <w:color w:val="000000"/>
        </w:rPr>
      </w:pPr>
      <w:r w:rsidRPr="006500BA">
        <w:rPr>
          <w:b/>
        </w:rPr>
        <w:t xml:space="preserve">Sub-Committee of Experts on the </w:t>
      </w:r>
      <w:r>
        <w:rPr>
          <w:b/>
        </w:rPr>
        <w:t>Transport of Dangerous Goods</w:t>
      </w:r>
    </w:p>
    <w:p w14:paraId="362F8C89" w14:textId="77777777" w:rsidR="0047575F" w:rsidRDefault="0047575F" w:rsidP="0047575F">
      <w:pPr>
        <w:spacing w:before="120"/>
        <w:rPr>
          <w:b/>
        </w:rPr>
      </w:pPr>
      <w:r>
        <w:rPr>
          <w:b/>
        </w:rPr>
        <w:t>Sixtieth session</w:t>
      </w:r>
    </w:p>
    <w:p w14:paraId="592F45ED" w14:textId="77777777" w:rsidR="0047575F" w:rsidRDefault="0047575F" w:rsidP="0047575F">
      <w:r>
        <w:t>Geneva, 27 June - 6 July 2022</w:t>
      </w:r>
    </w:p>
    <w:p w14:paraId="059A6CFE" w14:textId="77777777" w:rsidR="0047575F" w:rsidRDefault="0047575F" w:rsidP="0047575F">
      <w:r>
        <w:t>Item 3 of the provisional agenda</w:t>
      </w:r>
    </w:p>
    <w:p w14:paraId="212766C5" w14:textId="1054023A" w:rsidR="0047575F" w:rsidRPr="006500BA" w:rsidRDefault="0047575F" w:rsidP="0047575F">
      <w:r>
        <w:rPr>
          <w:b/>
          <w:bCs/>
        </w:rPr>
        <w:t xml:space="preserve">Listing, </w:t>
      </w:r>
      <w:proofErr w:type="gramStart"/>
      <w:r>
        <w:rPr>
          <w:b/>
          <w:bCs/>
        </w:rPr>
        <w:t>classification</w:t>
      </w:r>
      <w:proofErr w:type="gramEnd"/>
      <w:r>
        <w:rPr>
          <w:b/>
          <w:bCs/>
        </w:rPr>
        <w:t xml:space="preserve"> and packing</w:t>
      </w:r>
    </w:p>
    <w:p w14:paraId="7188AA00" w14:textId="77644A66" w:rsidR="006C141E" w:rsidRDefault="006C141E" w:rsidP="00A56CA3">
      <w:pPr>
        <w:pStyle w:val="HChG"/>
      </w:pPr>
      <w:r>
        <w:tab/>
      </w:r>
      <w:r>
        <w:tab/>
      </w:r>
      <w:r w:rsidR="00A56CA3">
        <w:rPr>
          <w:rFonts w:hint="eastAsia"/>
          <w:lang w:val="en-CA"/>
        </w:rPr>
        <w:t>R</w:t>
      </w:r>
      <w:r w:rsidR="00A56CA3">
        <w:rPr>
          <w:lang w:val="en-CA"/>
        </w:rPr>
        <w:t>eviewing the</w:t>
      </w:r>
      <w:r w:rsidR="00A56CA3">
        <w:rPr>
          <w:rFonts w:hint="eastAsia"/>
          <w:lang w:val="en-CA"/>
        </w:rPr>
        <w:t xml:space="preserve"> </w:t>
      </w:r>
      <w:r w:rsidR="00A56CA3" w:rsidRPr="007A0FB2">
        <w:rPr>
          <w:rFonts w:hint="eastAsia"/>
        </w:rPr>
        <w:t>l</w:t>
      </w:r>
      <w:r w:rsidR="00A56CA3" w:rsidRPr="007A0FB2">
        <w:t>ocation</w:t>
      </w:r>
      <w:r w:rsidR="00A56CA3" w:rsidRPr="00AF3193">
        <w:rPr>
          <w:lang w:val="en-CA"/>
        </w:rPr>
        <w:t xml:space="preserve"> of the UN specification marking</w:t>
      </w:r>
      <w:r w:rsidR="00A56CA3">
        <w:rPr>
          <w:lang w:val="en-CA"/>
        </w:rPr>
        <w:t xml:space="preserve"> </w:t>
      </w:r>
      <w:r w:rsidR="00A56CA3">
        <w:rPr>
          <w:lang w:val="en-CA"/>
        </w:rPr>
        <w:noBreakHyphen/>
        <w:t xml:space="preserve"> </w:t>
      </w:r>
      <w:r w:rsidR="00A56CA3">
        <w:t>additional</w:t>
      </w:r>
      <w:r w:rsidRPr="005B3A2D">
        <w:t xml:space="preserve"> proposal </w:t>
      </w:r>
      <w:r w:rsidR="00A56CA3">
        <w:t>to</w:t>
      </w:r>
      <w:r w:rsidRPr="005B3A2D">
        <w:t xml:space="preserve"> </w:t>
      </w:r>
      <w:r w:rsidRPr="006C141E">
        <w:t>ST</w:t>
      </w:r>
      <w:r w:rsidRPr="005B3A2D">
        <w:t>/SG/AC.10/C.3/2021/52</w:t>
      </w:r>
    </w:p>
    <w:p w14:paraId="22EEB10C" w14:textId="1D28E13E" w:rsidR="006C141E" w:rsidRPr="002B6CBC" w:rsidRDefault="006C141E" w:rsidP="006C141E">
      <w:pPr>
        <w:pStyle w:val="H1G"/>
      </w:pPr>
      <w:r>
        <w:rPr>
          <w:lang w:val="en-US"/>
        </w:rPr>
        <w:tab/>
      </w:r>
      <w:r>
        <w:rPr>
          <w:lang w:val="en-US"/>
        </w:rPr>
        <w:tab/>
      </w:r>
      <w:r w:rsidRPr="002B6CBC">
        <w:rPr>
          <w:lang w:val="en-US"/>
        </w:rPr>
        <w:t>Transmitted by the</w:t>
      </w:r>
      <w:r w:rsidRPr="002B6CBC">
        <w:rPr>
          <w:rFonts w:hint="eastAsia"/>
          <w:lang w:val="en-US"/>
        </w:rPr>
        <w:t xml:space="preserve"> expert</w:t>
      </w:r>
      <w:r w:rsidRPr="002B6CBC">
        <w:rPr>
          <w:lang w:val="en-US"/>
        </w:rPr>
        <w:t xml:space="preserve"> </w:t>
      </w:r>
      <w:r w:rsidRPr="002B6CBC">
        <w:rPr>
          <w:rFonts w:hint="eastAsia"/>
          <w:lang w:val="en-US"/>
        </w:rPr>
        <w:t xml:space="preserve">from </w:t>
      </w:r>
      <w:r w:rsidRPr="002B6CBC">
        <w:rPr>
          <w:lang w:val="en-US"/>
        </w:rPr>
        <w:t>China</w:t>
      </w:r>
      <w:r>
        <w:rPr>
          <w:rStyle w:val="FootnoteReference"/>
          <w:lang w:val="en-US"/>
        </w:rPr>
        <w:footnoteReference w:id="2"/>
      </w:r>
    </w:p>
    <w:p w14:paraId="3A0AD454" w14:textId="040D187C" w:rsidR="006C141E" w:rsidRDefault="006C141E" w:rsidP="006C141E">
      <w:pPr>
        <w:pStyle w:val="HChG"/>
      </w:pPr>
      <w:r>
        <w:tab/>
      </w:r>
      <w:r>
        <w:tab/>
      </w:r>
      <w:r>
        <w:tab/>
      </w:r>
      <w:r w:rsidRPr="006C141E">
        <w:t>Introduction</w:t>
      </w:r>
    </w:p>
    <w:p w14:paraId="4C80727B" w14:textId="4230799C" w:rsidR="006C141E" w:rsidRPr="00B9451B" w:rsidRDefault="00B9451B" w:rsidP="00B9451B">
      <w:pPr>
        <w:pStyle w:val="SingleTxtG"/>
      </w:pPr>
      <w:r>
        <w:tab/>
        <w:t>1.</w:t>
      </w:r>
      <w:r>
        <w:tab/>
      </w:r>
      <w:r w:rsidR="006C141E" w:rsidRPr="00B9451B">
        <w:t>At the fifty-</w:t>
      </w:r>
      <w:r w:rsidR="006C141E" w:rsidRPr="00B9451B">
        <w:rPr>
          <w:rFonts w:hint="eastAsia"/>
        </w:rPr>
        <w:t>nin</w:t>
      </w:r>
      <w:r w:rsidR="006C141E" w:rsidRPr="00B9451B">
        <w:t>th session of the Sub-Committee, the expert</w:t>
      </w:r>
      <w:r w:rsidR="006C141E" w:rsidRPr="00B9451B">
        <w:rPr>
          <w:rFonts w:hint="eastAsia"/>
        </w:rPr>
        <w:t>s</w:t>
      </w:r>
      <w:r w:rsidR="006C141E" w:rsidRPr="00B9451B">
        <w:t xml:space="preserve"> from China submitted document ST/SG/AC.10/C.3/2021/</w:t>
      </w:r>
      <w:r w:rsidR="006C141E" w:rsidRPr="00B9451B">
        <w:rPr>
          <w:rFonts w:hint="eastAsia"/>
        </w:rPr>
        <w:t>52</w:t>
      </w:r>
      <w:r w:rsidR="006C141E" w:rsidRPr="00B9451B">
        <w:t>, proposing to add</w:t>
      </w:r>
      <w:r w:rsidR="006C141E" w:rsidRPr="00B9451B">
        <w:rPr>
          <w:rFonts w:hint="eastAsia"/>
        </w:rPr>
        <w:t xml:space="preserve"> </w:t>
      </w:r>
      <w:r w:rsidR="006C141E" w:rsidRPr="00B9451B">
        <w:t>the provision “</w:t>
      </w:r>
      <w:r w:rsidR="006C141E" w:rsidRPr="00B9451B">
        <w:rPr>
          <w:b/>
          <w:bCs/>
        </w:rPr>
        <w:t>If the head on the top is removable</w:t>
      </w:r>
      <w:r w:rsidR="006C141E" w:rsidRPr="00B9451B">
        <w:rPr>
          <w:rFonts w:hint="eastAsia"/>
          <w:b/>
          <w:bCs/>
        </w:rPr>
        <w:t>,</w:t>
      </w:r>
      <w:r w:rsidR="006C141E" w:rsidRPr="00B9451B">
        <w:rPr>
          <w:b/>
          <w:bCs/>
        </w:rPr>
        <w:t xml:space="preserve"> the marks or a duplicate thereof shall appear on at least a side of the packaging</w:t>
      </w:r>
      <w:r w:rsidR="006C141E" w:rsidRPr="00B9451B">
        <w:t>.”</w:t>
      </w:r>
    </w:p>
    <w:p w14:paraId="76B4BBF6" w14:textId="10AB6679" w:rsidR="006C141E" w:rsidRPr="00B9451B" w:rsidRDefault="00B9451B" w:rsidP="00B9451B">
      <w:pPr>
        <w:pStyle w:val="SingleTxtG"/>
      </w:pPr>
      <w:r>
        <w:tab/>
        <w:t>2.</w:t>
      </w:r>
      <w:r>
        <w:tab/>
      </w:r>
      <w:r w:rsidR="006C141E" w:rsidRPr="00B9451B">
        <w:t>There ha</w:t>
      </w:r>
      <w:r w:rsidR="006C141E" w:rsidRPr="00B9451B">
        <w:rPr>
          <w:rFonts w:hint="eastAsia"/>
        </w:rPr>
        <w:t>d</w:t>
      </w:r>
      <w:r w:rsidR="006C141E" w:rsidRPr="00B9451B">
        <w:t xml:space="preserve"> been an extensive discussion</w:t>
      </w:r>
      <w:r w:rsidR="006C141E" w:rsidRPr="00B9451B">
        <w:rPr>
          <w:rFonts w:hint="eastAsia"/>
        </w:rPr>
        <w:t xml:space="preserve"> </w:t>
      </w:r>
      <w:r w:rsidR="006C141E" w:rsidRPr="00B9451B">
        <w:t>based on</w:t>
      </w:r>
      <w:r w:rsidR="006C141E" w:rsidRPr="00B9451B">
        <w:rPr>
          <w:rFonts w:hint="eastAsia"/>
        </w:rPr>
        <w:t xml:space="preserve"> </w:t>
      </w:r>
      <w:r w:rsidR="00265C1D">
        <w:t xml:space="preserve">that </w:t>
      </w:r>
      <w:r w:rsidR="00483A16" w:rsidRPr="00B9451B">
        <w:t xml:space="preserve">official </w:t>
      </w:r>
      <w:r w:rsidR="006C141E" w:rsidRPr="00B9451B">
        <w:rPr>
          <w:rFonts w:hint="eastAsia"/>
        </w:rPr>
        <w:t xml:space="preserve">document, </w:t>
      </w:r>
      <w:r w:rsidR="00483A16">
        <w:t xml:space="preserve">including </w:t>
      </w:r>
      <w:r>
        <w:t xml:space="preserve">informal documents </w:t>
      </w:r>
      <w:r w:rsidR="006C141E" w:rsidRPr="00B9451B">
        <w:rPr>
          <w:rFonts w:hint="eastAsia"/>
        </w:rPr>
        <w:t>INF.17 and INF.37</w:t>
      </w:r>
      <w:r>
        <w:t xml:space="preserve"> (59</w:t>
      </w:r>
      <w:r w:rsidRPr="00B9451B">
        <w:rPr>
          <w:vertAlign w:val="superscript"/>
        </w:rPr>
        <w:t>th</w:t>
      </w:r>
      <w:r>
        <w:t xml:space="preserve"> session)</w:t>
      </w:r>
      <w:r w:rsidR="006C141E" w:rsidRPr="00B9451B">
        <w:rPr>
          <w:rFonts w:hint="eastAsia"/>
        </w:rPr>
        <w:t xml:space="preserve">. </w:t>
      </w:r>
      <w:r w:rsidR="006C141E" w:rsidRPr="00B9451B">
        <w:t>The Sub-Committee generally support</w:t>
      </w:r>
      <w:r w:rsidR="006C141E" w:rsidRPr="00B9451B">
        <w:rPr>
          <w:rFonts w:hint="eastAsia"/>
        </w:rPr>
        <w:t>ed</w:t>
      </w:r>
      <w:r w:rsidR="006C141E" w:rsidRPr="00B9451B">
        <w:t xml:space="preserve"> the intention of the proposed amendments </w:t>
      </w:r>
      <w:r w:rsidR="00483A16">
        <w:t>on</w:t>
      </w:r>
      <w:r w:rsidR="006C141E" w:rsidRPr="00B9451B">
        <w:t xml:space="preserve"> the additional placing of the UN specification mark on the removable top of a packaging.</w:t>
      </w:r>
    </w:p>
    <w:p w14:paraId="0E9BC00F" w14:textId="703895F8" w:rsidR="006C141E" w:rsidRPr="00B9451B" w:rsidRDefault="00B9451B" w:rsidP="00B9451B">
      <w:pPr>
        <w:pStyle w:val="SingleTxtG"/>
      </w:pPr>
      <w:r>
        <w:tab/>
        <w:t>3.</w:t>
      </w:r>
      <w:r>
        <w:tab/>
      </w:r>
      <w:r w:rsidR="006C141E" w:rsidRPr="00B9451B">
        <w:rPr>
          <w:rFonts w:hint="eastAsia"/>
        </w:rPr>
        <w:t>S</w:t>
      </w:r>
      <w:r w:rsidR="006C141E" w:rsidRPr="00B9451B">
        <w:t xml:space="preserve">ome experts </w:t>
      </w:r>
      <w:proofErr w:type="gramStart"/>
      <w:r w:rsidR="006C141E" w:rsidRPr="00B9451B">
        <w:t>were of the opinion that</w:t>
      </w:r>
      <w:proofErr w:type="gramEnd"/>
      <w:r w:rsidR="006C141E" w:rsidRPr="00B9451B">
        <w:t xml:space="preserve"> the proposed text including the transitional provision</w:t>
      </w:r>
      <w:r w:rsidR="006C141E" w:rsidRPr="00B9451B">
        <w:rPr>
          <w:rFonts w:hint="eastAsia"/>
        </w:rPr>
        <w:t xml:space="preserve"> </w:t>
      </w:r>
      <w:r w:rsidR="006C141E" w:rsidRPr="00B9451B">
        <w:t>still needed to be reviewed</w:t>
      </w:r>
      <w:r w:rsidR="006C141E" w:rsidRPr="00B9451B">
        <w:rPr>
          <w:rFonts w:hint="eastAsia"/>
        </w:rPr>
        <w:t xml:space="preserve">. </w:t>
      </w:r>
      <w:r w:rsidR="006C141E" w:rsidRPr="00B9451B">
        <w:t xml:space="preserve">After considering the feedback received during that session, </w:t>
      </w:r>
      <w:r w:rsidR="003032C9">
        <w:t xml:space="preserve">the </w:t>
      </w:r>
      <w:r w:rsidR="006C141E" w:rsidRPr="00B9451B">
        <w:t xml:space="preserve">experts from China submitted this updated document </w:t>
      </w:r>
      <w:r w:rsidR="003032C9">
        <w:t>for consideration at</w:t>
      </w:r>
      <w:r w:rsidR="006C141E" w:rsidRPr="00B9451B">
        <w:t xml:space="preserve"> the </w:t>
      </w:r>
      <w:r w:rsidR="006C141E" w:rsidRPr="00B9451B">
        <w:rPr>
          <w:rFonts w:hint="eastAsia"/>
        </w:rPr>
        <w:t>sixtieth</w:t>
      </w:r>
      <w:r w:rsidR="006C141E" w:rsidRPr="00B9451B">
        <w:t xml:space="preserve"> session of the Sub-Committee.</w:t>
      </w:r>
    </w:p>
    <w:p w14:paraId="0823C450" w14:textId="77777777" w:rsidR="006C141E" w:rsidRDefault="006C141E" w:rsidP="006C141E">
      <w:pPr>
        <w:pStyle w:val="HCh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Proposal</w:t>
      </w:r>
    </w:p>
    <w:p w14:paraId="5F2EE1C4" w14:textId="249AA933" w:rsidR="006C141E" w:rsidRPr="0063410C" w:rsidRDefault="00D9720B" w:rsidP="00652DE7">
      <w:pPr>
        <w:pStyle w:val="SingleTxtG"/>
        <w:rPr>
          <w:lang w:val="en-US"/>
        </w:rPr>
      </w:pPr>
      <w:r>
        <w:rPr>
          <w:lang w:val="en-US"/>
        </w:rPr>
        <w:t>4.</w:t>
      </w:r>
      <w:r>
        <w:rPr>
          <w:lang w:val="en-US"/>
        </w:rPr>
        <w:tab/>
      </w:r>
      <w:r w:rsidR="006C141E">
        <w:rPr>
          <w:lang w:val="en-US"/>
        </w:rPr>
        <w:t>China proposes to a</w:t>
      </w:r>
      <w:r w:rsidR="006C141E" w:rsidRPr="0063410C">
        <w:rPr>
          <w:lang w:val="en-US"/>
        </w:rPr>
        <w:t>mend 6.1.3.1 to read as follows (</w:t>
      </w:r>
      <w:r w:rsidR="006C141E" w:rsidRPr="00652DE7">
        <w:rPr>
          <w:bCs/>
          <w:lang w:val="en-US"/>
        </w:rPr>
        <w:t>new text is</w:t>
      </w:r>
      <w:r w:rsidR="00652DE7">
        <w:rPr>
          <w:bCs/>
          <w:lang w:val="en-US"/>
        </w:rPr>
        <w:t xml:space="preserve"> </w:t>
      </w:r>
      <w:r w:rsidR="00652DE7">
        <w:rPr>
          <w:bCs/>
          <w:u w:val="single"/>
          <w:lang w:val="en-US"/>
        </w:rPr>
        <w:t>u</w:t>
      </w:r>
      <w:r w:rsidR="006C141E" w:rsidRPr="00652DE7">
        <w:rPr>
          <w:bCs/>
          <w:u w:val="single"/>
          <w:lang w:val="en-US"/>
        </w:rPr>
        <w:t>nderlined</w:t>
      </w:r>
      <w:r w:rsidR="006C141E" w:rsidRPr="0063410C">
        <w:rPr>
          <w:lang w:val="en-US"/>
        </w:rPr>
        <w:t>):</w:t>
      </w:r>
    </w:p>
    <w:p w14:paraId="2497F897" w14:textId="619B89D2" w:rsidR="006C141E" w:rsidRDefault="006C141E" w:rsidP="00132188">
      <w:pPr>
        <w:pStyle w:val="SingleTxtG"/>
        <w:ind w:left="2552" w:hanging="851"/>
        <w:rPr>
          <w:lang w:val="en-US"/>
        </w:rPr>
      </w:pPr>
      <w:r w:rsidRPr="0063410C">
        <w:rPr>
          <w:lang w:val="en-US"/>
        </w:rPr>
        <w:t>“6.1.3.1</w:t>
      </w:r>
      <w:r w:rsidR="00132188">
        <w:rPr>
          <w:lang w:val="en-US"/>
        </w:rPr>
        <w:tab/>
      </w:r>
      <w:r w:rsidRPr="0063410C">
        <w:rPr>
          <w:lang w:val="en-US"/>
        </w:rPr>
        <w:t xml:space="preserve">Each packaging intended for use according to these Regulations shall bear marks </w:t>
      </w:r>
      <w:r w:rsidRPr="00652DE7">
        <w:rPr>
          <w:rFonts w:hint="eastAsia"/>
          <w:bCs/>
          <w:u w:val="single"/>
          <w:lang w:val="en-US"/>
        </w:rPr>
        <w:t>on a non-removable component</w:t>
      </w:r>
      <w:r>
        <w:rPr>
          <w:rFonts w:hint="eastAsia"/>
          <w:lang w:val="en-US"/>
        </w:rPr>
        <w:t xml:space="preserve"> </w:t>
      </w:r>
      <w:r w:rsidRPr="0063410C">
        <w:rPr>
          <w:lang w:val="en-US"/>
        </w:rPr>
        <w:t>which are durable, legible and placed in a location and of such a size relative to the packaging as to be readily visible. For packages with a gross mass of more than 30 kg, the marks or a duplicate thereof shall appear on the top or on a side of the packaging.</w:t>
      </w:r>
      <w:r>
        <w:rPr>
          <w:rFonts w:hint="eastAsia"/>
          <w:lang w:val="en-US"/>
        </w:rPr>
        <w:t xml:space="preserve"> Letters, numerals and symbols shall be at least 12 mm high, except for packagings of 30</w:t>
      </w:r>
      <w:r w:rsidRPr="00EC41F2">
        <w:rPr>
          <w:rFonts w:hint="eastAsia"/>
          <w:i/>
          <w:lang w:val="en-US"/>
        </w:rPr>
        <w:t xml:space="preserve"> l</w:t>
      </w:r>
      <w:r>
        <w:rPr>
          <w:rFonts w:hint="eastAsia"/>
          <w:lang w:val="en-US"/>
        </w:rPr>
        <w:t xml:space="preserve"> capacity or less or of 30 kg maximum net </w:t>
      </w:r>
      <w:r>
        <w:rPr>
          <w:rFonts w:hint="eastAsia"/>
          <w:lang w:val="en-US"/>
        </w:rPr>
        <w:lastRenderedPageBreak/>
        <w:t>mass, when they shall be at least 6 mm in height and except for packagings of 5</w:t>
      </w:r>
      <w:r w:rsidRPr="00EC41F2">
        <w:rPr>
          <w:rFonts w:hint="eastAsia"/>
          <w:i/>
          <w:lang w:val="en-US"/>
        </w:rPr>
        <w:t xml:space="preserve"> l </w:t>
      </w:r>
      <w:r>
        <w:rPr>
          <w:rFonts w:hint="eastAsia"/>
          <w:lang w:val="en-US"/>
        </w:rPr>
        <w:t>capacity or less or of 5 kg maximum net mass when they shall be of an appropriate size</w:t>
      </w:r>
      <w:r>
        <w:rPr>
          <w:lang w:val="en-US"/>
        </w:rPr>
        <w:t>.”</w:t>
      </w:r>
    </w:p>
    <w:p w14:paraId="75289145" w14:textId="77777777" w:rsidR="006C141E" w:rsidRDefault="006C141E" w:rsidP="00680554">
      <w:pPr>
        <w:pStyle w:val="SingleTxtG"/>
        <w:ind w:left="1701"/>
        <w:rPr>
          <w:bCs/>
          <w:i/>
          <w:u w:val="single"/>
          <w:lang w:val="en-US"/>
        </w:rPr>
      </w:pPr>
      <w:r w:rsidRPr="00EC2A56">
        <w:rPr>
          <w:b/>
          <w:i/>
          <w:u w:val="single"/>
          <w:lang w:val="en-US"/>
        </w:rPr>
        <w:t>NOTE:</w:t>
      </w:r>
      <w:r w:rsidRPr="00652DE7">
        <w:rPr>
          <w:bCs/>
          <w:i/>
          <w:u w:val="single"/>
          <w:lang w:val="en-US"/>
        </w:rPr>
        <w:t xml:space="preserve"> The provisions of 6.1.3.1 of the twenty-second revised edition of the Recommendations on the Transport of Dangerous Goods, Model Regulations </w:t>
      </w:r>
      <w:r w:rsidRPr="00652DE7">
        <w:rPr>
          <w:rFonts w:hint="eastAsia"/>
          <w:bCs/>
          <w:i/>
          <w:u w:val="single"/>
          <w:lang w:val="en-US"/>
        </w:rPr>
        <w:t>may continue to be applied</w:t>
      </w:r>
      <w:r w:rsidRPr="00652DE7">
        <w:rPr>
          <w:bCs/>
          <w:i/>
          <w:u w:val="single"/>
          <w:lang w:val="en-US"/>
        </w:rPr>
        <w:t xml:space="preserve"> </w:t>
      </w:r>
      <w:r w:rsidRPr="00652DE7">
        <w:rPr>
          <w:rFonts w:hint="eastAsia"/>
          <w:bCs/>
          <w:i/>
          <w:u w:val="single"/>
          <w:lang w:val="en-US"/>
        </w:rPr>
        <w:t>until 31 December</w:t>
      </w:r>
      <w:r w:rsidRPr="00652DE7">
        <w:rPr>
          <w:bCs/>
          <w:i/>
          <w:u w:val="single"/>
          <w:lang w:val="en-US"/>
        </w:rPr>
        <w:t xml:space="preserve"> 2026</w:t>
      </w:r>
      <w:r w:rsidRPr="00652DE7">
        <w:rPr>
          <w:rFonts w:hint="eastAsia"/>
          <w:bCs/>
          <w:i/>
          <w:u w:val="single"/>
          <w:lang w:val="en-US"/>
        </w:rPr>
        <w:t xml:space="preserve">. </w:t>
      </w:r>
      <w:r w:rsidRPr="00652DE7">
        <w:rPr>
          <w:bCs/>
          <w:i/>
          <w:u w:val="single"/>
          <w:lang w:val="en-US"/>
        </w:rPr>
        <w:t>Packagings manufactured before 1 January 2027 according to the provisions applicable at the date of manufacture may continue to be used.</w:t>
      </w:r>
    </w:p>
    <w:p w14:paraId="7B69E7B6" w14:textId="030C4B7F" w:rsidR="00EC2A56" w:rsidRDefault="00EC2A56" w:rsidP="008B0097">
      <w:pPr>
        <w:pStyle w:val="SingleTxtG"/>
        <w:ind w:left="2552" w:hanging="851"/>
        <w:rPr>
          <w:bCs/>
          <w:iCs/>
          <w:lang w:val="en-US"/>
        </w:rPr>
      </w:pPr>
      <w:r>
        <w:rPr>
          <w:bCs/>
          <w:iCs/>
          <w:lang w:val="en-US"/>
        </w:rPr>
        <w:tab/>
      </w:r>
      <w:r w:rsidR="008B0097">
        <w:rPr>
          <w:bCs/>
          <w:iCs/>
          <w:lang w:val="en-US"/>
        </w:rPr>
        <w:t>The marks …”</w:t>
      </w:r>
    </w:p>
    <w:p w14:paraId="7AAD53E4" w14:textId="77777777" w:rsidR="00442275" w:rsidRPr="00EC2A56" w:rsidRDefault="00442275" w:rsidP="008B0097">
      <w:pPr>
        <w:pStyle w:val="SingleTxtG"/>
        <w:ind w:left="2552" w:hanging="851"/>
        <w:rPr>
          <w:bCs/>
          <w:iCs/>
          <w:lang w:val="en-US"/>
        </w:rPr>
      </w:pPr>
    </w:p>
    <w:p w14:paraId="049148CA" w14:textId="77777777" w:rsidR="006C141E" w:rsidRPr="00932DD1" w:rsidRDefault="006C141E" w:rsidP="006C141E">
      <w:pPr>
        <w:pStyle w:val="SingleTxtG"/>
        <w:tabs>
          <w:tab w:val="right" w:pos="1710"/>
        </w:tabs>
        <w:spacing w:before="240" w:after="0"/>
        <w:jc w:val="center"/>
        <w:rPr>
          <w:u w:val="single"/>
        </w:rPr>
      </w:pPr>
      <w:r w:rsidRPr="00932DD1">
        <w:rPr>
          <w:u w:val="single"/>
        </w:rPr>
        <w:tab/>
      </w:r>
      <w:r w:rsidRPr="00932DD1">
        <w:rPr>
          <w:u w:val="single"/>
        </w:rPr>
        <w:tab/>
      </w:r>
      <w:r w:rsidRPr="00932DD1">
        <w:rPr>
          <w:u w:val="single"/>
        </w:rPr>
        <w:tab/>
      </w:r>
    </w:p>
    <w:sectPr w:rsidR="006C141E" w:rsidRPr="00932DD1" w:rsidSect="00823363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footnotePr>
        <w:numFmt w:val="chicago"/>
      </w:footnotePr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F781C" w14:textId="77777777" w:rsidR="007E765C" w:rsidRPr="00C47B2E" w:rsidRDefault="007E765C" w:rsidP="00C47B2E">
      <w:pPr>
        <w:pStyle w:val="Footer"/>
      </w:pPr>
    </w:p>
  </w:endnote>
  <w:endnote w:type="continuationSeparator" w:id="0">
    <w:p w14:paraId="48A1E2FF" w14:textId="77777777" w:rsidR="007E765C" w:rsidRPr="00C47B2E" w:rsidRDefault="007E765C" w:rsidP="00C47B2E">
      <w:pPr>
        <w:pStyle w:val="Footer"/>
      </w:pPr>
    </w:p>
  </w:endnote>
  <w:endnote w:type="continuationNotice" w:id="1">
    <w:p w14:paraId="37FAF346" w14:textId="77777777" w:rsidR="007E765C" w:rsidRPr="00C47B2E" w:rsidRDefault="007E765C" w:rsidP="00C47B2E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65698" w14:textId="1C4FA889" w:rsidR="00D94B05" w:rsidRPr="00823363" w:rsidRDefault="00823363" w:rsidP="00823363">
    <w:pPr>
      <w:pStyle w:val="Footer"/>
      <w:tabs>
        <w:tab w:val="right" w:pos="9598"/>
        <w:tab w:val="right" w:pos="9638"/>
      </w:tabs>
      <w:rPr>
        <w:sz w:val="18"/>
      </w:rPr>
    </w:pPr>
    <w:r w:rsidRPr="00823363">
      <w:rPr>
        <w:b/>
        <w:sz w:val="18"/>
      </w:rPr>
      <w:fldChar w:fldCharType="begin"/>
    </w:r>
    <w:r w:rsidRPr="00823363">
      <w:rPr>
        <w:b/>
        <w:sz w:val="18"/>
      </w:rPr>
      <w:instrText xml:space="preserve"> PAGE  \* MERGEFORMAT </w:instrText>
    </w:r>
    <w:r w:rsidRPr="00823363">
      <w:rPr>
        <w:b/>
        <w:sz w:val="18"/>
      </w:rPr>
      <w:fldChar w:fldCharType="separate"/>
    </w:r>
    <w:r w:rsidRPr="00823363">
      <w:rPr>
        <w:b/>
        <w:noProof/>
        <w:sz w:val="18"/>
      </w:rPr>
      <w:t>2</w:t>
    </w:r>
    <w:r w:rsidRPr="00823363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08C6B" w14:textId="3A7853E0" w:rsidR="00D94B05" w:rsidRPr="00823363" w:rsidRDefault="00823363" w:rsidP="00823363">
    <w:pPr>
      <w:pStyle w:val="Footer"/>
      <w:tabs>
        <w:tab w:val="left" w:pos="5775"/>
        <w:tab w:val="right" w:pos="9598"/>
        <w:tab w:val="right" w:pos="9638"/>
      </w:tabs>
      <w:rPr>
        <w:sz w:val="18"/>
      </w:rPr>
    </w:pPr>
    <w:r>
      <w:rPr>
        <w:b/>
        <w:sz w:val="18"/>
      </w:rPr>
      <w:tab/>
    </w:r>
    <w:r w:rsidRPr="00823363">
      <w:rPr>
        <w:sz w:val="18"/>
      </w:rPr>
      <w:fldChar w:fldCharType="begin"/>
    </w:r>
    <w:r w:rsidRPr="00823363">
      <w:rPr>
        <w:sz w:val="18"/>
      </w:rPr>
      <w:instrText xml:space="preserve"> PAGE  \* MERGEFORMAT </w:instrText>
    </w:r>
    <w:r w:rsidRPr="00823363">
      <w:rPr>
        <w:sz w:val="18"/>
      </w:rPr>
      <w:fldChar w:fldCharType="separate"/>
    </w:r>
    <w:r w:rsidRPr="00823363">
      <w:rPr>
        <w:noProof/>
        <w:sz w:val="18"/>
      </w:rPr>
      <w:t>3</w:t>
    </w:r>
    <w:r w:rsidRPr="00823363"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A7D24" w14:textId="77777777" w:rsidR="00D94B05" w:rsidRPr="00823363" w:rsidRDefault="00E52109" w:rsidP="00764440">
    <w:pPr>
      <w:pStyle w:val="Footer"/>
      <w:rPr>
        <w:rFonts w:asciiTheme="majorBidi" w:hAnsiTheme="majorBidi" w:cstheme="majorBidi"/>
        <w:sz w:val="20"/>
      </w:rPr>
    </w:pPr>
    <w:r>
      <w:rPr>
        <w:noProof/>
        <w:lang w:val="fr-CH" w:eastAsia="fr-CH"/>
      </w:rPr>
      <w:drawing>
        <wp:anchor distT="0" distB="0" distL="114300" distR="114300" simplePos="0" relativeHeight="251659264" behindDoc="0" locked="1" layoutInCell="1" allowOverlap="1" wp14:anchorId="31667021" wp14:editId="41E87A07">
          <wp:simplePos x="0" y="0"/>
          <wp:positionH relativeFrom="margin">
            <wp:posOffset>5003800</wp:posOffset>
          </wp:positionH>
          <wp:positionV relativeFrom="margin">
            <wp:posOffset>9323705</wp:posOffset>
          </wp:positionV>
          <wp:extent cx="923925" cy="228600"/>
          <wp:effectExtent l="0" t="0" r="9525" b="0"/>
          <wp:wrapNone/>
          <wp:docPr id="2" name="Picture 2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0CA55" w14:textId="77777777" w:rsidR="007E765C" w:rsidRPr="00C47B2E" w:rsidRDefault="007E765C" w:rsidP="00C47B2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6DFBB194" w14:textId="77777777" w:rsidR="007E765C" w:rsidRPr="00C47B2E" w:rsidRDefault="007E765C" w:rsidP="005E716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Notice" w:id="1">
    <w:p w14:paraId="6A2BF6D6" w14:textId="77777777" w:rsidR="007E765C" w:rsidRPr="00C47B2E" w:rsidRDefault="007E765C" w:rsidP="00C47B2E">
      <w:pPr>
        <w:pStyle w:val="Footer"/>
      </w:pPr>
    </w:p>
  </w:footnote>
  <w:footnote w:id="2">
    <w:p w14:paraId="4455CE7B" w14:textId="514CF2CB" w:rsidR="006C141E" w:rsidRPr="006C141E" w:rsidRDefault="006C141E" w:rsidP="00B9451B">
      <w:pPr>
        <w:pStyle w:val="FootnoteText"/>
        <w:ind w:firstLine="0"/>
        <w:rPr>
          <w:lang w:val="fr-CH"/>
        </w:rPr>
      </w:pPr>
      <w:r>
        <w:rPr>
          <w:rStyle w:val="FootnoteReference"/>
        </w:rPr>
        <w:footnoteRef/>
      </w:r>
      <w:r>
        <w:t xml:space="preserve"> </w:t>
      </w:r>
      <w:r w:rsidR="00B9451B">
        <w:rPr>
          <w:lang w:val="en-US"/>
        </w:rPr>
        <w:t>A/75/6 (Sect.20), para. 20.51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30628" w14:textId="189B60FC" w:rsidR="00823363" w:rsidRPr="00823363" w:rsidRDefault="00E54890">
    <w:pPr>
      <w:pStyle w:val="Header"/>
    </w:pPr>
    <w:fldSimple w:instr=" TITLE  \* MERGEFORMAT ">
      <w:r w:rsidR="00F468A5">
        <w:t>ST/SG/AC.10/C.3/2022/41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74359" w14:textId="251BAE20" w:rsidR="00D94B05" w:rsidRPr="00823363" w:rsidRDefault="00E54890" w:rsidP="00823363">
    <w:pPr>
      <w:pStyle w:val="Header"/>
      <w:jc w:val="right"/>
    </w:pPr>
    <w:fldSimple w:instr=" TITLE  \* MERGEFORMAT ">
      <w:r w:rsidR="00F468A5">
        <w:t>ST/SG/AC.10/C.3/2022/41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631A1639"/>
    <w:multiLevelType w:val="hybridMultilevel"/>
    <w:tmpl w:val="F53EF5BE"/>
    <w:lvl w:ilvl="0" w:tplc="674057A2">
      <w:start w:val="1"/>
      <w:numFmt w:val="decimal"/>
      <w:lvlText w:val="%1."/>
      <w:lvlJc w:val="left"/>
      <w:pPr>
        <w:ind w:left="1554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9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1"/>
  </w:num>
  <w:num w:numId="11">
    <w:abstractNumId w:val="9"/>
  </w:num>
  <w:num w:numId="12">
    <w:abstractNumId w:val="2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567"/>
  <w:hyphenationZone w:val="425"/>
  <w:evenAndOddHeaders/>
  <w:characterSpacingControl w:val="doNotCompress"/>
  <w:savePreviewPicture/>
  <w:hdrShapeDefaults>
    <o:shapedefaults v:ext="edit" spidmax="2049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363"/>
    <w:rsid w:val="00046E92"/>
    <w:rsid w:val="00063C90"/>
    <w:rsid w:val="00101B98"/>
    <w:rsid w:val="00132188"/>
    <w:rsid w:val="001514D1"/>
    <w:rsid w:val="00247E2C"/>
    <w:rsid w:val="00265C1D"/>
    <w:rsid w:val="002A32CB"/>
    <w:rsid w:val="002D5B2C"/>
    <w:rsid w:val="002D6C53"/>
    <w:rsid w:val="002F5595"/>
    <w:rsid w:val="003032C9"/>
    <w:rsid w:val="00334F6A"/>
    <w:rsid w:val="00342AC8"/>
    <w:rsid w:val="00343302"/>
    <w:rsid w:val="003979DE"/>
    <w:rsid w:val="003B4550"/>
    <w:rsid w:val="003D2A18"/>
    <w:rsid w:val="00413386"/>
    <w:rsid w:val="00442275"/>
    <w:rsid w:val="00461253"/>
    <w:rsid w:val="0047575F"/>
    <w:rsid w:val="00483A16"/>
    <w:rsid w:val="004858F5"/>
    <w:rsid w:val="00496B92"/>
    <w:rsid w:val="004A2814"/>
    <w:rsid w:val="004C0622"/>
    <w:rsid w:val="005042C2"/>
    <w:rsid w:val="005E716E"/>
    <w:rsid w:val="006476E1"/>
    <w:rsid w:val="00652DE7"/>
    <w:rsid w:val="006604DF"/>
    <w:rsid w:val="00671529"/>
    <w:rsid w:val="00680554"/>
    <w:rsid w:val="006C141E"/>
    <w:rsid w:val="0070489D"/>
    <w:rsid w:val="007268F9"/>
    <w:rsid w:val="00750282"/>
    <w:rsid w:val="00764440"/>
    <w:rsid w:val="0077101B"/>
    <w:rsid w:val="007C52B0"/>
    <w:rsid w:val="007C6033"/>
    <w:rsid w:val="007E765C"/>
    <w:rsid w:val="008147C8"/>
    <w:rsid w:val="0081753A"/>
    <w:rsid w:val="00823363"/>
    <w:rsid w:val="00857D23"/>
    <w:rsid w:val="008B0097"/>
    <w:rsid w:val="009411B4"/>
    <w:rsid w:val="00946F1D"/>
    <w:rsid w:val="009D0139"/>
    <w:rsid w:val="009D717D"/>
    <w:rsid w:val="009F5CDC"/>
    <w:rsid w:val="00A072D7"/>
    <w:rsid w:val="00A56CA3"/>
    <w:rsid w:val="00A775CF"/>
    <w:rsid w:val="00AD1A9C"/>
    <w:rsid w:val="00AF5DE1"/>
    <w:rsid w:val="00B06045"/>
    <w:rsid w:val="00B206DD"/>
    <w:rsid w:val="00B52EF4"/>
    <w:rsid w:val="00B777AD"/>
    <w:rsid w:val="00B9451B"/>
    <w:rsid w:val="00C03015"/>
    <w:rsid w:val="00C0358D"/>
    <w:rsid w:val="00C35A27"/>
    <w:rsid w:val="00C47B2E"/>
    <w:rsid w:val="00C928E8"/>
    <w:rsid w:val="00CC71B8"/>
    <w:rsid w:val="00D63CD2"/>
    <w:rsid w:val="00D87DC2"/>
    <w:rsid w:val="00D94B05"/>
    <w:rsid w:val="00D9720B"/>
    <w:rsid w:val="00E02C2B"/>
    <w:rsid w:val="00E21C27"/>
    <w:rsid w:val="00E26BCF"/>
    <w:rsid w:val="00E52109"/>
    <w:rsid w:val="00E54890"/>
    <w:rsid w:val="00E75317"/>
    <w:rsid w:val="00EC0CE6"/>
    <w:rsid w:val="00EC2A56"/>
    <w:rsid w:val="00EC7C1D"/>
    <w:rsid w:val="00ED6C48"/>
    <w:rsid w:val="00EE3045"/>
    <w:rsid w:val="00F44A94"/>
    <w:rsid w:val="00F468A5"/>
    <w:rsid w:val="00F65F5D"/>
    <w:rsid w:val="00F86A3A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5B5CF3"/>
  <w15:docId w15:val="{B1D65DB3-15C9-4B94-9DA4-4AF1B3A67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CE6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</w:style>
  <w:style w:type="paragraph" w:styleId="Heading1">
    <w:name w:val="heading 1"/>
    <w:aliases w:val="Table_G"/>
    <w:basedOn w:val="SingleTxtG"/>
    <w:next w:val="SingleTxtG"/>
    <w:link w:val="Heading1Char"/>
    <w:qFormat/>
    <w:rsid w:val="004A28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4A281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semiHidden/>
    <w:rsid w:val="004A281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semiHidden/>
    <w:rsid w:val="004A281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semiHidden/>
    <w:rsid w:val="004A281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semiHidden/>
    <w:rsid w:val="004A281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4A281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4A281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4A28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qFormat/>
    <w:rsid w:val="004A281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3B4550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link w:val="FooterChar"/>
    <w:qFormat/>
    <w:rsid w:val="004A281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4A28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4A28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4A281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A28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A28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A2814"/>
    <w:pPr>
      <w:numPr>
        <w:numId w:val="10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A2814"/>
    <w:pPr>
      <w:numPr>
        <w:numId w:val="11"/>
      </w:numPr>
      <w:spacing w:after="120"/>
      <w:ind w:right="1134"/>
      <w:jc w:val="both"/>
    </w:pPr>
  </w:style>
  <w:style w:type="paragraph" w:customStyle="1" w:styleId="ParNoG">
    <w:name w:val="_ParNo_G"/>
    <w:basedOn w:val="SingleTxtG"/>
    <w:qFormat/>
    <w:rsid w:val="00B206DD"/>
    <w:pPr>
      <w:numPr>
        <w:numId w:val="13"/>
      </w:numPr>
      <w:suppressAutoHyphens w:val="0"/>
      <w:kinsoku/>
      <w:overflowPunct/>
      <w:autoSpaceDE/>
      <w:autoSpaceDN/>
      <w:adjustRightInd/>
      <w:snapToGrid/>
    </w:pPr>
    <w:rPr>
      <w:rFonts w:eastAsia="Times New Roman"/>
    </w:r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qFormat/>
    <w:rsid w:val="004A281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qFormat/>
    <w:rsid w:val="004A28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4A2814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FootnoteReference">
    <w:name w:val="footnote reference"/>
    <w:aliases w:val="4_G"/>
    <w:uiPriority w:val="99"/>
    <w:qFormat/>
    <w:rsid w:val="004A2814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PageNumber">
    <w:name w:val="page number"/>
    <w:aliases w:val="7_G"/>
    <w:rsid w:val="004A2814"/>
    <w:rPr>
      <w:rFonts w:ascii="Times New Roman" w:hAnsi="Times New Roman"/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1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109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EC0CE6"/>
    <w:rPr>
      <w:color w:val="0000FF"/>
      <w:u w:val="none"/>
    </w:rPr>
  </w:style>
  <w:style w:type="character" w:styleId="FollowedHyperlink">
    <w:name w:val="FollowedHyperlink"/>
    <w:basedOn w:val="DefaultParagraphFont"/>
    <w:rsid w:val="00EC0CE6"/>
    <w:rPr>
      <w:color w:val="0000FF"/>
      <w:u w:val="none"/>
    </w:rPr>
  </w:style>
  <w:style w:type="table" w:styleId="TableGrid">
    <w:name w:val="Table Grid"/>
    <w:basedOn w:val="TableNormal"/>
    <w:rsid w:val="004A2814"/>
    <w:pPr>
      <w:suppressAutoHyphens/>
      <w:spacing w:after="0" w:line="240" w:lineRule="atLeast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HChGChar">
    <w:name w:val="_ H _Ch_G Char"/>
    <w:link w:val="HChG"/>
    <w:qFormat/>
    <w:locked/>
    <w:rsid w:val="006C141E"/>
    <w:rPr>
      <w:b/>
      <w:sz w:val="28"/>
    </w:rPr>
  </w:style>
  <w:style w:type="character" w:customStyle="1" w:styleId="SingleTxtGChar">
    <w:name w:val="_ Single Txt_G Char"/>
    <w:link w:val="SingleTxtG"/>
    <w:qFormat/>
    <w:rsid w:val="006C1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ST\SGAC10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518F60-7DA2-420D-843C-E28B2BAD87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9DFDF0-AA33-45C8-B398-C423ED2CF1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0EC520-D920-4C76-834D-EE1EE45F60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FED98B-724E-4476-9012-4E575669BCB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SGAC10_E.dotm</Template>
  <TotalTime>24</TotalTime>
  <Pages>2</Pages>
  <Words>419</Words>
  <Characters>2181</Characters>
  <Application>Microsoft Office Word</Application>
  <DocSecurity>0</DocSecurity>
  <Lines>54</Lines>
  <Paragraphs>27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ST/SG/AC.10/C.3/2022/41</dc:title>
  <dc:subject/>
  <dc:creator>Laurence BERTHET</dc:creator>
  <cp:lastModifiedBy>Laurence Berthet</cp:lastModifiedBy>
  <cp:revision>19</cp:revision>
  <cp:lastPrinted>2022-04-12T09:46:00Z</cp:lastPrinted>
  <dcterms:created xsi:type="dcterms:W3CDTF">2022-04-04T13:52:00Z</dcterms:created>
  <dcterms:modified xsi:type="dcterms:W3CDTF">2022-04-12T09:51:00Z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