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BB9385D" w14:textId="77777777" w:rsidTr="006476E1">
        <w:trPr>
          <w:trHeight w:val="851"/>
        </w:trPr>
        <w:tc>
          <w:tcPr>
            <w:tcW w:w="1259" w:type="dxa"/>
            <w:tcBorders>
              <w:top w:val="nil"/>
              <w:left w:val="nil"/>
              <w:bottom w:val="single" w:sz="4" w:space="0" w:color="auto"/>
              <w:right w:val="nil"/>
            </w:tcBorders>
          </w:tcPr>
          <w:p w14:paraId="1E08357D" w14:textId="77777777" w:rsidR="00E52109" w:rsidRPr="002A32CB" w:rsidRDefault="00E52109" w:rsidP="004858F5"/>
        </w:tc>
        <w:tc>
          <w:tcPr>
            <w:tcW w:w="2236" w:type="dxa"/>
            <w:tcBorders>
              <w:top w:val="nil"/>
              <w:left w:val="nil"/>
              <w:bottom w:val="single" w:sz="4" w:space="0" w:color="auto"/>
              <w:right w:val="nil"/>
            </w:tcBorders>
            <w:vAlign w:val="bottom"/>
          </w:tcPr>
          <w:p w14:paraId="3BF8C91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2463DAF" w14:textId="7A726163" w:rsidR="00E52109" w:rsidRDefault="00260F99" w:rsidP="00260F99">
            <w:pPr>
              <w:suppressAutoHyphens w:val="0"/>
              <w:jc w:val="right"/>
            </w:pPr>
            <w:r w:rsidRPr="00260F99">
              <w:rPr>
                <w:sz w:val="40"/>
              </w:rPr>
              <w:t>ST</w:t>
            </w:r>
            <w:r>
              <w:t>/SG/AC.10/C.3/2022/37</w:t>
            </w:r>
          </w:p>
        </w:tc>
      </w:tr>
      <w:tr w:rsidR="00E52109" w14:paraId="662FD94F" w14:textId="77777777" w:rsidTr="006476E1">
        <w:trPr>
          <w:trHeight w:val="2835"/>
        </w:trPr>
        <w:tc>
          <w:tcPr>
            <w:tcW w:w="1259" w:type="dxa"/>
            <w:tcBorders>
              <w:top w:val="single" w:sz="4" w:space="0" w:color="auto"/>
              <w:left w:val="nil"/>
              <w:bottom w:val="single" w:sz="12" w:space="0" w:color="auto"/>
              <w:right w:val="nil"/>
            </w:tcBorders>
          </w:tcPr>
          <w:p w14:paraId="3BB4472A" w14:textId="77777777" w:rsidR="00E52109" w:rsidRDefault="00E52109" w:rsidP="006476E1">
            <w:pPr>
              <w:spacing w:before="120"/>
              <w:jc w:val="center"/>
            </w:pPr>
            <w:r>
              <w:rPr>
                <w:noProof/>
                <w:lang w:val="fr-CH" w:eastAsia="fr-CH"/>
              </w:rPr>
              <w:drawing>
                <wp:inline distT="0" distB="0" distL="0" distR="0" wp14:anchorId="16B18642" wp14:editId="33785E4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E1AE802"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58F3DAA" w14:textId="77777777" w:rsidR="00D94B05" w:rsidRDefault="00260F99" w:rsidP="00260F99">
            <w:pPr>
              <w:suppressAutoHyphens w:val="0"/>
              <w:spacing w:before="240" w:line="240" w:lineRule="exact"/>
            </w:pPr>
            <w:r>
              <w:t>Distr.: General</w:t>
            </w:r>
          </w:p>
          <w:p w14:paraId="202869DB" w14:textId="65C4D8A9" w:rsidR="00260F99" w:rsidRDefault="0050608B" w:rsidP="00260F99">
            <w:pPr>
              <w:suppressAutoHyphens w:val="0"/>
              <w:spacing w:line="240" w:lineRule="exact"/>
            </w:pPr>
            <w:r>
              <w:t>1</w:t>
            </w:r>
            <w:r w:rsidR="008D2906">
              <w:t>2</w:t>
            </w:r>
            <w:r w:rsidR="00260F99">
              <w:t xml:space="preserve"> April 2022</w:t>
            </w:r>
          </w:p>
          <w:p w14:paraId="2C35632C" w14:textId="77777777" w:rsidR="00260F99" w:rsidRDefault="00260F99" w:rsidP="00260F99">
            <w:pPr>
              <w:suppressAutoHyphens w:val="0"/>
              <w:spacing w:line="240" w:lineRule="exact"/>
            </w:pPr>
          </w:p>
          <w:p w14:paraId="39434EB9" w14:textId="172A4DA1" w:rsidR="00260F99" w:rsidRDefault="00260F99" w:rsidP="00260F99">
            <w:pPr>
              <w:suppressAutoHyphens w:val="0"/>
              <w:spacing w:line="240" w:lineRule="exact"/>
            </w:pPr>
            <w:r>
              <w:t>Original: English</w:t>
            </w:r>
          </w:p>
        </w:tc>
      </w:tr>
    </w:tbl>
    <w:p w14:paraId="4DAF5235" w14:textId="77777777" w:rsidR="009D5FA0" w:rsidRPr="006500BA" w:rsidRDefault="009D5FA0"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9F19FF5" w14:textId="77777777" w:rsidR="009D5FA0" w:rsidRPr="006500BA" w:rsidRDefault="009D5FA0" w:rsidP="004858F5">
      <w:pPr>
        <w:spacing w:before="120"/>
        <w:rPr>
          <w:rFonts w:ascii="Helv" w:hAnsi="Helv" w:cs="Helv"/>
          <w:b/>
          <w:color w:val="000000"/>
        </w:rPr>
      </w:pPr>
      <w:r w:rsidRPr="006500BA">
        <w:rPr>
          <w:b/>
        </w:rPr>
        <w:t xml:space="preserve">Sub-Committee of Experts on the </w:t>
      </w:r>
      <w:r>
        <w:rPr>
          <w:b/>
        </w:rPr>
        <w:t>Transport of Dangerous Goods</w:t>
      </w:r>
    </w:p>
    <w:p w14:paraId="22CD6D3A" w14:textId="77777777" w:rsidR="00A13A3F" w:rsidRPr="006500BA" w:rsidRDefault="00A13A3F" w:rsidP="00A13A3F">
      <w:pPr>
        <w:spacing w:before="120"/>
        <w:rPr>
          <w:b/>
        </w:rPr>
      </w:pPr>
      <w:r>
        <w:rPr>
          <w:b/>
        </w:rPr>
        <w:t xml:space="preserve">Sixtieth </w:t>
      </w:r>
      <w:r w:rsidRPr="006500BA">
        <w:rPr>
          <w:b/>
        </w:rPr>
        <w:t>session</w:t>
      </w:r>
    </w:p>
    <w:p w14:paraId="3DE3FD79" w14:textId="77777777" w:rsidR="00A13A3F" w:rsidRPr="006500BA" w:rsidRDefault="00A13A3F" w:rsidP="00A13A3F">
      <w:r w:rsidRPr="006500BA">
        <w:t xml:space="preserve">Geneva, </w:t>
      </w:r>
      <w:r>
        <w:t xml:space="preserve">27 June-6 July 2022 </w:t>
      </w:r>
    </w:p>
    <w:p w14:paraId="6E7FD5A8" w14:textId="1B9D1EDE" w:rsidR="00A13A3F" w:rsidRPr="006500BA" w:rsidRDefault="00A13A3F" w:rsidP="00A13A3F">
      <w:r w:rsidRPr="006500BA">
        <w:t xml:space="preserve">Item </w:t>
      </w:r>
      <w:r>
        <w:t>4 (c)</w:t>
      </w:r>
      <w:r w:rsidRPr="006500BA">
        <w:t xml:space="preserve"> of the provisional agenda</w:t>
      </w:r>
    </w:p>
    <w:p w14:paraId="35615279" w14:textId="02016966" w:rsidR="009D5FA0" w:rsidRPr="0008458D" w:rsidRDefault="00566B51" w:rsidP="00A13A3F">
      <w:pPr>
        <w:rPr>
          <w:b/>
          <w:bCs/>
        </w:rPr>
      </w:pPr>
      <w:r w:rsidRPr="0008458D">
        <w:rPr>
          <w:b/>
          <w:bCs/>
        </w:rPr>
        <w:t xml:space="preserve">Electric storage systems: </w:t>
      </w:r>
      <w:r w:rsidR="0008458D" w:rsidRPr="0008458D">
        <w:rPr>
          <w:b/>
          <w:bCs/>
        </w:rPr>
        <w:t>transport provisions</w:t>
      </w:r>
    </w:p>
    <w:p w14:paraId="7AFC0772" w14:textId="4306B072" w:rsidR="003510EC" w:rsidRDefault="003510EC" w:rsidP="003510EC">
      <w:pPr>
        <w:pStyle w:val="HChG"/>
      </w:pPr>
      <w:r>
        <w:tab/>
      </w:r>
      <w:r>
        <w:tab/>
      </w:r>
      <w:r w:rsidRPr="00C6639D">
        <w:t>Proposed amendments to packing instruction LP903</w:t>
      </w:r>
    </w:p>
    <w:p w14:paraId="31B6AD21" w14:textId="6B01B4DB" w:rsidR="003510EC" w:rsidRDefault="003510EC" w:rsidP="003510EC">
      <w:pPr>
        <w:pStyle w:val="H1G"/>
      </w:pPr>
      <w:r>
        <w:tab/>
      </w:r>
      <w:r>
        <w:tab/>
        <w:t>Submitted</w:t>
      </w:r>
      <w:r w:rsidRPr="004D5E9F">
        <w:t xml:space="preserve"> by PRBA – The Recha</w:t>
      </w:r>
      <w:r>
        <w:t xml:space="preserve">rgeable Battery Association and RECHARGE </w:t>
      </w:r>
      <w:r w:rsidR="004F2A57" w:rsidRPr="004D5E9F">
        <w:t>–</w:t>
      </w:r>
      <w:r w:rsidR="004F2A57">
        <w:t xml:space="preserve"> </w:t>
      </w:r>
      <w:r>
        <w:t xml:space="preserve">the </w:t>
      </w:r>
      <w:r w:rsidRPr="00350536">
        <w:t xml:space="preserve">Advanced Rechargeable </w:t>
      </w:r>
      <w:r w:rsidR="0050608B">
        <w:t>and</w:t>
      </w:r>
      <w:r w:rsidRPr="00350536">
        <w:t xml:space="preserve"> Lithium Batteries Association</w:t>
      </w:r>
      <w:r>
        <w:rPr>
          <w:rStyle w:val="FootnoteReference"/>
        </w:rPr>
        <w:footnoteReference w:id="2"/>
      </w:r>
    </w:p>
    <w:p w14:paraId="481CA99F" w14:textId="77777777" w:rsidR="003510EC" w:rsidRPr="007207CE" w:rsidRDefault="003510EC" w:rsidP="003510EC">
      <w:pPr>
        <w:pStyle w:val="HChG"/>
      </w:pPr>
      <w:r>
        <w:tab/>
      </w:r>
      <w:r>
        <w:tab/>
      </w:r>
      <w:r w:rsidRPr="0058355A">
        <w:t>Introduction</w:t>
      </w:r>
    </w:p>
    <w:p w14:paraId="0EA4226A" w14:textId="56FD1EC0" w:rsidR="003510EC" w:rsidRDefault="003510EC" w:rsidP="003510EC">
      <w:pPr>
        <w:pStyle w:val="SingleTxtG"/>
      </w:pPr>
      <w:r>
        <w:tab/>
        <w:t>1.</w:t>
      </w:r>
      <w:r>
        <w:tab/>
        <w:t xml:space="preserve">At </w:t>
      </w:r>
      <w:r w:rsidR="000D301A">
        <w:t>both of its previous</w:t>
      </w:r>
      <w:r>
        <w:t xml:space="preserve"> two sessions</w:t>
      </w:r>
      <w:r w:rsidR="000D301A">
        <w:t>,</w:t>
      </w:r>
      <w:r>
        <w:t xml:space="preserve"> the Sub-Committee considered amendments to packing instruction LP903 </w:t>
      </w:r>
      <w:r w:rsidR="002C7CC6">
        <w:t xml:space="preserve">proposed </w:t>
      </w:r>
      <w:r>
        <w:t xml:space="preserve">by PRBA and RECHARGE, most recently at the </w:t>
      </w:r>
      <w:r w:rsidR="002C7CC6">
        <w:t>f</w:t>
      </w:r>
      <w:r>
        <w:t xml:space="preserve">ifty-ninth session </w:t>
      </w:r>
      <w:proofErr w:type="gramStart"/>
      <w:r>
        <w:t>on the basis of</w:t>
      </w:r>
      <w:proofErr w:type="gramEnd"/>
      <w:r>
        <w:t xml:space="preserve"> document ST/SG/AC.10/C.3/2021/54. The amendments proposed would permit more than one battery in the large packaging (currently, only one battery is permitted), and would also allow cells to be transported under </w:t>
      </w:r>
      <w:r w:rsidR="00A0746A">
        <w:t xml:space="preserve">packing instruction </w:t>
      </w:r>
      <w:r>
        <w:t xml:space="preserve">LP903. As explained in that document, the amendments proposed are intended to take account of rapid growth and advancements in the lithium battery industry - including </w:t>
      </w:r>
      <w:r w:rsidRPr="000552DD">
        <w:t>“</w:t>
      </w:r>
      <w:r>
        <w:t>g</w:t>
      </w:r>
      <w:r w:rsidRPr="000552DD">
        <w:t>iga</w:t>
      </w:r>
      <w:r>
        <w:t>-factories” constructed in or planned for many parts of the world,</w:t>
      </w:r>
      <w:r w:rsidRPr="000552DD">
        <w:t xml:space="preserve"> each </w:t>
      </w:r>
      <w:r>
        <w:t xml:space="preserve">of which will </w:t>
      </w:r>
      <w:r w:rsidRPr="000552DD">
        <w:t xml:space="preserve">have the capability of producing billions of </w:t>
      </w:r>
      <w:proofErr w:type="gramStart"/>
      <w:r>
        <w:t>lithium ion</w:t>
      </w:r>
      <w:proofErr w:type="gramEnd"/>
      <w:r>
        <w:t xml:space="preserve"> </w:t>
      </w:r>
      <w:r w:rsidRPr="000552DD">
        <w:t>cells annually for portable, industrial, and electric vehicle applications.</w:t>
      </w:r>
    </w:p>
    <w:p w14:paraId="49C8F454" w14:textId="05B93491" w:rsidR="003510EC" w:rsidRDefault="003510EC" w:rsidP="003510EC">
      <w:pPr>
        <w:pStyle w:val="SingleTxtG"/>
      </w:pPr>
      <w:r>
        <w:tab/>
        <w:t>2.</w:t>
      </w:r>
      <w:r>
        <w:tab/>
        <w:t xml:space="preserve">While there was considerable support in principle for the proposals in ST/SG/AC.10/C.3/2021/54, Sub-Committee members offered </w:t>
      </w:r>
      <w:proofErr w:type="gramStart"/>
      <w:r>
        <w:t>a number of</w:t>
      </w:r>
      <w:proofErr w:type="gramEnd"/>
      <w:r>
        <w:t xml:space="preserve"> comments on possible improvements. </w:t>
      </w:r>
      <w:r w:rsidR="0089176B">
        <w:t>After</w:t>
      </w:r>
      <w:r>
        <w:t xml:space="preserve"> the session, PRBA and RECHARGE communicated with interested delegations </w:t>
      </w:r>
      <w:proofErr w:type="gramStart"/>
      <w:r>
        <w:t>in an effort to</w:t>
      </w:r>
      <w:proofErr w:type="gramEnd"/>
      <w:r>
        <w:t xml:space="preserve"> address these comments. Apart from drafting points, two substantive issues were considered, as outlined in the following paragraphs. The revised proposals in this document are intended to address the comments offered.</w:t>
      </w:r>
    </w:p>
    <w:p w14:paraId="3D5220B8" w14:textId="3B89A1CF" w:rsidR="003510EC" w:rsidRDefault="003510EC" w:rsidP="003510EC">
      <w:pPr>
        <w:pStyle w:val="SingleTxtG"/>
      </w:pPr>
      <w:r>
        <w:t>3.</w:t>
      </w:r>
      <w:r>
        <w:tab/>
        <w:t xml:space="preserve">The first issue was the concern that a large packaging be used for many, perhaps thousands, of small cells or batteries, and that this could increase the potential for damage to the contents resulting in an unsafe condition. To address this concern by imposing a practical limit on the number of cells or batteries in a large packaging, it is proposed </w:t>
      </w:r>
      <w:r w:rsidR="00E106CD">
        <w:t xml:space="preserve">in this document </w:t>
      </w:r>
      <w:r>
        <w:t>that o</w:t>
      </w:r>
      <w:r w:rsidRPr="00A85399">
        <w:t>nly large cells and batteries, as defined in 38.3.2.3 of t</w:t>
      </w:r>
      <w:r>
        <w:t>he Manual of Tests and Criteria could</w:t>
      </w:r>
      <w:r w:rsidRPr="00A85399">
        <w:t xml:space="preserve"> be transporte</w:t>
      </w:r>
      <w:r>
        <w:t>d in the large packaging</w:t>
      </w:r>
      <w:r w:rsidRPr="00A85399">
        <w:t>.</w:t>
      </w:r>
      <w:r>
        <w:t xml:space="preserve"> </w:t>
      </w:r>
      <w:r w:rsidR="00F54301">
        <w:t>In this respect</w:t>
      </w:r>
      <w:r>
        <w:t>, the mass of each battery must exceed 12</w:t>
      </w:r>
      <w:r w:rsidR="002D75CA">
        <w:t> </w:t>
      </w:r>
      <w:r>
        <w:t>kg and the mass of each cell must exceed 500</w:t>
      </w:r>
      <w:r w:rsidR="00F54301">
        <w:t> </w:t>
      </w:r>
      <w:r>
        <w:t>g.</w:t>
      </w:r>
    </w:p>
    <w:p w14:paraId="1E94F749" w14:textId="43581D95" w:rsidR="003510EC" w:rsidRPr="000552DD" w:rsidRDefault="003510EC" w:rsidP="003510EC">
      <w:pPr>
        <w:pStyle w:val="SingleTxtG"/>
      </w:pPr>
      <w:r>
        <w:lastRenderedPageBreak/>
        <w:t>4.</w:t>
      </w:r>
      <w:r>
        <w:tab/>
        <w:t xml:space="preserve">The second issue stemmed from the recognition that the criteria for passing the large packaging performance tests in 6.6.5 </w:t>
      </w:r>
      <w:r w:rsidR="00DF0CA9">
        <w:t>of</w:t>
      </w:r>
      <w:r>
        <w:t xml:space="preserve"> the Model Regulations did not ensure that the contents of the large packaging could not be displaced during transport </w:t>
      </w:r>
      <w:proofErr w:type="gramStart"/>
      <w:r>
        <w:t>so as to</w:t>
      </w:r>
      <w:proofErr w:type="gramEnd"/>
      <w:r>
        <w:t xml:space="preserve"> contact other cells or batteries and result in a dangerous condition. Related to that a concern </w:t>
      </w:r>
      <w:r w:rsidR="00265D67">
        <w:t xml:space="preserve">was raised </w:t>
      </w:r>
      <w:r>
        <w:t xml:space="preserve">that the use of plastics bags as inner packagings may not be sufficient to prevent damage to cells or batteries, especially from superimposed loads within the large packaging. To address these concerns, it is proposed </w:t>
      </w:r>
      <w:r w:rsidR="00E91090">
        <w:t xml:space="preserve">in this document </w:t>
      </w:r>
      <w:r>
        <w:t xml:space="preserve">that cells, </w:t>
      </w:r>
      <w:proofErr w:type="gramStart"/>
      <w:r>
        <w:t>batteries</w:t>
      </w:r>
      <w:proofErr w:type="gramEnd"/>
      <w:r>
        <w:t xml:space="preserve"> and equipment be placed in inner packagings or otherwise separated by suitable means (such as trays or dividers) to prevent damage under normal conditions of transport from movement, contact with other cells or batteries, or from superimposed loads within the large packaging. Except for a single battery or item of equipment, plastics bags would not be permitted to satisfy these requirements.</w:t>
      </w:r>
    </w:p>
    <w:p w14:paraId="53DF6AD5" w14:textId="77777777" w:rsidR="003510EC" w:rsidRPr="00715A03" w:rsidRDefault="003510EC" w:rsidP="003510EC">
      <w:pPr>
        <w:pStyle w:val="HChG"/>
      </w:pPr>
      <w:r>
        <w:tab/>
      </w:r>
      <w:r>
        <w:tab/>
      </w:r>
      <w:r w:rsidRPr="00715A03">
        <w:t>Proposal</w:t>
      </w:r>
    </w:p>
    <w:p w14:paraId="3D1259E0" w14:textId="120240E4" w:rsidR="003510EC" w:rsidRDefault="003510EC" w:rsidP="003510EC">
      <w:pPr>
        <w:pStyle w:val="SingleTxtG"/>
        <w:keepNext/>
        <w:keepLines/>
        <w:spacing w:after="240"/>
      </w:pPr>
      <w:r>
        <w:tab/>
        <w:t>5.</w:t>
      </w:r>
      <w:r>
        <w:tab/>
        <w:t xml:space="preserve">PRBA and RECHARGE invite the Sub-Committee to consider </w:t>
      </w:r>
      <w:r w:rsidR="00EC333E">
        <w:t xml:space="preserve">the following amendments </w:t>
      </w:r>
      <w:r w:rsidR="00FA2BDB">
        <w:t xml:space="preserve">in 4.1.4.3 </w:t>
      </w:r>
      <w:r>
        <w:t xml:space="preserve">to packing instruction LP903 </w:t>
      </w:r>
      <w:r w:rsidR="00FB3691">
        <w:t xml:space="preserve">for large packagings </w:t>
      </w:r>
      <w:r>
        <w:t>(</w:t>
      </w:r>
      <w:r w:rsidR="00FB3691">
        <w:t>new</w:t>
      </w:r>
      <w:r>
        <w:t xml:space="preserve"> text </w:t>
      </w:r>
      <w:r w:rsidR="00FB3691">
        <w:t xml:space="preserve">is </w:t>
      </w:r>
      <w:r>
        <w:t xml:space="preserve">underlined, deleted text </w:t>
      </w:r>
      <w:r w:rsidR="00FB3691">
        <w:t xml:space="preserve">in </w:t>
      </w:r>
      <w:r>
        <w:t>str</w:t>
      </w:r>
      <w:r w:rsidR="00FB3691">
        <w:t>i</w:t>
      </w:r>
      <w:r>
        <w:t>k</w:t>
      </w:r>
      <w:r w:rsidR="00FB3691">
        <w:t>ethrough</w:t>
      </w:r>
      <w:r w:rsidRPr="001E3299">
        <w:t>)</w:t>
      </w:r>
      <w:r>
        <w:t>:</w:t>
      </w:r>
    </w:p>
    <w:tbl>
      <w:tblPr>
        <w:tblStyle w:val="TableGrid1"/>
        <w:tblW w:w="0" w:type="auto"/>
        <w:jc w:val="center"/>
        <w:tblLook w:val="04A0" w:firstRow="1" w:lastRow="0" w:firstColumn="1" w:lastColumn="0" w:noHBand="0" w:noVBand="1"/>
      </w:tblPr>
      <w:tblGrid>
        <w:gridCol w:w="1101"/>
        <w:gridCol w:w="7891"/>
      </w:tblGrid>
      <w:tr w:rsidR="003510EC" w:rsidRPr="00BB076F" w14:paraId="4507CE9E" w14:textId="77777777" w:rsidTr="007F00C2">
        <w:trPr>
          <w:jc w:val="center"/>
        </w:trPr>
        <w:tc>
          <w:tcPr>
            <w:tcW w:w="8992" w:type="dxa"/>
            <w:gridSpan w:val="2"/>
            <w:tcBorders>
              <w:top w:val="single" w:sz="4" w:space="0" w:color="auto"/>
              <w:left w:val="single" w:sz="4" w:space="0" w:color="auto"/>
              <w:bottom w:val="single" w:sz="4" w:space="0" w:color="auto"/>
              <w:right w:val="single" w:sz="4" w:space="0" w:color="auto"/>
            </w:tcBorders>
            <w:hideMark/>
          </w:tcPr>
          <w:p w14:paraId="040EC0D1" w14:textId="77777777" w:rsidR="003510EC" w:rsidRPr="00BB076F" w:rsidRDefault="003510EC" w:rsidP="007F00C2">
            <w:pPr>
              <w:keepNext/>
              <w:keepLines/>
              <w:kinsoku/>
              <w:overflowPunct/>
              <w:autoSpaceDE/>
              <w:autoSpaceDN/>
              <w:adjustRightInd/>
              <w:snapToGrid/>
              <w:spacing w:after="120"/>
              <w:ind w:left="82" w:right="345"/>
              <w:jc w:val="both"/>
              <w:rPr>
                <w:b/>
                <w:lang w:val="x-none"/>
              </w:rPr>
            </w:pPr>
            <w:r w:rsidRPr="00BB076F">
              <w:rPr>
                <w:b/>
                <w:lang w:val="x-none"/>
              </w:rPr>
              <w:t xml:space="preserve">LP903       </w:t>
            </w:r>
            <w:r w:rsidRPr="00BB076F">
              <w:rPr>
                <w:b/>
              </w:rPr>
              <w:t xml:space="preserve">        </w:t>
            </w:r>
            <w:r w:rsidRPr="00BB076F">
              <w:rPr>
                <w:b/>
                <w:lang w:val="x-none"/>
              </w:rPr>
              <w:t xml:space="preserve">                   </w:t>
            </w:r>
            <w:r w:rsidRPr="00BB076F">
              <w:rPr>
                <w:b/>
              </w:rPr>
              <w:t xml:space="preserve">          </w:t>
            </w:r>
            <w:r w:rsidRPr="00BB076F">
              <w:rPr>
                <w:b/>
                <w:lang w:val="x-none"/>
              </w:rPr>
              <w:t xml:space="preserve">            PACKING INSTRUCTION                                              LP903</w:t>
            </w:r>
          </w:p>
        </w:tc>
      </w:tr>
      <w:tr w:rsidR="003510EC" w:rsidRPr="00BB076F" w14:paraId="0C59764D" w14:textId="77777777" w:rsidTr="007F00C2">
        <w:trPr>
          <w:jc w:val="center"/>
        </w:trPr>
        <w:tc>
          <w:tcPr>
            <w:tcW w:w="8992" w:type="dxa"/>
            <w:gridSpan w:val="2"/>
            <w:tcBorders>
              <w:top w:val="single" w:sz="4" w:space="0" w:color="auto"/>
              <w:left w:val="single" w:sz="4" w:space="0" w:color="auto"/>
              <w:bottom w:val="single" w:sz="4" w:space="0" w:color="auto"/>
              <w:right w:val="single" w:sz="4" w:space="0" w:color="auto"/>
            </w:tcBorders>
            <w:hideMark/>
          </w:tcPr>
          <w:p w14:paraId="578E622E" w14:textId="77777777" w:rsidR="003510EC" w:rsidRPr="00BB076F" w:rsidRDefault="003510EC" w:rsidP="007F00C2">
            <w:pPr>
              <w:keepNext/>
              <w:keepLines/>
              <w:kinsoku/>
              <w:overflowPunct/>
              <w:autoSpaceDE/>
              <w:autoSpaceDN/>
              <w:adjustRightInd/>
              <w:snapToGrid/>
              <w:spacing w:after="120"/>
              <w:ind w:left="262" w:right="1134"/>
              <w:jc w:val="both"/>
              <w:rPr>
                <w:lang w:val="x-none"/>
              </w:rPr>
            </w:pPr>
            <w:r w:rsidRPr="00BB076F">
              <w:rPr>
                <w:lang w:val="x-none"/>
              </w:rPr>
              <w:t>This instruction applies to UN Nos. 3090, 3091, 3480 and 3481</w:t>
            </w:r>
          </w:p>
        </w:tc>
      </w:tr>
      <w:tr w:rsidR="003510EC" w:rsidRPr="00BB076F" w14:paraId="16A97EDB" w14:textId="77777777" w:rsidTr="007F00C2">
        <w:trPr>
          <w:jc w:val="center"/>
        </w:trPr>
        <w:tc>
          <w:tcPr>
            <w:tcW w:w="8992" w:type="dxa"/>
            <w:gridSpan w:val="2"/>
            <w:tcBorders>
              <w:top w:val="single" w:sz="4" w:space="0" w:color="auto"/>
              <w:left w:val="single" w:sz="4" w:space="0" w:color="auto"/>
              <w:bottom w:val="nil"/>
              <w:right w:val="single" w:sz="4" w:space="0" w:color="auto"/>
            </w:tcBorders>
            <w:hideMark/>
          </w:tcPr>
          <w:p w14:paraId="5F1C178D" w14:textId="77777777" w:rsidR="003510EC" w:rsidRPr="00BB076F" w:rsidRDefault="003510EC" w:rsidP="007F00C2">
            <w:pPr>
              <w:keepNext/>
              <w:keepLines/>
              <w:kinsoku/>
              <w:overflowPunct/>
              <w:autoSpaceDE/>
              <w:autoSpaceDN/>
              <w:adjustRightInd/>
              <w:snapToGrid/>
              <w:spacing w:after="120"/>
              <w:ind w:left="262" w:right="354"/>
              <w:jc w:val="both"/>
              <w:rPr>
                <w:lang w:val="x-none"/>
              </w:rPr>
            </w:pPr>
            <w:r w:rsidRPr="00BB076F">
              <w:rPr>
                <w:lang w:val="x-none"/>
              </w:rPr>
              <w:t>The following large packagings are authorized for</w:t>
            </w:r>
            <w:r w:rsidRPr="00BB076F">
              <w:t xml:space="preserve"> </w:t>
            </w:r>
            <w:r w:rsidRPr="00BB076F">
              <w:rPr>
                <w:u w:val="single"/>
              </w:rPr>
              <w:t>cells,</w:t>
            </w:r>
            <w:r w:rsidRPr="00BB076F">
              <w:rPr>
                <w:lang w:val="x-none"/>
              </w:rPr>
              <w:t xml:space="preserve"> </w:t>
            </w:r>
            <w:r w:rsidRPr="00BB076F">
              <w:rPr>
                <w:strike/>
                <w:lang w:val="x-none"/>
              </w:rPr>
              <w:t>a single</w:t>
            </w:r>
            <w:r w:rsidRPr="00BB076F">
              <w:rPr>
                <w:lang w:val="x-none"/>
              </w:rPr>
              <w:t xml:space="preserve"> </w:t>
            </w:r>
            <w:proofErr w:type="spellStart"/>
            <w:r w:rsidRPr="00BB076F">
              <w:rPr>
                <w:lang w:val="x-none"/>
              </w:rPr>
              <w:t>batter</w:t>
            </w:r>
            <w:r w:rsidRPr="00BB076F">
              <w:rPr>
                <w:strike/>
                <w:lang w:val="x-none"/>
              </w:rPr>
              <w:t>y</w:t>
            </w:r>
            <w:r w:rsidRPr="00BB076F">
              <w:rPr>
                <w:u w:val="single"/>
                <w:lang w:val="x-none"/>
              </w:rPr>
              <w:t>ies</w:t>
            </w:r>
            <w:proofErr w:type="spellEnd"/>
            <w:r w:rsidRPr="00BB076F">
              <w:rPr>
                <w:lang w:val="x-none"/>
              </w:rPr>
              <w:t xml:space="preserve"> and for </w:t>
            </w:r>
            <w:r w:rsidRPr="00BB076F">
              <w:rPr>
                <w:strike/>
                <w:lang w:val="x-none"/>
              </w:rPr>
              <w:t>a single item of</w:t>
            </w:r>
            <w:r w:rsidRPr="00BB076F">
              <w:rPr>
                <w:lang w:val="x-none"/>
              </w:rPr>
              <w:t xml:space="preserve"> equipment containing batteries, provided that the general provisions of </w:t>
            </w:r>
            <w:r w:rsidRPr="00BB076F">
              <w:rPr>
                <w:b/>
                <w:lang w:val="x-none"/>
              </w:rPr>
              <w:t>4.1.1</w:t>
            </w:r>
            <w:r w:rsidRPr="00BB076F">
              <w:rPr>
                <w:lang w:val="x-none"/>
              </w:rPr>
              <w:t xml:space="preserve"> and </w:t>
            </w:r>
            <w:r w:rsidRPr="00BB076F">
              <w:rPr>
                <w:b/>
                <w:lang w:val="x-none"/>
              </w:rPr>
              <w:t>4.1.3</w:t>
            </w:r>
            <w:r w:rsidRPr="00BB076F">
              <w:rPr>
                <w:lang w:val="x-none"/>
              </w:rPr>
              <w:t xml:space="preserve"> are met:</w:t>
            </w:r>
          </w:p>
          <w:p w14:paraId="53C0632C" w14:textId="77777777" w:rsidR="003510EC" w:rsidRPr="00BB076F" w:rsidRDefault="003510EC" w:rsidP="007F00C2">
            <w:pPr>
              <w:keepNext/>
              <w:keepLines/>
              <w:kinsoku/>
              <w:overflowPunct/>
              <w:autoSpaceDE/>
              <w:autoSpaceDN/>
              <w:adjustRightInd/>
              <w:snapToGrid/>
              <w:spacing w:after="120"/>
              <w:ind w:left="262" w:right="1134"/>
              <w:jc w:val="both"/>
              <w:rPr>
                <w:lang w:val="x-none"/>
              </w:rPr>
            </w:pPr>
            <w:r w:rsidRPr="00BB076F">
              <w:rPr>
                <w:lang w:val="x-none"/>
              </w:rPr>
              <w:t>Rigid large packagings conforming to the packing group II performance level, made of:</w:t>
            </w:r>
          </w:p>
        </w:tc>
      </w:tr>
      <w:tr w:rsidR="003510EC" w:rsidRPr="00BB076F" w14:paraId="4738C0DF" w14:textId="77777777" w:rsidTr="007F00C2">
        <w:trPr>
          <w:jc w:val="center"/>
        </w:trPr>
        <w:tc>
          <w:tcPr>
            <w:tcW w:w="1101" w:type="dxa"/>
            <w:tcBorders>
              <w:top w:val="nil"/>
              <w:left w:val="single" w:sz="4" w:space="0" w:color="auto"/>
              <w:bottom w:val="nil"/>
              <w:right w:val="nil"/>
            </w:tcBorders>
          </w:tcPr>
          <w:p w14:paraId="7F74524D" w14:textId="77777777" w:rsidR="003510EC" w:rsidRPr="00BB076F" w:rsidRDefault="003510EC" w:rsidP="007F00C2">
            <w:pPr>
              <w:keepNext/>
              <w:keepLines/>
              <w:kinsoku/>
              <w:overflowPunct/>
              <w:autoSpaceDE/>
              <w:autoSpaceDN/>
              <w:adjustRightInd/>
              <w:snapToGrid/>
              <w:spacing w:after="120"/>
              <w:ind w:left="1134" w:right="1134"/>
              <w:jc w:val="both"/>
              <w:rPr>
                <w:lang w:val="x-none"/>
              </w:rPr>
            </w:pPr>
          </w:p>
        </w:tc>
        <w:tc>
          <w:tcPr>
            <w:tcW w:w="7891" w:type="dxa"/>
            <w:tcBorders>
              <w:top w:val="nil"/>
              <w:left w:val="nil"/>
              <w:bottom w:val="nil"/>
              <w:right w:val="single" w:sz="4" w:space="0" w:color="auto"/>
            </w:tcBorders>
            <w:hideMark/>
          </w:tcPr>
          <w:p w14:paraId="2C863D66" w14:textId="77777777" w:rsidR="003510EC" w:rsidRPr="00BB076F" w:rsidRDefault="003510EC" w:rsidP="007F00C2">
            <w:pPr>
              <w:keepNext/>
              <w:keepLines/>
              <w:kinsoku/>
              <w:overflowPunct/>
              <w:autoSpaceDE/>
              <w:autoSpaceDN/>
              <w:adjustRightInd/>
              <w:snapToGrid/>
              <w:spacing w:after="120"/>
              <w:ind w:left="331" w:right="1134"/>
              <w:jc w:val="both"/>
              <w:rPr>
                <w:lang w:val="x-none"/>
              </w:rPr>
            </w:pPr>
            <w:r w:rsidRPr="00BB076F">
              <w:rPr>
                <w:lang w:val="x-none"/>
              </w:rPr>
              <w:t>steel (50A);</w:t>
            </w:r>
          </w:p>
          <w:p w14:paraId="34EE3B69" w14:textId="77777777" w:rsidR="003510EC" w:rsidRPr="00BB076F" w:rsidRDefault="003510EC" w:rsidP="007F00C2">
            <w:pPr>
              <w:keepNext/>
              <w:keepLines/>
              <w:kinsoku/>
              <w:overflowPunct/>
              <w:autoSpaceDE/>
              <w:autoSpaceDN/>
              <w:adjustRightInd/>
              <w:snapToGrid/>
              <w:spacing w:after="120"/>
              <w:ind w:left="331" w:right="1134"/>
              <w:jc w:val="both"/>
              <w:rPr>
                <w:lang w:val="x-none"/>
              </w:rPr>
            </w:pPr>
            <w:r w:rsidRPr="00BB076F">
              <w:rPr>
                <w:lang w:val="x-none"/>
              </w:rPr>
              <w:t>aluminium (50B);</w:t>
            </w:r>
          </w:p>
          <w:p w14:paraId="3269FE51" w14:textId="77777777" w:rsidR="003510EC" w:rsidRPr="00BB076F" w:rsidRDefault="003510EC" w:rsidP="007F00C2">
            <w:pPr>
              <w:keepNext/>
              <w:keepLines/>
              <w:kinsoku/>
              <w:overflowPunct/>
              <w:autoSpaceDE/>
              <w:autoSpaceDN/>
              <w:adjustRightInd/>
              <w:snapToGrid/>
              <w:spacing w:after="120"/>
              <w:ind w:left="331" w:right="1134"/>
              <w:jc w:val="both"/>
              <w:rPr>
                <w:lang w:val="x-none"/>
              </w:rPr>
            </w:pPr>
            <w:r w:rsidRPr="00BB076F">
              <w:rPr>
                <w:lang w:val="x-none"/>
              </w:rPr>
              <w:t>metal other than steel or aluminium (50N);</w:t>
            </w:r>
          </w:p>
          <w:p w14:paraId="274E34BB" w14:textId="77777777" w:rsidR="003510EC" w:rsidRPr="00BB076F" w:rsidRDefault="003510EC" w:rsidP="007F00C2">
            <w:pPr>
              <w:keepNext/>
              <w:keepLines/>
              <w:kinsoku/>
              <w:overflowPunct/>
              <w:autoSpaceDE/>
              <w:autoSpaceDN/>
              <w:adjustRightInd/>
              <w:snapToGrid/>
              <w:spacing w:after="120"/>
              <w:ind w:left="331" w:right="1134"/>
              <w:jc w:val="both"/>
              <w:rPr>
                <w:lang w:val="x-none"/>
              </w:rPr>
            </w:pPr>
            <w:r w:rsidRPr="00BB076F">
              <w:rPr>
                <w:lang w:val="x-none"/>
              </w:rPr>
              <w:t>rigid plastics (50H);</w:t>
            </w:r>
          </w:p>
          <w:p w14:paraId="7E49B276" w14:textId="77777777" w:rsidR="003510EC" w:rsidRPr="00BB076F" w:rsidRDefault="003510EC" w:rsidP="007F00C2">
            <w:pPr>
              <w:keepNext/>
              <w:keepLines/>
              <w:kinsoku/>
              <w:overflowPunct/>
              <w:autoSpaceDE/>
              <w:autoSpaceDN/>
              <w:adjustRightInd/>
              <w:snapToGrid/>
              <w:spacing w:after="120"/>
              <w:ind w:left="331" w:right="1134"/>
              <w:jc w:val="both"/>
              <w:rPr>
                <w:lang w:val="x-none"/>
              </w:rPr>
            </w:pPr>
            <w:r w:rsidRPr="00BB076F">
              <w:rPr>
                <w:lang w:val="x-none"/>
              </w:rPr>
              <w:t>natural wood (50C);</w:t>
            </w:r>
          </w:p>
          <w:p w14:paraId="6C505279" w14:textId="77777777" w:rsidR="003510EC" w:rsidRPr="00BB076F" w:rsidRDefault="003510EC" w:rsidP="007F00C2">
            <w:pPr>
              <w:keepNext/>
              <w:keepLines/>
              <w:kinsoku/>
              <w:overflowPunct/>
              <w:autoSpaceDE/>
              <w:autoSpaceDN/>
              <w:adjustRightInd/>
              <w:snapToGrid/>
              <w:spacing w:after="120"/>
              <w:ind w:left="331" w:right="1134"/>
              <w:jc w:val="both"/>
              <w:rPr>
                <w:lang w:val="x-none"/>
              </w:rPr>
            </w:pPr>
            <w:r w:rsidRPr="00BB076F">
              <w:rPr>
                <w:lang w:val="x-none"/>
              </w:rPr>
              <w:t>plywood (50D);</w:t>
            </w:r>
          </w:p>
          <w:p w14:paraId="6078E4AA" w14:textId="77777777" w:rsidR="003510EC" w:rsidRPr="00BB076F" w:rsidRDefault="003510EC" w:rsidP="007F00C2">
            <w:pPr>
              <w:keepNext/>
              <w:keepLines/>
              <w:kinsoku/>
              <w:overflowPunct/>
              <w:autoSpaceDE/>
              <w:autoSpaceDN/>
              <w:adjustRightInd/>
              <w:snapToGrid/>
              <w:spacing w:after="120"/>
              <w:ind w:left="331" w:right="1134"/>
              <w:jc w:val="both"/>
              <w:rPr>
                <w:lang w:val="x-none"/>
              </w:rPr>
            </w:pPr>
            <w:r w:rsidRPr="00BB076F">
              <w:rPr>
                <w:lang w:val="x-none"/>
              </w:rPr>
              <w:t>reconstituted wood (50F);</w:t>
            </w:r>
          </w:p>
          <w:p w14:paraId="18E93F94" w14:textId="77777777" w:rsidR="003510EC" w:rsidRPr="00BB076F" w:rsidRDefault="003510EC" w:rsidP="007F00C2">
            <w:pPr>
              <w:keepNext/>
              <w:keepLines/>
              <w:kinsoku/>
              <w:overflowPunct/>
              <w:autoSpaceDE/>
              <w:autoSpaceDN/>
              <w:adjustRightInd/>
              <w:snapToGrid/>
              <w:spacing w:after="120"/>
              <w:ind w:left="331" w:right="1134"/>
              <w:jc w:val="both"/>
              <w:rPr>
                <w:lang w:val="x-none"/>
              </w:rPr>
            </w:pPr>
            <w:r w:rsidRPr="00BB076F">
              <w:rPr>
                <w:lang w:val="x-none"/>
              </w:rPr>
              <w:t>rigid fibreboard (50G).</w:t>
            </w:r>
          </w:p>
        </w:tc>
      </w:tr>
      <w:tr w:rsidR="003510EC" w:rsidRPr="00BB076F" w14:paraId="7960CB59" w14:textId="77777777" w:rsidTr="007F00C2">
        <w:trPr>
          <w:jc w:val="center"/>
        </w:trPr>
        <w:tc>
          <w:tcPr>
            <w:tcW w:w="8992" w:type="dxa"/>
            <w:gridSpan w:val="2"/>
            <w:tcBorders>
              <w:top w:val="nil"/>
              <w:left w:val="single" w:sz="4" w:space="0" w:color="auto"/>
              <w:bottom w:val="single" w:sz="4" w:space="0" w:color="auto"/>
              <w:right w:val="single" w:sz="4" w:space="0" w:color="auto"/>
            </w:tcBorders>
            <w:hideMark/>
          </w:tcPr>
          <w:p w14:paraId="674BF603" w14:textId="77777777" w:rsidR="003510EC" w:rsidRDefault="003510EC" w:rsidP="007F00C2">
            <w:pPr>
              <w:keepNext/>
              <w:keepLines/>
              <w:kinsoku/>
              <w:overflowPunct/>
              <w:autoSpaceDE/>
              <w:autoSpaceDN/>
              <w:adjustRightInd/>
              <w:snapToGrid/>
              <w:spacing w:after="120"/>
              <w:ind w:left="262" w:right="354"/>
              <w:jc w:val="both"/>
            </w:pPr>
            <w:r w:rsidRPr="00BB076F">
              <w:rPr>
                <w:strike/>
                <w:lang w:val="x-none"/>
              </w:rPr>
              <w:t>The</w:t>
            </w:r>
            <w:r w:rsidRPr="00BB076F">
              <w:rPr>
                <w:lang w:val="x-none"/>
              </w:rPr>
              <w:t xml:space="preserve"> </w:t>
            </w:r>
            <w:r w:rsidRPr="00E30DB5">
              <w:rPr>
                <w:u w:val="single"/>
              </w:rPr>
              <w:t>C</w:t>
            </w:r>
            <w:r w:rsidRPr="00BB076F">
              <w:rPr>
                <w:u w:val="single"/>
              </w:rPr>
              <w:t xml:space="preserve">ells, </w:t>
            </w:r>
            <w:proofErr w:type="spellStart"/>
            <w:r w:rsidRPr="00BB076F">
              <w:rPr>
                <w:lang w:val="x-none"/>
              </w:rPr>
              <w:t>batter</w:t>
            </w:r>
            <w:r w:rsidRPr="00BB076F">
              <w:rPr>
                <w:strike/>
                <w:lang w:val="x-none"/>
              </w:rPr>
              <w:t>y</w:t>
            </w:r>
            <w:r w:rsidRPr="00BB076F">
              <w:t>ies</w:t>
            </w:r>
            <w:proofErr w:type="spellEnd"/>
            <w:r w:rsidRPr="00BB076F">
              <w:rPr>
                <w:lang w:val="x-none"/>
              </w:rPr>
              <w:t xml:space="preserve"> or </w:t>
            </w:r>
            <w:r w:rsidRPr="00BB076F">
              <w:rPr>
                <w:strike/>
                <w:lang w:val="x-none"/>
              </w:rPr>
              <w:t xml:space="preserve">the </w:t>
            </w:r>
            <w:r w:rsidRPr="00BB076F">
              <w:rPr>
                <w:lang w:val="x-none"/>
              </w:rPr>
              <w:t xml:space="preserve">equipment shall be </w:t>
            </w:r>
            <w:r>
              <w:rPr>
                <w:u w:val="single"/>
              </w:rPr>
              <w:t>placed</w:t>
            </w:r>
            <w:r w:rsidRPr="00BB076F">
              <w:rPr>
                <w:u w:val="single"/>
                <w:lang w:val="x-none"/>
              </w:rPr>
              <w:t xml:space="preserve"> in inner </w:t>
            </w:r>
            <w:proofErr w:type="spellStart"/>
            <w:r w:rsidRPr="00BB076F">
              <w:rPr>
                <w:u w:val="single"/>
                <w:lang w:val="x-none"/>
              </w:rPr>
              <w:t>packaging</w:t>
            </w:r>
            <w:r>
              <w:rPr>
                <w:u w:val="single"/>
              </w:rPr>
              <w:t>s</w:t>
            </w:r>
            <w:proofErr w:type="spellEnd"/>
            <w:r>
              <w:rPr>
                <w:u w:val="single"/>
              </w:rPr>
              <w:t xml:space="preserve"> or separated by other suitable means, such as placement in trays or by dividers,</w:t>
            </w:r>
            <w:r w:rsidRPr="00BB076F">
              <w:rPr>
                <w:u w:val="single"/>
                <w:lang w:val="x-none"/>
              </w:rPr>
              <w:t xml:space="preserve"> to ensure </w:t>
            </w:r>
            <w:r w:rsidRPr="00BB076F">
              <w:rPr>
                <w:strike/>
                <w:lang w:val="x-none"/>
              </w:rPr>
              <w:t>packed so that the</w:t>
            </w:r>
            <w:r w:rsidRPr="00BB076F">
              <w:rPr>
                <w:u w:val="single"/>
              </w:rPr>
              <w:t xml:space="preserve"> </w:t>
            </w:r>
            <w:r w:rsidRPr="00BB076F">
              <w:rPr>
                <w:strike/>
                <w:lang w:val="x-none"/>
              </w:rPr>
              <w:t>battery or the equipment is</w:t>
            </w:r>
            <w:r w:rsidRPr="00BB076F">
              <w:rPr>
                <w:lang w:val="x-none"/>
              </w:rPr>
              <w:t xml:space="preserve"> </w:t>
            </w:r>
            <w:proofErr w:type="spellStart"/>
            <w:r w:rsidRPr="00BB076F">
              <w:rPr>
                <w:u w:val="single"/>
                <w:lang w:val="x-none"/>
              </w:rPr>
              <w:t>protect</w:t>
            </w:r>
            <w:r w:rsidRPr="00BB076F">
              <w:rPr>
                <w:strike/>
                <w:u w:val="single"/>
                <w:lang w:val="x-none"/>
              </w:rPr>
              <w:t>ed</w:t>
            </w:r>
            <w:r w:rsidRPr="00BB076F">
              <w:rPr>
                <w:u w:val="single"/>
              </w:rPr>
              <w:t>ion</w:t>
            </w:r>
            <w:proofErr w:type="spellEnd"/>
            <w:r>
              <w:rPr>
                <w:lang w:val="x-none"/>
              </w:rPr>
              <w:t xml:space="preserve"> against </w:t>
            </w:r>
            <w:r w:rsidRPr="00BB076F">
              <w:rPr>
                <w:lang w:val="x-none"/>
              </w:rPr>
              <w:t xml:space="preserve">damage that may be caused </w:t>
            </w:r>
            <w:r>
              <w:t xml:space="preserve">under normal conditions of transport </w:t>
            </w:r>
            <w:r w:rsidRPr="00BB076F">
              <w:rPr>
                <w:lang w:val="x-none"/>
              </w:rPr>
              <w:t>by</w:t>
            </w:r>
            <w:r>
              <w:t>:</w:t>
            </w:r>
          </w:p>
          <w:p w14:paraId="6829CA79" w14:textId="641F8B0D" w:rsidR="003510EC" w:rsidRDefault="003510EC" w:rsidP="007F00C2">
            <w:pPr>
              <w:keepNext/>
              <w:keepLines/>
              <w:kinsoku/>
              <w:overflowPunct/>
              <w:autoSpaceDE/>
              <w:autoSpaceDN/>
              <w:adjustRightInd/>
              <w:snapToGrid/>
              <w:spacing w:after="120"/>
              <w:ind w:left="567" w:right="354"/>
              <w:jc w:val="both"/>
              <w:rPr>
                <w:u w:val="single"/>
              </w:rPr>
            </w:pPr>
            <w:r>
              <w:t>(1)</w:t>
            </w:r>
            <w:r w:rsidR="00075271">
              <w:tab/>
            </w:r>
            <w:r w:rsidRPr="00BB076F">
              <w:rPr>
                <w:strike/>
                <w:lang w:val="x-none"/>
              </w:rPr>
              <w:t>its</w:t>
            </w:r>
            <w:r w:rsidRPr="00BB076F">
              <w:rPr>
                <w:lang w:val="x-none"/>
              </w:rPr>
              <w:t xml:space="preserve"> movement o</w:t>
            </w:r>
            <w:r w:rsidRPr="00BB076F">
              <w:t>r</w:t>
            </w:r>
            <w:r w:rsidRPr="00BB076F">
              <w:rPr>
                <w:lang w:val="x-none"/>
              </w:rPr>
              <w:t xml:space="preserve"> placement within the large </w:t>
            </w:r>
            <w:proofErr w:type="gramStart"/>
            <w:r w:rsidRPr="00BB076F">
              <w:rPr>
                <w:lang w:val="x-none"/>
              </w:rPr>
              <w:t>packaging</w:t>
            </w:r>
            <w:r>
              <w:rPr>
                <w:u w:val="single"/>
              </w:rPr>
              <w:t>;</w:t>
            </w:r>
            <w:proofErr w:type="gramEnd"/>
          </w:p>
          <w:p w14:paraId="264967B0" w14:textId="1D0B8B4D" w:rsidR="003510EC" w:rsidRDefault="003510EC" w:rsidP="007F00C2">
            <w:pPr>
              <w:keepNext/>
              <w:keepLines/>
              <w:kinsoku/>
              <w:overflowPunct/>
              <w:autoSpaceDE/>
              <w:autoSpaceDN/>
              <w:adjustRightInd/>
              <w:snapToGrid/>
              <w:spacing w:after="120"/>
              <w:ind w:left="567" w:right="354"/>
              <w:jc w:val="both"/>
              <w:rPr>
                <w:u w:val="single"/>
              </w:rPr>
            </w:pPr>
            <w:r>
              <w:rPr>
                <w:u w:val="single"/>
              </w:rPr>
              <w:t>(2)</w:t>
            </w:r>
            <w:r w:rsidR="00075271">
              <w:rPr>
                <w:u w:val="single"/>
              </w:rPr>
              <w:tab/>
            </w:r>
            <w:r>
              <w:rPr>
                <w:u w:val="single"/>
              </w:rPr>
              <w:t xml:space="preserve">contact with other cells, </w:t>
            </w:r>
            <w:proofErr w:type="gramStart"/>
            <w:r>
              <w:rPr>
                <w:u w:val="single"/>
              </w:rPr>
              <w:t>batteries</w:t>
            </w:r>
            <w:proofErr w:type="gramEnd"/>
            <w:r>
              <w:rPr>
                <w:u w:val="single"/>
              </w:rPr>
              <w:t xml:space="preserve"> or equipment within the large packaging; or</w:t>
            </w:r>
          </w:p>
          <w:p w14:paraId="691B9BB5" w14:textId="5EEBC86F" w:rsidR="003510EC" w:rsidRDefault="003510EC" w:rsidP="007F00C2">
            <w:pPr>
              <w:keepNext/>
              <w:keepLines/>
              <w:kinsoku/>
              <w:overflowPunct/>
              <w:autoSpaceDE/>
              <w:autoSpaceDN/>
              <w:adjustRightInd/>
              <w:snapToGrid/>
              <w:spacing w:after="120"/>
              <w:ind w:left="567" w:right="354"/>
              <w:jc w:val="both"/>
              <w:rPr>
                <w:u w:val="single"/>
              </w:rPr>
            </w:pPr>
            <w:r>
              <w:rPr>
                <w:u w:val="single"/>
              </w:rPr>
              <w:t>(3)</w:t>
            </w:r>
            <w:r w:rsidR="00075271">
              <w:rPr>
                <w:u w:val="single"/>
              </w:rPr>
              <w:tab/>
            </w:r>
            <w:r>
              <w:rPr>
                <w:u w:val="single"/>
              </w:rPr>
              <w:t xml:space="preserve">from any loads arising from the superimposed weight of cells, batteries, equipment and packaging components above the cell, </w:t>
            </w:r>
            <w:proofErr w:type="gramStart"/>
            <w:r>
              <w:rPr>
                <w:u w:val="single"/>
              </w:rPr>
              <w:t>battery</w:t>
            </w:r>
            <w:proofErr w:type="gramEnd"/>
            <w:r>
              <w:rPr>
                <w:u w:val="single"/>
              </w:rPr>
              <w:t xml:space="preserve"> or equipment within the large packaging</w:t>
            </w:r>
            <w:r w:rsidRPr="00BB076F">
              <w:rPr>
                <w:lang w:val="x-none"/>
              </w:rPr>
              <w:t>.</w:t>
            </w:r>
          </w:p>
          <w:p w14:paraId="6331679D" w14:textId="709C37B5" w:rsidR="003510EC" w:rsidRPr="007F0AD7" w:rsidRDefault="003510EC" w:rsidP="00E30DB5">
            <w:pPr>
              <w:keepNext/>
              <w:keepLines/>
              <w:kinsoku/>
              <w:overflowPunct/>
              <w:autoSpaceDE/>
              <w:autoSpaceDN/>
              <w:adjustRightInd/>
              <w:snapToGrid/>
              <w:spacing w:after="120"/>
              <w:ind w:left="262" w:right="354"/>
              <w:jc w:val="both"/>
            </w:pPr>
            <w:r w:rsidRPr="007F0AD7">
              <w:rPr>
                <w:u w:val="single"/>
              </w:rPr>
              <w:t>When cells, or multiple batteries or items of equipment</w:t>
            </w:r>
            <w:r>
              <w:rPr>
                <w:u w:val="single"/>
              </w:rPr>
              <w:t>,</w:t>
            </w:r>
            <w:r w:rsidRPr="007F0AD7">
              <w:rPr>
                <w:u w:val="single"/>
              </w:rPr>
              <w:t xml:space="preserve"> are packed in the large packaging, plastics bags </w:t>
            </w:r>
            <w:r>
              <w:rPr>
                <w:u w:val="single"/>
              </w:rPr>
              <w:t xml:space="preserve">alone </w:t>
            </w:r>
            <w:r w:rsidRPr="007F0AD7">
              <w:rPr>
                <w:u w:val="single"/>
              </w:rPr>
              <w:t>shall not be used to satisfy these requirements.</w:t>
            </w:r>
          </w:p>
        </w:tc>
      </w:tr>
      <w:tr w:rsidR="003510EC" w:rsidRPr="00BB076F" w14:paraId="564266E1" w14:textId="77777777" w:rsidTr="007F00C2">
        <w:trPr>
          <w:jc w:val="center"/>
        </w:trPr>
        <w:tc>
          <w:tcPr>
            <w:tcW w:w="8992" w:type="dxa"/>
            <w:gridSpan w:val="2"/>
            <w:tcBorders>
              <w:top w:val="single" w:sz="4" w:space="0" w:color="auto"/>
              <w:left w:val="single" w:sz="4" w:space="0" w:color="auto"/>
              <w:bottom w:val="single" w:sz="4" w:space="0" w:color="auto"/>
              <w:right w:val="single" w:sz="4" w:space="0" w:color="auto"/>
            </w:tcBorders>
            <w:hideMark/>
          </w:tcPr>
          <w:p w14:paraId="116602F5" w14:textId="77777777" w:rsidR="003510EC" w:rsidRPr="00BB076F" w:rsidRDefault="003510EC" w:rsidP="007F00C2">
            <w:pPr>
              <w:keepNext/>
              <w:keepLines/>
              <w:kinsoku/>
              <w:overflowPunct/>
              <w:autoSpaceDE/>
              <w:autoSpaceDN/>
              <w:adjustRightInd/>
              <w:snapToGrid/>
              <w:spacing w:after="120"/>
              <w:ind w:left="262" w:right="1134"/>
              <w:jc w:val="both"/>
              <w:rPr>
                <w:b/>
                <w:lang w:val="x-none"/>
              </w:rPr>
            </w:pPr>
            <w:r w:rsidRPr="00BB076F">
              <w:rPr>
                <w:b/>
                <w:lang w:val="x-none"/>
              </w:rPr>
              <w:t>Additional requirement</w:t>
            </w:r>
            <w:r w:rsidRPr="00BB076F">
              <w:rPr>
                <w:b/>
              </w:rPr>
              <w:t>s</w:t>
            </w:r>
            <w:r w:rsidRPr="00BB076F">
              <w:rPr>
                <w:b/>
                <w:lang w:val="x-none"/>
              </w:rPr>
              <w:t>:</w:t>
            </w:r>
          </w:p>
          <w:p w14:paraId="118C1A98" w14:textId="34121783" w:rsidR="003510EC" w:rsidRDefault="003510EC" w:rsidP="007F00C2">
            <w:pPr>
              <w:keepNext/>
              <w:keepLines/>
              <w:kinsoku/>
              <w:overflowPunct/>
              <w:autoSpaceDE/>
              <w:autoSpaceDN/>
              <w:adjustRightInd/>
              <w:snapToGrid/>
              <w:spacing w:after="120"/>
              <w:ind w:left="262" w:right="1134"/>
              <w:jc w:val="both"/>
            </w:pPr>
            <w:r w:rsidRPr="00BB076F">
              <w:rPr>
                <w:u w:val="single"/>
              </w:rPr>
              <w:t xml:space="preserve">Cells and </w:t>
            </w:r>
            <w:r w:rsidRPr="00BB076F">
              <w:t xml:space="preserve">batteries </w:t>
            </w:r>
            <w:r w:rsidRPr="00BB076F">
              <w:rPr>
                <w:lang w:val="x-none"/>
              </w:rPr>
              <w:t>shall be protected against short circuit.</w:t>
            </w:r>
          </w:p>
          <w:p w14:paraId="46E4E56D" w14:textId="77777777" w:rsidR="003510EC" w:rsidRPr="007F0AD7" w:rsidRDefault="003510EC" w:rsidP="007F00C2">
            <w:pPr>
              <w:keepNext/>
              <w:keepLines/>
              <w:kinsoku/>
              <w:overflowPunct/>
              <w:autoSpaceDE/>
              <w:autoSpaceDN/>
              <w:adjustRightInd/>
              <w:snapToGrid/>
              <w:spacing w:after="120"/>
              <w:ind w:left="262" w:right="1134"/>
              <w:jc w:val="both"/>
              <w:rPr>
                <w:u w:val="single"/>
              </w:rPr>
            </w:pPr>
            <w:r>
              <w:rPr>
                <w:u w:val="single"/>
              </w:rPr>
              <w:t xml:space="preserve">Only large cells and batteries, as defined in 38.3.2.3 of the </w:t>
            </w:r>
            <w:r>
              <w:rPr>
                <w:i/>
                <w:u w:val="single"/>
              </w:rPr>
              <w:t xml:space="preserve">Manual of Tests and Criteria </w:t>
            </w:r>
            <w:r>
              <w:rPr>
                <w:u w:val="single"/>
              </w:rPr>
              <w:t>shall be transported under this packing instruction.</w:t>
            </w:r>
          </w:p>
        </w:tc>
      </w:tr>
    </w:tbl>
    <w:p w14:paraId="4B8875F6" w14:textId="1C0D5BEC" w:rsidR="0008458D" w:rsidRPr="003510EC" w:rsidRDefault="003510EC" w:rsidP="003510EC">
      <w:pPr>
        <w:spacing w:before="240"/>
        <w:jc w:val="center"/>
        <w:rPr>
          <w:u w:val="single"/>
        </w:rPr>
      </w:pPr>
      <w:r>
        <w:rPr>
          <w:u w:val="single"/>
        </w:rPr>
        <w:tab/>
      </w:r>
      <w:r>
        <w:rPr>
          <w:u w:val="single"/>
        </w:rPr>
        <w:tab/>
      </w:r>
      <w:r>
        <w:rPr>
          <w:u w:val="single"/>
        </w:rPr>
        <w:tab/>
      </w:r>
    </w:p>
    <w:sectPr w:rsidR="0008458D" w:rsidRPr="003510EC" w:rsidSect="00260F99">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A00C" w14:textId="77777777" w:rsidR="006F158B" w:rsidRPr="00C47B2E" w:rsidRDefault="006F158B" w:rsidP="00C47B2E">
      <w:pPr>
        <w:pStyle w:val="Footer"/>
      </w:pPr>
    </w:p>
  </w:endnote>
  <w:endnote w:type="continuationSeparator" w:id="0">
    <w:p w14:paraId="478C836D" w14:textId="77777777" w:rsidR="006F158B" w:rsidRPr="00C47B2E" w:rsidRDefault="006F158B" w:rsidP="00C47B2E">
      <w:pPr>
        <w:pStyle w:val="Footer"/>
      </w:pPr>
    </w:p>
  </w:endnote>
  <w:endnote w:type="continuationNotice" w:id="1">
    <w:p w14:paraId="7011EFFD" w14:textId="77777777" w:rsidR="006F158B" w:rsidRPr="00C47B2E" w:rsidRDefault="006F158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DDE1" w14:textId="4219FBFE" w:rsidR="00D94B05" w:rsidRPr="00260F99" w:rsidRDefault="00260F99" w:rsidP="00260F99">
    <w:pPr>
      <w:pStyle w:val="Footer"/>
      <w:tabs>
        <w:tab w:val="right" w:pos="9598"/>
        <w:tab w:val="right" w:pos="9638"/>
      </w:tabs>
      <w:rPr>
        <w:sz w:val="18"/>
      </w:rPr>
    </w:pPr>
    <w:r w:rsidRPr="00260F99">
      <w:rPr>
        <w:b/>
        <w:sz w:val="18"/>
      </w:rPr>
      <w:fldChar w:fldCharType="begin"/>
    </w:r>
    <w:r w:rsidRPr="00260F99">
      <w:rPr>
        <w:b/>
        <w:sz w:val="18"/>
      </w:rPr>
      <w:instrText xml:space="preserve"> PAGE  \* MERGEFORMAT </w:instrText>
    </w:r>
    <w:r w:rsidRPr="00260F99">
      <w:rPr>
        <w:b/>
        <w:sz w:val="18"/>
      </w:rPr>
      <w:fldChar w:fldCharType="separate"/>
    </w:r>
    <w:r w:rsidRPr="00260F99">
      <w:rPr>
        <w:b/>
        <w:noProof/>
        <w:sz w:val="18"/>
      </w:rPr>
      <w:t>2</w:t>
    </w:r>
    <w:r w:rsidRPr="00260F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4232" w14:textId="59376C6B" w:rsidR="00D94B05" w:rsidRPr="00260F99" w:rsidRDefault="00260F99" w:rsidP="00260F99">
    <w:pPr>
      <w:pStyle w:val="Footer"/>
      <w:tabs>
        <w:tab w:val="left" w:pos="5775"/>
        <w:tab w:val="right" w:pos="9598"/>
        <w:tab w:val="right" w:pos="9638"/>
      </w:tabs>
      <w:rPr>
        <w:sz w:val="18"/>
      </w:rPr>
    </w:pPr>
    <w:r>
      <w:rPr>
        <w:b/>
        <w:sz w:val="18"/>
      </w:rPr>
      <w:tab/>
    </w:r>
    <w:r w:rsidRPr="00260F99">
      <w:rPr>
        <w:sz w:val="18"/>
      </w:rPr>
      <w:fldChar w:fldCharType="begin"/>
    </w:r>
    <w:r w:rsidRPr="00260F99">
      <w:rPr>
        <w:sz w:val="18"/>
      </w:rPr>
      <w:instrText xml:space="preserve"> PAGE  \* MERGEFORMAT </w:instrText>
    </w:r>
    <w:r w:rsidRPr="00260F99">
      <w:rPr>
        <w:sz w:val="18"/>
      </w:rPr>
      <w:fldChar w:fldCharType="separate"/>
    </w:r>
    <w:r w:rsidRPr="00260F99">
      <w:rPr>
        <w:noProof/>
        <w:sz w:val="18"/>
      </w:rPr>
      <w:t>3</w:t>
    </w:r>
    <w:r w:rsidRPr="00260F99">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3C8E" w14:textId="77777777" w:rsidR="00D94B05" w:rsidRPr="00260F99"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0BEF194D" wp14:editId="6EAA587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3D25" w14:textId="77777777" w:rsidR="006F158B" w:rsidRPr="00C47B2E" w:rsidRDefault="006F158B" w:rsidP="00C47B2E">
      <w:pPr>
        <w:tabs>
          <w:tab w:val="right" w:pos="2155"/>
        </w:tabs>
        <w:spacing w:after="80" w:line="240" w:lineRule="auto"/>
        <w:ind w:left="680"/>
      </w:pPr>
      <w:r>
        <w:rPr>
          <w:u w:val="single"/>
        </w:rPr>
        <w:tab/>
      </w:r>
    </w:p>
  </w:footnote>
  <w:footnote w:type="continuationSeparator" w:id="0">
    <w:p w14:paraId="365885B0" w14:textId="77777777" w:rsidR="006F158B" w:rsidRPr="00C47B2E" w:rsidRDefault="006F158B" w:rsidP="005E716E">
      <w:pPr>
        <w:tabs>
          <w:tab w:val="right" w:pos="2155"/>
        </w:tabs>
        <w:spacing w:after="80" w:line="240" w:lineRule="auto"/>
        <w:ind w:left="680"/>
      </w:pPr>
      <w:r>
        <w:rPr>
          <w:u w:val="single"/>
        </w:rPr>
        <w:tab/>
      </w:r>
    </w:p>
  </w:footnote>
  <w:footnote w:type="continuationNotice" w:id="1">
    <w:p w14:paraId="0BF0A1B3" w14:textId="77777777" w:rsidR="006F158B" w:rsidRPr="00C47B2E" w:rsidRDefault="006F158B" w:rsidP="00C47B2E">
      <w:pPr>
        <w:pStyle w:val="Footer"/>
      </w:pPr>
    </w:p>
  </w:footnote>
  <w:footnote w:id="2">
    <w:p w14:paraId="5A334A27" w14:textId="460BA79A" w:rsidR="003510EC" w:rsidRPr="003510EC" w:rsidRDefault="003510EC" w:rsidP="003510EC">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D64A" w14:textId="5749D1CD" w:rsidR="00260F99" w:rsidRPr="00260F99" w:rsidRDefault="00E2225E">
    <w:pPr>
      <w:pStyle w:val="Header"/>
    </w:pPr>
    <w:r>
      <w:fldChar w:fldCharType="begin"/>
    </w:r>
    <w:r>
      <w:instrText xml:space="preserve"> TITLE  \* MERGEF</w:instrText>
    </w:r>
    <w:r>
      <w:instrText xml:space="preserve">ORMAT </w:instrText>
    </w:r>
    <w:r>
      <w:fldChar w:fldCharType="separate"/>
    </w:r>
    <w:r>
      <w:t>ST/SG/AC.10/C.3/2022/37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9E06" w14:textId="67FABBD2" w:rsidR="00D94B05" w:rsidRPr="00260F99" w:rsidRDefault="00E2225E" w:rsidP="00260F99">
    <w:pPr>
      <w:pStyle w:val="Header"/>
      <w:jc w:val="right"/>
    </w:pPr>
    <w:r>
      <w:fldChar w:fldCharType="begin"/>
    </w:r>
    <w:r>
      <w:instrText xml:space="preserve"> TITLE  \* MERGEFORMAT </w:instrText>
    </w:r>
    <w:r>
      <w:fldChar w:fldCharType="separate"/>
    </w:r>
    <w:r>
      <w:t>ST/SG/AC.10/C.3/2022/37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99"/>
    <w:rsid w:val="00046E92"/>
    <w:rsid w:val="00063C90"/>
    <w:rsid w:val="00075271"/>
    <w:rsid w:val="0008458D"/>
    <w:rsid w:val="000930CC"/>
    <w:rsid w:val="000D301A"/>
    <w:rsid w:val="00100B00"/>
    <w:rsid w:val="00101B98"/>
    <w:rsid w:val="00105C88"/>
    <w:rsid w:val="001514D1"/>
    <w:rsid w:val="00247E2C"/>
    <w:rsid w:val="00260F99"/>
    <w:rsid w:val="00265D67"/>
    <w:rsid w:val="002A32CB"/>
    <w:rsid w:val="002C7CC6"/>
    <w:rsid w:val="002D5B2C"/>
    <w:rsid w:val="002D6C53"/>
    <w:rsid w:val="002D75CA"/>
    <w:rsid w:val="002F5595"/>
    <w:rsid w:val="00334F6A"/>
    <w:rsid w:val="00342AC8"/>
    <w:rsid w:val="00343302"/>
    <w:rsid w:val="003510EC"/>
    <w:rsid w:val="003979DE"/>
    <w:rsid w:val="003B4550"/>
    <w:rsid w:val="003D2A18"/>
    <w:rsid w:val="00413386"/>
    <w:rsid w:val="00461253"/>
    <w:rsid w:val="004858F5"/>
    <w:rsid w:val="004A2814"/>
    <w:rsid w:val="004C0622"/>
    <w:rsid w:val="004E714A"/>
    <w:rsid w:val="004F2A57"/>
    <w:rsid w:val="005042C2"/>
    <w:rsid w:val="0050608B"/>
    <w:rsid w:val="00566B51"/>
    <w:rsid w:val="005E716E"/>
    <w:rsid w:val="006476E1"/>
    <w:rsid w:val="006604DF"/>
    <w:rsid w:val="00671529"/>
    <w:rsid w:val="006F158B"/>
    <w:rsid w:val="0070489D"/>
    <w:rsid w:val="007268F9"/>
    <w:rsid w:val="00750282"/>
    <w:rsid w:val="00764440"/>
    <w:rsid w:val="0077101B"/>
    <w:rsid w:val="007A537A"/>
    <w:rsid w:val="007C52B0"/>
    <w:rsid w:val="007C6033"/>
    <w:rsid w:val="007F68E1"/>
    <w:rsid w:val="008147C8"/>
    <w:rsid w:val="0081753A"/>
    <w:rsid w:val="00857D23"/>
    <w:rsid w:val="0089176B"/>
    <w:rsid w:val="008D2906"/>
    <w:rsid w:val="009411B4"/>
    <w:rsid w:val="00946F1D"/>
    <w:rsid w:val="009D0139"/>
    <w:rsid w:val="009D5FA0"/>
    <w:rsid w:val="009D717D"/>
    <w:rsid w:val="009F5CDC"/>
    <w:rsid w:val="00A072D7"/>
    <w:rsid w:val="00A0746A"/>
    <w:rsid w:val="00A13A3F"/>
    <w:rsid w:val="00A775CF"/>
    <w:rsid w:val="00AD1A9C"/>
    <w:rsid w:val="00AF5DE1"/>
    <w:rsid w:val="00B06045"/>
    <w:rsid w:val="00B206DD"/>
    <w:rsid w:val="00B52EF4"/>
    <w:rsid w:val="00B777AD"/>
    <w:rsid w:val="00C03015"/>
    <w:rsid w:val="00C0358D"/>
    <w:rsid w:val="00C35A27"/>
    <w:rsid w:val="00C45874"/>
    <w:rsid w:val="00C47B2E"/>
    <w:rsid w:val="00CD0CFE"/>
    <w:rsid w:val="00D17966"/>
    <w:rsid w:val="00D63CD2"/>
    <w:rsid w:val="00D87DC2"/>
    <w:rsid w:val="00D94B05"/>
    <w:rsid w:val="00DF0CA9"/>
    <w:rsid w:val="00E02C2B"/>
    <w:rsid w:val="00E106CD"/>
    <w:rsid w:val="00E21C27"/>
    <w:rsid w:val="00E2225E"/>
    <w:rsid w:val="00E26BCF"/>
    <w:rsid w:val="00E30DB5"/>
    <w:rsid w:val="00E52109"/>
    <w:rsid w:val="00E75317"/>
    <w:rsid w:val="00E91090"/>
    <w:rsid w:val="00EC0CE6"/>
    <w:rsid w:val="00EC333E"/>
    <w:rsid w:val="00EC7C1D"/>
    <w:rsid w:val="00ED6C48"/>
    <w:rsid w:val="00EE3045"/>
    <w:rsid w:val="00F54301"/>
    <w:rsid w:val="00F65F5D"/>
    <w:rsid w:val="00F6637E"/>
    <w:rsid w:val="00F86A3A"/>
    <w:rsid w:val="00FA2BDB"/>
    <w:rsid w:val="00FB1B8F"/>
    <w:rsid w:val="00FB369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C4792"/>
  <w15:docId w15:val="{780428B4-8A8C-4E53-B04D-5C40CD7F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3510EC"/>
    <w:rPr>
      <w:b/>
      <w:sz w:val="28"/>
    </w:rPr>
  </w:style>
  <w:style w:type="character" w:customStyle="1" w:styleId="SingleTxtGChar">
    <w:name w:val="_ Single Txt_G Char"/>
    <w:link w:val="SingleTxtG"/>
    <w:qFormat/>
    <w:locked/>
    <w:rsid w:val="003510EC"/>
  </w:style>
  <w:style w:type="character" w:customStyle="1" w:styleId="H1GChar">
    <w:name w:val="_ H_1_G Char"/>
    <w:link w:val="H1G"/>
    <w:rsid w:val="003510EC"/>
    <w:rPr>
      <w:b/>
      <w:sz w:val="24"/>
    </w:rPr>
  </w:style>
  <w:style w:type="table" w:customStyle="1" w:styleId="TableGrid1">
    <w:name w:val="Table Grid1"/>
    <w:basedOn w:val="TableNormal"/>
    <w:next w:val="TableGrid"/>
    <w:uiPriority w:val="59"/>
    <w:rsid w:val="003510EC"/>
    <w:pPr>
      <w:suppressAutoHyphens/>
      <w:spacing w:after="0" w:line="240" w:lineRule="atLeas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A4FF0-74EE-46B3-93C4-52E3C7EB9374}">
  <ds:schemaRefs>
    <ds:schemaRef ds:uri="http://schemas.microsoft.com/sharepoint/v3/contenttype/forms"/>
  </ds:schemaRefs>
</ds:datastoreItem>
</file>

<file path=customXml/itemProps2.xml><?xml version="1.0" encoding="utf-8"?>
<ds:datastoreItem xmlns:ds="http://schemas.openxmlformats.org/officeDocument/2006/customXml" ds:itemID="{B1560A9F-BC13-4C99-9955-ECA119DF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41F12F4D-67E2-497C-B286-9C412E80909F}">
  <ds:schemaRefs>
    <ds:schemaRef ds:uri="4b4a1c0d-4a69-4996-a84a-fc699b9f49de"/>
    <ds:schemaRef ds:uri="http://purl.org/dc/terms/"/>
    <ds:schemaRef ds:uri="acccb6d4-dbe5-46d2-b4d3-5733603d8cc6"/>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SGAC10_E.dotm</Template>
  <TotalTime>92</TotalTime>
  <Pages>2</Pages>
  <Words>819</Words>
  <Characters>4526</Characters>
  <Application>Microsoft Office Word</Application>
  <DocSecurity>0</DocSecurity>
  <Lines>88</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ST/SG/AC.10/C.3/2022/37</dc:title>
  <dc:subject/>
  <dc:creator>Laurence BERTHET</dc:creator>
  <cp:lastModifiedBy>Laurence Berthet</cp:lastModifiedBy>
  <cp:revision>36</cp:revision>
  <cp:lastPrinted>2022-04-11T15:14:00Z</cp:lastPrinted>
  <dcterms:created xsi:type="dcterms:W3CDTF">2022-04-04T10:28:00Z</dcterms:created>
  <dcterms:modified xsi:type="dcterms:W3CDTF">2022-04-11T15:15:00Z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