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199F01A" w14:textId="77777777" w:rsidTr="00F01738">
        <w:trPr>
          <w:trHeight w:hRule="exact" w:val="851"/>
        </w:trPr>
        <w:tc>
          <w:tcPr>
            <w:tcW w:w="1276" w:type="dxa"/>
            <w:tcBorders>
              <w:bottom w:val="single" w:sz="4" w:space="0" w:color="auto"/>
            </w:tcBorders>
          </w:tcPr>
          <w:p w14:paraId="11A6E5D9" w14:textId="77777777" w:rsidR="00132EA9" w:rsidRPr="00DB58B5" w:rsidRDefault="00132EA9" w:rsidP="00FC5E76"/>
        </w:tc>
        <w:tc>
          <w:tcPr>
            <w:tcW w:w="2268" w:type="dxa"/>
            <w:tcBorders>
              <w:bottom w:val="single" w:sz="4" w:space="0" w:color="auto"/>
            </w:tcBorders>
            <w:vAlign w:val="bottom"/>
          </w:tcPr>
          <w:p w14:paraId="4ACC693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EC7D91" w14:textId="75D59E0C" w:rsidR="00132EA9" w:rsidRPr="00DB58B5" w:rsidRDefault="00FC5E76" w:rsidP="00FC5E76">
            <w:pPr>
              <w:jc w:val="right"/>
            </w:pPr>
            <w:r w:rsidRPr="00FC5E76">
              <w:rPr>
                <w:sz w:val="40"/>
              </w:rPr>
              <w:t>ST</w:t>
            </w:r>
            <w:r>
              <w:t>/SG/AC.10/C.3/2022/2</w:t>
            </w:r>
          </w:p>
        </w:tc>
      </w:tr>
      <w:tr w:rsidR="00132EA9" w:rsidRPr="00DB58B5" w14:paraId="725C364D" w14:textId="77777777" w:rsidTr="00F01738">
        <w:trPr>
          <w:trHeight w:hRule="exact" w:val="2835"/>
        </w:trPr>
        <w:tc>
          <w:tcPr>
            <w:tcW w:w="1276" w:type="dxa"/>
            <w:tcBorders>
              <w:top w:val="single" w:sz="4" w:space="0" w:color="auto"/>
              <w:bottom w:val="single" w:sz="12" w:space="0" w:color="auto"/>
            </w:tcBorders>
          </w:tcPr>
          <w:p w14:paraId="399CF9C6" w14:textId="77777777" w:rsidR="00132EA9" w:rsidRPr="00DB58B5" w:rsidRDefault="00132EA9" w:rsidP="00F01738">
            <w:pPr>
              <w:spacing w:before="120"/>
              <w:jc w:val="center"/>
            </w:pPr>
            <w:r>
              <w:rPr>
                <w:noProof/>
                <w:lang w:eastAsia="fr-CH"/>
              </w:rPr>
              <w:drawing>
                <wp:inline distT="0" distB="0" distL="0" distR="0" wp14:anchorId="3E8A85DC" wp14:editId="633E0E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27032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6211E3" w14:textId="77777777" w:rsidR="00132EA9" w:rsidRDefault="00FC5E76" w:rsidP="00F01738">
            <w:pPr>
              <w:spacing w:before="240"/>
            </w:pPr>
            <w:r>
              <w:t xml:space="preserve">Distr. </w:t>
            </w:r>
            <w:proofErr w:type="gramStart"/>
            <w:r>
              <w:t>générale</w:t>
            </w:r>
            <w:proofErr w:type="gramEnd"/>
          </w:p>
          <w:p w14:paraId="64541868" w14:textId="77777777" w:rsidR="00FC5E76" w:rsidRDefault="00FC5E76" w:rsidP="00FC5E76">
            <w:pPr>
              <w:spacing w:line="240" w:lineRule="exact"/>
            </w:pPr>
            <w:r>
              <w:t>10 mars 2022</w:t>
            </w:r>
          </w:p>
          <w:p w14:paraId="5A34E1BA" w14:textId="77777777" w:rsidR="00FC5E76" w:rsidRDefault="00FC5E76" w:rsidP="00FC5E76">
            <w:pPr>
              <w:spacing w:line="240" w:lineRule="exact"/>
            </w:pPr>
            <w:r>
              <w:t>Français</w:t>
            </w:r>
          </w:p>
          <w:p w14:paraId="31B11AC1" w14:textId="43948E12" w:rsidR="00FC5E76" w:rsidRPr="00DB58B5" w:rsidRDefault="00FC5E76" w:rsidP="00FC5E76">
            <w:pPr>
              <w:spacing w:line="240" w:lineRule="exact"/>
            </w:pPr>
            <w:r>
              <w:t>Original : anglais</w:t>
            </w:r>
          </w:p>
        </w:tc>
      </w:tr>
    </w:tbl>
    <w:p w14:paraId="35C64FE9" w14:textId="77777777" w:rsidR="00FC5E76" w:rsidRPr="00CA0680" w:rsidRDefault="00FC5E7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proofErr w:type="gramStart"/>
      <w:r w:rsidRPr="00CA0680">
        <w:rPr>
          <w:b/>
          <w:sz w:val="24"/>
          <w:szCs w:val="24"/>
        </w:rPr>
        <w:t>et</w:t>
      </w:r>
      <w:proofErr w:type="gramEnd"/>
      <w:r w:rsidRPr="00CA0680">
        <w:rPr>
          <w:b/>
          <w:sz w:val="24"/>
          <w:szCs w:val="24"/>
        </w:rPr>
        <w:t xml:space="preserve"> d’étiquetage</w:t>
      </w:r>
      <w:r>
        <w:rPr>
          <w:b/>
          <w:sz w:val="24"/>
          <w:szCs w:val="24"/>
        </w:rPr>
        <w:t xml:space="preserve"> </w:t>
      </w:r>
      <w:r w:rsidRPr="00CA0680">
        <w:rPr>
          <w:b/>
          <w:sz w:val="24"/>
          <w:szCs w:val="24"/>
        </w:rPr>
        <w:t>des produits chimiques</w:t>
      </w:r>
    </w:p>
    <w:p w14:paraId="13F46D72" w14:textId="77777777" w:rsidR="00FC5E76" w:rsidRPr="00CA0680" w:rsidRDefault="00FC5E76" w:rsidP="000305D3">
      <w:pPr>
        <w:spacing w:before="120"/>
        <w:rPr>
          <w:b/>
        </w:rPr>
      </w:pPr>
      <w:r w:rsidRPr="00CA0680">
        <w:rPr>
          <w:b/>
        </w:rPr>
        <w:t>Sous</w:t>
      </w:r>
      <w:r>
        <w:rPr>
          <w:b/>
        </w:rPr>
        <w:t>-</w:t>
      </w:r>
      <w:r w:rsidRPr="00CA0680">
        <w:rPr>
          <w:b/>
        </w:rPr>
        <w:t>Comité d’experts du transport des marchandises dangereuses</w:t>
      </w:r>
    </w:p>
    <w:p w14:paraId="5AC34F44" w14:textId="77777777" w:rsidR="00FC5E76" w:rsidRPr="00C21F94" w:rsidRDefault="00FC5E76" w:rsidP="00FC5E76">
      <w:pPr>
        <w:spacing w:before="120"/>
        <w:rPr>
          <w:b/>
          <w:lang w:val="fr-FR"/>
        </w:rPr>
      </w:pPr>
      <w:r>
        <w:rPr>
          <w:b/>
          <w:bCs/>
          <w:lang w:val="fr-FR"/>
        </w:rPr>
        <w:t>Soixantième session</w:t>
      </w:r>
    </w:p>
    <w:p w14:paraId="11C4B8D3" w14:textId="77777777" w:rsidR="00FC5E76" w:rsidRPr="00C21F94" w:rsidRDefault="00FC5E76" w:rsidP="00FC5E76">
      <w:pPr>
        <w:rPr>
          <w:lang w:val="fr-FR"/>
        </w:rPr>
      </w:pPr>
      <w:r>
        <w:rPr>
          <w:lang w:val="fr-FR"/>
        </w:rPr>
        <w:t xml:space="preserve">Genève, 27 juin-6 juillet 2022 </w:t>
      </w:r>
    </w:p>
    <w:p w14:paraId="42F33751" w14:textId="77777777" w:rsidR="00FC5E76" w:rsidRPr="00C21F94" w:rsidRDefault="00FC5E76" w:rsidP="00FC5E76">
      <w:pPr>
        <w:rPr>
          <w:lang w:val="fr-FR"/>
        </w:rPr>
      </w:pPr>
      <w:r>
        <w:rPr>
          <w:lang w:val="fr-FR"/>
        </w:rPr>
        <w:t>Point 11 de l’ordre du jour provisoire</w:t>
      </w:r>
    </w:p>
    <w:p w14:paraId="079DEEE7" w14:textId="77777777" w:rsidR="00FC5E76" w:rsidRPr="00C21F94" w:rsidRDefault="00FC5E76" w:rsidP="00FC5E76">
      <w:pPr>
        <w:rPr>
          <w:b/>
          <w:bCs/>
          <w:lang w:val="fr-FR"/>
        </w:rPr>
      </w:pPr>
      <w:r>
        <w:rPr>
          <w:b/>
          <w:bCs/>
          <w:lang w:val="fr-FR"/>
        </w:rPr>
        <w:t>Uniformisation des interprétations du Règlement type</w:t>
      </w:r>
    </w:p>
    <w:p w14:paraId="50E2CA8A" w14:textId="1AB19531" w:rsidR="00FC5E76" w:rsidRPr="00C21F94" w:rsidRDefault="00FC5E76" w:rsidP="00FC5E76">
      <w:pPr>
        <w:pStyle w:val="HChG"/>
        <w:rPr>
          <w:rFonts w:asciiTheme="majorBidi" w:hAnsiTheme="majorBidi" w:cstheme="majorBidi"/>
          <w:lang w:val="fr-FR"/>
        </w:rPr>
      </w:pPr>
      <w:r>
        <w:rPr>
          <w:lang w:val="fr-FR"/>
        </w:rPr>
        <w:tab/>
      </w:r>
      <w:r>
        <w:rPr>
          <w:lang w:val="fr-FR"/>
        </w:rPr>
        <w:tab/>
        <w:t xml:space="preserve">Harmonisation de la traduction de « base </w:t>
      </w:r>
      <w:proofErr w:type="spellStart"/>
      <w:r>
        <w:rPr>
          <w:lang w:val="fr-FR"/>
        </w:rPr>
        <w:t>material</w:t>
      </w:r>
      <w:proofErr w:type="spellEnd"/>
      <w:r>
        <w:rPr>
          <w:lang w:val="fr-FR"/>
        </w:rPr>
        <w:t xml:space="preserve"> » </w:t>
      </w:r>
      <w:r>
        <w:rPr>
          <w:lang w:val="fr-FR"/>
        </w:rPr>
        <w:br/>
        <w:t>dans la version espagnole</w:t>
      </w:r>
    </w:p>
    <w:p w14:paraId="2780F9EF" w14:textId="1CA2E610" w:rsidR="00FC5E76" w:rsidRPr="00C21F94" w:rsidRDefault="00FC5E76" w:rsidP="00FC5E76">
      <w:pPr>
        <w:pStyle w:val="H1G"/>
        <w:rPr>
          <w:rFonts w:asciiTheme="majorBidi" w:hAnsiTheme="majorBidi" w:cstheme="majorBidi"/>
          <w:color w:val="000000" w:themeColor="text1"/>
          <w:lang w:val="fr-FR"/>
        </w:rPr>
      </w:pPr>
      <w:r>
        <w:rPr>
          <w:lang w:val="fr-FR"/>
        </w:rPr>
        <w:tab/>
      </w:r>
      <w:r>
        <w:rPr>
          <w:lang w:val="fr-FR"/>
        </w:rPr>
        <w:tab/>
        <w:t>Communication des experts du Brésil, du Mexique et de l’Espagne</w:t>
      </w:r>
      <w:r w:rsidR="002B279D" w:rsidRPr="002B279D">
        <w:rPr>
          <w:rStyle w:val="FootnoteReference"/>
          <w:b w:val="0"/>
          <w:bCs/>
          <w:sz w:val="20"/>
          <w:vertAlign w:val="baseline"/>
        </w:rPr>
        <w:footnoteReference w:customMarkFollows="1" w:id="2"/>
        <w:t>*</w:t>
      </w:r>
    </w:p>
    <w:p w14:paraId="1A010B96" w14:textId="77777777" w:rsidR="00FC5E76" w:rsidRPr="00C21F94" w:rsidRDefault="00FC5E76" w:rsidP="00FC5E76">
      <w:pPr>
        <w:pStyle w:val="HChG"/>
        <w:rPr>
          <w:rFonts w:asciiTheme="majorBidi" w:hAnsiTheme="majorBidi" w:cstheme="majorBidi"/>
          <w:lang w:val="fr-FR"/>
        </w:rPr>
      </w:pPr>
      <w:r>
        <w:rPr>
          <w:lang w:val="fr-FR"/>
        </w:rPr>
        <w:tab/>
      </w:r>
      <w:r>
        <w:rPr>
          <w:lang w:val="fr-FR"/>
        </w:rPr>
        <w:tab/>
        <w:t>Introduction</w:t>
      </w:r>
    </w:p>
    <w:p w14:paraId="35263117" w14:textId="77777777" w:rsidR="00FC5E76" w:rsidRPr="00C21F94" w:rsidRDefault="00FC5E76" w:rsidP="00FC5E76">
      <w:pPr>
        <w:pStyle w:val="SingleTxtG"/>
        <w:rPr>
          <w:lang w:val="fr-FR"/>
        </w:rPr>
      </w:pPr>
      <w:r>
        <w:rPr>
          <w:lang w:val="fr-FR"/>
        </w:rPr>
        <w:t>1.</w:t>
      </w:r>
      <w:r>
        <w:rPr>
          <w:lang w:val="fr-FR"/>
        </w:rPr>
        <w:tab/>
        <w:t>À sa vingt-huitième réunion, en novembre 2021, le Groupe d’experts sur les marchandises dangereuses de l’Organisation de l’aviation civile internationale (OACI) a adopté le document DGP/28-WP/39, qui proposait une série d’amendements aux instructions d’emballage 450 et Y450. Lors des débats, il a été relevé qu’il était nécessaire de conduire un examen plus complet des numéros ONU, dispositions spéciales et instructions d’emballage concernés afin d’apporter toutes les corrections voulues la version espagnole des Instructions techniques.</w:t>
      </w:r>
    </w:p>
    <w:p w14:paraId="153610A8" w14:textId="25C93976" w:rsidR="00FC5E76" w:rsidRPr="00C21F94" w:rsidRDefault="00FC5E76" w:rsidP="00FC5E76">
      <w:pPr>
        <w:pStyle w:val="SingleTxtG"/>
        <w:rPr>
          <w:lang w:val="fr-FR"/>
        </w:rPr>
      </w:pPr>
      <w:r>
        <w:rPr>
          <w:lang w:val="fr-FR"/>
        </w:rPr>
        <w:t>2.</w:t>
      </w:r>
      <w:r>
        <w:rPr>
          <w:lang w:val="fr-FR"/>
        </w:rPr>
        <w:tab/>
        <w:t xml:space="preserve">Dans les parties citées de la version espagnole des Instructions techniques, la formulation utilisée pour traduire « base </w:t>
      </w:r>
      <w:proofErr w:type="spellStart"/>
      <w:r>
        <w:rPr>
          <w:lang w:val="fr-FR"/>
        </w:rPr>
        <w:t>material</w:t>
      </w:r>
      <w:proofErr w:type="spellEnd"/>
      <w:r>
        <w:rPr>
          <w:lang w:val="fr-FR"/>
        </w:rPr>
        <w:t> » varie : les variantes utilisées sont « </w:t>
      </w:r>
      <w:proofErr w:type="spellStart"/>
      <w:r>
        <w:rPr>
          <w:lang w:val="fr-FR"/>
        </w:rPr>
        <w:t>material</w:t>
      </w:r>
      <w:proofErr w:type="spellEnd"/>
      <w:r>
        <w:rPr>
          <w:lang w:val="fr-FR"/>
        </w:rPr>
        <w:t xml:space="preserve"> de base » et « </w:t>
      </w:r>
      <w:proofErr w:type="spellStart"/>
      <w:r>
        <w:rPr>
          <w:lang w:val="fr-FR"/>
        </w:rPr>
        <w:t>material</w:t>
      </w:r>
      <w:proofErr w:type="spellEnd"/>
      <w:r>
        <w:rPr>
          <w:lang w:val="fr-FR"/>
        </w:rPr>
        <w:t xml:space="preserve"> </w:t>
      </w:r>
      <w:proofErr w:type="spellStart"/>
      <w:r>
        <w:rPr>
          <w:lang w:val="fr-FR"/>
        </w:rPr>
        <w:t>básico</w:t>
      </w:r>
      <w:proofErr w:type="spellEnd"/>
      <w:r>
        <w:rPr>
          <w:lang w:val="fr-FR"/>
        </w:rPr>
        <w:t> ». Des modifications ont été apportées à la version espagnole des Instructions techniques, à la suite d’une proposition commune de l’Argentine et de l’Espagne.</w:t>
      </w:r>
    </w:p>
    <w:p w14:paraId="5629B394" w14:textId="1B52FA1A" w:rsidR="00FC5E76" w:rsidRPr="00C21F94" w:rsidRDefault="00FC5E76" w:rsidP="00FC5E76">
      <w:pPr>
        <w:pStyle w:val="SingleTxtG"/>
        <w:rPr>
          <w:lang w:val="fr-FR"/>
        </w:rPr>
      </w:pPr>
      <w:r>
        <w:rPr>
          <w:lang w:val="fr-FR"/>
        </w:rPr>
        <w:t>3.</w:t>
      </w:r>
      <w:r>
        <w:rPr>
          <w:lang w:val="fr-FR"/>
        </w:rPr>
        <w:tab/>
        <w:t xml:space="preserve">Toutefois, l’incohérence terminologique concernant la traduction de « base </w:t>
      </w:r>
      <w:proofErr w:type="spellStart"/>
      <w:r>
        <w:rPr>
          <w:lang w:val="fr-FR"/>
        </w:rPr>
        <w:t>material</w:t>
      </w:r>
      <w:proofErr w:type="spellEnd"/>
      <w:r>
        <w:rPr>
          <w:lang w:val="fr-FR"/>
        </w:rPr>
        <w:t> » dans la version espagnole était déjà présente dans le Règlement type et a été retranscrite dans les Instructions techniques. Ainsi, pour éviter que cette incohérence crée des difficultés dans le cas d’un transport multimodal, celle-ci devrait être corrigée dans la version espagnole du Règlement type, puis dans les règlements modaux qui en découlent. Le présent document contient des suggestions de modifications à apporter à la version espagnole du Règlement type.</w:t>
      </w:r>
    </w:p>
    <w:p w14:paraId="18DB1799" w14:textId="77777777" w:rsidR="00FC5E76" w:rsidRPr="00C21F94" w:rsidRDefault="00FC5E76" w:rsidP="00FC5E76">
      <w:pPr>
        <w:pStyle w:val="HChG"/>
        <w:rPr>
          <w:lang w:val="fr-FR"/>
        </w:rPr>
      </w:pPr>
      <w:r>
        <w:rPr>
          <w:lang w:val="fr-FR"/>
        </w:rPr>
        <w:lastRenderedPageBreak/>
        <w:tab/>
      </w:r>
      <w:r>
        <w:rPr>
          <w:lang w:val="fr-FR"/>
        </w:rPr>
        <w:tab/>
        <w:t>Examen</w:t>
      </w:r>
    </w:p>
    <w:p w14:paraId="28251277" w14:textId="77777777" w:rsidR="00FC5E76" w:rsidRPr="00C21F94" w:rsidRDefault="00FC5E76" w:rsidP="00FC5E76">
      <w:pPr>
        <w:pStyle w:val="SingleTxtG"/>
        <w:rPr>
          <w:lang w:val="fr-FR"/>
        </w:rPr>
      </w:pPr>
      <w:r>
        <w:rPr>
          <w:lang w:val="fr-FR"/>
        </w:rPr>
        <w:t>4.</w:t>
      </w:r>
      <w:r>
        <w:rPr>
          <w:lang w:val="fr-FR"/>
        </w:rPr>
        <w:tab/>
        <w:t xml:space="preserve">L’objet du Règlement type est d’harmoniser les règlements destinés à </w:t>
      </w:r>
      <w:r w:rsidRPr="00691C53">
        <w:rPr>
          <w:lang w:val="fr-FR"/>
        </w:rPr>
        <w:t>être appliqués à tous les modes de transport</w:t>
      </w:r>
      <w:r>
        <w:rPr>
          <w:lang w:val="fr-FR"/>
        </w:rPr>
        <w:t> ; il est donc primordial que la teneur de chaque règlement soit la même dans toutes les versions linguistiques.</w:t>
      </w:r>
    </w:p>
    <w:p w14:paraId="31421674" w14:textId="79578763" w:rsidR="00FC5E76" w:rsidRPr="00C21F94" w:rsidRDefault="00FC5E76" w:rsidP="00FC5E76">
      <w:pPr>
        <w:pStyle w:val="SingleTxtG"/>
        <w:rPr>
          <w:lang w:val="fr-FR"/>
        </w:rPr>
      </w:pPr>
      <w:r>
        <w:rPr>
          <w:lang w:val="fr-FR"/>
        </w:rPr>
        <w:t>5.</w:t>
      </w:r>
      <w:r>
        <w:rPr>
          <w:lang w:val="fr-FR"/>
        </w:rPr>
        <w:tab/>
        <w:t>La version espagnole du Règlement type comporte les expressions « </w:t>
      </w:r>
      <w:proofErr w:type="spellStart"/>
      <w:r>
        <w:rPr>
          <w:lang w:val="fr-FR"/>
        </w:rPr>
        <w:t>material</w:t>
      </w:r>
      <w:proofErr w:type="spellEnd"/>
      <w:r>
        <w:rPr>
          <w:lang w:val="fr-FR"/>
        </w:rPr>
        <w:t xml:space="preserve"> </w:t>
      </w:r>
      <w:proofErr w:type="spellStart"/>
      <w:r>
        <w:rPr>
          <w:lang w:val="fr-FR"/>
        </w:rPr>
        <w:t>básico</w:t>
      </w:r>
      <w:proofErr w:type="spellEnd"/>
      <w:r>
        <w:rPr>
          <w:lang w:val="fr-FR"/>
        </w:rPr>
        <w:t> » et « </w:t>
      </w:r>
      <w:proofErr w:type="spellStart"/>
      <w:r>
        <w:rPr>
          <w:lang w:val="fr-FR"/>
        </w:rPr>
        <w:t>material</w:t>
      </w:r>
      <w:proofErr w:type="spellEnd"/>
      <w:r>
        <w:rPr>
          <w:lang w:val="fr-FR"/>
        </w:rPr>
        <w:t xml:space="preserve"> de base » comme traduction de « base </w:t>
      </w:r>
      <w:proofErr w:type="spellStart"/>
      <w:r>
        <w:rPr>
          <w:lang w:val="fr-FR"/>
        </w:rPr>
        <w:t>material</w:t>
      </w:r>
      <w:proofErr w:type="spellEnd"/>
      <w:r>
        <w:rPr>
          <w:lang w:val="fr-FR"/>
        </w:rPr>
        <w:t> » dans les passages suivants :</w:t>
      </w:r>
    </w:p>
    <w:p w14:paraId="4F6434F5" w14:textId="11260AEA" w:rsidR="00FC5E76" w:rsidRPr="00C21F94" w:rsidRDefault="00FC5E76" w:rsidP="00FC5E76">
      <w:pPr>
        <w:pStyle w:val="Bullet1G"/>
        <w:numPr>
          <w:ilvl w:val="0"/>
          <w:numId w:val="0"/>
        </w:numPr>
        <w:tabs>
          <w:tab w:val="left" w:pos="1701"/>
        </w:tabs>
        <w:ind w:left="1701" w:hanging="170"/>
        <w:rPr>
          <w:lang w:val="fr-FR"/>
        </w:rPr>
      </w:pPr>
      <w:r w:rsidRPr="00C21F94">
        <w:rPr>
          <w:lang w:val="fr-FR"/>
        </w:rPr>
        <w:t>•</w:t>
      </w:r>
      <w:r w:rsidRPr="00C21F94">
        <w:rPr>
          <w:lang w:val="fr-FR"/>
        </w:rPr>
        <w:tab/>
      </w:r>
      <w:r>
        <w:rPr>
          <w:lang w:val="fr-FR"/>
        </w:rPr>
        <w:t xml:space="preserve">ONU 3269 − Nom et description : « BOLSA DE RESINA POLIESTÉRICA, </w:t>
      </w:r>
      <w:proofErr w:type="spellStart"/>
      <w:r>
        <w:rPr>
          <w:lang w:val="fr-FR"/>
        </w:rPr>
        <w:t>material</w:t>
      </w:r>
      <w:proofErr w:type="spellEnd"/>
      <w:r>
        <w:rPr>
          <w:lang w:val="fr-FR"/>
        </w:rPr>
        <w:t xml:space="preserve"> </w:t>
      </w:r>
      <w:proofErr w:type="spellStart"/>
      <w:r>
        <w:rPr>
          <w:lang w:val="fr-FR"/>
        </w:rPr>
        <w:t>básico</w:t>
      </w:r>
      <w:proofErr w:type="spellEnd"/>
      <w:r>
        <w:rPr>
          <w:lang w:val="fr-FR"/>
        </w:rPr>
        <w:t xml:space="preserve"> </w:t>
      </w:r>
      <w:proofErr w:type="spellStart"/>
      <w:r>
        <w:rPr>
          <w:lang w:val="fr-FR"/>
        </w:rPr>
        <w:t>líquido</w:t>
      </w:r>
      <w:proofErr w:type="spellEnd"/>
      <w:r>
        <w:rPr>
          <w:lang w:val="fr-FR"/>
        </w:rPr>
        <w:t> » (liste des marchandises dangereuses (deux rubriques) et index alphabétique) ;</w:t>
      </w:r>
    </w:p>
    <w:p w14:paraId="52508C85" w14:textId="15339AB9" w:rsidR="00FC5E76" w:rsidRPr="00C21F94" w:rsidRDefault="00FC5E76" w:rsidP="00FC5E76">
      <w:pPr>
        <w:pStyle w:val="Bullet1G"/>
        <w:numPr>
          <w:ilvl w:val="0"/>
          <w:numId w:val="0"/>
        </w:numPr>
        <w:tabs>
          <w:tab w:val="left" w:pos="1701"/>
        </w:tabs>
        <w:ind w:left="1701" w:hanging="170"/>
        <w:rPr>
          <w:lang w:val="fr-FR"/>
        </w:rPr>
      </w:pPr>
      <w:r w:rsidRPr="00C21F94">
        <w:rPr>
          <w:lang w:val="fr-FR"/>
        </w:rPr>
        <w:t>•</w:t>
      </w:r>
      <w:r w:rsidRPr="00C21F94">
        <w:rPr>
          <w:lang w:val="fr-FR"/>
        </w:rPr>
        <w:tab/>
      </w:r>
      <w:r>
        <w:rPr>
          <w:lang w:val="fr-FR"/>
        </w:rPr>
        <w:t xml:space="preserve">ONU 3527 − Nom et description : « BOLSA DE RESINA POLIESTÉRICA, </w:t>
      </w:r>
      <w:proofErr w:type="spellStart"/>
      <w:r>
        <w:rPr>
          <w:lang w:val="fr-FR"/>
        </w:rPr>
        <w:t>material</w:t>
      </w:r>
      <w:proofErr w:type="spellEnd"/>
      <w:r>
        <w:rPr>
          <w:lang w:val="fr-FR"/>
        </w:rPr>
        <w:t xml:space="preserve"> </w:t>
      </w:r>
      <w:proofErr w:type="spellStart"/>
      <w:r>
        <w:rPr>
          <w:lang w:val="fr-FR"/>
        </w:rPr>
        <w:t>básico</w:t>
      </w:r>
      <w:proofErr w:type="spellEnd"/>
      <w:r>
        <w:rPr>
          <w:lang w:val="fr-FR"/>
        </w:rPr>
        <w:t xml:space="preserve"> </w:t>
      </w:r>
      <w:proofErr w:type="spellStart"/>
      <w:r>
        <w:rPr>
          <w:lang w:val="fr-FR"/>
        </w:rPr>
        <w:t>sólido</w:t>
      </w:r>
      <w:proofErr w:type="spellEnd"/>
      <w:r>
        <w:rPr>
          <w:lang w:val="fr-FR"/>
        </w:rPr>
        <w:t> » (liste des marchandises dangereuses (deux rubriques) et index alphabétique) ;</w:t>
      </w:r>
    </w:p>
    <w:p w14:paraId="772BAB45" w14:textId="209F5BE2" w:rsidR="00FC5E76" w:rsidRPr="00C21F94" w:rsidRDefault="00FC5E76" w:rsidP="00FC5E76">
      <w:pPr>
        <w:pStyle w:val="Bullet1G"/>
        <w:numPr>
          <w:ilvl w:val="0"/>
          <w:numId w:val="0"/>
        </w:numPr>
        <w:tabs>
          <w:tab w:val="left" w:pos="1701"/>
        </w:tabs>
        <w:ind w:left="1701" w:hanging="170"/>
        <w:rPr>
          <w:lang w:val="es-ES"/>
        </w:rPr>
      </w:pPr>
      <w:r w:rsidRPr="00C21F94">
        <w:rPr>
          <w:lang w:val="es-ES"/>
        </w:rPr>
        <w:t>•</w:t>
      </w:r>
      <w:r w:rsidRPr="00C21F94">
        <w:rPr>
          <w:lang w:val="es-ES"/>
        </w:rPr>
        <w:tab/>
      </w:r>
      <w:proofErr w:type="spellStart"/>
      <w:r w:rsidRPr="00C21F94">
        <w:rPr>
          <w:lang w:val="es-ES"/>
        </w:rPr>
        <w:t>Disposition</w:t>
      </w:r>
      <w:proofErr w:type="spellEnd"/>
      <w:r w:rsidRPr="00C21F94">
        <w:rPr>
          <w:lang w:val="es-ES"/>
        </w:rPr>
        <w:t xml:space="preserve"> </w:t>
      </w:r>
      <w:proofErr w:type="spellStart"/>
      <w:r w:rsidRPr="00C21F94">
        <w:rPr>
          <w:lang w:val="es-ES"/>
        </w:rPr>
        <w:t>spéciale</w:t>
      </w:r>
      <w:proofErr w:type="spellEnd"/>
      <w:r w:rsidRPr="00C21F94">
        <w:rPr>
          <w:lang w:val="es-ES"/>
        </w:rPr>
        <w:t xml:space="preserve"> </w:t>
      </w:r>
      <w:proofErr w:type="gramStart"/>
      <w:r w:rsidRPr="00C21F94">
        <w:rPr>
          <w:lang w:val="es-ES"/>
        </w:rPr>
        <w:t>236</w:t>
      </w:r>
      <w:r>
        <w:rPr>
          <w:lang w:val="es-ES"/>
        </w:rPr>
        <w:t> </w:t>
      </w:r>
      <w:r w:rsidRPr="00C21F94">
        <w:rPr>
          <w:lang w:val="es-ES"/>
        </w:rPr>
        <w:t>:</w:t>
      </w:r>
      <w:proofErr w:type="gramEnd"/>
      <w:r w:rsidRPr="00C21F94">
        <w:rPr>
          <w:lang w:val="es-ES"/>
        </w:rPr>
        <w:t xml:space="preserve"> </w:t>
      </w:r>
      <w:r w:rsidRPr="00FC5E76">
        <w:rPr>
          <w:lang w:val="es-ES"/>
        </w:rPr>
        <w:t>« </w:t>
      </w:r>
      <w:r w:rsidRPr="00C21F94">
        <w:rPr>
          <w:lang w:val="es-ES"/>
        </w:rPr>
        <w:t xml:space="preserve">Las bolsas de resina </w:t>
      </w:r>
      <w:proofErr w:type="spellStart"/>
      <w:r w:rsidRPr="00C21F94">
        <w:rPr>
          <w:lang w:val="es-ES"/>
        </w:rPr>
        <w:t>poliestérica</w:t>
      </w:r>
      <w:proofErr w:type="spellEnd"/>
      <w:r w:rsidRPr="00C21F94">
        <w:rPr>
          <w:lang w:val="es-ES"/>
        </w:rPr>
        <w:t xml:space="preserve"> tienen dos componentes: un material básico...</w:t>
      </w:r>
      <w:r w:rsidRPr="00FC5E76">
        <w:rPr>
          <w:lang w:val="es-ES"/>
        </w:rPr>
        <w:t> »</w:t>
      </w:r>
      <w:r>
        <w:rPr>
          <w:lang w:val="es-ES"/>
        </w:rPr>
        <w:t>;</w:t>
      </w:r>
    </w:p>
    <w:p w14:paraId="615677EA" w14:textId="04EE682C" w:rsidR="00FC5E76" w:rsidRPr="00C21F94" w:rsidRDefault="00FC5E76" w:rsidP="00FC5E76">
      <w:pPr>
        <w:pStyle w:val="Bullet1G"/>
        <w:numPr>
          <w:ilvl w:val="0"/>
          <w:numId w:val="0"/>
        </w:numPr>
        <w:tabs>
          <w:tab w:val="left" w:pos="1701"/>
        </w:tabs>
        <w:ind w:left="1701" w:hanging="170"/>
        <w:rPr>
          <w:lang w:val="fr-FR"/>
        </w:rPr>
      </w:pPr>
      <w:r w:rsidRPr="00C21F94">
        <w:rPr>
          <w:lang w:val="fr-FR"/>
        </w:rPr>
        <w:t>•</w:t>
      </w:r>
      <w:r w:rsidRPr="00C21F94">
        <w:rPr>
          <w:lang w:val="fr-FR"/>
        </w:rPr>
        <w:tab/>
      </w:r>
      <w:r>
        <w:rPr>
          <w:lang w:val="fr-FR"/>
        </w:rPr>
        <w:t xml:space="preserve">Instruction d’emballage P302 (ONU 3269) : « el </w:t>
      </w:r>
      <w:proofErr w:type="spellStart"/>
      <w:r>
        <w:rPr>
          <w:lang w:val="fr-FR"/>
        </w:rPr>
        <w:t>material</w:t>
      </w:r>
      <w:proofErr w:type="spellEnd"/>
      <w:r>
        <w:rPr>
          <w:lang w:val="fr-FR"/>
        </w:rPr>
        <w:t xml:space="preserve"> de base » (expression reprise deux fois dans le texte de cette instruction d’emballage) ;</w:t>
      </w:r>
    </w:p>
    <w:p w14:paraId="4D4343F8" w14:textId="34F991E2" w:rsidR="00FC5E76" w:rsidRPr="00C21F94" w:rsidRDefault="00FC5E76" w:rsidP="00FC5E76">
      <w:pPr>
        <w:pStyle w:val="Bullet1G"/>
        <w:numPr>
          <w:ilvl w:val="0"/>
          <w:numId w:val="0"/>
        </w:numPr>
        <w:tabs>
          <w:tab w:val="left" w:pos="1701"/>
        </w:tabs>
        <w:ind w:left="1701" w:hanging="170"/>
        <w:rPr>
          <w:lang w:val="fr-FR"/>
        </w:rPr>
      </w:pPr>
      <w:r w:rsidRPr="00C21F94">
        <w:rPr>
          <w:lang w:val="fr-FR"/>
        </w:rPr>
        <w:t>•</w:t>
      </w:r>
      <w:r w:rsidRPr="00C21F94">
        <w:rPr>
          <w:lang w:val="fr-FR"/>
        </w:rPr>
        <w:tab/>
      </w:r>
      <w:r>
        <w:rPr>
          <w:lang w:val="fr-FR"/>
        </w:rPr>
        <w:t xml:space="preserve">Instruction d’emballage P412 (ONU 3527) : « el </w:t>
      </w:r>
      <w:proofErr w:type="spellStart"/>
      <w:r>
        <w:rPr>
          <w:lang w:val="fr-FR"/>
        </w:rPr>
        <w:t>material</w:t>
      </w:r>
      <w:proofErr w:type="spellEnd"/>
      <w:r>
        <w:rPr>
          <w:lang w:val="fr-FR"/>
        </w:rPr>
        <w:t xml:space="preserve"> de base » (expression reprise deux fois dans le texte de cette instruction d’emballage).</w:t>
      </w:r>
    </w:p>
    <w:p w14:paraId="28935384" w14:textId="199D3AB6" w:rsidR="00FC5E76" w:rsidRPr="00C21F94" w:rsidRDefault="00FC5E76" w:rsidP="00FC5E76">
      <w:pPr>
        <w:pStyle w:val="SingleTxtG"/>
        <w:rPr>
          <w:lang w:val="fr-FR"/>
        </w:rPr>
      </w:pPr>
      <w:r>
        <w:rPr>
          <w:lang w:val="fr-FR"/>
        </w:rPr>
        <w:t>6.</w:t>
      </w:r>
      <w:r>
        <w:rPr>
          <w:lang w:val="fr-FR"/>
        </w:rPr>
        <w:tab/>
        <w:t>L’expression « </w:t>
      </w:r>
      <w:proofErr w:type="spellStart"/>
      <w:r>
        <w:rPr>
          <w:lang w:val="fr-FR"/>
        </w:rPr>
        <w:t>material</w:t>
      </w:r>
      <w:proofErr w:type="spellEnd"/>
      <w:r>
        <w:rPr>
          <w:lang w:val="fr-FR"/>
        </w:rPr>
        <w:t xml:space="preserve"> </w:t>
      </w:r>
      <w:proofErr w:type="spellStart"/>
      <w:r>
        <w:rPr>
          <w:lang w:val="fr-FR"/>
        </w:rPr>
        <w:t>básico</w:t>
      </w:r>
      <w:proofErr w:type="spellEnd"/>
      <w:r>
        <w:rPr>
          <w:lang w:val="fr-FR"/>
        </w:rPr>
        <w:t> » pouvant signifier que le produit en question a certaines propriétés chimiques, ce qui n’est pas le cas en l’espèce, l’Argentine et l’Espagne ont considéré qu’il serait plus adapté de la remplacer et d’employer systématiquement « </w:t>
      </w:r>
      <w:proofErr w:type="spellStart"/>
      <w:r>
        <w:rPr>
          <w:lang w:val="fr-FR"/>
        </w:rPr>
        <w:t>material</w:t>
      </w:r>
      <w:proofErr w:type="spellEnd"/>
      <w:r>
        <w:rPr>
          <w:lang w:val="fr-FR"/>
        </w:rPr>
        <w:t xml:space="preserve"> de base ». Le Groupe propose donc d’utiliser cette formulation dans l’ensemble du Règlement type, de la même façon que cela a déjà été fait dans les Instructions techniques.</w:t>
      </w:r>
    </w:p>
    <w:p w14:paraId="36F7C14D" w14:textId="77777777" w:rsidR="00FC5E76" w:rsidRPr="00C21F94" w:rsidRDefault="00FC5E76" w:rsidP="00FC5E76">
      <w:pPr>
        <w:pStyle w:val="SingleTxtG"/>
        <w:rPr>
          <w:lang w:val="fr-FR"/>
        </w:rPr>
      </w:pPr>
      <w:r>
        <w:rPr>
          <w:lang w:val="fr-FR"/>
        </w:rPr>
        <w:t>7.</w:t>
      </w:r>
      <w:r>
        <w:rPr>
          <w:lang w:val="fr-FR"/>
        </w:rPr>
        <w:tab/>
        <w:t xml:space="preserve">Tous les changements pertinents sont énumérés dans la proposition qui suit. Les modifications proposées concordent avec les amendements à </w:t>
      </w:r>
      <w:r w:rsidRPr="00E57DAF">
        <w:rPr>
          <w:lang w:val="fr-FR"/>
        </w:rPr>
        <w:t xml:space="preserve">la version espagnole des Instructions techniques </w:t>
      </w:r>
      <w:r>
        <w:rPr>
          <w:lang w:val="fr-FR"/>
        </w:rPr>
        <w:t xml:space="preserve">adoptés par le Groupe d’experts sur les marchandises dangereuses de l’OACI (voir le </w:t>
      </w:r>
      <w:proofErr w:type="spellStart"/>
      <w:r>
        <w:rPr>
          <w:lang w:val="fr-FR"/>
        </w:rPr>
        <w:t>Flimsy</w:t>
      </w:r>
      <w:proofErr w:type="spellEnd"/>
      <w:r>
        <w:rPr>
          <w:lang w:val="fr-FR"/>
        </w:rPr>
        <w:t xml:space="preserve"> n</w:t>
      </w:r>
      <w:r w:rsidRPr="007F5469">
        <w:rPr>
          <w:vertAlign w:val="superscript"/>
          <w:lang w:val="fr-FR"/>
        </w:rPr>
        <w:t>o</w:t>
      </w:r>
      <w:r>
        <w:rPr>
          <w:lang w:val="fr-FR"/>
        </w:rPr>
        <w:t xml:space="preserve"> 8 de la vingt-huitième réunion du Groupe d’experts de l’OACI).</w:t>
      </w:r>
    </w:p>
    <w:p w14:paraId="59BF7259" w14:textId="77777777" w:rsidR="00FC5E76" w:rsidRPr="00C21F94" w:rsidRDefault="00FC5E76" w:rsidP="00FC5E76">
      <w:pPr>
        <w:pStyle w:val="HChG"/>
        <w:rPr>
          <w:lang w:val="fr-FR"/>
        </w:rPr>
      </w:pPr>
      <w:r>
        <w:rPr>
          <w:lang w:val="fr-FR"/>
        </w:rPr>
        <w:tab/>
      </w:r>
      <w:r>
        <w:rPr>
          <w:lang w:val="fr-FR"/>
        </w:rPr>
        <w:tab/>
        <w:t>Propositions</w:t>
      </w:r>
    </w:p>
    <w:p w14:paraId="2092B632" w14:textId="77777777" w:rsidR="00FC5E76" w:rsidRPr="00C21F94" w:rsidRDefault="00FC5E76" w:rsidP="00FC5E76">
      <w:pPr>
        <w:pStyle w:val="H1G"/>
        <w:rPr>
          <w:lang w:val="fr-FR"/>
        </w:rPr>
      </w:pPr>
      <w:r>
        <w:rPr>
          <w:lang w:val="fr-FR"/>
        </w:rPr>
        <w:tab/>
      </w:r>
      <w:r>
        <w:rPr>
          <w:lang w:val="fr-FR"/>
        </w:rPr>
        <w:tab/>
        <w:t>Proposition 1</w:t>
      </w:r>
    </w:p>
    <w:p w14:paraId="37646B4A" w14:textId="799495B3" w:rsidR="00FC5E76" w:rsidRPr="00C21F94" w:rsidRDefault="00FC5E76" w:rsidP="00FC5E76">
      <w:pPr>
        <w:pStyle w:val="SingleTxtG"/>
        <w:rPr>
          <w:lang w:val="fr-FR"/>
        </w:rPr>
      </w:pPr>
      <w:r>
        <w:rPr>
          <w:lang w:val="fr-FR"/>
        </w:rPr>
        <w:t>8.</w:t>
      </w:r>
      <w:r>
        <w:rPr>
          <w:lang w:val="fr-FR"/>
        </w:rPr>
        <w:tab/>
        <w:t xml:space="preserve">L’Espagne propose de modifier de la façon suivante, dans la version espagnole du Règlement type, le nom et la description des Nos ONU 3269 et 3527 </w:t>
      </w:r>
      <w:proofErr w:type="gramStart"/>
      <w:r>
        <w:rPr>
          <w:lang w:val="fr-FR"/>
        </w:rPr>
        <w:t>figurant</w:t>
      </w:r>
      <w:proofErr w:type="gramEnd"/>
      <w:r>
        <w:rPr>
          <w:lang w:val="fr-FR"/>
        </w:rPr>
        <w:t xml:space="preserve"> dans la colonne</w:t>
      </w:r>
      <w:r w:rsidR="002B279D">
        <w:rPr>
          <w:lang w:val="fr-FR"/>
        </w:rPr>
        <w:t> </w:t>
      </w:r>
      <w:r>
        <w:rPr>
          <w:lang w:val="fr-FR"/>
        </w:rPr>
        <w:t>(2) de la liste des marchandises dangereuses du chapitre 3.2 et dans l’index alphabétique (les ajouts figurent en caractères gras et soulignés)</w:t>
      </w:r>
      <w:r w:rsidR="002B279D">
        <w:rPr>
          <w:lang w:val="fr-FR"/>
        </w:rPr>
        <w:t> </w:t>
      </w:r>
      <w:r>
        <w:rPr>
          <w:lang w:val="fr-FR"/>
        </w:rPr>
        <w:t>:</w:t>
      </w:r>
    </w:p>
    <w:p w14:paraId="2274C888" w14:textId="5A2D6391" w:rsidR="00FC5E76" w:rsidRPr="00C21F94" w:rsidRDefault="002B279D" w:rsidP="002B279D">
      <w:pPr>
        <w:pStyle w:val="SingleTxtG"/>
        <w:tabs>
          <w:tab w:val="clear" w:pos="1701"/>
          <w:tab w:val="clear" w:pos="2268"/>
        </w:tabs>
        <w:ind w:left="2552" w:hanging="1418"/>
        <w:rPr>
          <w:lang w:val="es-ES"/>
        </w:rPr>
      </w:pPr>
      <w:proofErr w:type="gramStart"/>
      <w:r w:rsidRPr="002B279D">
        <w:rPr>
          <w:lang w:val="es-ES"/>
        </w:rPr>
        <w:t>« </w:t>
      </w:r>
      <w:proofErr w:type="spellStart"/>
      <w:r w:rsidR="00FC5E76" w:rsidRPr="00C21F94">
        <w:rPr>
          <w:lang w:val="es-ES"/>
        </w:rPr>
        <w:t>Nº</w:t>
      </w:r>
      <w:proofErr w:type="spellEnd"/>
      <w:proofErr w:type="gramEnd"/>
      <w:r w:rsidR="00FC5E76" w:rsidRPr="00C21F94">
        <w:rPr>
          <w:lang w:val="es-ES"/>
        </w:rPr>
        <w:t xml:space="preserve"> ONU</w:t>
      </w:r>
      <w:r w:rsidR="00FC5E76" w:rsidRPr="00C21F94">
        <w:rPr>
          <w:lang w:val="es-ES"/>
        </w:rPr>
        <w:tab/>
        <w:t>Nombre y descripción</w:t>
      </w:r>
    </w:p>
    <w:p w14:paraId="753DCA4B" w14:textId="5175D016" w:rsidR="00FC5E76" w:rsidRPr="00C21F94" w:rsidRDefault="00FC5E76" w:rsidP="002B279D">
      <w:pPr>
        <w:pStyle w:val="SingleTxtG"/>
        <w:tabs>
          <w:tab w:val="clear" w:pos="1701"/>
          <w:tab w:val="clear" w:pos="2268"/>
        </w:tabs>
        <w:ind w:left="2552" w:hanging="1418"/>
        <w:rPr>
          <w:lang w:val="es-ES"/>
        </w:rPr>
      </w:pPr>
      <w:r w:rsidRPr="00C21F94">
        <w:rPr>
          <w:lang w:val="es-ES"/>
        </w:rPr>
        <w:t>(1)</w:t>
      </w:r>
      <w:r w:rsidRPr="00C21F94">
        <w:rPr>
          <w:lang w:val="es-ES"/>
        </w:rPr>
        <w:tab/>
        <w:t>(2)</w:t>
      </w:r>
    </w:p>
    <w:p w14:paraId="5E86849F" w14:textId="2A88CAC1" w:rsidR="00FC5E76" w:rsidRPr="00C21F94" w:rsidRDefault="00FC5E76" w:rsidP="002B279D">
      <w:pPr>
        <w:pStyle w:val="SingleTxtG"/>
        <w:tabs>
          <w:tab w:val="clear" w:pos="1701"/>
          <w:tab w:val="clear" w:pos="2268"/>
        </w:tabs>
        <w:ind w:left="2552" w:hanging="1418"/>
        <w:rPr>
          <w:lang w:val="es-ES"/>
        </w:rPr>
      </w:pPr>
      <w:r w:rsidRPr="00C21F94">
        <w:rPr>
          <w:lang w:val="es-ES"/>
        </w:rPr>
        <w:t>3269</w:t>
      </w:r>
      <w:r w:rsidR="002B279D">
        <w:rPr>
          <w:lang w:val="es-ES"/>
        </w:rPr>
        <w:tab/>
      </w:r>
      <w:r w:rsidRPr="00C21F94">
        <w:rPr>
          <w:lang w:val="es-ES"/>
        </w:rPr>
        <w:t xml:space="preserve">BOLSA DE RESINA POLIESTÉRICA, material </w:t>
      </w:r>
      <w:r w:rsidRPr="00C7341C">
        <w:rPr>
          <w:strike/>
          <w:lang w:val="es-ES"/>
        </w:rPr>
        <w:t>básico</w:t>
      </w:r>
      <w:r w:rsidRPr="00C21F94">
        <w:rPr>
          <w:lang w:val="es-ES"/>
        </w:rPr>
        <w:t xml:space="preserve"> </w:t>
      </w:r>
      <w:r w:rsidRPr="00C7341C">
        <w:rPr>
          <w:b/>
          <w:bCs/>
          <w:u w:val="single"/>
          <w:lang w:val="es-ES"/>
        </w:rPr>
        <w:t>de base</w:t>
      </w:r>
      <w:r w:rsidRPr="00C21F94">
        <w:rPr>
          <w:lang w:val="es-ES"/>
        </w:rPr>
        <w:t xml:space="preserve"> líquido</w:t>
      </w:r>
    </w:p>
    <w:p w14:paraId="699ABED2" w14:textId="42A949E5" w:rsidR="00FC5E76" w:rsidRPr="002B279D" w:rsidRDefault="00FC5E76" w:rsidP="002B279D">
      <w:pPr>
        <w:pStyle w:val="SingleTxtG"/>
        <w:tabs>
          <w:tab w:val="clear" w:pos="1701"/>
          <w:tab w:val="clear" w:pos="2268"/>
        </w:tabs>
        <w:ind w:left="2552" w:hanging="1418"/>
        <w:rPr>
          <w:lang w:val="es-ES"/>
        </w:rPr>
      </w:pPr>
      <w:r w:rsidRPr="00C21F94">
        <w:rPr>
          <w:lang w:val="es-ES"/>
        </w:rPr>
        <w:t>3527</w:t>
      </w:r>
      <w:r w:rsidRPr="00C21F94">
        <w:rPr>
          <w:lang w:val="es-ES"/>
        </w:rPr>
        <w:tab/>
        <w:t xml:space="preserve">BOLSA DE RESINA POLIESTÉRICA, material </w:t>
      </w:r>
      <w:r w:rsidRPr="00C7341C">
        <w:rPr>
          <w:strike/>
          <w:lang w:val="es-ES"/>
        </w:rPr>
        <w:t>básico</w:t>
      </w:r>
      <w:r w:rsidRPr="00C21F94">
        <w:rPr>
          <w:lang w:val="es-ES"/>
        </w:rPr>
        <w:t xml:space="preserve"> </w:t>
      </w:r>
      <w:r w:rsidRPr="00C7341C">
        <w:rPr>
          <w:b/>
          <w:bCs/>
          <w:u w:val="single"/>
          <w:lang w:val="es-ES"/>
        </w:rPr>
        <w:t xml:space="preserve">de base </w:t>
      </w:r>
      <w:proofErr w:type="gramStart"/>
      <w:r w:rsidRPr="00C21F94">
        <w:rPr>
          <w:lang w:val="es-ES"/>
        </w:rPr>
        <w:t>sólido</w:t>
      </w:r>
      <w:r w:rsidR="002B279D" w:rsidRPr="002B279D">
        <w:rPr>
          <w:lang w:val="es-ES"/>
        </w:rPr>
        <w:t> »</w:t>
      </w:r>
      <w:proofErr w:type="gramEnd"/>
    </w:p>
    <w:p w14:paraId="7097702D" w14:textId="77777777" w:rsidR="00FC5E76" w:rsidRPr="00C21F94" w:rsidRDefault="00FC5E76" w:rsidP="002B279D">
      <w:pPr>
        <w:pStyle w:val="H1G"/>
        <w:rPr>
          <w:lang w:val="fr-FR"/>
        </w:rPr>
      </w:pPr>
      <w:r w:rsidRPr="00C21F94">
        <w:rPr>
          <w:lang w:val="es-ES"/>
        </w:rPr>
        <w:tab/>
      </w:r>
      <w:r w:rsidRPr="00C21F94">
        <w:rPr>
          <w:lang w:val="es-ES"/>
        </w:rPr>
        <w:tab/>
      </w:r>
      <w:r>
        <w:rPr>
          <w:lang w:val="fr-FR"/>
        </w:rPr>
        <w:t>Proposition 2</w:t>
      </w:r>
    </w:p>
    <w:p w14:paraId="7CB77225" w14:textId="77777777" w:rsidR="00FC5E76" w:rsidRPr="00C21F94" w:rsidRDefault="00FC5E76" w:rsidP="00FC5E76">
      <w:pPr>
        <w:pStyle w:val="SingleTxtG"/>
        <w:ind w:firstLine="6"/>
        <w:rPr>
          <w:lang w:val="fr-FR"/>
        </w:rPr>
      </w:pPr>
      <w:r>
        <w:rPr>
          <w:lang w:val="fr-FR"/>
        </w:rPr>
        <w:t>9.</w:t>
      </w:r>
      <w:r>
        <w:rPr>
          <w:lang w:val="fr-FR"/>
        </w:rPr>
        <w:tab/>
        <w:t>L’Espagne propose également de modifier, au chapitre 3.3, le texte de la disposition spéciale 236 pour l’harmoniser avec la première proposition.</w:t>
      </w:r>
    </w:p>
    <w:p w14:paraId="24A2E2C4" w14:textId="081AE129" w:rsidR="00FC5E76" w:rsidRDefault="002B279D" w:rsidP="00FC5E76">
      <w:pPr>
        <w:pStyle w:val="SingleTxtG"/>
        <w:tabs>
          <w:tab w:val="clear" w:pos="1701"/>
          <w:tab w:val="clear" w:pos="2268"/>
          <w:tab w:val="clear" w:pos="2835"/>
        </w:tabs>
        <w:ind w:left="1701"/>
        <w:rPr>
          <w:lang w:val="es-ES"/>
        </w:rPr>
      </w:pPr>
      <w:proofErr w:type="gramStart"/>
      <w:r w:rsidRPr="002B279D">
        <w:rPr>
          <w:lang w:val="es-ES"/>
        </w:rPr>
        <w:t>« </w:t>
      </w:r>
      <w:r w:rsidR="00FC5E76">
        <w:rPr>
          <w:lang w:val="es-ES"/>
        </w:rPr>
        <w:t>236</w:t>
      </w:r>
      <w:proofErr w:type="gramEnd"/>
      <w:r w:rsidR="00FC5E76">
        <w:rPr>
          <w:lang w:val="es-ES"/>
        </w:rPr>
        <w:tab/>
      </w:r>
      <w:r w:rsidR="00FC5E76" w:rsidRPr="0097147D">
        <w:rPr>
          <w:lang w:val="es-ES"/>
        </w:rPr>
        <w:t xml:space="preserve">Las bolsas de resina </w:t>
      </w:r>
      <w:proofErr w:type="spellStart"/>
      <w:r w:rsidR="00FC5E76" w:rsidRPr="0097147D">
        <w:rPr>
          <w:lang w:val="es-ES"/>
        </w:rPr>
        <w:t>poliestérica</w:t>
      </w:r>
      <w:proofErr w:type="spellEnd"/>
      <w:r w:rsidR="00FC5E76" w:rsidRPr="0097147D">
        <w:rPr>
          <w:lang w:val="es-ES"/>
        </w:rPr>
        <w:t xml:space="preserve"> tienen dos componentes: un material </w:t>
      </w:r>
      <w:r w:rsidR="00FC5E76" w:rsidRPr="0097147D">
        <w:rPr>
          <w:strike/>
          <w:lang w:val="es-ES"/>
        </w:rPr>
        <w:t>básico</w:t>
      </w:r>
      <w:r w:rsidR="00FC5E76">
        <w:rPr>
          <w:lang w:val="es-ES"/>
        </w:rPr>
        <w:t xml:space="preserve"> </w:t>
      </w:r>
      <w:r w:rsidR="00FC5E76" w:rsidRPr="0077418B">
        <w:rPr>
          <w:b/>
          <w:bCs/>
          <w:u w:val="single"/>
          <w:lang w:val="es-ES"/>
        </w:rPr>
        <w:t>de base</w:t>
      </w:r>
      <w:r w:rsidR="00FC5E76" w:rsidRPr="0097147D">
        <w:rPr>
          <w:lang w:val="es-ES"/>
        </w:rPr>
        <w:t xml:space="preserve"> (ya sea de la clase 3 o de la división 4.1, grupo de embalaje/envase II o III) y un activador (peróxido orgánico). El </w:t>
      </w:r>
      <w:r w:rsidR="00FC5E76" w:rsidRPr="00E50D12">
        <w:rPr>
          <w:lang w:val="es-ES"/>
        </w:rPr>
        <w:t>peróxido orgánico será de los</w:t>
      </w:r>
      <w:r w:rsidR="00FC5E76" w:rsidRPr="0097147D">
        <w:rPr>
          <w:lang w:val="es-ES"/>
        </w:rPr>
        <w:t xml:space="preserve"> tipos D, E o F y no requerirá regulación de temperatura. El grupo de embalaje/envase será el II o el III, conforme a los criterios de la clase 3 o de la división 4.1, según corresponda, aplicados al material </w:t>
      </w:r>
      <w:r w:rsidR="00FC5E76" w:rsidRPr="0097147D">
        <w:rPr>
          <w:strike/>
          <w:lang w:val="es-ES"/>
        </w:rPr>
        <w:t>básico</w:t>
      </w:r>
      <w:r w:rsidR="00FC5E76">
        <w:rPr>
          <w:lang w:val="es-ES"/>
        </w:rPr>
        <w:t xml:space="preserve"> </w:t>
      </w:r>
      <w:r w:rsidR="00FC5E76" w:rsidRPr="001321AD">
        <w:rPr>
          <w:b/>
          <w:u w:val="single"/>
          <w:lang w:val="es-ES"/>
        </w:rPr>
        <w:t>de base</w:t>
      </w:r>
      <w:r w:rsidR="00FC5E76" w:rsidRPr="0097147D">
        <w:rPr>
          <w:lang w:val="es-ES"/>
        </w:rPr>
        <w:t xml:space="preserve">. El límite de cantidad consignado en la columna 7a de la lista de mercancías peligrosas del capítulo 3.2 se aplica al material </w:t>
      </w:r>
      <w:r w:rsidR="00FC5E76" w:rsidRPr="0097147D">
        <w:rPr>
          <w:strike/>
          <w:lang w:val="es-ES"/>
        </w:rPr>
        <w:t>básico</w:t>
      </w:r>
      <w:r w:rsidR="00FC5E76">
        <w:rPr>
          <w:lang w:val="es-ES"/>
        </w:rPr>
        <w:t xml:space="preserve"> </w:t>
      </w:r>
      <w:r w:rsidR="00FC5E76" w:rsidRPr="0077418B">
        <w:rPr>
          <w:b/>
          <w:bCs/>
          <w:u w:val="single"/>
          <w:lang w:val="es-ES"/>
        </w:rPr>
        <w:t>de base</w:t>
      </w:r>
      <w:proofErr w:type="gramStart"/>
      <w:r w:rsidR="00FC5E76" w:rsidRPr="0097147D">
        <w:rPr>
          <w:lang w:val="es-ES"/>
        </w:rPr>
        <w:t>.</w:t>
      </w:r>
      <w:r w:rsidRPr="002B279D">
        <w:rPr>
          <w:lang w:val="es-ES"/>
        </w:rPr>
        <w:t> »</w:t>
      </w:r>
      <w:proofErr w:type="gramEnd"/>
      <w:r>
        <w:rPr>
          <w:lang w:val="es-ES"/>
        </w:rPr>
        <w:t>.</w:t>
      </w:r>
    </w:p>
    <w:p w14:paraId="080C8A06" w14:textId="73B399E5" w:rsidR="00446FE5" w:rsidRPr="002B279D" w:rsidRDefault="00FC5E76" w:rsidP="00FC5E76">
      <w:pPr>
        <w:pStyle w:val="SingleTxtG"/>
        <w:spacing w:before="240" w:after="0"/>
        <w:jc w:val="center"/>
        <w:rPr>
          <w:u w:val="single"/>
          <w:lang w:val="es-ES"/>
        </w:rPr>
      </w:pPr>
      <w:r w:rsidRPr="002B279D">
        <w:rPr>
          <w:u w:val="single"/>
          <w:lang w:val="es-ES"/>
        </w:rPr>
        <w:tab/>
      </w:r>
      <w:r w:rsidRPr="002B279D">
        <w:rPr>
          <w:u w:val="single"/>
          <w:lang w:val="es-ES"/>
        </w:rPr>
        <w:tab/>
      </w:r>
      <w:r w:rsidRPr="002B279D">
        <w:rPr>
          <w:u w:val="single"/>
          <w:lang w:val="es-ES"/>
        </w:rPr>
        <w:tab/>
      </w:r>
    </w:p>
    <w:sectPr w:rsidR="00446FE5" w:rsidRPr="002B279D" w:rsidSect="00FC5E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5122" w14:textId="77777777" w:rsidR="00975572" w:rsidRDefault="00975572" w:rsidP="00F95C08">
      <w:pPr>
        <w:spacing w:line="240" w:lineRule="auto"/>
      </w:pPr>
    </w:p>
  </w:endnote>
  <w:endnote w:type="continuationSeparator" w:id="0">
    <w:p w14:paraId="61D26813" w14:textId="77777777" w:rsidR="00975572" w:rsidRPr="00AC3823" w:rsidRDefault="00975572" w:rsidP="00AC3823">
      <w:pPr>
        <w:pStyle w:val="Footer"/>
      </w:pPr>
    </w:p>
  </w:endnote>
  <w:endnote w:type="continuationNotice" w:id="1">
    <w:p w14:paraId="03330675" w14:textId="77777777" w:rsidR="00975572" w:rsidRDefault="009755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BA2" w14:textId="49A3C463" w:rsidR="00FC5E76" w:rsidRPr="00FC5E76" w:rsidRDefault="00FC5E76" w:rsidP="00FC5E76">
    <w:pPr>
      <w:pStyle w:val="Footer"/>
      <w:tabs>
        <w:tab w:val="right" w:pos="9638"/>
      </w:tabs>
    </w:pPr>
    <w:r w:rsidRPr="00FC5E76">
      <w:rPr>
        <w:b/>
        <w:sz w:val="18"/>
      </w:rPr>
      <w:fldChar w:fldCharType="begin"/>
    </w:r>
    <w:r w:rsidRPr="00FC5E76">
      <w:rPr>
        <w:b/>
        <w:sz w:val="18"/>
      </w:rPr>
      <w:instrText xml:space="preserve"> PAGE  \* MERGEFORMAT </w:instrText>
    </w:r>
    <w:r w:rsidRPr="00FC5E76">
      <w:rPr>
        <w:b/>
        <w:sz w:val="18"/>
      </w:rPr>
      <w:fldChar w:fldCharType="separate"/>
    </w:r>
    <w:r w:rsidRPr="00FC5E76">
      <w:rPr>
        <w:b/>
        <w:noProof/>
        <w:sz w:val="18"/>
      </w:rPr>
      <w:t>2</w:t>
    </w:r>
    <w:r w:rsidRPr="00FC5E76">
      <w:rPr>
        <w:b/>
        <w:sz w:val="18"/>
      </w:rPr>
      <w:fldChar w:fldCharType="end"/>
    </w:r>
    <w:r>
      <w:rPr>
        <w:b/>
        <w:sz w:val="18"/>
      </w:rPr>
      <w:tab/>
    </w:r>
    <w:r>
      <w:t>GE.22-03583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9EDF" w14:textId="3C08CCC8" w:rsidR="00FC5E76" w:rsidRPr="00FC5E76" w:rsidRDefault="00FC5E76" w:rsidP="00FC5E76">
    <w:pPr>
      <w:pStyle w:val="Footer"/>
      <w:tabs>
        <w:tab w:val="right" w:pos="9638"/>
      </w:tabs>
      <w:rPr>
        <w:b/>
        <w:sz w:val="18"/>
      </w:rPr>
    </w:pPr>
    <w:r>
      <w:t>GE.22-03583</w:t>
    </w:r>
    <w:r>
      <w:tab/>
    </w:r>
    <w:r w:rsidRPr="00FC5E76">
      <w:rPr>
        <w:b/>
        <w:sz w:val="18"/>
      </w:rPr>
      <w:fldChar w:fldCharType="begin"/>
    </w:r>
    <w:r w:rsidRPr="00FC5E76">
      <w:rPr>
        <w:b/>
        <w:sz w:val="18"/>
      </w:rPr>
      <w:instrText xml:space="preserve"> PAGE  \* MERGEFORMAT </w:instrText>
    </w:r>
    <w:r w:rsidRPr="00FC5E76">
      <w:rPr>
        <w:b/>
        <w:sz w:val="18"/>
      </w:rPr>
      <w:fldChar w:fldCharType="separate"/>
    </w:r>
    <w:r w:rsidRPr="00FC5E76">
      <w:rPr>
        <w:b/>
        <w:noProof/>
        <w:sz w:val="18"/>
      </w:rPr>
      <w:t>3</w:t>
    </w:r>
    <w:r w:rsidRPr="00FC5E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5119" w14:textId="6E12FE28" w:rsidR="0068456F" w:rsidRPr="00FC5E76" w:rsidRDefault="00FC5E76" w:rsidP="00FC5E7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3772BCE" wp14:editId="094E8B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03583  (</w:t>
    </w:r>
    <w:proofErr w:type="gramEnd"/>
    <w:r>
      <w:rPr>
        <w:sz w:val="20"/>
      </w:rPr>
      <w:t>F)</w:t>
    </w:r>
    <w:r>
      <w:rPr>
        <w:noProof/>
        <w:sz w:val="20"/>
      </w:rPr>
      <w:drawing>
        <wp:anchor distT="0" distB="0" distL="114300" distR="114300" simplePos="0" relativeHeight="251660288" behindDoc="0" locked="0" layoutInCell="1" allowOverlap="1" wp14:anchorId="639A0215" wp14:editId="0002BA4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79D">
      <w:rPr>
        <w:sz w:val="20"/>
      </w:rPr>
      <w:t xml:space="preserve">    010422    010422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8855" w14:textId="77777777" w:rsidR="00975572" w:rsidRPr="00AC3823" w:rsidRDefault="00975572" w:rsidP="00AC3823">
      <w:pPr>
        <w:pStyle w:val="Footer"/>
        <w:tabs>
          <w:tab w:val="right" w:pos="2155"/>
        </w:tabs>
        <w:spacing w:after="80" w:line="240" w:lineRule="atLeast"/>
        <w:ind w:left="680"/>
        <w:rPr>
          <w:u w:val="single"/>
        </w:rPr>
      </w:pPr>
      <w:r>
        <w:rPr>
          <w:u w:val="single"/>
        </w:rPr>
        <w:tab/>
      </w:r>
    </w:p>
  </w:footnote>
  <w:footnote w:type="continuationSeparator" w:id="0">
    <w:p w14:paraId="2C52DA2A" w14:textId="77777777" w:rsidR="00975572" w:rsidRPr="00AC3823" w:rsidRDefault="00975572" w:rsidP="00AC3823">
      <w:pPr>
        <w:pStyle w:val="Footer"/>
        <w:tabs>
          <w:tab w:val="right" w:pos="2155"/>
        </w:tabs>
        <w:spacing w:after="80" w:line="240" w:lineRule="atLeast"/>
        <w:ind w:left="680"/>
        <w:rPr>
          <w:u w:val="single"/>
        </w:rPr>
      </w:pPr>
      <w:r>
        <w:rPr>
          <w:u w:val="single"/>
        </w:rPr>
        <w:tab/>
      </w:r>
    </w:p>
  </w:footnote>
  <w:footnote w:type="continuationNotice" w:id="1">
    <w:p w14:paraId="666E0CA8" w14:textId="77777777" w:rsidR="00975572" w:rsidRPr="00AC3823" w:rsidRDefault="00975572">
      <w:pPr>
        <w:spacing w:line="240" w:lineRule="auto"/>
        <w:rPr>
          <w:sz w:val="2"/>
          <w:szCs w:val="2"/>
        </w:rPr>
      </w:pPr>
    </w:p>
  </w:footnote>
  <w:footnote w:id="2">
    <w:p w14:paraId="5E90F2FE" w14:textId="125D340F" w:rsidR="002B279D" w:rsidRPr="002B279D" w:rsidRDefault="002B279D">
      <w:pPr>
        <w:pStyle w:val="FootnoteText"/>
      </w:pPr>
      <w:r>
        <w:rPr>
          <w:rStyle w:val="FootnoteReference"/>
        </w:rPr>
        <w:tab/>
      </w:r>
      <w:r w:rsidRPr="002B279D">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2284" w14:textId="77F3778C" w:rsidR="00FC5E76" w:rsidRPr="00FC5E76" w:rsidRDefault="00975572">
    <w:pPr>
      <w:pStyle w:val="Header"/>
    </w:pPr>
    <w:r>
      <w:fldChar w:fldCharType="begin"/>
    </w:r>
    <w:r>
      <w:instrText xml:space="preserve"> TITLE  \* MERGEFORMAT </w:instrText>
    </w:r>
    <w:r>
      <w:fldChar w:fldCharType="separate"/>
    </w:r>
    <w:r w:rsidR="00AD4E5A">
      <w:t>ST/SG/AC.10/C.3/2022/2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0CDC" w14:textId="37EC12B7" w:rsidR="00FC5E76" w:rsidRPr="00FC5E76" w:rsidRDefault="00975572" w:rsidP="00FC5E76">
    <w:pPr>
      <w:pStyle w:val="Header"/>
      <w:jc w:val="right"/>
    </w:pPr>
    <w:r>
      <w:fldChar w:fldCharType="begin"/>
    </w:r>
    <w:r>
      <w:instrText xml:space="preserve"> TITLE  \* MERGEFORMAT </w:instrText>
    </w:r>
    <w:r>
      <w:fldChar w:fldCharType="separate"/>
    </w:r>
    <w:r w:rsidR="00AD4E5A">
      <w:t>ST/SG/AC.10/C.3/2022/2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FB"/>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B279D"/>
    <w:rsid w:val="002D7C93"/>
    <w:rsid w:val="0037111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75572"/>
    <w:rsid w:val="009C1CF4"/>
    <w:rsid w:val="00A30353"/>
    <w:rsid w:val="00A81281"/>
    <w:rsid w:val="00AC3823"/>
    <w:rsid w:val="00AD4E5A"/>
    <w:rsid w:val="00AE323C"/>
    <w:rsid w:val="00B00181"/>
    <w:rsid w:val="00B00B0D"/>
    <w:rsid w:val="00B765F7"/>
    <w:rsid w:val="00BA0CA9"/>
    <w:rsid w:val="00C02897"/>
    <w:rsid w:val="00D3439C"/>
    <w:rsid w:val="00DB1831"/>
    <w:rsid w:val="00DD3BFD"/>
    <w:rsid w:val="00DF6678"/>
    <w:rsid w:val="00E86EFB"/>
    <w:rsid w:val="00EF2E22"/>
    <w:rsid w:val="00F01738"/>
    <w:rsid w:val="00F13236"/>
    <w:rsid w:val="00F660DF"/>
    <w:rsid w:val="00F730C8"/>
    <w:rsid w:val="00F95C08"/>
    <w:rsid w:val="00FC5E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61EB2"/>
  <w15:docId w15:val="{EC8562F9-31FF-4CA1-A7FB-2447E9AD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FC5E76"/>
    <w:rPr>
      <w:rFonts w:ascii="Times New Roman" w:eastAsiaTheme="minorHAnsi" w:hAnsi="Times New Roman" w:cs="Times New Roman"/>
      <w:b/>
      <w:sz w:val="24"/>
      <w:szCs w:val="20"/>
      <w:lang w:eastAsia="en-US"/>
    </w:rPr>
  </w:style>
  <w:style w:type="character" w:customStyle="1" w:styleId="HChGChar">
    <w:name w:val="_ H _Ch_G Char"/>
    <w:link w:val="HChG"/>
    <w:qFormat/>
    <w:rsid w:val="00FC5E7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FC5E7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F7C47-6BFE-4848-96ED-C48B63CC32DE}"/>
</file>

<file path=customXml/itemProps2.xml><?xml version="1.0" encoding="utf-8"?>
<ds:datastoreItem xmlns:ds="http://schemas.openxmlformats.org/officeDocument/2006/customXml" ds:itemID="{B1E2D864-6A83-47A1-8E9A-D330B778E43F}"/>
</file>

<file path=customXml/itemProps3.xml><?xml version="1.0" encoding="utf-8"?>
<ds:datastoreItem xmlns:ds="http://schemas.openxmlformats.org/officeDocument/2006/customXml" ds:itemID="{5ABD2D28-361F-47DD-A2CF-5F400DADC489}"/>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ST/SG/AC.10/C.3/2022/2</vt:lpstr>
    </vt:vector>
  </TitlesOfParts>
  <Company>DCM</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dc:title>
  <dc:subject/>
  <dc:creator>Sandrine CLERE</dc:creator>
  <cp:keywords/>
  <cp:lastModifiedBy>Laurence Berthet</cp:lastModifiedBy>
  <cp:revision>3</cp:revision>
  <cp:lastPrinted>2022-04-01T11:01:00Z</cp:lastPrinted>
  <dcterms:created xsi:type="dcterms:W3CDTF">2022-04-01T11:01:00Z</dcterms:created>
  <dcterms:modified xsi:type="dcterms:W3CDTF">2022-04-01T11:01:00Z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