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8B8D73" w14:textId="77777777" w:rsidTr="006476E1">
        <w:trPr>
          <w:trHeight w:val="851"/>
        </w:trPr>
        <w:tc>
          <w:tcPr>
            <w:tcW w:w="1259" w:type="dxa"/>
            <w:tcBorders>
              <w:top w:val="nil"/>
              <w:left w:val="nil"/>
              <w:bottom w:val="single" w:sz="4" w:space="0" w:color="auto"/>
              <w:right w:val="nil"/>
            </w:tcBorders>
          </w:tcPr>
          <w:p w14:paraId="008F78E0" w14:textId="77777777" w:rsidR="00E52109" w:rsidRPr="002A32CB" w:rsidRDefault="00E52109" w:rsidP="004858F5"/>
        </w:tc>
        <w:tc>
          <w:tcPr>
            <w:tcW w:w="2236" w:type="dxa"/>
            <w:tcBorders>
              <w:top w:val="nil"/>
              <w:left w:val="nil"/>
              <w:bottom w:val="single" w:sz="4" w:space="0" w:color="auto"/>
              <w:right w:val="nil"/>
            </w:tcBorders>
            <w:vAlign w:val="bottom"/>
          </w:tcPr>
          <w:p w14:paraId="1B1CE26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61F4C" w14:textId="298347D4" w:rsidR="00E52109" w:rsidRDefault="00500F3B" w:rsidP="00500F3B">
            <w:pPr>
              <w:suppressAutoHyphens w:val="0"/>
              <w:jc w:val="right"/>
            </w:pPr>
            <w:r w:rsidRPr="00500F3B">
              <w:rPr>
                <w:sz w:val="40"/>
              </w:rPr>
              <w:t>ST</w:t>
            </w:r>
            <w:r>
              <w:t>/SG/AC.10/C.3/2022/</w:t>
            </w:r>
            <w:r w:rsidR="00AA46FB">
              <w:t>25</w:t>
            </w:r>
          </w:p>
        </w:tc>
      </w:tr>
      <w:tr w:rsidR="00E52109" w14:paraId="096E9036" w14:textId="77777777" w:rsidTr="006476E1">
        <w:trPr>
          <w:trHeight w:val="2835"/>
        </w:trPr>
        <w:tc>
          <w:tcPr>
            <w:tcW w:w="1259" w:type="dxa"/>
            <w:tcBorders>
              <w:top w:val="single" w:sz="4" w:space="0" w:color="auto"/>
              <w:left w:val="nil"/>
              <w:bottom w:val="single" w:sz="12" w:space="0" w:color="auto"/>
              <w:right w:val="nil"/>
            </w:tcBorders>
          </w:tcPr>
          <w:p w14:paraId="1FBE470D" w14:textId="77777777" w:rsidR="00E52109" w:rsidRDefault="00E52109" w:rsidP="006476E1">
            <w:pPr>
              <w:spacing w:before="120"/>
              <w:jc w:val="center"/>
            </w:pPr>
            <w:r>
              <w:rPr>
                <w:noProof/>
                <w:lang w:val="fr-CH" w:eastAsia="fr-CH"/>
              </w:rPr>
              <w:drawing>
                <wp:inline distT="0" distB="0" distL="0" distR="0" wp14:anchorId="7F553F98" wp14:editId="0475B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B882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2D0E1F" w14:textId="77777777" w:rsidR="00D94B05" w:rsidRDefault="00500F3B" w:rsidP="00500F3B">
            <w:pPr>
              <w:suppressAutoHyphens w:val="0"/>
              <w:spacing w:before="240" w:line="240" w:lineRule="exact"/>
            </w:pPr>
            <w:r>
              <w:t>Distr.: General</w:t>
            </w:r>
          </w:p>
          <w:p w14:paraId="0B8087CE" w14:textId="2F1EEB4F" w:rsidR="00500F3B" w:rsidRDefault="007D17AF" w:rsidP="00500F3B">
            <w:pPr>
              <w:suppressAutoHyphens w:val="0"/>
              <w:spacing w:line="240" w:lineRule="exact"/>
            </w:pPr>
            <w:r>
              <w:t>7</w:t>
            </w:r>
            <w:r w:rsidR="00500F3B">
              <w:t xml:space="preserve"> April 2022</w:t>
            </w:r>
          </w:p>
          <w:p w14:paraId="15DA7B7D" w14:textId="77777777" w:rsidR="00500F3B" w:rsidRDefault="00500F3B" w:rsidP="00500F3B">
            <w:pPr>
              <w:suppressAutoHyphens w:val="0"/>
              <w:spacing w:line="240" w:lineRule="exact"/>
            </w:pPr>
          </w:p>
          <w:p w14:paraId="7E6525F8" w14:textId="79C021DB" w:rsidR="00500F3B" w:rsidRDefault="00500F3B" w:rsidP="00500F3B">
            <w:pPr>
              <w:suppressAutoHyphens w:val="0"/>
              <w:spacing w:line="240" w:lineRule="exact"/>
            </w:pPr>
            <w:r>
              <w:t>Original: English</w:t>
            </w:r>
          </w:p>
        </w:tc>
      </w:tr>
    </w:tbl>
    <w:p w14:paraId="1521A70B" w14:textId="77777777" w:rsidR="00500F3B" w:rsidRPr="006500BA" w:rsidRDefault="00500F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712175B" w14:textId="77777777" w:rsidR="00500F3B" w:rsidRPr="006500BA" w:rsidRDefault="00500F3B" w:rsidP="004858F5">
      <w:pPr>
        <w:spacing w:before="120"/>
        <w:rPr>
          <w:rFonts w:ascii="Helv" w:hAnsi="Helv" w:cs="Helv"/>
          <w:b/>
          <w:color w:val="000000"/>
        </w:rPr>
      </w:pPr>
      <w:r w:rsidRPr="006500BA">
        <w:rPr>
          <w:b/>
        </w:rPr>
        <w:t xml:space="preserve">Sub-Committee of Experts on the </w:t>
      </w:r>
      <w:r>
        <w:rPr>
          <w:b/>
        </w:rPr>
        <w:t>Transport of Dangerous Goods</w:t>
      </w:r>
    </w:p>
    <w:p w14:paraId="753494AB" w14:textId="77777777" w:rsidR="00FF0C14" w:rsidRDefault="00FF0C14" w:rsidP="00FF0C14">
      <w:pPr>
        <w:spacing w:before="120"/>
        <w:rPr>
          <w:b/>
        </w:rPr>
      </w:pPr>
      <w:r>
        <w:rPr>
          <w:b/>
        </w:rPr>
        <w:t>Sixtieth session</w:t>
      </w:r>
    </w:p>
    <w:p w14:paraId="30DEA153" w14:textId="7D3862AC" w:rsidR="00500F3B" w:rsidRPr="006500BA" w:rsidRDefault="00FF0C14" w:rsidP="00FF0C14">
      <w:r>
        <w:t>Geneva, 27 June-6 July 2022</w:t>
      </w:r>
    </w:p>
    <w:p w14:paraId="67DFCD0F" w14:textId="51C90356" w:rsidR="00500F3B" w:rsidRPr="006500BA" w:rsidRDefault="00500F3B" w:rsidP="004858F5">
      <w:r w:rsidRPr="006500BA">
        <w:t xml:space="preserve">Item </w:t>
      </w:r>
      <w:r w:rsidR="00FF0C14">
        <w:t>3</w:t>
      </w:r>
      <w:r w:rsidRPr="006500BA">
        <w:t xml:space="preserve"> of the provisional agenda</w:t>
      </w:r>
    </w:p>
    <w:p w14:paraId="542DA24E" w14:textId="307F2492" w:rsidR="00AF5DE1" w:rsidRDefault="00FF0C14" w:rsidP="004858F5">
      <w:pPr>
        <w:rPr>
          <w:b/>
          <w:bCs/>
        </w:rPr>
      </w:pPr>
      <w:r w:rsidRPr="00FF0C14">
        <w:rPr>
          <w:b/>
          <w:bCs/>
        </w:rPr>
        <w:t xml:space="preserve">Listing, </w:t>
      </w:r>
      <w:proofErr w:type="gramStart"/>
      <w:r w:rsidRPr="00FF0C14">
        <w:rPr>
          <w:b/>
          <w:bCs/>
        </w:rPr>
        <w:t>classification</w:t>
      </w:r>
      <w:proofErr w:type="gramEnd"/>
      <w:r w:rsidRPr="00FF0C14">
        <w:rPr>
          <w:b/>
          <w:bCs/>
        </w:rPr>
        <w:t xml:space="preserve"> and packing</w:t>
      </w:r>
    </w:p>
    <w:p w14:paraId="7A654ED8" w14:textId="468C560E" w:rsidR="00CC14CE" w:rsidRDefault="00CC14CE" w:rsidP="00CC14CE">
      <w:pPr>
        <w:pStyle w:val="HChG"/>
      </w:pPr>
      <w:r>
        <w:tab/>
      </w:r>
      <w:r>
        <w:tab/>
        <w:t xml:space="preserve">Fire </w:t>
      </w:r>
      <w:r w:rsidRPr="00CC14CE">
        <w:t>suppression</w:t>
      </w:r>
      <w:r>
        <w:t xml:space="preserve"> devices that contain a pyrotechnic material</w:t>
      </w:r>
    </w:p>
    <w:p w14:paraId="1B8EB832" w14:textId="59B68740" w:rsidR="00CC14CE" w:rsidRDefault="00CC14CE" w:rsidP="00CC14CE">
      <w:pPr>
        <w:pStyle w:val="H1G"/>
      </w:pPr>
      <w:r>
        <w:tab/>
      </w:r>
      <w:r>
        <w:tab/>
      </w:r>
      <w:r w:rsidR="00827FF1">
        <w:t>Submitted</w:t>
      </w:r>
      <w:r w:rsidRPr="001D4FE3">
        <w:t xml:space="preserve"> by the Council </w:t>
      </w:r>
      <w:proofErr w:type="gramStart"/>
      <w:r w:rsidRPr="001D4FE3">
        <w:t>On</w:t>
      </w:r>
      <w:proofErr w:type="gramEnd"/>
      <w:r w:rsidRPr="001D4FE3">
        <w:t xml:space="preserve"> Safe Transportation of Hazardous Articles </w:t>
      </w:r>
      <w:r>
        <w:t>(</w:t>
      </w:r>
      <w:r w:rsidRPr="001D4FE3">
        <w:t>COSTHA</w:t>
      </w:r>
      <w:r>
        <w:t>)</w:t>
      </w:r>
      <w:r w:rsidR="006C73E8">
        <w:rPr>
          <w:rStyle w:val="FootnoteReference"/>
        </w:rPr>
        <w:footnoteReference w:id="2"/>
      </w:r>
    </w:p>
    <w:p w14:paraId="4E70B045" w14:textId="73FEC877" w:rsidR="00CC14CE" w:rsidRPr="005B4D05" w:rsidRDefault="00CC14CE" w:rsidP="006C73E8">
      <w:pPr>
        <w:pStyle w:val="HChG"/>
        <w:ind w:left="0" w:firstLine="0"/>
      </w:pPr>
      <w:r>
        <w:tab/>
      </w:r>
      <w:r>
        <w:tab/>
      </w:r>
      <w:r w:rsidRPr="005B4D05">
        <w:t>Introduction</w:t>
      </w:r>
    </w:p>
    <w:p w14:paraId="310726CA" w14:textId="3C68CBDD" w:rsidR="00574064" w:rsidRPr="005962D0" w:rsidRDefault="005962D0" w:rsidP="005962D0">
      <w:pPr>
        <w:pStyle w:val="SingleTxtG"/>
      </w:pPr>
      <w:r>
        <w:tab/>
        <w:t>1.</w:t>
      </w:r>
      <w:r>
        <w:tab/>
      </w:r>
      <w:r w:rsidR="00574064" w:rsidRPr="005962D0">
        <w:t xml:space="preserve">In response to multiple discussions, beginning in the </w:t>
      </w:r>
      <w:r w:rsidR="00D35418">
        <w:t>fifty-fifth</w:t>
      </w:r>
      <w:r w:rsidR="00574064" w:rsidRPr="005962D0">
        <w:t xml:space="preserve"> session</w:t>
      </w:r>
      <w:r w:rsidR="004415AC">
        <w:t xml:space="preserve"> of the Sub-Commit</w:t>
      </w:r>
      <w:r w:rsidR="009B0E3F">
        <w:t>t</w:t>
      </w:r>
      <w:r w:rsidR="004415AC">
        <w:t>ee</w:t>
      </w:r>
      <w:r w:rsidR="00574064" w:rsidRPr="005962D0">
        <w:t xml:space="preserve"> and the work presented by France and the Explosives Working Group, we are respectfully submitting this proposal for a new entry to the dangerous goods table for </w:t>
      </w:r>
      <w:r w:rsidR="002457BF">
        <w:t>f</w:t>
      </w:r>
      <w:r w:rsidR="00574064" w:rsidRPr="005962D0">
        <w:t xml:space="preserve">ire </w:t>
      </w:r>
      <w:r w:rsidR="002457BF">
        <w:t>s</w:t>
      </w:r>
      <w:r w:rsidR="00574064" w:rsidRPr="005962D0">
        <w:t xml:space="preserve">uppression </w:t>
      </w:r>
      <w:r w:rsidR="002457BF">
        <w:t>d</w:t>
      </w:r>
      <w:r w:rsidR="00574064" w:rsidRPr="005962D0">
        <w:t xml:space="preserve">ispersing </w:t>
      </w:r>
      <w:r w:rsidR="002457BF">
        <w:t>d</w:t>
      </w:r>
      <w:r w:rsidR="00574064" w:rsidRPr="005962D0">
        <w:t>evices. With the ever-increasing number of these devices being transported as cargo and used within the transport sector, it is important to have a consistent method of classification and handling. These devices directly support life and safety of passengers and operators of vehicles as well as inhabitants and property in facilities around the world.</w:t>
      </w:r>
    </w:p>
    <w:p w14:paraId="7E2FEA75" w14:textId="4D5DB1E6" w:rsidR="00574064" w:rsidRPr="005962D0" w:rsidRDefault="005962D0" w:rsidP="005962D0">
      <w:pPr>
        <w:pStyle w:val="SingleTxtG"/>
      </w:pPr>
      <w:r>
        <w:tab/>
        <w:t>2.</w:t>
      </w:r>
      <w:r>
        <w:tab/>
      </w:r>
      <w:r w:rsidR="00574064" w:rsidRPr="005962D0">
        <w:t xml:space="preserve">Numerous working </w:t>
      </w:r>
      <w:r w:rsidR="00D947D6">
        <w:t>documents</w:t>
      </w:r>
      <w:r w:rsidR="00574064" w:rsidRPr="005962D0">
        <w:t xml:space="preserve"> and informal documents have been submitted expressing the need for a method to safely transport fire suppression dispersing devices in a consistent manner across the global dangerous goods safety system. These devices are becoming more and more common as fire extinguishing solutions for buses, trains, trucks, vessels, planes as well as </w:t>
      </w:r>
      <w:proofErr w:type="gramStart"/>
      <w:r w:rsidR="00574064" w:rsidRPr="005962D0">
        <w:t>stationary</w:t>
      </w:r>
      <w:proofErr w:type="gramEnd"/>
      <w:r w:rsidR="00574064" w:rsidRPr="005962D0">
        <w:t xml:space="preserve"> and storage facilities due to their ability to extinguish fires without destroying the surrounding environment. Previous submissions on this topic include</w:t>
      </w:r>
      <w:r w:rsidR="008D4B8E">
        <w:t xml:space="preserve"> documents</w:t>
      </w:r>
      <w:r w:rsidR="00574064" w:rsidRPr="005962D0">
        <w:t>:</w:t>
      </w:r>
    </w:p>
    <w:p w14:paraId="6A188603" w14:textId="77777777" w:rsidR="00AE472E" w:rsidRPr="005B4D05" w:rsidRDefault="00AE472E" w:rsidP="008D4B8E">
      <w:pPr>
        <w:pStyle w:val="Bullet1G"/>
        <w:spacing w:after="0"/>
        <w:rPr>
          <w:lang w:val="en-US"/>
        </w:rPr>
      </w:pPr>
      <w:r w:rsidRPr="005B4D05">
        <w:rPr>
          <w:lang w:val="en-US"/>
        </w:rPr>
        <w:t>ST/SG/AC.10/C.3/2019/61</w:t>
      </w:r>
    </w:p>
    <w:p w14:paraId="49DA184D" w14:textId="77777777" w:rsidR="00AE472E" w:rsidRPr="005B4D05" w:rsidRDefault="00AE472E" w:rsidP="008D4B8E">
      <w:pPr>
        <w:pStyle w:val="Bullet1G"/>
        <w:spacing w:after="0"/>
        <w:rPr>
          <w:lang w:val="en-US"/>
        </w:rPr>
      </w:pPr>
      <w:r w:rsidRPr="005B4D05">
        <w:rPr>
          <w:lang w:val="en-US"/>
        </w:rPr>
        <w:t>UN/SCETDG/56/INF.28</w:t>
      </w:r>
    </w:p>
    <w:p w14:paraId="4EE31B70" w14:textId="77777777" w:rsidR="00AE472E" w:rsidRDefault="00AE472E" w:rsidP="008D4B8E">
      <w:pPr>
        <w:pStyle w:val="Bullet1G"/>
        <w:spacing w:after="0"/>
        <w:rPr>
          <w:lang w:val="en-US"/>
        </w:rPr>
      </w:pPr>
      <w:r w:rsidRPr="005B4D05">
        <w:rPr>
          <w:lang w:val="en-US"/>
        </w:rPr>
        <w:t>UN/SCETDG/56/INF.51</w:t>
      </w:r>
    </w:p>
    <w:p w14:paraId="79A06CE1" w14:textId="77777777" w:rsidR="00AE472E" w:rsidRPr="005B4D05" w:rsidRDefault="00AE472E" w:rsidP="008D4B8E">
      <w:pPr>
        <w:pStyle w:val="Bullet1G"/>
        <w:spacing w:after="0"/>
        <w:rPr>
          <w:lang w:val="en-US"/>
        </w:rPr>
      </w:pPr>
      <w:r>
        <w:rPr>
          <w:lang w:val="en-US"/>
        </w:rPr>
        <w:t>ST/SG/AC.10/C.3/2020/25</w:t>
      </w:r>
    </w:p>
    <w:p w14:paraId="1A7DE1BC" w14:textId="77777777" w:rsidR="00AE472E" w:rsidRPr="005B4D05" w:rsidRDefault="00AE472E" w:rsidP="008D4B8E">
      <w:pPr>
        <w:pStyle w:val="Bullet1G"/>
        <w:spacing w:after="0"/>
        <w:rPr>
          <w:lang w:val="en-US"/>
        </w:rPr>
      </w:pPr>
      <w:r w:rsidRPr="005B4D05">
        <w:rPr>
          <w:lang w:val="en-US"/>
        </w:rPr>
        <w:t>UN/SCETDG/59/INF.3</w:t>
      </w:r>
    </w:p>
    <w:p w14:paraId="6A49B5A6" w14:textId="77777777" w:rsidR="00AE472E" w:rsidRDefault="00AE472E" w:rsidP="008D4B8E">
      <w:pPr>
        <w:pStyle w:val="Bullet1G"/>
        <w:spacing w:after="0"/>
        <w:rPr>
          <w:lang w:val="en-US"/>
        </w:rPr>
      </w:pPr>
      <w:r w:rsidRPr="005B4D05">
        <w:rPr>
          <w:lang w:val="en-US"/>
        </w:rPr>
        <w:t>UN/SCETDG/59/INF.32</w:t>
      </w:r>
    </w:p>
    <w:p w14:paraId="1023F0AA" w14:textId="47EE7EB6" w:rsidR="005B5ADD" w:rsidRPr="005B4D05" w:rsidRDefault="005B5ADD" w:rsidP="005B5ADD">
      <w:pPr>
        <w:pStyle w:val="HChG"/>
        <w:rPr>
          <w:lang w:val="en-US"/>
        </w:rPr>
      </w:pPr>
      <w:r>
        <w:rPr>
          <w:lang w:val="en-US"/>
        </w:rPr>
        <w:lastRenderedPageBreak/>
        <w:tab/>
      </w:r>
      <w:r>
        <w:rPr>
          <w:lang w:val="en-US"/>
        </w:rPr>
        <w:tab/>
      </w:r>
      <w:r w:rsidRPr="005B4D05">
        <w:rPr>
          <w:lang w:val="en-US"/>
        </w:rPr>
        <w:t>Comments</w:t>
      </w:r>
    </w:p>
    <w:p w14:paraId="6A4E12D5" w14:textId="49295EC2" w:rsidR="005B5ADD" w:rsidRDefault="00DD6AFB" w:rsidP="005B5ADD">
      <w:pPr>
        <w:pStyle w:val="SingleTxtG"/>
        <w:rPr>
          <w:lang w:val="en-US"/>
        </w:rPr>
      </w:pPr>
      <w:r>
        <w:rPr>
          <w:lang w:val="en-US"/>
        </w:rPr>
        <w:tab/>
        <w:t>3.</w:t>
      </w:r>
      <w:r>
        <w:rPr>
          <w:lang w:val="en-US"/>
        </w:rPr>
        <w:tab/>
      </w:r>
      <w:r w:rsidR="005B5ADD" w:rsidRPr="00183C67">
        <w:rPr>
          <w:lang w:val="en-US"/>
        </w:rPr>
        <w:t xml:space="preserve">As discussed in previous submissions, the fire suppression dispersing devices have a negligible risk associated with their transport as cargo. These devices typically operate on the actuation of pyrotechnic substance that burns slowly and disperses aerosols or other particles that extinguish fires, including fires related to lithium battery thermal runaway. </w:t>
      </w:r>
      <w:r w:rsidR="005B5ADD">
        <w:rPr>
          <w:lang w:val="en-US"/>
        </w:rPr>
        <w:t>Many countries have provided exceptions and classifications that are not recognized by others, which causes difficulty and confusion within the global transport chain.</w:t>
      </w:r>
    </w:p>
    <w:p w14:paraId="2C5D18C7" w14:textId="426879AB" w:rsidR="005B5ADD" w:rsidRDefault="00736959" w:rsidP="005B5ADD">
      <w:pPr>
        <w:pStyle w:val="SingleTxtG"/>
        <w:rPr>
          <w:lang w:val="en-US"/>
        </w:rPr>
      </w:pPr>
      <w:r>
        <w:rPr>
          <w:lang w:val="en-US"/>
        </w:rPr>
        <w:tab/>
        <w:t>4.</w:t>
      </w:r>
      <w:r>
        <w:rPr>
          <w:lang w:val="en-US"/>
        </w:rPr>
        <w:tab/>
      </w:r>
      <w:r w:rsidR="005B5ADD">
        <w:rPr>
          <w:lang w:val="en-US"/>
        </w:rPr>
        <w:t>To date, the following countries have acted upon exception or classification requests:</w:t>
      </w:r>
    </w:p>
    <w:tbl>
      <w:tblPr>
        <w:tblStyle w:val="TableGrid"/>
        <w:tblW w:w="0" w:type="auto"/>
        <w:tblInd w:w="1129" w:type="dxa"/>
        <w:tblLook w:val="04A0" w:firstRow="1" w:lastRow="0" w:firstColumn="1" w:lastColumn="0" w:noHBand="0" w:noVBand="1"/>
      </w:tblPr>
      <w:tblGrid>
        <w:gridCol w:w="1843"/>
        <w:gridCol w:w="2126"/>
        <w:gridCol w:w="4253"/>
      </w:tblGrid>
      <w:tr w:rsidR="005247D9" w:rsidRPr="005247D9" w14:paraId="34CBC4F6" w14:textId="77777777" w:rsidTr="002A35E0">
        <w:tc>
          <w:tcPr>
            <w:tcW w:w="1843" w:type="dxa"/>
          </w:tcPr>
          <w:p w14:paraId="3B140C6A" w14:textId="77777777" w:rsidR="005247D9" w:rsidRPr="005247D9" w:rsidRDefault="005247D9" w:rsidP="00937380">
            <w:pPr>
              <w:jc w:val="center"/>
              <w:rPr>
                <w:b/>
                <w:bCs/>
                <w:sz w:val="18"/>
                <w:szCs w:val="18"/>
              </w:rPr>
            </w:pPr>
            <w:r w:rsidRPr="005247D9">
              <w:rPr>
                <w:b/>
                <w:bCs/>
                <w:sz w:val="18"/>
                <w:szCs w:val="18"/>
              </w:rPr>
              <w:t>Competent Authority</w:t>
            </w:r>
          </w:p>
        </w:tc>
        <w:tc>
          <w:tcPr>
            <w:tcW w:w="2126" w:type="dxa"/>
          </w:tcPr>
          <w:p w14:paraId="0B2D211E" w14:textId="77777777" w:rsidR="005247D9" w:rsidRPr="005247D9" w:rsidRDefault="005247D9" w:rsidP="00937380">
            <w:pPr>
              <w:jc w:val="center"/>
              <w:rPr>
                <w:b/>
                <w:bCs/>
                <w:sz w:val="18"/>
                <w:szCs w:val="18"/>
              </w:rPr>
            </w:pPr>
            <w:r w:rsidRPr="005247D9">
              <w:rPr>
                <w:b/>
                <w:bCs/>
                <w:sz w:val="18"/>
                <w:szCs w:val="18"/>
              </w:rPr>
              <w:t>Action</w:t>
            </w:r>
          </w:p>
        </w:tc>
        <w:tc>
          <w:tcPr>
            <w:tcW w:w="4253" w:type="dxa"/>
          </w:tcPr>
          <w:p w14:paraId="5D5C30DF" w14:textId="77777777" w:rsidR="005247D9" w:rsidRPr="005247D9" w:rsidRDefault="005247D9" w:rsidP="00B05D0B">
            <w:pPr>
              <w:ind w:left="144"/>
              <w:jc w:val="center"/>
              <w:rPr>
                <w:b/>
                <w:bCs/>
                <w:sz w:val="18"/>
                <w:szCs w:val="18"/>
              </w:rPr>
            </w:pPr>
            <w:r w:rsidRPr="005247D9">
              <w:rPr>
                <w:b/>
                <w:bCs/>
                <w:sz w:val="18"/>
                <w:szCs w:val="18"/>
              </w:rPr>
              <w:t>Result</w:t>
            </w:r>
          </w:p>
        </w:tc>
      </w:tr>
      <w:tr w:rsidR="005247D9" w:rsidRPr="005247D9" w14:paraId="39BB8B16" w14:textId="77777777" w:rsidTr="002A35E0">
        <w:tc>
          <w:tcPr>
            <w:tcW w:w="1843" w:type="dxa"/>
          </w:tcPr>
          <w:p w14:paraId="084FE511" w14:textId="12C5BFEB" w:rsidR="005247D9" w:rsidRPr="005247D9" w:rsidRDefault="005247D9" w:rsidP="00937380">
            <w:pPr>
              <w:jc w:val="center"/>
              <w:rPr>
                <w:sz w:val="18"/>
                <w:szCs w:val="18"/>
              </w:rPr>
            </w:pPr>
            <w:r w:rsidRPr="005247D9">
              <w:rPr>
                <w:sz w:val="18"/>
                <w:szCs w:val="18"/>
              </w:rPr>
              <w:t>United States</w:t>
            </w:r>
            <w:r w:rsidR="00FF2F89">
              <w:rPr>
                <w:sz w:val="18"/>
                <w:szCs w:val="18"/>
              </w:rPr>
              <w:t xml:space="preserve"> of America</w:t>
            </w:r>
          </w:p>
        </w:tc>
        <w:tc>
          <w:tcPr>
            <w:tcW w:w="2126" w:type="dxa"/>
          </w:tcPr>
          <w:p w14:paraId="7C136C87" w14:textId="77777777" w:rsidR="005247D9" w:rsidRPr="005247D9" w:rsidRDefault="005247D9" w:rsidP="00937380">
            <w:pPr>
              <w:jc w:val="center"/>
              <w:rPr>
                <w:sz w:val="18"/>
                <w:szCs w:val="18"/>
              </w:rPr>
            </w:pPr>
            <w:r w:rsidRPr="005247D9">
              <w:rPr>
                <w:sz w:val="18"/>
                <w:szCs w:val="18"/>
              </w:rPr>
              <w:t>Granted regulatory waiver</w:t>
            </w:r>
          </w:p>
        </w:tc>
        <w:tc>
          <w:tcPr>
            <w:tcW w:w="4253" w:type="dxa"/>
          </w:tcPr>
          <w:p w14:paraId="10376F75" w14:textId="77777777" w:rsidR="005247D9" w:rsidRPr="005247D9" w:rsidRDefault="005247D9" w:rsidP="00B05D0B">
            <w:pPr>
              <w:ind w:left="144"/>
              <w:rPr>
                <w:sz w:val="18"/>
                <w:szCs w:val="18"/>
              </w:rPr>
            </w:pPr>
            <w:r w:rsidRPr="005247D9">
              <w:rPr>
                <w:sz w:val="18"/>
                <w:szCs w:val="18"/>
              </w:rPr>
              <w:t>Authorizing the transport of fire suppression dispersing devices as Class 9, including on Cargo Air</w:t>
            </w:r>
          </w:p>
        </w:tc>
      </w:tr>
      <w:tr w:rsidR="005247D9" w:rsidRPr="005247D9" w14:paraId="301A7A22" w14:textId="77777777" w:rsidTr="002A35E0">
        <w:tc>
          <w:tcPr>
            <w:tcW w:w="1843" w:type="dxa"/>
          </w:tcPr>
          <w:p w14:paraId="6AD38B94" w14:textId="77777777" w:rsidR="005247D9" w:rsidRPr="005247D9" w:rsidRDefault="005247D9" w:rsidP="00937380">
            <w:pPr>
              <w:jc w:val="center"/>
              <w:rPr>
                <w:sz w:val="18"/>
                <w:szCs w:val="18"/>
              </w:rPr>
            </w:pPr>
            <w:r w:rsidRPr="005247D9">
              <w:rPr>
                <w:sz w:val="18"/>
                <w:szCs w:val="18"/>
              </w:rPr>
              <w:t>France</w:t>
            </w:r>
          </w:p>
        </w:tc>
        <w:tc>
          <w:tcPr>
            <w:tcW w:w="2126" w:type="dxa"/>
          </w:tcPr>
          <w:p w14:paraId="509E9CA2" w14:textId="77777777" w:rsidR="005247D9" w:rsidRPr="005247D9" w:rsidRDefault="005247D9" w:rsidP="00937380">
            <w:pPr>
              <w:jc w:val="center"/>
              <w:rPr>
                <w:sz w:val="18"/>
                <w:szCs w:val="18"/>
              </w:rPr>
            </w:pPr>
            <w:r w:rsidRPr="005247D9">
              <w:rPr>
                <w:sz w:val="18"/>
                <w:szCs w:val="18"/>
              </w:rPr>
              <w:t>Granted classification approval</w:t>
            </w:r>
          </w:p>
        </w:tc>
        <w:tc>
          <w:tcPr>
            <w:tcW w:w="4253" w:type="dxa"/>
          </w:tcPr>
          <w:p w14:paraId="6FEBD408" w14:textId="77777777" w:rsidR="005247D9" w:rsidRPr="005247D9" w:rsidRDefault="005247D9" w:rsidP="00B05D0B">
            <w:pPr>
              <w:ind w:left="144"/>
              <w:rPr>
                <w:sz w:val="18"/>
                <w:szCs w:val="18"/>
              </w:rPr>
            </w:pPr>
            <w:r w:rsidRPr="005247D9">
              <w:rPr>
                <w:sz w:val="18"/>
                <w:szCs w:val="18"/>
              </w:rPr>
              <w:t>Authorizes fire suppression dispersing devices as:</w:t>
            </w:r>
          </w:p>
          <w:p w14:paraId="4532274C" w14:textId="77777777" w:rsidR="005247D9" w:rsidRPr="005247D9" w:rsidRDefault="005247D9" w:rsidP="00B05D0B">
            <w:pPr>
              <w:ind w:left="144"/>
              <w:rPr>
                <w:sz w:val="18"/>
                <w:szCs w:val="18"/>
              </w:rPr>
            </w:pPr>
            <w:r w:rsidRPr="005247D9">
              <w:rPr>
                <w:sz w:val="18"/>
                <w:szCs w:val="18"/>
              </w:rPr>
              <w:t>UN 3268, Safety Devices, Class 9</w:t>
            </w:r>
          </w:p>
        </w:tc>
      </w:tr>
      <w:tr w:rsidR="005247D9" w:rsidRPr="005247D9" w14:paraId="32107BBF" w14:textId="77777777" w:rsidTr="002A35E0">
        <w:tc>
          <w:tcPr>
            <w:tcW w:w="1843" w:type="dxa"/>
          </w:tcPr>
          <w:p w14:paraId="02CC36EF" w14:textId="77777777" w:rsidR="005247D9" w:rsidRPr="005247D9" w:rsidRDefault="005247D9" w:rsidP="00937380">
            <w:pPr>
              <w:jc w:val="center"/>
              <w:rPr>
                <w:sz w:val="18"/>
                <w:szCs w:val="18"/>
              </w:rPr>
            </w:pPr>
            <w:r w:rsidRPr="005247D9">
              <w:rPr>
                <w:sz w:val="18"/>
                <w:szCs w:val="18"/>
              </w:rPr>
              <w:t>Netherlands</w:t>
            </w:r>
          </w:p>
        </w:tc>
        <w:tc>
          <w:tcPr>
            <w:tcW w:w="2126" w:type="dxa"/>
          </w:tcPr>
          <w:p w14:paraId="6F64145C" w14:textId="2CC2BEB5" w:rsidR="005247D9" w:rsidRPr="005247D9" w:rsidRDefault="005247D9" w:rsidP="00937380">
            <w:pPr>
              <w:jc w:val="center"/>
              <w:rPr>
                <w:sz w:val="18"/>
                <w:szCs w:val="18"/>
              </w:rPr>
            </w:pPr>
            <w:r w:rsidRPr="005247D9">
              <w:rPr>
                <w:sz w:val="18"/>
                <w:szCs w:val="18"/>
              </w:rPr>
              <w:t>Fire suppression dispersing device found to be not regulated by the ADR</w:t>
            </w:r>
          </w:p>
        </w:tc>
        <w:tc>
          <w:tcPr>
            <w:tcW w:w="4253" w:type="dxa"/>
          </w:tcPr>
          <w:p w14:paraId="6D6E0DB3" w14:textId="77777777" w:rsidR="005247D9" w:rsidRPr="005247D9" w:rsidRDefault="005247D9" w:rsidP="00B05D0B">
            <w:pPr>
              <w:ind w:left="144"/>
              <w:rPr>
                <w:sz w:val="18"/>
                <w:szCs w:val="18"/>
              </w:rPr>
            </w:pPr>
            <w:r w:rsidRPr="005247D9">
              <w:rPr>
                <w:sz w:val="18"/>
                <w:szCs w:val="18"/>
              </w:rPr>
              <w:t xml:space="preserve">The Netherlands determined that the mixture in the unit was not a pyrotechnic mixture since the effect was aerosol formation. The aerosol emitted included alkali and alkaline metals that worked to extinguish fires. </w:t>
            </w:r>
          </w:p>
        </w:tc>
      </w:tr>
      <w:tr w:rsidR="005247D9" w:rsidRPr="005247D9" w14:paraId="77827393" w14:textId="77777777" w:rsidTr="002A35E0">
        <w:tc>
          <w:tcPr>
            <w:tcW w:w="1843" w:type="dxa"/>
          </w:tcPr>
          <w:p w14:paraId="3D6821A2" w14:textId="77777777" w:rsidR="005247D9" w:rsidRPr="005247D9" w:rsidRDefault="005247D9" w:rsidP="00937380">
            <w:pPr>
              <w:jc w:val="center"/>
              <w:rPr>
                <w:sz w:val="18"/>
                <w:szCs w:val="18"/>
              </w:rPr>
            </w:pPr>
            <w:r w:rsidRPr="005247D9">
              <w:rPr>
                <w:sz w:val="18"/>
                <w:szCs w:val="18"/>
              </w:rPr>
              <w:t>China</w:t>
            </w:r>
          </w:p>
        </w:tc>
        <w:tc>
          <w:tcPr>
            <w:tcW w:w="2126" w:type="dxa"/>
          </w:tcPr>
          <w:p w14:paraId="5EDF161F" w14:textId="77777777" w:rsidR="005247D9" w:rsidRPr="005247D9" w:rsidRDefault="005247D9" w:rsidP="00937380">
            <w:pPr>
              <w:jc w:val="center"/>
              <w:rPr>
                <w:sz w:val="18"/>
                <w:szCs w:val="18"/>
              </w:rPr>
            </w:pPr>
            <w:r w:rsidRPr="005247D9">
              <w:rPr>
                <w:sz w:val="18"/>
                <w:szCs w:val="18"/>
              </w:rPr>
              <w:t>Granted classification approval</w:t>
            </w:r>
          </w:p>
        </w:tc>
        <w:tc>
          <w:tcPr>
            <w:tcW w:w="4253" w:type="dxa"/>
          </w:tcPr>
          <w:p w14:paraId="2F608E09" w14:textId="77777777" w:rsidR="005247D9" w:rsidRPr="005247D9" w:rsidRDefault="005247D9" w:rsidP="00B05D0B">
            <w:pPr>
              <w:ind w:left="144"/>
              <w:rPr>
                <w:sz w:val="18"/>
                <w:szCs w:val="18"/>
              </w:rPr>
            </w:pPr>
            <w:r w:rsidRPr="005247D9">
              <w:rPr>
                <w:sz w:val="18"/>
                <w:szCs w:val="18"/>
              </w:rPr>
              <w:t>Authorizes fire suppression dispersing devices as:</w:t>
            </w:r>
          </w:p>
          <w:p w14:paraId="2635C2E4" w14:textId="77777777" w:rsidR="005247D9" w:rsidRPr="005247D9" w:rsidRDefault="005247D9" w:rsidP="00B05D0B">
            <w:pPr>
              <w:ind w:left="144"/>
              <w:rPr>
                <w:sz w:val="18"/>
                <w:szCs w:val="18"/>
              </w:rPr>
            </w:pPr>
            <w:r w:rsidRPr="005247D9">
              <w:rPr>
                <w:sz w:val="18"/>
                <w:szCs w:val="18"/>
              </w:rPr>
              <w:t>UN 3268, Safety Devices, Class 9</w:t>
            </w:r>
          </w:p>
        </w:tc>
      </w:tr>
      <w:tr w:rsidR="005247D9" w:rsidRPr="005247D9" w14:paraId="5695EED2" w14:textId="77777777" w:rsidTr="002A35E0">
        <w:tc>
          <w:tcPr>
            <w:tcW w:w="1843" w:type="dxa"/>
          </w:tcPr>
          <w:p w14:paraId="6298CAEE" w14:textId="77777777" w:rsidR="005247D9" w:rsidRPr="005247D9" w:rsidRDefault="005247D9" w:rsidP="00937380">
            <w:pPr>
              <w:jc w:val="center"/>
              <w:rPr>
                <w:sz w:val="18"/>
                <w:szCs w:val="18"/>
              </w:rPr>
            </w:pPr>
            <w:r w:rsidRPr="005247D9">
              <w:rPr>
                <w:sz w:val="18"/>
                <w:szCs w:val="18"/>
              </w:rPr>
              <w:t>Germany (BAM)</w:t>
            </w:r>
          </w:p>
        </w:tc>
        <w:tc>
          <w:tcPr>
            <w:tcW w:w="2126" w:type="dxa"/>
          </w:tcPr>
          <w:p w14:paraId="2187AEAD" w14:textId="09EA6468" w:rsidR="005247D9" w:rsidRPr="005247D9" w:rsidRDefault="005247D9" w:rsidP="00612488">
            <w:pPr>
              <w:jc w:val="center"/>
              <w:rPr>
                <w:sz w:val="18"/>
                <w:szCs w:val="18"/>
              </w:rPr>
            </w:pPr>
            <w:r w:rsidRPr="005247D9">
              <w:rPr>
                <w:sz w:val="18"/>
                <w:szCs w:val="18"/>
              </w:rPr>
              <w:t>Granted classification approval</w:t>
            </w:r>
          </w:p>
        </w:tc>
        <w:tc>
          <w:tcPr>
            <w:tcW w:w="4253" w:type="dxa"/>
          </w:tcPr>
          <w:p w14:paraId="6D44D679" w14:textId="77777777" w:rsidR="005247D9" w:rsidRPr="005247D9" w:rsidRDefault="005247D9" w:rsidP="00B05D0B">
            <w:pPr>
              <w:ind w:left="144"/>
              <w:rPr>
                <w:sz w:val="18"/>
                <w:szCs w:val="18"/>
              </w:rPr>
            </w:pPr>
            <w:r w:rsidRPr="005247D9">
              <w:rPr>
                <w:sz w:val="18"/>
                <w:szCs w:val="18"/>
              </w:rPr>
              <w:t>Authorizes fire suppression dispersing devices as:</w:t>
            </w:r>
          </w:p>
          <w:p w14:paraId="04E4BF92" w14:textId="77777777" w:rsidR="005247D9" w:rsidRPr="005247D9" w:rsidRDefault="005247D9" w:rsidP="00B05D0B">
            <w:pPr>
              <w:ind w:left="144"/>
              <w:rPr>
                <w:sz w:val="18"/>
                <w:szCs w:val="18"/>
              </w:rPr>
            </w:pPr>
            <w:r w:rsidRPr="005247D9">
              <w:rPr>
                <w:sz w:val="18"/>
                <w:szCs w:val="18"/>
              </w:rPr>
              <w:t>UN 3268, Safety Devices, Class 9</w:t>
            </w:r>
          </w:p>
        </w:tc>
      </w:tr>
      <w:tr w:rsidR="005247D9" w:rsidRPr="005247D9" w14:paraId="1958B910" w14:textId="77777777" w:rsidTr="002A35E0">
        <w:tc>
          <w:tcPr>
            <w:tcW w:w="1843" w:type="dxa"/>
            <w:shd w:val="clear" w:color="auto" w:fill="auto"/>
          </w:tcPr>
          <w:p w14:paraId="50F7E3A0" w14:textId="77777777" w:rsidR="005247D9" w:rsidRPr="005247D9" w:rsidRDefault="005247D9" w:rsidP="00937380">
            <w:pPr>
              <w:jc w:val="center"/>
              <w:rPr>
                <w:sz w:val="18"/>
                <w:szCs w:val="18"/>
              </w:rPr>
            </w:pPr>
            <w:r w:rsidRPr="005247D9">
              <w:rPr>
                <w:sz w:val="18"/>
                <w:szCs w:val="18"/>
              </w:rPr>
              <w:t>Russian Federation</w:t>
            </w:r>
          </w:p>
        </w:tc>
        <w:tc>
          <w:tcPr>
            <w:tcW w:w="2126" w:type="dxa"/>
            <w:shd w:val="clear" w:color="auto" w:fill="auto"/>
          </w:tcPr>
          <w:p w14:paraId="50E45C32" w14:textId="77777777" w:rsidR="005247D9" w:rsidRPr="005247D9" w:rsidRDefault="005247D9" w:rsidP="00937380">
            <w:pPr>
              <w:jc w:val="center"/>
              <w:rPr>
                <w:sz w:val="18"/>
                <w:szCs w:val="18"/>
              </w:rPr>
            </w:pPr>
            <w:r w:rsidRPr="005247D9">
              <w:rPr>
                <w:sz w:val="18"/>
                <w:szCs w:val="18"/>
              </w:rPr>
              <w:t>Granted classification approval</w:t>
            </w:r>
          </w:p>
        </w:tc>
        <w:tc>
          <w:tcPr>
            <w:tcW w:w="4253" w:type="dxa"/>
            <w:shd w:val="clear" w:color="auto" w:fill="auto"/>
          </w:tcPr>
          <w:p w14:paraId="63B1D9A8" w14:textId="77777777" w:rsidR="005247D9" w:rsidRPr="005247D9" w:rsidRDefault="005247D9" w:rsidP="00B05D0B">
            <w:pPr>
              <w:ind w:left="144"/>
              <w:rPr>
                <w:sz w:val="18"/>
                <w:szCs w:val="18"/>
              </w:rPr>
            </w:pPr>
            <w:r w:rsidRPr="005247D9">
              <w:rPr>
                <w:sz w:val="18"/>
                <w:szCs w:val="18"/>
              </w:rPr>
              <w:t>Authorizes fire suppression dispersing devices as:</w:t>
            </w:r>
          </w:p>
          <w:p w14:paraId="38F7E6A9" w14:textId="77777777" w:rsidR="005247D9" w:rsidRPr="005247D9" w:rsidRDefault="005247D9" w:rsidP="00B05D0B">
            <w:pPr>
              <w:ind w:left="144"/>
              <w:rPr>
                <w:sz w:val="18"/>
                <w:szCs w:val="18"/>
              </w:rPr>
            </w:pPr>
            <w:r w:rsidRPr="005247D9">
              <w:rPr>
                <w:sz w:val="18"/>
                <w:szCs w:val="18"/>
              </w:rPr>
              <w:t xml:space="preserve">UN 3335, Aviation regulated solid, </w:t>
            </w:r>
            <w:proofErr w:type="spellStart"/>
            <w:r w:rsidRPr="005247D9">
              <w:rPr>
                <w:sz w:val="18"/>
                <w:szCs w:val="18"/>
              </w:rPr>
              <w:t>n.o.s</w:t>
            </w:r>
            <w:proofErr w:type="spellEnd"/>
            <w:r w:rsidRPr="005247D9">
              <w:rPr>
                <w:sz w:val="18"/>
                <w:szCs w:val="18"/>
              </w:rPr>
              <w:t>.</w:t>
            </w:r>
          </w:p>
        </w:tc>
      </w:tr>
    </w:tbl>
    <w:p w14:paraId="31CF0810" w14:textId="4953D0CB" w:rsidR="00DD29EE" w:rsidRPr="00A15945" w:rsidRDefault="00DD29EE" w:rsidP="00DD29EE">
      <w:pPr>
        <w:pStyle w:val="SingleTxtG"/>
        <w:spacing w:before="240"/>
        <w:rPr>
          <w:lang w:val="en-US"/>
        </w:rPr>
      </w:pPr>
      <w:r>
        <w:tab/>
        <w:t>5.</w:t>
      </w:r>
      <w:r>
        <w:tab/>
        <w:t>When initially developed, many of these</w:t>
      </w:r>
      <w:r w:rsidRPr="00B17E2D">
        <w:t xml:space="preserve"> devices </w:t>
      </w:r>
      <w:r>
        <w:t>were</w:t>
      </w:r>
      <w:r w:rsidRPr="00B17E2D">
        <w:t xml:space="preserve"> primarily used in automotive applications (cars, buses</w:t>
      </w:r>
      <w:r>
        <w:t>, trains, vessels</w:t>
      </w:r>
      <w:r w:rsidR="00F6142E">
        <w:t>,</w:t>
      </w:r>
      <w:r>
        <w:t xml:space="preserve"> etc.)</w:t>
      </w:r>
      <w:r w:rsidRPr="00B17E2D">
        <w:t xml:space="preserve"> and in this case </w:t>
      </w:r>
      <w:r>
        <w:t>many competent authorities agreed that these devices</w:t>
      </w:r>
      <w:r w:rsidRPr="00B17E2D">
        <w:t xml:space="preserve"> fully meet the conditions to be assign to UN 3268. However, </w:t>
      </w:r>
      <w:r>
        <w:t>due to the safety and effectiveness of these devices, they are utilized more frequently in building fire protection systems. The use in buildings and other stationary applications has led to confusion as to whether devices classified as UN</w:t>
      </w:r>
      <w:r w:rsidR="00897446">
        <w:t xml:space="preserve"> </w:t>
      </w:r>
      <w:r>
        <w:t>3268 must always be used in vehicles or not.</w:t>
      </w:r>
    </w:p>
    <w:p w14:paraId="1ED56AF9" w14:textId="1BC96943" w:rsidR="00DD29EE" w:rsidRPr="00F24314" w:rsidRDefault="00DD29EE" w:rsidP="00DD29EE">
      <w:pPr>
        <w:pStyle w:val="SingleTxtG"/>
        <w:rPr>
          <w:lang w:val="en-US"/>
        </w:rPr>
      </w:pPr>
      <w:r>
        <w:tab/>
        <w:t>6.</w:t>
      </w:r>
      <w:r>
        <w:tab/>
        <w:t>These types of fire suppression dispersal devices are currently in use in many different vehicle types, including military vehicles, Eurostar trains, naval vessels, etc. Their use in these applications is based upon the significant advantages they provide:</w:t>
      </w:r>
    </w:p>
    <w:p w14:paraId="2755C75F" w14:textId="6DF85D9B" w:rsidR="000C6BD9" w:rsidRPr="00AD5B64" w:rsidRDefault="000C6BD9" w:rsidP="000F494E">
      <w:pPr>
        <w:pStyle w:val="Bullet1G"/>
        <w:spacing w:after="0"/>
        <w:rPr>
          <w:lang w:val="en-US"/>
        </w:rPr>
      </w:pPr>
      <w:r w:rsidRPr="00AD5B64">
        <w:rPr>
          <w:lang w:val="en-US"/>
        </w:rPr>
        <w:t>High level of reliability and effectiveness</w:t>
      </w:r>
    </w:p>
    <w:p w14:paraId="20CE4781" w14:textId="77777777" w:rsidR="000C6BD9" w:rsidRDefault="000C6BD9" w:rsidP="000F494E">
      <w:pPr>
        <w:pStyle w:val="Bullet1G"/>
        <w:spacing w:after="0"/>
        <w:rPr>
          <w:lang w:val="en-US"/>
        </w:rPr>
      </w:pPr>
      <w:r>
        <w:rPr>
          <w:lang w:val="en-US"/>
        </w:rPr>
        <w:t>Compact size and light weight</w:t>
      </w:r>
    </w:p>
    <w:p w14:paraId="2499D7FD" w14:textId="77777777" w:rsidR="000C6BD9" w:rsidRDefault="000C6BD9" w:rsidP="000F494E">
      <w:pPr>
        <w:pStyle w:val="Bullet1G"/>
        <w:spacing w:after="0"/>
        <w:rPr>
          <w:lang w:val="en-US"/>
        </w:rPr>
      </w:pPr>
      <w:r>
        <w:rPr>
          <w:lang w:val="en-US"/>
        </w:rPr>
        <w:t>Minimal maintenance costs or requirements</w:t>
      </w:r>
    </w:p>
    <w:p w14:paraId="3CFFBA42" w14:textId="77777777" w:rsidR="000C6BD9" w:rsidRDefault="000C6BD9" w:rsidP="000F494E">
      <w:pPr>
        <w:pStyle w:val="Bullet1G"/>
        <w:spacing w:after="0"/>
        <w:rPr>
          <w:lang w:val="en-US"/>
        </w:rPr>
      </w:pPr>
      <w:r>
        <w:rPr>
          <w:lang w:val="en-US"/>
        </w:rPr>
        <w:t xml:space="preserve">Proven to be durable to varying temperatures, vibration, impact, humidity, etc. </w:t>
      </w:r>
    </w:p>
    <w:p w14:paraId="39995C67" w14:textId="77777777" w:rsidR="000C6BD9" w:rsidRDefault="000C6BD9" w:rsidP="000F494E">
      <w:pPr>
        <w:pStyle w:val="Bullet1G"/>
        <w:spacing w:after="0"/>
        <w:rPr>
          <w:lang w:val="en-US"/>
        </w:rPr>
      </w:pPr>
      <w:r>
        <w:rPr>
          <w:lang w:val="en-US"/>
        </w:rPr>
        <w:t>Low cost for purchase and installation</w:t>
      </w:r>
    </w:p>
    <w:p w14:paraId="4B7AC0DF" w14:textId="77777777" w:rsidR="000C6BD9" w:rsidRPr="00AD5B64" w:rsidRDefault="000C6BD9" w:rsidP="000F494E">
      <w:pPr>
        <w:pStyle w:val="Bullet1G"/>
        <w:rPr>
          <w:lang w:val="en-US"/>
        </w:rPr>
      </w:pPr>
      <w:r>
        <w:rPr>
          <w:lang w:val="en-US"/>
        </w:rPr>
        <w:t>Proven to be very effective against lithium battery fires.</w:t>
      </w:r>
    </w:p>
    <w:p w14:paraId="3DBCAF59" w14:textId="07660DB0" w:rsidR="00E37E5A" w:rsidRPr="00830FB7" w:rsidRDefault="00E37E5A" w:rsidP="00E37E5A">
      <w:pPr>
        <w:pStyle w:val="SingleTxtG"/>
        <w:rPr>
          <w:lang w:val="en-US"/>
        </w:rPr>
      </w:pPr>
      <w:r>
        <w:tab/>
        <w:t>7.</w:t>
      </w:r>
      <w:r>
        <w:tab/>
        <w:t>These devices are extremely effective at suppressing lithium battery fires and are therefore being used with greater frequency in battery energy storage systems (BESS), cloud computing centres and charging facilities, for instance electric bike and scooter charge facilities. When used in freight containers that are fitted with racks of batteries and transported as UN 3536, Lithium Battery Installed in Cargo Transport Unit</w:t>
      </w:r>
      <w:r w:rsidR="00F852BD">
        <w:t>;</w:t>
      </w:r>
      <w:r>
        <w:t xml:space="preserve"> they are not subject to the transport regulations according to </w:t>
      </w:r>
      <w:r w:rsidR="00F852BD">
        <w:t>special provision</w:t>
      </w:r>
      <w:r w:rsidR="00186948">
        <w:t xml:space="preserve"> </w:t>
      </w:r>
      <w:r>
        <w:t>389: “</w:t>
      </w:r>
      <w:r w:rsidRPr="00830FB7">
        <w:rPr>
          <w:i/>
          <w:iCs/>
        </w:rPr>
        <w:t>Dangerous goods necessary for the safe and proper operation of the cargo transport unit (e.g., fire extinguishing systems and air conditioning systems), shall be properly secured to or installed in the cargo transport unit and are not otherwise subject to these Regulations.”</w:t>
      </w:r>
      <w:r>
        <w:t xml:space="preserve"> </w:t>
      </w:r>
      <w:r w:rsidRPr="00FB1BD1">
        <w:t xml:space="preserve">Packaging manufacturers are considering installing the fire suppression devices as an added safety feature in packages used to transport lithium batteries and especially for transporting damaged or defective batteries. Lastly, </w:t>
      </w:r>
      <w:r w:rsidR="00C97CBB">
        <w:t>COSTHA is</w:t>
      </w:r>
      <w:r w:rsidRPr="00FB1BD1">
        <w:t xml:space="preserve"> aware of several battery</w:t>
      </w:r>
      <w:r>
        <w:t>-</w:t>
      </w:r>
      <w:r w:rsidRPr="00FB1BD1">
        <w:t>powered vehicle manufacturers that are considering utilizing the</w:t>
      </w:r>
      <w:r w:rsidR="006D4F4D">
        <w:t>se devices</w:t>
      </w:r>
      <w:r w:rsidRPr="00FB1BD1">
        <w:t xml:space="preserve"> for added safety</w:t>
      </w:r>
      <w:r>
        <w:t>, as this is the best solution for extinguishing lithium battery fires used in electric vehicles</w:t>
      </w:r>
      <w:r w:rsidRPr="00FB1BD1">
        <w:t>.</w:t>
      </w:r>
    </w:p>
    <w:p w14:paraId="2A9EDD68" w14:textId="3BB360A1" w:rsidR="0098620D" w:rsidRPr="00FB1BD1" w:rsidRDefault="0098620D" w:rsidP="0098620D">
      <w:pPr>
        <w:pStyle w:val="SingleTxtG"/>
        <w:rPr>
          <w:lang w:val="en-US"/>
        </w:rPr>
      </w:pPr>
      <w:r>
        <w:rPr>
          <w:lang w:val="en-US"/>
        </w:rPr>
        <w:lastRenderedPageBreak/>
        <w:tab/>
        <w:t>8.</w:t>
      </w:r>
      <w:r>
        <w:rPr>
          <w:lang w:val="en-US"/>
        </w:rPr>
        <w:tab/>
        <w:t>Millions of these devices have been safely shipped as cargo under the approvals and exceptions listed above, either as Class 9 or unregulated. The design of these devices is robust and intended to extinguish fires. These devices do not propagate and if involved in a fire in transport, could actuate and aid emergency response efforts by extinguishing the external fire source.</w:t>
      </w:r>
    </w:p>
    <w:p w14:paraId="4EA10B66" w14:textId="5EBBD469" w:rsidR="0098620D" w:rsidRPr="00801A9A" w:rsidRDefault="0098620D" w:rsidP="0098620D">
      <w:pPr>
        <w:pStyle w:val="SingleTxtG"/>
        <w:rPr>
          <w:lang w:val="en-US"/>
        </w:rPr>
      </w:pPr>
      <w:r>
        <w:rPr>
          <w:lang w:val="en-US"/>
        </w:rPr>
        <w:tab/>
        <w:t>9.</w:t>
      </w:r>
      <w:r>
        <w:rPr>
          <w:lang w:val="en-US"/>
        </w:rPr>
        <w:tab/>
        <w:t xml:space="preserve">In previous discussions, </w:t>
      </w:r>
      <w:r w:rsidR="00D832C1">
        <w:rPr>
          <w:lang w:val="en-US"/>
        </w:rPr>
        <w:t xml:space="preserve">concerns </w:t>
      </w:r>
      <w:r>
        <w:rPr>
          <w:lang w:val="en-US"/>
        </w:rPr>
        <w:t xml:space="preserve">have been expressed about the toxicity of aerosols emitted by these devices. There is a proven testing regime utilized by the United States Environmental Protection Agency (USEPA) as part of their Significant New Alternatives Program (SNAP) </w:t>
      </w:r>
      <w:r w:rsidRPr="00801A9A">
        <w:rPr>
          <w:lang w:val="en-US"/>
        </w:rPr>
        <w:t>through which USEPA performs an assessment on fire extinguishing media and classifies into either of the following outcomes:</w:t>
      </w:r>
    </w:p>
    <w:p w14:paraId="207D991D" w14:textId="4CEAF07E" w:rsidR="00934944" w:rsidRPr="00801A9A" w:rsidRDefault="00934944" w:rsidP="00934944">
      <w:pPr>
        <w:pStyle w:val="SingleTxtG"/>
        <w:ind w:left="1701"/>
        <w:rPr>
          <w:lang w:val="en-US"/>
        </w:rPr>
      </w:pPr>
      <w:r>
        <w:rPr>
          <w:lang w:val="en-US"/>
        </w:rPr>
        <w:tab/>
        <w:t>(a)</w:t>
      </w:r>
      <w:r>
        <w:rPr>
          <w:lang w:val="en-US"/>
        </w:rPr>
        <w:tab/>
      </w:r>
      <w:r w:rsidRPr="00801A9A">
        <w:rPr>
          <w:lang w:val="en-US"/>
        </w:rPr>
        <w:t>Suitable for un-occupied spaces (This is an environmental approval</w:t>
      </w:r>
      <w:r w:rsidR="00B23EDC">
        <w:rPr>
          <w:lang w:val="en-US"/>
        </w:rPr>
        <w:t>:</w:t>
      </w:r>
      <w:r w:rsidRPr="00801A9A">
        <w:rPr>
          <w:lang w:val="en-US"/>
        </w:rPr>
        <w:t xml:space="preserve"> Aerosols can be far superior to most other agent because there is no ozone depletion, negligible global warming</w:t>
      </w:r>
      <w:r w:rsidR="00B93642">
        <w:rPr>
          <w:lang w:val="en-US"/>
        </w:rPr>
        <w:t xml:space="preserve"> effects</w:t>
      </w:r>
      <w:r w:rsidRPr="00801A9A">
        <w:rPr>
          <w:lang w:val="en-US"/>
        </w:rPr>
        <w:t xml:space="preserve"> and almost no lifetime in the atmosphere.), or</w:t>
      </w:r>
    </w:p>
    <w:p w14:paraId="0D67B5EB" w14:textId="0B1973B6" w:rsidR="00934944" w:rsidRPr="00801A9A" w:rsidRDefault="00934944" w:rsidP="00934944">
      <w:pPr>
        <w:pStyle w:val="SingleTxtG"/>
        <w:ind w:left="1701"/>
        <w:rPr>
          <w:lang w:val="en-US"/>
        </w:rPr>
      </w:pPr>
      <w:r>
        <w:rPr>
          <w:lang w:val="en-US"/>
        </w:rPr>
        <w:tab/>
        <w:t>(b)</w:t>
      </w:r>
      <w:r>
        <w:rPr>
          <w:lang w:val="en-US"/>
        </w:rPr>
        <w:tab/>
      </w:r>
      <w:r w:rsidRPr="00801A9A">
        <w:rPr>
          <w:lang w:val="en-US"/>
        </w:rPr>
        <w:t>Suitable for occupied spaces (This is a health and safety approval based on independent medical testing</w:t>
      </w:r>
      <w:r w:rsidR="0029658B">
        <w:rPr>
          <w:lang w:val="en-US"/>
        </w:rPr>
        <w:t>:</w:t>
      </w:r>
      <w:r w:rsidRPr="00801A9A">
        <w:rPr>
          <w:lang w:val="en-US"/>
        </w:rPr>
        <w:t xml:space="preserve"> Brief human exposure to aerosols has been found to be acceptable</w:t>
      </w:r>
      <w:r w:rsidR="00647BB9">
        <w:rPr>
          <w:lang w:val="en-US"/>
        </w:rPr>
        <w:t>;</w:t>
      </w:r>
      <w:r w:rsidRPr="00801A9A">
        <w:rPr>
          <w:lang w:val="en-US"/>
        </w:rPr>
        <w:t xml:space="preserve"> </w:t>
      </w:r>
      <w:r w:rsidR="00647BB9">
        <w:rPr>
          <w:lang w:val="en-US"/>
        </w:rPr>
        <w:t>t</w:t>
      </w:r>
      <w:r w:rsidRPr="00801A9A">
        <w:rPr>
          <w:lang w:val="en-US"/>
        </w:rPr>
        <w:t>his is far preferable to breathing the products of combustion of a fire</w:t>
      </w:r>
      <w:r>
        <w:rPr>
          <w:lang w:val="en-US"/>
        </w:rPr>
        <w:t xml:space="preserve"> or other fire suppression methods such as halon or oxygen displacement</w:t>
      </w:r>
      <w:r w:rsidRPr="00801A9A">
        <w:rPr>
          <w:lang w:val="en-US"/>
        </w:rPr>
        <w:t>.)</w:t>
      </w:r>
      <w:r w:rsidR="00647BB9">
        <w:rPr>
          <w:lang w:val="en-US"/>
        </w:rPr>
        <w:t>.</w:t>
      </w:r>
    </w:p>
    <w:p w14:paraId="1E636724" w14:textId="6372240A" w:rsidR="009B591B" w:rsidRPr="00050AAB" w:rsidRDefault="009B591B" w:rsidP="009B591B">
      <w:pPr>
        <w:pStyle w:val="SingleTxtG"/>
        <w:rPr>
          <w:lang w:val="en-US"/>
        </w:rPr>
      </w:pPr>
      <w:r>
        <w:rPr>
          <w:lang w:val="en-US"/>
        </w:rPr>
        <w:tab/>
        <w:t>10.</w:t>
      </w:r>
      <w:r>
        <w:rPr>
          <w:lang w:val="en-US"/>
        </w:rPr>
        <w:tab/>
      </w:r>
      <w:r w:rsidRPr="00801A9A">
        <w:rPr>
          <w:lang w:val="en-US"/>
        </w:rPr>
        <w:t>Another concern expressed by experts was the desire for manufacturing standards for fire suppression dispersing devices</w:t>
      </w:r>
      <w:r>
        <w:rPr>
          <w:lang w:val="en-US"/>
        </w:rPr>
        <w:t xml:space="preserve">. There are now international and regional standards </w:t>
      </w:r>
      <w:r w:rsidR="00335649">
        <w:rPr>
          <w:lang w:val="en-US"/>
        </w:rPr>
        <w:t>on</w:t>
      </w:r>
      <w:r>
        <w:rPr>
          <w:lang w:val="en-US"/>
        </w:rPr>
        <w:t xml:space="preserve"> the manufacture and deployment of these devices.</w:t>
      </w:r>
      <w:r w:rsidR="004A6AB1">
        <w:rPr>
          <w:lang w:val="en-US"/>
        </w:rPr>
        <w:t xml:space="preserve"> Standard</w:t>
      </w:r>
      <w:r>
        <w:rPr>
          <w:lang w:val="en-US"/>
        </w:rPr>
        <w:t xml:space="preserve"> </w:t>
      </w:r>
      <w:r w:rsidRPr="00801A9A">
        <w:rPr>
          <w:i/>
          <w:iCs/>
          <w:lang w:val="en-US"/>
        </w:rPr>
        <w:t xml:space="preserve">ISO 15779: “Condensed </w:t>
      </w:r>
      <w:r w:rsidRPr="002F3F4A">
        <w:rPr>
          <w:i/>
          <w:iCs/>
          <w:lang w:val="en-US"/>
        </w:rPr>
        <w:t>aerosol fire extinguishing systems – Requirements and test methods for components and system design, installation and maintenance – General requirements</w:t>
      </w:r>
      <w:r>
        <w:rPr>
          <w:i/>
          <w:iCs/>
          <w:lang w:val="en-US"/>
        </w:rPr>
        <w:t>”</w:t>
      </w:r>
      <w:r>
        <w:rPr>
          <w:lang w:val="en-US"/>
        </w:rPr>
        <w:t xml:space="preserve"> provides </w:t>
      </w:r>
      <w:r w:rsidR="00C77D60">
        <w:rPr>
          <w:lang w:val="en-US"/>
        </w:rPr>
        <w:t>requirements</w:t>
      </w:r>
      <w:r>
        <w:rPr>
          <w:lang w:val="en-US"/>
        </w:rPr>
        <w:t xml:space="preserve"> that evaluate the durability, </w:t>
      </w:r>
      <w:proofErr w:type="gramStart"/>
      <w:r>
        <w:rPr>
          <w:lang w:val="en-US"/>
        </w:rPr>
        <w:t>toxicity</w:t>
      </w:r>
      <w:proofErr w:type="gramEnd"/>
      <w:r>
        <w:rPr>
          <w:lang w:val="en-US"/>
        </w:rPr>
        <w:t xml:space="preserve"> and overall risk of these devices. The American National Standards Institute has a similar set of standards for these devices: </w:t>
      </w:r>
      <w:r>
        <w:rPr>
          <w:i/>
          <w:iCs/>
          <w:lang w:val="en-US"/>
        </w:rPr>
        <w:t>ANSI/CAN/UL/ULC – 2775:2019 – Standard for Fixed Condensed Aerosol Fire Extinguishing Units.</w:t>
      </w:r>
    </w:p>
    <w:p w14:paraId="39DFBECD" w14:textId="370FB2D4" w:rsidR="009B591B" w:rsidRPr="00050AAB" w:rsidRDefault="009B591B" w:rsidP="009B591B">
      <w:pPr>
        <w:pStyle w:val="SingleTxtG"/>
        <w:rPr>
          <w:lang w:val="en-US"/>
        </w:rPr>
      </w:pPr>
      <w:r>
        <w:tab/>
        <w:t>11.</w:t>
      </w:r>
      <w:r>
        <w:tab/>
      </w:r>
      <w:r w:rsidR="00C30779">
        <w:t>COSTHA</w:t>
      </w:r>
      <w:r w:rsidRPr="00050AAB">
        <w:t xml:space="preserve"> contend</w:t>
      </w:r>
      <w:r w:rsidR="00C30779">
        <w:t>s</w:t>
      </w:r>
      <w:r w:rsidRPr="00050AAB">
        <w:t xml:space="preserve"> that there is sufficient understanding of the minimal risk in transport and benefit to safety that these devices should be granted a new entry in the Dangerous Goods List, consistent with:</w:t>
      </w:r>
    </w:p>
    <w:p w14:paraId="2BD29577" w14:textId="68EEBC3D" w:rsidR="00CF020B" w:rsidRPr="00050AAB" w:rsidRDefault="00CF020B" w:rsidP="00CF020B">
      <w:pPr>
        <w:pStyle w:val="SingleTxtG"/>
        <w:rPr>
          <w:lang w:val="en-US"/>
        </w:rPr>
      </w:pPr>
      <w:r>
        <w:tab/>
      </w:r>
      <w:r>
        <w:tab/>
        <w:t>(a)</w:t>
      </w:r>
      <w:r>
        <w:tab/>
      </w:r>
      <w:r w:rsidRPr="00050AAB">
        <w:t>The same principles as UN 3268:</w:t>
      </w:r>
    </w:p>
    <w:p w14:paraId="72EB0958" w14:textId="2F891FB1" w:rsidR="00BA0B68" w:rsidRPr="00050AAB" w:rsidRDefault="00BA0B68" w:rsidP="00BA0B68">
      <w:pPr>
        <w:pStyle w:val="SingleTxtG"/>
        <w:ind w:left="2268"/>
        <w:rPr>
          <w:lang w:val="en-US"/>
        </w:rPr>
      </w:pPr>
      <w:r>
        <w:tab/>
      </w:r>
      <w:proofErr w:type="spellStart"/>
      <w:r>
        <w:t>i</w:t>
      </w:r>
      <w:proofErr w:type="spellEnd"/>
      <w:r>
        <w:t>.</w:t>
      </w:r>
      <w:r>
        <w:tab/>
      </w:r>
      <w:r w:rsidRPr="00050AAB">
        <w:t>It is a device that benefits safety, therefore it is acceptable to grant some flexibility (i.e., class 9). Applications that do not benefit safety should not be included.</w:t>
      </w:r>
    </w:p>
    <w:p w14:paraId="3DD25D1F" w14:textId="33611167" w:rsidR="00BA0B68" w:rsidRPr="00657148" w:rsidRDefault="00BA0B68" w:rsidP="00BA0B68">
      <w:pPr>
        <w:pStyle w:val="SingleTxtG"/>
        <w:ind w:left="2268"/>
        <w:rPr>
          <w:lang w:val="en-US"/>
        </w:rPr>
      </w:pPr>
      <w:r>
        <w:tab/>
        <w:t>ii.</w:t>
      </w:r>
      <w:r>
        <w:tab/>
      </w:r>
      <w:r w:rsidRPr="00050AAB">
        <w:t>It shall meet the same conditions when tested in accordance with test series 6</w:t>
      </w:r>
      <w:r w:rsidR="00A12CC1">
        <w:t>(</w:t>
      </w:r>
      <w:r w:rsidRPr="00050AAB">
        <w:t>c) of part I of the Manual of Test and Criteria, with no explosion of the device, no fragmentation of the device casing or pressure receptacle, and no projection hazard nor thermal effect that would significantly hinder firefighting or emergency response efforts in the immediate vicinity.</w:t>
      </w:r>
      <w:r>
        <w:t xml:space="preserve"> The phrase “significantly hinder firefighting or emergency response efforts in the immediate vicinity” would include the premise that the dispersed substance must be non-toxic.</w:t>
      </w:r>
    </w:p>
    <w:p w14:paraId="07C43719" w14:textId="12BEB79D" w:rsidR="00476F1C" w:rsidRDefault="00476F1C" w:rsidP="00476F1C">
      <w:pPr>
        <w:pStyle w:val="SingleTxtG"/>
        <w:rPr>
          <w:lang w:val="en-US"/>
        </w:rPr>
      </w:pPr>
      <w:r>
        <w:rPr>
          <w:lang w:val="en-US"/>
        </w:rPr>
        <w:tab/>
        <w:t>12.</w:t>
      </w:r>
      <w:r>
        <w:rPr>
          <w:lang w:val="en-US"/>
        </w:rPr>
        <w:tab/>
        <w:t>The introduction of a new entry would prevent confusion and expansion of the regulatory structure already in place for UN</w:t>
      </w:r>
      <w:r w:rsidR="009B0460">
        <w:rPr>
          <w:lang w:val="en-US"/>
        </w:rPr>
        <w:t xml:space="preserve"> </w:t>
      </w:r>
      <w:r>
        <w:rPr>
          <w:lang w:val="en-US"/>
        </w:rPr>
        <w:t>3268.</w:t>
      </w:r>
    </w:p>
    <w:p w14:paraId="2BC29B61" w14:textId="77777777" w:rsidR="00554E93" w:rsidRDefault="00554E93">
      <w:pPr>
        <w:suppressAutoHyphens w:val="0"/>
        <w:kinsoku/>
        <w:overflowPunct/>
        <w:autoSpaceDE/>
        <w:autoSpaceDN/>
        <w:adjustRightInd/>
        <w:snapToGrid/>
        <w:spacing w:after="200" w:line="276" w:lineRule="auto"/>
        <w:rPr>
          <w:b/>
          <w:sz w:val="28"/>
          <w:lang w:val="en-US"/>
        </w:rPr>
      </w:pPr>
      <w:r>
        <w:rPr>
          <w:lang w:val="en-US"/>
        </w:rPr>
        <w:br w:type="page"/>
      </w:r>
    </w:p>
    <w:p w14:paraId="60782FB2" w14:textId="7DF499F1" w:rsidR="00476F1C" w:rsidRPr="005D1265" w:rsidRDefault="00476F1C" w:rsidP="00476F1C">
      <w:pPr>
        <w:pStyle w:val="HChG"/>
        <w:rPr>
          <w:lang w:val="en-US"/>
        </w:rPr>
      </w:pPr>
      <w:r>
        <w:rPr>
          <w:lang w:val="en-US"/>
        </w:rPr>
        <w:lastRenderedPageBreak/>
        <w:tab/>
      </w:r>
      <w:r>
        <w:rPr>
          <w:lang w:val="en-US"/>
        </w:rPr>
        <w:tab/>
      </w:r>
      <w:r w:rsidRPr="005D1265">
        <w:rPr>
          <w:lang w:val="en-US"/>
        </w:rPr>
        <w:t>Proposal</w:t>
      </w:r>
    </w:p>
    <w:p w14:paraId="63BFB562" w14:textId="0BF5C829" w:rsidR="00476F1C" w:rsidRDefault="00476F1C" w:rsidP="00476F1C">
      <w:pPr>
        <w:pStyle w:val="SingleTxtG"/>
        <w:rPr>
          <w:lang w:val="en-US"/>
        </w:rPr>
      </w:pPr>
      <w:r>
        <w:rPr>
          <w:lang w:val="en-US"/>
        </w:rPr>
        <w:tab/>
        <w:t>13.</w:t>
      </w:r>
      <w:r>
        <w:rPr>
          <w:lang w:val="en-US"/>
        </w:rPr>
        <w:tab/>
        <w:t>It is proposed that a new entry be added in the Dangerous Goods List as follows:</w:t>
      </w:r>
    </w:p>
    <w:tbl>
      <w:tblPr>
        <w:tblStyle w:val="TableGrid1"/>
        <w:tblW w:w="0" w:type="auto"/>
        <w:tblLook w:val="04A0" w:firstRow="1" w:lastRow="0" w:firstColumn="1" w:lastColumn="0" w:noHBand="0" w:noVBand="1"/>
      </w:tblPr>
      <w:tblGrid>
        <w:gridCol w:w="562"/>
        <w:gridCol w:w="1418"/>
        <w:gridCol w:w="669"/>
        <w:gridCol w:w="911"/>
        <w:gridCol w:w="863"/>
        <w:gridCol w:w="902"/>
        <w:gridCol w:w="448"/>
        <w:gridCol w:w="448"/>
        <w:gridCol w:w="831"/>
        <w:gridCol w:w="22"/>
        <w:gridCol w:w="801"/>
        <w:gridCol w:w="941"/>
        <w:gridCol w:w="810"/>
      </w:tblGrid>
      <w:tr w:rsidR="00554E93" w:rsidRPr="00554E93" w14:paraId="4113270F" w14:textId="77777777" w:rsidTr="002553B1">
        <w:tc>
          <w:tcPr>
            <w:tcW w:w="562" w:type="dxa"/>
            <w:vMerge w:val="restart"/>
            <w:vAlign w:val="center"/>
          </w:tcPr>
          <w:p w14:paraId="65B067D5"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UN No.</w:t>
            </w:r>
          </w:p>
        </w:tc>
        <w:tc>
          <w:tcPr>
            <w:tcW w:w="1418" w:type="dxa"/>
            <w:vMerge w:val="restart"/>
            <w:vAlign w:val="center"/>
          </w:tcPr>
          <w:p w14:paraId="3B8C3F81"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Name and description</w:t>
            </w:r>
          </w:p>
        </w:tc>
        <w:tc>
          <w:tcPr>
            <w:tcW w:w="669" w:type="dxa"/>
            <w:vMerge w:val="restart"/>
            <w:vAlign w:val="center"/>
          </w:tcPr>
          <w:p w14:paraId="0E6D0BA3"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Class or division</w:t>
            </w:r>
          </w:p>
        </w:tc>
        <w:tc>
          <w:tcPr>
            <w:tcW w:w="911" w:type="dxa"/>
            <w:vMerge w:val="restart"/>
            <w:vAlign w:val="center"/>
          </w:tcPr>
          <w:p w14:paraId="0864228B"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Subsidiary hazard</w:t>
            </w:r>
          </w:p>
        </w:tc>
        <w:tc>
          <w:tcPr>
            <w:tcW w:w="863" w:type="dxa"/>
            <w:vMerge w:val="restart"/>
            <w:vAlign w:val="center"/>
          </w:tcPr>
          <w:p w14:paraId="048DD610"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UN packing group</w:t>
            </w:r>
          </w:p>
        </w:tc>
        <w:tc>
          <w:tcPr>
            <w:tcW w:w="902" w:type="dxa"/>
            <w:vMerge w:val="restart"/>
            <w:vAlign w:val="center"/>
          </w:tcPr>
          <w:p w14:paraId="5059D3B1" w14:textId="77777777" w:rsidR="00554E93" w:rsidRPr="00554E93" w:rsidRDefault="00554E93" w:rsidP="00554E93">
            <w:pPr>
              <w:kinsoku/>
              <w:overflowPunct/>
              <w:autoSpaceDE/>
              <w:autoSpaceDN/>
              <w:adjustRightInd/>
              <w:snapToGrid/>
              <w:rPr>
                <w:b/>
                <w:bCs/>
                <w:sz w:val="18"/>
                <w:szCs w:val="18"/>
                <w:lang w:eastAsia="en-US"/>
              </w:rPr>
            </w:pPr>
            <w:r w:rsidRPr="00554E93">
              <w:rPr>
                <w:b/>
                <w:bCs/>
                <w:sz w:val="18"/>
                <w:szCs w:val="18"/>
                <w:lang w:eastAsia="en-US"/>
              </w:rPr>
              <w:t xml:space="preserve">Special </w:t>
            </w:r>
          </w:p>
          <w:p w14:paraId="211B09C4"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provisions</w:t>
            </w:r>
          </w:p>
        </w:tc>
        <w:tc>
          <w:tcPr>
            <w:tcW w:w="896" w:type="dxa"/>
            <w:gridSpan w:val="2"/>
            <w:vMerge w:val="restart"/>
            <w:vAlign w:val="center"/>
          </w:tcPr>
          <w:p w14:paraId="25525D3A"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Limited and excepted quantities</w:t>
            </w:r>
          </w:p>
        </w:tc>
        <w:tc>
          <w:tcPr>
            <w:tcW w:w="1654" w:type="dxa"/>
            <w:gridSpan w:val="3"/>
            <w:vAlign w:val="center"/>
          </w:tcPr>
          <w:p w14:paraId="63CF3650" w14:textId="77777777" w:rsidR="00554E93" w:rsidRPr="00554E93" w:rsidRDefault="00554E93" w:rsidP="00554E93">
            <w:pPr>
              <w:kinsoku/>
              <w:overflowPunct/>
              <w:autoSpaceDE/>
              <w:autoSpaceDN/>
              <w:adjustRightInd/>
              <w:snapToGrid/>
              <w:rPr>
                <w:b/>
                <w:bCs/>
                <w:sz w:val="18"/>
                <w:szCs w:val="18"/>
                <w:lang w:eastAsia="en-US"/>
              </w:rPr>
            </w:pPr>
            <w:r w:rsidRPr="00554E93">
              <w:rPr>
                <w:b/>
                <w:bCs/>
                <w:sz w:val="18"/>
                <w:szCs w:val="18"/>
                <w:lang w:eastAsia="en-US"/>
              </w:rPr>
              <w:t xml:space="preserve">Packagings </w:t>
            </w:r>
          </w:p>
          <w:p w14:paraId="1F637667"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and IBCs</w:t>
            </w:r>
          </w:p>
        </w:tc>
        <w:tc>
          <w:tcPr>
            <w:tcW w:w="1751" w:type="dxa"/>
            <w:gridSpan w:val="2"/>
            <w:vAlign w:val="center"/>
          </w:tcPr>
          <w:p w14:paraId="45C21101"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Portable tanks and bulk containers</w:t>
            </w:r>
          </w:p>
        </w:tc>
      </w:tr>
      <w:tr w:rsidR="00554E93" w:rsidRPr="00554E93" w14:paraId="59CAB3E4" w14:textId="77777777" w:rsidTr="002553B1">
        <w:tc>
          <w:tcPr>
            <w:tcW w:w="562" w:type="dxa"/>
            <w:vMerge/>
            <w:vAlign w:val="center"/>
          </w:tcPr>
          <w:p w14:paraId="16CE402C" w14:textId="77777777" w:rsidR="00554E93" w:rsidRPr="00554E93" w:rsidRDefault="00554E93" w:rsidP="00554E93">
            <w:pPr>
              <w:kinsoku/>
              <w:overflowPunct/>
              <w:autoSpaceDE/>
              <w:autoSpaceDN/>
              <w:adjustRightInd/>
              <w:snapToGrid/>
              <w:rPr>
                <w:sz w:val="18"/>
                <w:szCs w:val="18"/>
                <w:lang w:eastAsia="en-US"/>
              </w:rPr>
            </w:pPr>
          </w:p>
        </w:tc>
        <w:tc>
          <w:tcPr>
            <w:tcW w:w="1418" w:type="dxa"/>
            <w:vMerge/>
            <w:vAlign w:val="center"/>
          </w:tcPr>
          <w:p w14:paraId="018083AC" w14:textId="77777777" w:rsidR="00554E93" w:rsidRPr="00554E93" w:rsidRDefault="00554E93" w:rsidP="00554E93">
            <w:pPr>
              <w:kinsoku/>
              <w:overflowPunct/>
              <w:autoSpaceDE/>
              <w:autoSpaceDN/>
              <w:adjustRightInd/>
              <w:snapToGrid/>
              <w:rPr>
                <w:sz w:val="18"/>
                <w:szCs w:val="18"/>
                <w:lang w:eastAsia="en-US"/>
              </w:rPr>
            </w:pPr>
          </w:p>
        </w:tc>
        <w:tc>
          <w:tcPr>
            <w:tcW w:w="669" w:type="dxa"/>
            <w:vMerge/>
            <w:vAlign w:val="center"/>
          </w:tcPr>
          <w:p w14:paraId="3A480CFD" w14:textId="77777777" w:rsidR="00554E93" w:rsidRPr="00554E93" w:rsidRDefault="00554E93" w:rsidP="00554E93">
            <w:pPr>
              <w:kinsoku/>
              <w:overflowPunct/>
              <w:autoSpaceDE/>
              <w:autoSpaceDN/>
              <w:adjustRightInd/>
              <w:snapToGrid/>
              <w:rPr>
                <w:sz w:val="18"/>
                <w:szCs w:val="18"/>
                <w:lang w:eastAsia="en-US"/>
              </w:rPr>
            </w:pPr>
          </w:p>
        </w:tc>
        <w:tc>
          <w:tcPr>
            <w:tcW w:w="911" w:type="dxa"/>
            <w:vMerge/>
            <w:vAlign w:val="center"/>
          </w:tcPr>
          <w:p w14:paraId="792725E4" w14:textId="77777777" w:rsidR="00554E93" w:rsidRPr="00554E93" w:rsidRDefault="00554E93" w:rsidP="00554E93">
            <w:pPr>
              <w:kinsoku/>
              <w:overflowPunct/>
              <w:autoSpaceDE/>
              <w:autoSpaceDN/>
              <w:adjustRightInd/>
              <w:snapToGrid/>
              <w:rPr>
                <w:sz w:val="18"/>
                <w:szCs w:val="18"/>
                <w:lang w:eastAsia="en-US"/>
              </w:rPr>
            </w:pPr>
          </w:p>
        </w:tc>
        <w:tc>
          <w:tcPr>
            <w:tcW w:w="863" w:type="dxa"/>
            <w:vMerge/>
            <w:vAlign w:val="center"/>
          </w:tcPr>
          <w:p w14:paraId="6DE59B47" w14:textId="77777777" w:rsidR="00554E93" w:rsidRPr="00554E93" w:rsidRDefault="00554E93" w:rsidP="00554E93">
            <w:pPr>
              <w:kinsoku/>
              <w:overflowPunct/>
              <w:autoSpaceDE/>
              <w:autoSpaceDN/>
              <w:adjustRightInd/>
              <w:snapToGrid/>
              <w:rPr>
                <w:sz w:val="18"/>
                <w:szCs w:val="18"/>
                <w:lang w:eastAsia="en-US"/>
              </w:rPr>
            </w:pPr>
          </w:p>
        </w:tc>
        <w:tc>
          <w:tcPr>
            <w:tcW w:w="902" w:type="dxa"/>
            <w:vMerge/>
            <w:vAlign w:val="center"/>
          </w:tcPr>
          <w:p w14:paraId="1C82F1F3" w14:textId="77777777" w:rsidR="00554E93" w:rsidRPr="00554E93" w:rsidRDefault="00554E93" w:rsidP="00554E93">
            <w:pPr>
              <w:kinsoku/>
              <w:overflowPunct/>
              <w:autoSpaceDE/>
              <w:autoSpaceDN/>
              <w:adjustRightInd/>
              <w:snapToGrid/>
              <w:rPr>
                <w:sz w:val="18"/>
                <w:szCs w:val="18"/>
                <w:lang w:eastAsia="en-US"/>
              </w:rPr>
            </w:pPr>
          </w:p>
        </w:tc>
        <w:tc>
          <w:tcPr>
            <w:tcW w:w="896" w:type="dxa"/>
            <w:gridSpan w:val="2"/>
            <w:vMerge/>
            <w:vAlign w:val="center"/>
          </w:tcPr>
          <w:p w14:paraId="6688B431" w14:textId="77777777" w:rsidR="00554E93" w:rsidRPr="00554E93" w:rsidRDefault="00554E93" w:rsidP="00554E93">
            <w:pPr>
              <w:kinsoku/>
              <w:overflowPunct/>
              <w:autoSpaceDE/>
              <w:autoSpaceDN/>
              <w:adjustRightInd/>
              <w:snapToGrid/>
              <w:rPr>
                <w:sz w:val="18"/>
                <w:szCs w:val="18"/>
                <w:lang w:eastAsia="en-US"/>
              </w:rPr>
            </w:pPr>
          </w:p>
        </w:tc>
        <w:tc>
          <w:tcPr>
            <w:tcW w:w="853" w:type="dxa"/>
            <w:gridSpan w:val="2"/>
            <w:vAlign w:val="center"/>
          </w:tcPr>
          <w:p w14:paraId="2575AF7E"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Packing instruction</w:t>
            </w:r>
          </w:p>
        </w:tc>
        <w:tc>
          <w:tcPr>
            <w:tcW w:w="801" w:type="dxa"/>
            <w:vAlign w:val="center"/>
          </w:tcPr>
          <w:p w14:paraId="2EDA39A2"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Special packing provisions</w:t>
            </w:r>
          </w:p>
        </w:tc>
        <w:tc>
          <w:tcPr>
            <w:tcW w:w="941" w:type="dxa"/>
            <w:vAlign w:val="center"/>
          </w:tcPr>
          <w:p w14:paraId="04E1D2EC"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Instructions</w:t>
            </w:r>
          </w:p>
        </w:tc>
        <w:tc>
          <w:tcPr>
            <w:tcW w:w="810" w:type="dxa"/>
            <w:vAlign w:val="center"/>
          </w:tcPr>
          <w:p w14:paraId="66655DC1" w14:textId="77777777" w:rsidR="00554E93" w:rsidRPr="00554E93" w:rsidRDefault="00554E93" w:rsidP="00554E93">
            <w:pPr>
              <w:kinsoku/>
              <w:overflowPunct/>
              <w:autoSpaceDE/>
              <w:autoSpaceDN/>
              <w:adjustRightInd/>
              <w:snapToGrid/>
              <w:rPr>
                <w:sz w:val="18"/>
                <w:szCs w:val="18"/>
                <w:lang w:eastAsia="en-US"/>
              </w:rPr>
            </w:pPr>
            <w:r w:rsidRPr="00554E93">
              <w:rPr>
                <w:b/>
                <w:bCs/>
                <w:sz w:val="18"/>
                <w:szCs w:val="18"/>
                <w:lang w:eastAsia="en-US"/>
              </w:rPr>
              <w:t>Special provisions</w:t>
            </w:r>
          </w:p>
        </w:tc>
      </w:tr>
      <w:tr w:rsidR="00554E93" w:rsidRPr="00554E93" w14:paraId="753E5B10" w14:textId="77777777" w:rsidTr="007A565E">
        <w:tc>
          <w:tcPr>
            <w:tcW w:w="562" w:type="dxa"/>
          </w:tcPr>
          <w:p w14:paraId="5064188E" w14:textId="77777777" w:rsidR="00554E93" w:rsidRPr="00554E93" w:rsidRDefault="00554E93" w:rsidP="00554E93">
            <w:pPr>
              <w:kinsoku/>
              <w:overflowPunct/>
              <w:autoSpaceDE/>
              <w:autoSpaceDN/>
              <w:adjustRightInd/>
              <w:snapToGrid/>
              <w:jc w:val="center"/>
              <w:rPr>
                <w:sz w:val="18"/>
                <w:szCs w:val="18"/>
                <w:lang w:eastAsia="en-US"/>
              </w:rPr>
            </w:pPr>
            <w:r w:rsidRPr="00554E93">
              <w:rPr>
                <w:sz w:val="18"/>
                <w:szCs w:val="18"/>
                <w:lang w:eastAsia="en-US"/>
              </w:rPr>
              <w:t>35XX</w:t>
            </w:r>
          </w:p>
        </w:tc>
        <w:tc>
          <w:tcPr>
            <w:tcW w:w="1418" w:type="dxa"/>
          </w:tcPr>
          <w:p w14:paraId="2B0EDA8D" w14:textId="77777777" w:rsidR="00554E93" w:rsidRPr="00554E93" w:rsidRDefault="00554E93" w:rsidP="00554E93">
            <w:pPr>
              <w:kinsoku/>
              <w:overflowPunct/>
              <w:autoSpaceDE/>
              <w:autoSpaceDN/>
              <w:adjustRightInd/>
              <w:snapToGrid/>
              <w:jc w:val="center"/>
              <w:rPr>
                <w:sz w:val="18"/>
                <w:szCs w:val="18"/>
                <w:u w:val="single"/>
                <w:lang w:eastAsia="en-US"/>
              </w:rPr>
            </w:pPr>
            <w:r w:rsidRPr="00554E93">
              <w:rPr>
                <w:sz w:val="18"/>
                <w:szCs w:val="18"/>
                <w:u w:val="single"/>
                <w:lang w:eastAsia="en-US"/>
              </w:rPr>
              <w:t>Fire Suppression Dispersing Devices</w:t>
            </w:r>
          </w:p>
        </w:tc>
        <w:tc>
          <w:tcPr>
            <w:tcW w:w="669" w:type="dxa"/>
          </w:tcPr>
          <w:p w14:paraId="73E31A54" w14:textId="77777777" w:rsidR="00554E93" w:rsidRPr="00554E93" w:rsidRDefault="00554E93" w:rsidP="00554E93">
            <w:pPr>
              <w:kinsoku/>
              <w:overflowPunct/>
              <w:autoSpaceDE/>
              <w:autoSpaceDN/>
              <w:adjustRightInd/>
              <w:snapToGrid/>
              <w:jc w:val="center"/>
              <w:rPr>
                <w:sz w:val="18"/>
                <w:szCs w:val="18"/>
                <w:lang w:eastAsia="en-US"/>
              </w:rPr>
            </w:pPr>
            <w:r w:rsidRPr="00554E93">
              <w:rPr>
                <w:sz w:val="18"/>
                <w:szCs w:val="18"/>
                <w:lang w:eastAsia="en-US"/>
              </w:rPr>
              <w:t>9</w:t>
            </w:r>
          </w:p>
        </w:tc>
        <w:tc>
          <w:tcPr>
            <w:tcW w:w="911" w:type="dxa"/>
          </w:tcPr>
          <w:p w14:paraId="6A75F0D0" w14:textId="77777777" w:rsidR="00554E93" w:rsidRPr="00554E93" w:rsidRDefault="00554E93" w:rsidP="00554E93">
            <w:pPr>
              <w:kinsoku/>
              <w:overflowPunct/>
              <w:autoSpaceDE/>
              <w:autoSpaceDN/>
              <w:adjustRightInd/>
              <w:snapToGrid/>
              <w:jc w:val="center"/>
              <w:rPr>
                <w:sz w:val="18"/>
                <w:szCs w:val="18"/>
                <w:lang w:eastAsia="en-US"/>
              </w:rPr>
            </w:pPr>
          </w:p>
        </w:tc>
        <w:tc>
          <w:tcPr>
            <w:tcW w:w="863" w:type="dxa"/>
          </w:tcPr>
          <w:p w14:paraId="49A455C5" w14:textId="77777777" w:rsidR="00554E93" w:rsidRPr="00554E93" w:rsidRDefault="00554E93" w:rsidP="00554E93">
            <w:pPr>
              <w:kinsoku/>
              <w:overflowPunct/>
              <w:autoSpaceDE/>
              <w:autoSpaceDN/>
              <w:adjustRightInd/>
              <w:snapToGrid/>
              <w:jc w:val="center"/>
              <w:rPr>
                <w:sz w:val="18"/>
                <w:szCs w:val="18"/>
                <w:lang w:eastAsia="en-US"/>
              </w:rPr>
            </w:pPr>
          </w:p>
        </w:tc>
        <w:tc>
          <w:tcPr>
            <w:tcW w:w="902" w:type="dxa"/>
          </w:tcPr>
          <w:p w14:paraId="407B4A39" w14:textId="77777777" w:rsidR="00554E93" w:rsidRPr="00554E93" w:rsidRDefault="00554E93" w:rsidP="00554E93">
            <w:pPr>
              <w:kinsoku/>
              <w:overflowPunct/>
              <w:autoSpaceDE/>
              <w:autoSpaceDN/>
              <w:adjustRightInd/>
              <w:snapToGrid/>
              <w:jc w:val="center"/>
              <w:rPr>
                <w:sz w:val="18"/>
                <w:szCs w:val="18"/>
                <w:lang w:eastAsia="en-US"/>
              </w:rPr>
            </w:pPr>
            <w:r w:rsidRPr="00554E93">
              <w:rPr>
                <w:sz w:val="18"/>
                <w:szCs w:val="18"/>
                <w:lang w:eastAsia="en-US"/>
              </w:rPr>
              <w:t>XYZ</w:t>
            </w:r>
          </w:p>
        </w:tc>
        <w:tc>
          <w:tcPr>
            <w:tcW w:w="448" w:type="dxa"/>
          </w:tcPr>
          <w:p w14:paraId="54DB3683" w14:textId="77777777" w:rsidR="00554E93" w:rsidRPr="00554E93" w:rsidRDefault="00554E93" w:rsidP="00554E93">
            <w:pPr>
              <w:kinsoku/>
              <w:overflowPunct/>
              <w:autoSpaceDE/>
              <w:autoSpaceDN/>
              <w:adjustRightInd/>
              <w:snapToGrid/>
              <w:jc w:val="center"/>
              <w:rPr>
                <w:sz w:val="18"/>
                <w:szCs w:val="18"/>
                <w:lang w:eastAsia="en-US"/>
              </w:rPr>
            </w:pPr>
            <w:r w:rsidRPr="00554E93">
              <w:rPr>
                <w:sz w:val="18"/>
                <w:szCs w:val="18"/>
                <w:lang w:eastAsia="en-US"/>
              </w:rPr>
              <w:t>0</w:t>
            </w:r>
          </w:p>
        </w:tc>
        <w:tc>
          <w:tcPr>
            <w:tcW w:w="448" w:type="dxa"/>
          </w:tcPr>
          <w:p w14:paraId="78C71634" w14:textId="77777777" w:rsidR="00554E93" w:rsidRPr="00554E93" w:rsidRDefault="00554E93" w:rsidP="00554E93">
            <w:pPr>
              <w:kinsoku/>
              <w:overflowPunct/>
              <w:autoSpaceDE/>
              <w:autoSpaceDN/>
              <w:adjustRightInd/>
              <w:snapToGrid/>
              <w:jc w:val="center"/>
              <w:rPr>
                <w:sz w:val="18"/>
                <w:szCs w:val="18"/>
                <w:lang w:eastAsia="en-US"/>
              </w:rPr>
            </w:pPr>
            <w:r w:rsidRPr="00554E93">
              <w:rPr>
                <w:sz w:val="18"/>
                <w:szCs w:val="18"/>
                <w:lang w:eastAsia="en-US"/>
              </w:rPr>
              <w:t>EO</w:t>
            </w:r>
          </w:p>
        </w:tc>
        <w:tc>
          <w:tcPr>
            <w:tcW w:w="831" w:type="dxa"/>
          </w:tcPr>
          <w:p w14:paraId="08ABC833" w14:textId="77777777" w:rsidR="00554E93" w:rsidRPr="00554E93" w:rsidRDefault="00554E93" w:rsidP="00554E93">
            <w:pPr>
              <w:kinsoku/>
              <w:overflowPunct/>
              <w:autoSpaceDE/>
              <w:autoSpaceDN/>
              <w:adjustRightInd/>
              <w:snapToGrid/>
              <w:jc w:val="center"/>
              <w:rPr>
                <w:sz w:val="18"/>
                <w:szCs w:val="18"/>
                <w:lang w:eastAsia="en-US"/>
              </w:rPr>
            </w:pPr>
            <w:r w:rsidRPr="00554E93">
              <w:rPr>
                <w:sz w:val="18"/>
                <w:szCs w:val="18"/>
                <w:lang w:eastAsia="en-US"/>
              </w:rPr>
              <w:t>P003</w:t>
            </w:r>
          </w:p>
        </w:tc>
        <w:tc>
          <w:tcPr>
            <w:tcW w:w="823" w:type="dxa"/>
            <w:gridSpan w:val="2"/>
          </w:tcPr>
          <w:p w14:paraId="412BF105" w14:textId="77777777" w:rsidR="00554E93" w:rsidRPr="00554E93" w:rsidRDefault="00554E93" w:rsidP="00554E93">
            <w:pPr>
              <w:kinsoku/>
              <w:overflowPunct/>
              <w:autoSpaceDE/>
              <w:autoSpaceDN/>
              <w:adjustRightInd/>
              <w:snapToGrid/>
              <w:jc w:val="center"/>
              <w:rPr>
                <w:sz w:val="18"/>
                <w:szCs w:val="18"/>
                <w:lang w:eastAsia="en-US"/>
              </w:rPr>
            </w:pPr>
          </w:p>
        </w:tc>
        <w:tc>
          <w:tcPr>
            <w:tcW w:w="941" w:type="dxa"/>
          </w:tcPr>
          <w:p w14:paraId="4DCA11E6" w14:textId="77777777" w:rsidR="00554E93" w:rsidRPr="00554E93" w:rsidRDefault="00554E93" w:rsidP="00554E93">
            <w:pPr>
              <w:kinsoku/>
              <w:overflowPunct/>
              <w:autoSpaceDE/>
              <w:autoSpaceDN/>
              <w:adjustRightInd/>
              <w:snapToGrid/>
              <w:jc w:val="center"/>
              <w:rPr>
                <w:sz w:val="18"/>
                <w:szCs w:val="18"/>
                <w:lang w:eastAsia="en-US"/>
              </w:rPr>
            </w:pPr>
          </w:p>
        </w:tc>
        <w:tc>
          <w:tcPr>
            <w:tcW w:w="810" w:type="dxa"/>
          </w:tcPr>
          <w:p w14:paraId="5C1D9086" w14:textId="77777777" w:rsidR="00554E93" w:rsidRPr="00554E93" w:rsidRDefault="00554E93" w:rsidP="00554E93">
            <w:pPr>
              <w:kinsoku/>
              <w:overflowPunct/>
              <w:autoSpaceDE/>
              <w:autoSpaceDN/>
              <w:adjustRightInd/>
              <w:snapToGrid/>
              <w:jc w:val="center"/>
              <w:rPr>
                <w:sz w:val="18"/>
                <w:szCs w:val="18"/>
                <w:lang w:eastAsia="en-US"/>
              </w:rPr>
            </w:pPr>
          </w:p>
        </w:tc>
      </w:tr>
    </w:tbl>
    <w:p w14:paraId="6109B9BD" w14:textId="0A4B08C1" w:rsidR="007A565E" w:rsidRDefault="007A565E" w:rsidP="007A565E">
      <w:pPr>
        <w:pStyle w:val="SingleTxtG"/>
        <w:spacing w:before="240"/>
        <w:rPr>
          <w:lang w:val="en-US"/>
        </w:rPr>
      </w:pPr>
      <w:r>
        <w:rPr>
          <w:lang w:val="en-US"/>
        </w:rPr>
        <w:tab/>
        <w:t>14.</w:t>
      </w:r>
      <w:r>
        <w:rPr>
          <w:lang w:val="en-US"/>
        </w:rPr>
        <w:tab/>
      </w:r>
      <w:r w:rsidR="00761760">
        <w:rPr>
          <w:lang w:val="en-US"/>
        </w:rPr>
        <w:t>In 3.3.1</w:t>
      </w:r>
      <w:r w:rsidR="00ED449B">
        <w:rPr>
          <w:lang w:val="en-US"/>
        </w:rPr>
        <w:t xml:space="preserve"> add a</w:t>
      </w:r>
      <w:r>
        <w:rPr>
          <w:lang w:val="en-US"/>
        </w:rPr>
        <w:t xml:space="preserve"> new special provision XYZ </w:t>
      </w:r>
      <w:r w:rsidR="00ED449B">
        <w:rPr>
          <w:lang w:val="en-US"/>
        </w:rPr>
        <w:t>to read</w:t>
      </w:r>
      <w:r>
        <w:rPr>
          <w:lang w:val="en-US"/>
        </w:rPr>
        <w:t xml:space="preserve"> as follows:</w:t>
      </w:r>
    </w:p>
    <w:p w14:paraId="7D861E21" w14:textId="5E5FE81B" w:rsidR="007A565E" w:rsidRDefault="00EB5D91" w:rsidP="00EB5D91">
      <w:pPr>
        <w:pStyle w:val="SingleTxtG"/>
        <w:ind w:left="1701" w:hanging="567"/>
      </w:pPr>
      <w:r>
        <w:rPr>
          <w:lang w:val="en-US"/>
        </w:rPr>
        <w:t>“</w:t>
      </w:r>
      <w:r w:rsidR="007A565E" w:rsidRPr="00657148">
        <w:rPr>
          <w:lang w:val="en-US"/>
        </w:rPr>
        <w:t>XYZ</w:t>
      </w:r>
      <w:r>
        <w:rPr>
          <w:lang w:val="en-US"/>
        </w:rPr>
        <w:tab/>
      </w:r>
      <w:r w:rsidR="007A565E" w:rsidRPr="00657148">
        <w:rPr>
          <w:lang w:val="en-US"/>
        </w:rPr>
        <w:t xml:space="preserve">Fire Suppression Dispersing Devices are intended to provide a safety benefit based upon their ability to </w:t>
      </w:r>
      <w:r w:rsidR="007A565E" w:rsidRPr="007A565E">
        <w:t>extinguish</w:t>
      </w:r>
      <w:r w:rsidR="007A565E" w:rsidRPr="00657148">
        <w:rPr>
          <w:lang w:val="en-US"/>
        </w:rPr>
        <w:t xml:space="preserve"> flames when actuated. </w:t>
      </w:r>
      <w:r w:rsidR="007A565E" w:rsidRPr="00657148">
        <w:t>The devices may be either electrically activated</w:t>
      </w:r>
      <w:r w:rsidR="007A565E">
        <w:t>, manually actuated,</w:t>
      </w:r>
      <w:r w:rsidR="007A565E" w:rsidRPr="00657148">
        <w:t xml:space="preserve"> or thermally activated and shall be designed to prevent inadvertent activation either by shipping the actuation component separately (e.g., thermally activated head, and the </w:t>
      </w:r>
      <w:r w:rsidR="007A565E" w:rsidRPr="00E111F0">
        <w:t xml:space="preserve">main </w:t>
      </w:r>
      <w:r w:rsidR="007A565E" w:rsidRPr="00657148">
        <w:t>unit are shipped separately) or by ensuring that the electrically initiated devices are not electrically connected and there is a secondary means of protection to prevent activation. Devices may contain dangerous goods of Division 1.4, if they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w:t>
      </w:r>
      <w:r w:rsidR="00E32609">
        <w:t>.</w:t>
      </w:r>
      <w:r w:rsidR="007A565E">
        <w:t xml:space="preserve"> The dispersant </w:t>
      </w:r>
      <w:r w:rsidR="00E32609">
        <w:t>shall</w:t>
      </w:r>
      <w:r w:rsidR="007A565E">
        <w:t xml:space="preserve"> be deemed safe for occupied areas and </w:t>
      </w:r>
      <w:proofErr w:type="gramStart"/>
      <w:r w:rsidR="007A565E">
        <w:t>be in compliance with</w:t>
      </w:r>
      <w:proofErr w:type="gramEnd"/>
      <w:r w:rsidR="009C16A5">
        <w:t xml:space="preserve"> standard</w:t>
      </w:r>
      <w:r w:rsidR="007A565E">
        <w:t xml:space="preserve"> ISO 15779 or UL 2775.</w:t>
      </w:r>
    </w:p>
    <w:p w14:paraId="102953D8" w14:textId="77777777" w:rsidR="007A565E" w:rsidRPr="00657148" w:rsidRDefault="007A565E" w:rsidP="0080505D">
      <w:pPr>
        <w:pStyle w:val="SingleTxtG"/>
        <w:ind w:left="1701"/>
      </w:pPr>
      <w:r w:rsidRPr="00657148">
        <w:t>This entry does not apply to “SAFETY DEVICES, electrically initiated” described in special provision 280 (UN 3268).”</w:t>
      </w:r>
    </w:p>
    <w:p w14:paraId="4E93E99B" w14:textId="5778D573" w:rsidR="005C6FE0" w:rsidRDefault="005C6FE0" w:rsidP="005C6FE0">
      <w:pPr>
        <w:pStyle w:val="SingleTxtG"/>
        <w:rPr>
          <w:lang w:val="en-US"/>
        </w:rPr>
      </w:pPr>
      <w:r>
        <w:rPr>
          <w:lang w:val="en-US"/>
        </w:rPr>
        <w:tab/>
        <w:t>15.</w:t>
      </w:r>
      <w:r>
        <w:rPr>
          <w:lang w:val="en-US"/>
        </w:rPr>
        <w:tab/>
        <w:t>The entry name in the index should be amended as follows:</w:t>
      </w:r>
    </w:p>
    <w:tbl>
      <w:tblPr>
        <w:tblStyle w:val="TableGrid"/>
        <w:tblW w:w="0" w:type="auto"/>
        <w:tblInd w:w="1696" w:type="dxa"/>
        <w:tblLook w:val="04A0" w:firstRow="1" w:lastRow="0" w:firstColumn="1" w:lastColumn="0" w:noHBand="0" w:noVBand="1"/>
      </w:tblPr>
      <w:tblGrid>
        <w:gridCol w:w="3969"/>
        <w:gridCol w:w="1276"/>
        <w:gridCol w:w="1418"/>
      </w:tblGrid>
      <w:tr w:rsidR="005C6FE0" w:rsidRPr="005C6FE0" w14:paraId="5D756BB7" w14:textId="77777777" w:rsidTr="008867BA">
        <w:tc>
          <w:tcPr>
            <w:tcW w:w="3969" w:type="dxa"/>
          </w:tcPr>
          <w:p w14:paraId="0F3E2D9E" w14:textId="77777777" w:rsidR="005C6FE0" w:rsidRPr="005C6FE0" w:rsidRDefault="005C6FE0" w:rsidP="00937380">
            <w:pPr>
              <w:ind w:left="-610" w:firstLine="610"/>
              <w:rPr>
                <w:b/>
                <w:bCs/>
                <w:sz w:val="18"/>
                <w:szCs w:val="18"/>
              </w:rPr>
            </w:pPr>
            <w:r w:rsidRPr="005C6FE0">
              <w:rPr>
                <w:b/>
                <w:bCs/>
                <w:sz w:val="18"/>
                <w:szCs w:val="18"/>
              </w:rPr>
              <w:t>Name and description</w:t>
            </w:r>
          </w:p>
        </w:tc>
        <w:tc>
          <w:tcPr>
            <w:tcW w:w="1276" w:type="dxa"/>
          </w:tcPr>
          <w:p w14:paraId="5F68B886" w14:textId="77777777" w:rsidR="005C6FE0" w:rsidRPr="005C6FE0" w:rsidRDefault="005C6FE0" w:rsidP="00937380">
            <w:pPr>
              <w:ind w:left="-610" w:firstLine="610"/>
              <w:jc w:val="center"/>
              <w:rPr>
                <w:b/>
                <w:bCs/>
                <w:sz w:val="18"/>
                <w:szCs w:val="18"/>
              </w:rPr>
            </w:pPr>
            <w:r w:rsidRPr="005C6FE0">
              <w:rPr>
                <w:b/>
                <w:bCs/>
                <w:sz w:val="18"/>
                <w:szCs w:val="18"/>
              </w:rPr>
              <w:t>Class</w:t>
            </w:r>
          </w:p>
        </w:tc>
        <w:tc>
          <w:tcPr>
            <w:tcW w:w="1418" w:type="dxa"/>
          </w:tcPr>
          <w:p w14:paraId="4F7BDA60" w14:textId="77777777" w:rsidR="005C6FE0" w:rsidRPr="005C6FE0" w:rsidRDefault="005C6FE0" w:rsidP="00937380">
            <w:pPr>
              <w:ind w:left="-610" w:firstLine="610"/>
              <w:jc w:val="center"/>
              <w:rPr>
                <w:b/>
                <w:bCs/>
                <w:sz w:val="18"/>
                <w:szCs w:val="18"/>
              </w:rPr>
            </w:pPr>
            <w:r w:rsidRPr="005C6FE0">
              <w:rPr>
                <w:b/>
                <w:bCs/>
                <w:sz w:val="18"/>
                <w:szCs w:val="18"/>
              </w:rPr>
              <w:t>UN Number</w:t>
            </w:r>
          </w:p>
        </w:tc>
      </w:tr>
      <w:tr w:rsidR="005C6FE0" w:rsidRPr="005C6FE0" w14:paraId="7E008C35" w14:textId="77777777" w:rsidTr="008867BA">
        <w:tc>
          <w:tcPr>
            <w:tcW w:w="3969" w:type="dxa"/>
          </w:tcPr>
          <w:p w14:paraId="7CB23952" w14:textId="77777777" w:rsidR="005C6FE0" w:rsidRPr="005C6FE0" w:rsidRDefault="005C6FE0" w:rsidP="00937380">
            <w:pPr>
              <w:ind w:left="-610" w:firstLine="610"/>
              <w:rPr>
                <w:strike/>
                <w:sz w:val="18"/>
                <w:szCs w:val="18"/>
                <w:u w:val="single"/>
              </w:rPr>
            </w:pPr>
            <w:r w:rsidRPr="005C6FE0">
              <w:rPr>
                <w:sz w:val="18"/>
                <w:szCs w:val="18"/>
                <w:u w:val="single"/>
              </w:rPr>
              <w:t>Fire Suppression Dispersing devices</w:t>
            </w:r>
          </w:p>
        </w:tc>
        <w:tc>
          <w:tcPr>
            <w:tcW w:w="1276" w:type="dxa"/>
          </w:tcPr>
          <w:p w14:paraId="5C4E09EE" w14:textId="77777777" w:rsidR="005C6FE0" w:rsidRPr="005C6FE0" w:rsidRDefault="005C6FE0" w:rsidP="00937380">
            <w:pPr>
              <w:ind w:left="-610" w:firstLine="610"/>
              <w:jc w:val="center"/>
              <w:rPr>
                <w:sz w:val="18"/>
                <w:szCs w:val="18"/>
              </w:rPr>
            </w:pPr>
            <w:r w:rsidRPr="005C6FE0">
              <w:rPr>
                <w:sz w:val="18"/>
                <w:szCs w:val="18"/>
              </w:rPr>
              <w:t>9</w:t>
            </w:r>
          </w:p>
        </w:tc>
        <w:tc>
          <w:tcPr>
            <w:tcW w:w="1418" w:type="dxa"/>
          </w:tcPr>
          <w:p w14:paraId="38DFD524" w14:textId="77777777" w:rsidR="005C6FE0" w:rsidRPr="005C6FE0" w:rsidRDefault="005C6FE0" w:rsidP="00937380">
            <w:pPr>
              <w:ind w:left="-610" w:firstLine="610"/>
              <w:jc w:val="center"/>
              <w:rPr>
                <w:sz w:val="18"/>
                <w:szCs w:val="18"/>
              </w:rPr>
            </w:pPr>
            <w:r w:rsidRPr="005C6FE0">
              <w:rPr>
                <w:sz w:val="18"/>
                <w:szCs w:val="18"/>
              </w:rPr>
              <w:t>35XX</w:t>
            </w:r>
          </w:p>
        </w:tc>
      </w:tr>
    </w:tbl>
    <w:p w14:paraId="5760D237" w14:textId="722BE3C7" w:rsidR="005C6FE0" w:rsidRDefault="005C6FE0" w:rsidP="005C6FE0">
      <w:pPr>
        <w:pStyle w:val="SingleTxtG"/>
        <w:spacing w:before="240"/>
        <w:rPr>
          <w:lang w:val="en-US"/>
        </w:rPr>
      </w:pPr>
      <w:r>
        <w:rPr>
          <w:lang w:val="en-US"/>
        </w:rPr>
        <w:tab/>
        <w:t>16.</w:t>
      </w:r>
      <w:r>
        <w:rPr>
          <w:lang w:val="en-US"/>
        </w:rPr>
        <w:tab/>
      </w:r>
      <w:r w:rsidR="00EB37DF">
        <w:rPr>
          <w:lang w:val="en-US"/>
        </w:rPr>
        <w:t xml:space="preserve">In 3.3.1 </w:t>
      </w:r>
      <w:r w:rsidR="00D131FB">
        <w:rPr>
          <w:lang w:val="en-US"/>
        </w:rPr>
        <w:t>amend</w:t>
      </w:r>
      <w:r>
        <w:rPr>
          <w:lang w:val="en-US"/>
        </w:rPr>
        <w:t xml:space="preserve"> special provision 280 by adding the following language at the end:</w:t>
      </w:r>
    </w:p>
    <w:p w14:paraId="591A7244" w14:textId="77777777" w:rsidR="005C6FE0" w:rsidRPr="00A46D54" w:rsidRDefault="005C6FE0" w:rsidP="004C2467">
      <w:pPr>
        <w:pStyle w:val="SingleTxtG"/>
        <w:ind w:left="1701"/>
      </w:pPr>
      <w:r>
        <w:t>“</w:t>
      </w:r>
      <w:r w:rsidRPr="00A46D54">
        <w:t xml:space="preserve">This entry does not apply to life </w:t>
      </w:r>
      <w:r w:rsidRPr="005C6FE0">
        <w:t>saving</w:t>
      </w:r>
      <w:r w:rsidRPr="00A46D54">
        <w:t xml:space="preserve"> appliances described in special provision 296 (UN Nos. 2990 and 3072) </w:t>
      </w:r>
      <w:r w:rsidRPr="00A46D54">
        <w:rPr>
          <w:i/>
          <w:iCs/>
        </w:rPr>
        <w:t>and Fire Suppression Dispersing devices (UN No.35XX).</w:t>
      </w:r>
      <w:r w:rsidRPr="00A46D54">
        <w:t>”</w:t>
      </w:r>
    </w:p>
    <w:p w14:paraId="651F7F78" w14:textId="29E5FBDA" w:rsidR="00FF0C14" w:rsidRPr="004C2467" w:rsidRDefault="004C2467" w:rsidP="004C2467">
      <w:pPr>
        <w:spacing w:before="240"/>
        <w:jc w:val="center"/>
        <w:rPr>
          <w:u w:val="single"/>
        </w:rPr>
      </w:pPr>
      <w:r>
        <w:rPr>
          <w:u w:val="single"/>
        </w:rPr>
        <w:tab/>
      </w:r>
      <w:r>
        <w:rPr>
          <w:u w:val="single"/>
        </w:rPr>
        <w:tab/>
      </w:r>
      <w:r>
        <w:rPr>
          <w:u w:val="single"/>
        </w:rPr>
        <w:tab/>
      </w:r>
    </w:p>
    <w:sectPr w:rsidR="00FF0C14" w:rsidRPr="004C2467" w:rsidSect="00500F3B">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C6BD" w14:textId="77777777" w:rsidR="00480C83" w:rsidRPr="00C47B2E" w:rsidRDefault="00480C83" w:rsidP="00C47B2E">
      <w:pPr>
        <w:pStyle w:val="Footer"/>
      </w:pPr>
    </w:p>
  </w:endnote>
  <w:endnote w:type="continuationSeparator" w:id="0">
    <w:p w14:paraId="391C0888" w14:textId="77777777" w:rsidR="00480C83" w:rsidRPr="00C47B2E" w:rsidRDefault="00480C83" w:rsidP="00C47B2E">
      <w:pPr>
        <w:pStyle w:val="Footer"/>
      </w:pPr>
    </w:p>
  </w:endnote>
  <w:endnote w:type="continuationNotice" w:id="1">
    <w:p w14:paraId="625FA164" w14:textId="77777777" w:rsidR="00480C83" w:rsidRPr="00C47B2E" w:rsidRDefault="00480C8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35D" w14:textId="645D27D6" w:rsidR="00D94B05" w:rsidRPr="00500F3B" w:rsidRDefault="00500F3B" w:rsidP="00500F3B">
    <w:pPr>
      <w:pStyle w:val="Footer"/>
      <w:tabs>
        <w:tab w:val="right" w:pos="9598"/>
        <w:tab w:val="right" w:pos="9638"/>
      </w:tabs>
      <w:rPr>
        <w:sz w:val="18"/>
      </w:rPr>
    </w:pPr>
    <w:r w:rsidRPr="00500F3B">
      <w:rPr>
        <w:b/>
        <w:sz w:val="18"/>
      </w:rPr>
      <w:fldChar w:fldCharType="begin"/>
    </w:r>
    <w:r w:rsidRPr="00500F3B">
      <w:rPr>
        <w:b/>
        <w:sz w:val="18"/>
      </w:rPr>
      <w:instrText xml:space="preserve"> PAGE  \* MERGEFORMAT </w:instrText>
    </w:r>
    <w:r w:rsidRPr="00500F3B">
      <w:rPr>
        <w:b/>
        <w:sz w:val="18"/>
      </w:rPr>
      <w:fldChar w:fldCharType="separate"/>
    </w:r>
    <w:r w:rsidRPr="00500F3B">
      <w:rPr>
        <w:b/>
        <w:noProof/>
        <w:sz w:val="18"/>
      </w:rPr>
      <w:t>2</w:t>
    </w:r>
    <w:r w:rsidRPr="00500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93" w14:textId="148A374E" w:rsidR="00D94B05" w:rsidRPr="00500F3B" w:rsidRDefault="00500F3B" w:rsidP="008B42FC">
    <w:pPr>
      <w:pStyle w:val="Footer"/>
      <w:tabs>
        <w:tab w:val="left" w:pos="5775"/>
        <w:tab w:val="right" w:pos="9598"/>
        <w:tab w:val="right" w:pos="9638"/>
      </w:tabs>
      <w:jc w:val="right"/>
      <w:rPr>
        <w:sz w:val="18"/>
      </w:rPr>
    </w:pPr>
    <w:r>
      <w:rPr>
        <w:b/>
        <w:sz w:val="18"/>
      </w:rPr>
      <w:tab/>
    </w:r>
    <w:r w:rsidRPr="00500F3B">
      <w:rPr>
        <w:sz w:val="18"/>
      </w:rPr>
      <w:fldChar w:fldCharType="begin"/>
    </w:r>
    <w:r w:rsidRPr="00500F3B">
      <w:rPr>
        <w:sz w:val="18"/>
      </w:rPr>
      <w:instrText xml:space="preserve"> PAGE  \* MERGEFORMAT </w:instrText>
    </w:r>
    <w:r w:rsidRPr="00500F3B">
      <w:rPr>
        <w:sz w:val="18"/>
      </w:rPr>
      <w:fldChar w:fldCharType="separate"/>
    </w:r>
    <w:r w:rsidRPr="00500F3B">
      <w:rPr>
        <w:noProof/>
        <w:sz w:val="18"/>
      </w:rPr>
      <w:t>3</w:t>
    </w:r>
    <w:r w:rsidRPr="00500F3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8B9" w14:textId="77777777" w:rsidR="00D94B05" w:rsidRPr="00500F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0B86DC1" wp14:editId="5E5742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17C3" w14:textId="77777777" w:rsidR="00480C83" w:rsidRPr="00C47B2E" w:rsidRDefault="00480C83" w:rsidP="00C47B2E">
      <w:pPr>
        <w:tabs>
          <w:tab w:val="right" w:pos="2155"/>
        </w:tabs>
        <w:spacing w:after="80" w:line="240" w:lineRule="auto"/>
        <w:ind w:left="680"/>
      </w:pPr>
      <w:r>
        <w:rPr>
          <w:u w:val="single"/>
        </w:rPr>
        <w:tab/>
      </w:r>
    </w:p>
  </w:footnote>
  <w:footnote w:type="continuationSeparator" w:id="0">
    <w:p w14:paraId="2574ECD0" w14:textId="77777777" w:rsidR="00480C83" w:rsidRPr="00C47B2E" w:rsidRDefault="00480C83" w:rsidP="005E716E">
      <w:pPr>
        <w:tabs>
          <w:tab w:val="right" w:pos="2155"/>
        </w:tabs>
        <w:spacing w:after="80" w:line="240" w:lineRule="auto"/>
        <w:ind w:left="680"/>
      </w:pPr>
      <w:r>
        <w:rPr>
          <w:u w:val="single"/>
        </w:rPr>
        <w:tab/>
      </w:r>
    </w:p>
  </w:footnote>
  <w:footnote w:type="continuationNotice" w:id="1">
    <w:p w14:paraId="50C7AAC3" w14:textId="77777777" w:rsidR="00480C83" w:rsidRPr="00C47B2E" w:rsidRDefault="00480C83" w:rsidP="00C47B2E">
      <w:pPr>
        <w:pStyle w:val="Footer"/>
      </w:pPr>
    </w:p>
  </w:footnote>
  <w:footnote w:id="2">
    <w:p w14:paraId="1DFFC0EA" w14:textId="105D7DE3" w:rsidR="006C73E8" w:rsidRPr="006C73E8" w:rsidRDefault="006C73E8" w:rsidP="006C73E8">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CE4" w14:textId="0C6AC808" w:rsidR="00500F3B" w:rsidRPr="00500F3B" w:rsidRDefault="0054749B">
    <w:pPr>
      <w:pStyle w:val="Header"/>
    </w:pPr>
    <w:r>
      <w:fldChar w:fldCharType="begin"/>
    </w:r>
    <w:r>
      <w:instrText xml:space="preserve"> TITLE  \* MERGEFORMAT </w:instrText>
    </w:r>
    <w:r>
      <w:fldChar w:fldCharType="separate"/>
    </w:r>
    <w:r>
      <w:t>ST/SG/AC.10/C.3/2022/</w:t>
    </w:r>
    <w:r>
      <w:fldChar w:fldCharType="end"/>
    </w:r>
    <w:r w:rsidR="00736959">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98" w14:textId="6CABD520" w:rsidR="00D94B05" w:rsidRPr="002A59A1" w:rsidRDefault="002A59A1" w:rsidP="00500F3B">
    <w:pPr>
      <w:pStyle w:val="Header"/>
      <w:jc w:val="right"/>
      <w:rPr>
        <w:lang w:val="fr-CH"/>
      </w:rPr>
    </w:pPr>
    <w:r>
      <w:rPr>
        <w:lang w:val="fr-CH"/>
      </w:rPr>
      <w:t>ST/SG/AC.10/C.3/2022/25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C47" w14:textId="77777777" w:rsidR="008B42FC" w:rsidRDefault="008B4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B94CEA"/>
    <w:multiLevelType w:val="hybridMultilevel"/>
    <w:tmpl w:val="F320B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46A40"/>
    <w:multiLevelType w:val="hybridMultilevel"/>
    <w:tmpl w:val="D3949086"/>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E33456E"/>
    <w:multiLevelType w:val="hybridMultilevel"/>
    <w:tmpl w:val="C90EA662"/>
    <w:lvl w:ilvl="0" w:tplc="6F28EAD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9"/>
  </w:num>
  <w:num w:numId="6">
    <w:abstractNumId w:val="11"/>
  </w:num>
  <w:num w:numId="7">
    <w:abstractNumId w:val="4"/>
  </w:num>
  <w:num w:numId="8">
    <w:abstractNumId w:val="1"/>
  </w:num>
  <w:num w:numId="9">
    <w:abstractNumId w:val="10"/>
  </w:num>
  <w:num w:numId="10">
    <w:abstractNumId w:val="1"/>
  </w:num>
  <w:num w:numId="11">
    <w:abstractNumId w:val="10"/>
  </w:num>
  <w:num w:numId="12">
    <w:abstractNumId w:val="2"/>
  </w:num>
  <w:num w:numId="13">
    <w:abstractNumId w:val="2"/>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B"/>
    <w:rsid w:val="00041BE5"/>
    <w:rsid w:val="00046E92"/>
    <w:rsid w:val="00063C90"/>
    <w:rsid w:val="000A7D71"/>
    <w:rsid w:val="000C6BD9"/>
    <w:rsid w:val="000F494E"/>
    <w:rsid w:val="00101B98"/>
    <w:rsid w:val="00141CF1"/>
    <w:rsid w:val="00146E3C"/>
    <w:rsid w:val="001514D1"/>
    <w:rsid w:val="00186948"/>
    <w:rsid w:val="001A11AE"/>
    <w:rsid w:val="001D4119"/>
    <w:rsid w:val="002457BF"/>
    <w:rsid w:val="00247E2C"/>
    <w:rsid w:val="002553B1"/>
    <w:rsid w:val="0029658B"/>
    <w:rsid w:val="002A32CB"/>
    <w:rsid w:val="002A35E0"/>
    <w:rsid w:val="002A59A1"/>
    <w:rsid w:val="002D5B2C"/>
    <w:rsid w:val="002D6C53"/>
    <w:rsid w:val="002F5595"/>
    <w:rsid w:val="00312E3E"/>
    <w:rsid w:val="00334F6A"/>
    <w:rsid w:val="00335649"/>
    <w:rsid w:val="00342AC8"/>
    <w:rsid w:val="00343302"/>
    <w:rsid w:val="003979DE"/>
    <w:rsid w:val="003B4550"/>
    <w:rsid w:val="003D2A18"/>
    <w:rsid w:val="00413386"/>
    <w:rsid w:val="004415AC"/>
    <w:rsid w:val="00461253"/>
    <w:rsid w:val="00476F1C"/>
    <w:rsid w:val="00480C83"/>
    <w:rsid w:val="004858F5"/>
    <w:rsid w:val="004A2814"/>
    <w:rsid w:val="004A6AB1"/>
    <w:rsid w:val="004B2C82"/>
    <w:rsid w:val="004C0622"/>
    <w:rsid w:val="004C2467"/>
    <w:rsid w:val="00500F3B"/>
    <w:rsid w:val="005042C2"/>
    <w:rsid w:val="005247D9"/>
    <w:rsid w:val="0054749B"/>
    <w:rsid w:val="00554E93"/>
    <w:rsid w:val="00574064"/>
    <w:rsid w:val="005962D0"/>
    <w:rsid w:val="005B5ADD"/>
    <w:rsid w:val="005C6FE0"/>
    <w:rsid w:val="005E716E"/>
    <w:rsid w:val="00612488"/>
    <w:rsid w:val="006476E1"/>
    <w:rsid w:val="00647BB9"/>
    <w:rsid w:val="006604DF"/>
    <w:rsid w:val="00671529"/>
    <w:rsid w:val="006C73E8"/>
    <w:rsid w:val="006D4F4D"/>
    <w:rsid w:val="006E10DF"/>
    <w:rsid w:val="0070489D"/>
    <w:rsid w:val="0071076B"/>
    <w:rsid w:val="007268F9"/>
    <w:rsid w:val="007316C3"/>
    <w:rsid w:val="00736959"/>
    <w:rsid w:val="00750282"/>
    <w:rsid w:val="00761760"/>
    <w:rsid w:val="00764440"/>
    <w:rsid w:val="0077101B"/>
    <w:rsid w:val="007A565E"/>
    <w:rsid w:val="007C52B0"/>
    <w:rsid w:val="007C6033"/>
    <w:rsid w:val="007D17AF"/>
    <w:rsid w:val="0080505D"/>
    <w:rsid w:val="008147C8"/>
    <w:rsid w:val="0081753A"/>
    <w:rsid w:val="00827FF1"/>
    <w:rsid w:val="00830290"/>
    <w:rsid w:val="00857D23"/>
    <w:rsid w:val="008867BA"/>
    <w:rsid w:val="00897446"/>
    <w:rsid w:val="008B42FC"/>
    <w:rsid w:val="008D4B8E"/>
    <w:rsid w:val="00934944"/>
    <w:rsid w:val="009411B4"/>
    <w:rsid w:val="00946F1D"/>
    <w:rsid w:val="00953046"/>
    <w:rsid w:val="0098620D"/>
    <w:rsid w:val="009B0460"/>
    <w:rsid w:val="009B0E3F"/>
    <w:rsid w:val="009B591B"/>
    <w:rsid w:val="009B6AC2"/>
    <w:rsid w:val="009C16A5"/>
    <w:rsid w:val="009D0139"/>
    <w:rsid w:val="009D717D"/>
    <w:rsid w:val="009F5CDC"/>
    <w:rsid w:val="00A072D7"/>
    <w:rsid w:val="00A12CC1"/>
    <w:rsid w:val="00A7701C"/>
    <w:rsid w:val="00A775CF"/>
    <w:rsid w:val="00AA46FB"/>
    <w:rsid w:val="00AC0E10"/>
    <w:rsid w:val="00AD1A9C"/>
    <w:rsid w:val="00AE472E"/>
    <w:rsid w:val="00AF5DE1"/>
    <w:rsid w:val="00B05D0B"/>
    <w:rsid w:val="00B06045"/>
    <w:rsid w:val="00B206DD"/>
    <w:rsid w:val="00B23EDC"/>
    <w:rsid w:val="00B51C6E"/>
    <w:rsid w:val="00B52EF4"/>
    <w:rsid w:val="00B743BC"/>
    <w:rsid w:val="00B777AD"/>
    <w:rsid w:val="00B93642"/>
    <w:rsid w:val="00BA0B68"/>
    <w:rsid w:val="00C03015"/>
    <w:rsid w:val="00C0358D"/>
    <w:rsid w:val="00C216D9"/>
    <w:rsid w:val="00C30779"/>
    <w:rsid w:val="00C35A27"/>
    <w:rsid w:val="00C47B2E"/>
    <w:rsid w:val="00C77D60"/>
    <w:rsid w:val="00C97CBB"/>
    <w:rsid w:val="00CC14CE"/>
    <w:rsid w:val="00CF020B"/>
    <w:rsid w:val="00D131FB"/>
    <w:rsid w:val="00D31E94"/>
    <w:rsid w:val="00D35418"/>
    <w:rsid w:val="00D63CD2"/>
    <w:rsid w:val="00D832C1"/>
    <w:rsid w:val="00D87DC2"/>
    <w:rsid w:val="00D947D6"/>
    <w:rsid w:val="00D94B05"/>
    <w:rsid w:val="00DD29EE"/>
    <w:rsid w:val="00DD6AFB"/>
    <w:rsid w:val="00E02C2B"/>
    <w:rsid w:val="00E111F0"/>
    <w:rsid w:val="00E21C27"/>
    <w:rsid w:val="00E26BCF"/>
    <w:rsid w:val="00E32609"/>
    <w:rsid w:val="00E37E5A"/>
    <w:rsid w:val="00E511A6"/>
    <w:rsid w:val="00E52109"/>
    <w:rsid w:val="00E75317"/>
    <w:rsid w:val="00EB37DF"/>
    <w:rsid w:val="00EB5D91"/>
    <w:rsid w:val="00EC0CE6"/>
    <w:rsid w:val="00EC7C1D"/>
    <w:rsid w:val="00ED449B"/>
    <w:rsid w:val="00ED6C48"/>
    <w:rsid w:val="00EE3045"/>
    <w:rsid w:val="00F6142E"/>
    <w:rsid w:val="00F65F5D"/>
    <w:rsid w:val="00F852BD"/>
    <w:rsid w:val="00F86A3A"/>
    <w:rsid w:val="00FF0C14"/>
    <w:rsid w:val="00FF2F8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F1000"/>
  <w15:docId w15:val="{F1EE1384-091A-4AF6-9975-0312B3E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qFormat/>
    <w:rsid w:val="00574064"/>
    <w:pPr>
      <w:kinsoku/>
      <w:overflowPunct/>
      <w:autoSpaceDE/>
      <w:autoSpaceDN/>
      <w:adjustRightInd/>
      <w:snapToGrid/>
      <w:ind w:left="720"/>
      <w:contextualSpacing/>
    </w:pPr>
    <w:rPr>
      <w:rFonts w:eastAsia="Times New Roman"/>
      <w:lang w:eastAsia="en-US"/>
    </w:rPr>
  </w:style>
  <w:style w:type="table" w:customStyle="1" w:styleId="TableGrid1">
    <w:name w:val="Table Grid1"/>
    <w:basedOn w:val="TableNormal"/>
    <w:next w:val="TableGrid"/>
    <w:semiHidden/>
    <w:rsid w:val="00554E93"/>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B2F8B-2558-4142-B25B-4B1B9DBA94F4}">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4b4a1c0d-4a69-4996-a84a-fc699b9f49de"/>
    <ds:schemaRef ds:uri="http://schemas.openxmlformats.org/package/2006/metadata/core-properties"/>
    <ds:schemaRef ds:uri="http://purl.org/dc/terms/"/>
    <ds:schemaRef ds:uri="acccb6d4-dbe5-46d2-b4d3-5733603d8cc6"/>
    <ds:schemaRef ds:uri="http://www.w3.org/XML/1998/namespac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7E71302A-7017-4C5D-A0FD-17CE14638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596A0-F9FF-4126-8675-0B0FE3D1D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160</TotalTime>
  <Pages>4</Pages>
  <Words>1633</Words>
  <Characters>9446</Characters>
  <Application>Microsoft Office Word</Application>
  <DocSecurity>0</DocSecurity>
  <Lines>236</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89</cp:revision>
  <cp:lastPrinted>2022-04-07T07:39:00Z</cp:lastPrinted>
  <dcterms:created xsi:type="dcterms:W3CDTF">2022-04-01T06:34:00Z</dcterms:created>
  <dcterms:modified xsi:type="dcterms:W3CDTF">2022-04-07T07:39:00Z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