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B577AFA" w14:textId="77777777" w:rsidTr="006476E1">
        <w:trPr>
          <w:trHeight w:val="851"/>
        </w:trPr>
        <w:tc>
          <w:tcPr>
            <w:tcW w:w="1259" w:type="dxa"/>
            <w:tcBorders>
              <w:top w:val="nil"/>
              <w:left w:val="nil"/>
              <w:bottom w:val="single" w:sz="4" w:space="0" w:color="auto"/>
              <w:right w:val="nil"/>
            </w:tcBorders>
          </w:tcPr>
          <w:p w14:paraId="5D033EF8" w14:textId="77777777" w:rsidR="00E52109" w:rsidRPr="002A32CB" w:rsidRDefault="00E52109" w:rsidP="004858F5"/>
        </w:tc>
        <w:tc>
          <w:tcPr>
            <w:tcW w:w="2236" w:type="dxa"/>
            <w:tcBorders>
              <w:top w:val="nil"/>
              <w:left w:val="nil"/>
              <w:bottom w:val="single" w:sz="4" w:space="0" w:color="auto"/>
              <w:right w:val="nil"/>
            </w:tcBorders>
            <w:vAlign w:val="bottom"/>
          </w:tcPr>
          <w:p w14:paraId="6093A667"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B63B65B" w14:textId="6CADDAA8" w:rsidR="00E52109" w:rsidRDefault="00A4013A" w:rsidP="00A4013A">
            <w:pPr>
              <w:suppressAutoHyphens w:val="0"/>
              <w:jc w:val="right"/>
            </w:pPr>
            <w:r w:rsidRPr="00A4013A">
              <w:rPr>
                <w:sz w:val="40"/>
              </w:rPr>
              <w:t>ST</w:t>
            </w:r>
            <w:r>
              <w:t>/SG/AC.10/C.3/2022/23</w:t>
            </w:r>
          </w:p>
        </w:tc>
      </w:tr>
      <w:tr w:rsidR="00E52109" w14:paraId="4A45EB47" w14:textId="77777777" w:rsidTr="006476E1">
        <w:trPr>
          <w:trHeight w:val="2835"/>
        </w:trPr>
        <w:tc>
          <w:tcPr>
            <w:tcW w:w="1259" w:type="dxa"/>
            <w:tcBorders>
              <w:top w:val="single" w:sz="4" w:space="0" w:color="auto"/>
              <w:left w:val="nil"/>
              <w:bottom w:val="single" w:sz="12" w:space="0" w:color="auto"/>
              <w:right w:val="nil"/>
            </w:tcBorders>
          </w:tcPr>
          <w:p w14:paraId="4615B252" w14:textId="77777777" w:rsidR="00E52109" w:rsidRDefault="00E52109" w:rsidP="006476E1">
            <w:pPr>
              <w:spacing w:before="120"/>
              <w:jc w:val="center"/>
            </w:pPr>
            <w:r>
              <w:rPr>
                <w:noProof/>
                <w:lang w:val="fr-CH" w:eastAsia="fr-CH"/>
              </w:rPr>
              <w:drawing>
                <wp:inline distT="0" distB="0" distL="0" distR="0" wp14:anchorId="363246E9" wp14:editId="41D71B1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966C40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8114AD5" w14:textId="77777777" w:rsidR="00D94B05" w:rsidRDefault="00A4013A" w:rsidP="00A4013A">
            <w:pPr>
              <w:suppressAutoHyphens w:val="0"/>
              <w:spacing w:before="240" w:line="240" w:lineRule="exact"/>
            </w:pPr>
            <w:r>
              <w:t>Distr.: General</w:t>
            </w:r>
          </w:p>
          <w:p w14:paraId="70E515D6" w14:textId="73987B96" w:rsidR="00A4013A" w:rsidRDefault="00693BCF" w:rsidP="00A4013A">
            <w:pPr>
              <w:suppressAutoHyphens w:val="0"/>
              <w:spacing w:line="240" w:lineRule="exact"/>
            </w:pPr>
            <w:r>
              <w:t>7</w:t>
            </w:r>
            <w:r w:rsidR="00A4013A">
              <w:t xml:space="preserve"> </w:t>
            </w:r>
            <w:r w:rsidR="0060047A">
              <w:t>April</w:t>
            </w:r>
            <w:r w:rsidR="00A4013A">
              <w:t xml:space="preserve"> 2022</w:t>
            </w:r>
          </w:p>
          <w:p w14:paraId="1B777406" w14:textId="77777777" w:rsidR="00A4013A" w:rsidRDefault="00A4013A" w:rsidP="00A4013A">
            <w:pPr>
              <w:suppressAutoHyphens w:val="0"/>
              <w:spacing w:line="240" w:lineRule="exact"/>
            </w:pPr>
          </w:p>
          <w:p w14:paraId="067B7BB8" w14:textId="2E85C2EB" w:rsidR="00A4013A" w:rsidRDefault="00A4013A" w:rsidP="00A4013A">
            <w:pPr>
              <w:suppressAutoHyphens w:val="0"/>
              <w:spacing w:line="240" w:lineRule="exact"/>
            </w:pPr>
            <w:r>
              <w:t>Original: English</w:t>
            </w:r>
            <w:r w:rsidR="00EA17B2">
              <w:t>/</w:t>
            </w:r>
            <w:r w:rsidR="0021681F">
              <w:t>French</w:t>
            </w:r>
            <w:r w:rsidR="00EA17B2">
              <w:t>/</w:t>
            </w:r>
            <w:r w:rsidR="0021681F">
              <w:t>Spanish</w:t>
            </w:r>
          </w:p>
        </w:tc>
      </w:tr>
    </w:tbl>
    <w:p w14:paraId="42CBFFA4" w14:textId="77777777" w:rsidR="00A4013A" w:rsidRPr="006500BA" w:rsidRDefault="00A4013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71B0541" w14:textId="77777777" w:rsidR="00A4013A" w:rsidRPr="006500BA" w:rsidRDefault="00A4013A" w:rsidP="004858F5">
      <w:pPr>
        <w:spacing w:before="120"/>
        <w:rPr>
          <w:rFonts w:ascii="Helv" w:hAnsi="Helv" w:cs="Helv"/>
          <w:b/>
          <w:color w:val="000000"/>
        </w:rPr>
      </w:pPr>
      <w:r w:rsidRPr="006500BA">
        <w:rPr>
          <w:b/>
        </w:rPr>
        <w:t xml:space="preserve">Sub-Committee of Experts on the </w:t>
      </w:r>
      <w:r>
        <w:rPr>
          <w:b/>
        </w:rPr>
        <w:t>Transport of Dangerous Goods</w:t>
      </w:r>
    </w:p>
    <w:p w14:paraId="1168D6D1" w14:textId="77777777" w:rsidR="00364959" w:rsidRDefault="00364959" w:rsidP="00364959">
      <w:pPr>
        <w:spacing w:before="120"/>
        <w:rPr>
          <w:b/>
        </w:rPr>
      </w:pPr>
      <w:r>
        <w:rPr>
          <w:b/>
        </w:rPr>
        <w:t>Sixtieth session</w:t>
      </w:r>
    </w:p>
    <w:p w14:paraId="7E05CDD0" w14:textId="77777777" w:rsidR="00364959" w:rsidRPr="006500BA" w:rsidRDefault="00364959" w:rsidP="00364959">
      <w:r>
        <w:t>Geneva, 27 June-6 July 2022</w:t>
      </w:r>
    </w:p>
    <w:p w14:paraId="5F4E777A" w14:textId="7D0DC5AE" w:rsidR="00A4013A" w:rsidRPr="006500BA" w:rsidRDefault="00A4013A" w:rsidP="004858F5">
      <w:r w:rsidRPr="006500BA">
        <w:t xml:space="preserve">Item </w:t>
      </w:r>
      <w:r w:rsidR="00187A0A">
        <w:t>6 (d)</w:t>
      </w:r>
      <w:r w:rsidRPr="006500BA">
        <w:t xml:space="preserve"> of the provisional agenda</w:t>
      </w:r>
    </w:p>
    <w:p w14:paraId="695A987C" w14:textId="6B300D62" w:rsidR="00AF5DE1" w:rsidRPr="0051415E" w:rsidRDefault="005C7B6F" w:rsidP="004858F5">
      <w:pPr>
        <w:rPr>
          <w:b/>
          <w:bCs/>
        </w:rPr>
      </w:pPr>
      <w:r w:rsidRPr="0051415E">
        <w:rPr>
          <w:b/>
          <w:bCs/>
        </w:rPr>
        <w:t xml:space="preserve">Miscellaneous proposals for amendments to the Model Regulations </w:t>
      </w:r>
      <w:r w:rsidRPr="0051415E">
        <w:rPr>
          <w:b/>
          <w:bCs/>
        </w:rPr>
        <w:br/>
        <w:t xml:space="preserve">on the Transport of Dangerous Goods: </w:t>
      </w:r>
      <w:r w:rsidR="0051415E" w:rsidRPr="0051415E">
        <w:rPr>
          <w:b/>
          <w:bCs/>
        </w:rPr>
        <w:t>other miscellaneous proposals</w:t>
      </w:r>
    </w:p>
    <w:p w14:paraId="78FF0562" w14:textId="77777777" w:rsidR="00E45185" w:rsidRPr="00D16071" w:rsidRDefault="00E45185" w:rsidP="00E45185">
      <w:pPr>
        <w:pStyle w:val="HChG"/>
        <w:rPr>
          <w:sz w:val="22"/>
          <w:szCs w:val="22"/>
          <w:lang w:val="en-US"/>
        </w:rPr>
      </w:pPr>
      <w:r>
        <w:tab/>
      </w:r>
      <w:r>
        <w:tab/>
      </w:r>
      <w:r w:rsidRPr="005E56E0">
        <w:t xml:space="preserve">Filling ratio and </w:t>
      </w:r>
      <w:r w:rsidRPr="00E45185">
        <w:t>degree</w:t>
      </w:r>
      <w:r w:rsidRPr="005E56E0">
        <w:t xml:space="preserve"> of filling</w:t>
      </w:r>
    </w:p>
    <w:p w14:paraId="6A7E86CC" w14:textId="4F5A6DE2" w:rsidR="00E45185" w:rsidRDefault="00E45185" w:rsidP="00E45185">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009E500A">
        <w:rPr>
          <w:rFonts w:asciiTheme="majorBidi" w:hAnsiTheme="majorBidi" w:cstheme="majorBidi"/>
        </w:rPr>
        <w:t>Transmitted</w:t>
      </w:r>
      <w:r>
        <w:rPr>
          <w:rFonts w:asciiTheme="majorBidi" w:hAnsiTheme="majorBidi" w:cstheme="majorBidi"/>
        </w:rPr>
        <w:t xml:space="preserve"> by the expert from Spain</w:t>
      </w:r>
      <w:r>
        <w:rPr>
          <w:rStyle w:val="FootnoteReference"/>
          <w:rFonts w:cstheme="majorBidi"/>
        </w:rPr>
        <w:footnoteReference w:id="2"/>
      </w:r>
    </w:p>
    <w:p w14:paraId="1306263D" w14:textId="77777777" w:rsidR="00E45185" w:rsidRDefault="00E45185" w:rsidP="00E45185">
      <w:pPr>
        <w:pStyle w:val="HChG"/>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Pr>
          <w:rFonts w:asciiTheme="majorBidi" w:hAnsiTheme="majorBidi" w:cstheme="majorBidi"/>
          <w:lang w:val="en-US"/>
        </w:rPr>
        <w:t>Introduction</w:t>
      </w:r>
    </w:p>
    <w:p w14:paraId="6DF5BBBD" w14:textId="5A75F3C0" w:rsidR="00E45185" w:rsidRPr="00133497" w:rsidRDefault="00E45185" w:rsidP="00E45185">
      <w:pPr>
        <w:pStyle w:val="SingleTxtG"/>
      </w:pPr>
      <w:r w:rsidRPr="00372A88">
        <w:rPr>
          <w:lang w:val="en-US"/>
        </w:rPr>
        <w:tab/>
        <w:t>1.</w:t>
      </w:r>
      <w:r w:rsidRPr="00372A88">
        <w:rPr>
          <w:lang w:val="en-US"/>
        </w:rPr>
        <w:tab/>
      </w:r>
      <w:r>
        <w:rPr>
          <w:lang w:val="en-US"/>
        </w:rPr>
        <w:t xml:space="preserve">In </w:t>
      </w:r>
      <w:r w:rsidR="00BC0D93">
        <w:rPr>
          <w:lang w:val="en-US"/>
        </w:rPr>
        <w:t xml:space="preserve">Chapter 1.2 of </w:t>
      </w:r>
      <w:r>
        <w:rPr>
          <w:lang w:val="en-US"/>
        </w:rPr>
        <w:t>the Model Regulations, “filling ratio” is defined as “the ratio of the mass of gas to the mass of water at 15</w:t>
      </w:r>
      <w:r w:rsidR="009402DE">
        <w:rPr>
          <w:lang w:val="en-US"/>
        </w:rPr>
        <w:t xml:space="preserve"> </w:t>
      </w:r>
      <w:r>
        <w:rPr>
          <w:lang w:val="en-US"/>
        </w:rPr>
        <w:t xml:space="preserve">ºC that would fill completely a pressure receptacle fitted ready for use”. </w:t>
      </w:r>
      <w:r w:rsidRPr="00133497">
        <w:t xml:space="preserve">This </w:t>
      </w:r>
      <w:r>
        <w:t xml:space="preserve">definition </w:t>
      </w:r>
      <w:r w:rsidRPr="00133497">
        <w:t>applies to all types of gases</w:t>
      </w:r>
      <w:r>
        <w:t>, and only to gases</w:t>
      </w:r>
      <w:r w:rsidRPr="00133497">
        <w:t>.</w:t>
      </w:r>
      <w:r>
        <w:t xml:space="preserve"> The definition of filling ratio was introduced together with other general provisions for the transport of gases following a proposal from </w:t>
      </w:r>
      <w:r w:rsidR="00FA32B8">
        <w:t>th</w:t>
      </w:r>
      <w:r w:rsidR="00FA32B8" w:rsidRPr="00FA32B8">
        <w:t>e European Industrial Gases Association (EIGA</w:t>
      </w:r>
      <w:r w:rsidR="00FA32B8">
        <w:t>)</w:t>
      </w:r>
      <w:r>
        <w:t xml:space="preserve"> in the year 2000.</w:t>
      </w:r>
    </w:p>
    <w:p w14:paraId="073029BD" w14:textId="7A14F100" w:rsidR="00E45185" w:rsidRPr="00133497" w:rsidRDefault="00E45185" w:rsidP="00E45185">
      <w:pPr>
        <w:pStyle w:val="SingleTxtG"/>
      </w:pPr>
      <w:r w:rsidRPr="00133497">
        <w:t>2.</w:t>
      </w:r>
      <w:r w:rsidRPr="00133497">
        <w:tab/>
      </w:r>
      <w:r>
        <w:t>The expression “degree of filling”</w:t>
      </w:r>
      <w:r w:rsidRPr="00133497">
        <w:t xml:space="preserve"> </w:t>
      </w:r>
      <w:r>
        <w:t>is used in reference to liquids and solids. Notwithstanding this, there is no definition in 1.2.1 for this expression.</w:t>
      </w:r>
    </w:p>
    <w:p w14:paraId="5DBDF6AC" w14:textId="77777777" w:rsidR="00E45185" w:rsidRDefault="00E45185" w:rsidP="00E45185">
      <w:pPr>
        <w:pStyle w:val="HChG"/>
        <w:rPr>
          <w:szCs w:val="28"/>
          <w:lang w:val="en-US"/>
        </w:rPr>
      </w:pPr>
      <w:r>
        <w:rPr>
          <w:rFonts w:asciiTheme="majorBidi" w:hAnsiTheme="majorBidi" w:cstheme="majorBidi"/>
        </w:rPr>
        <w:tab/>
      </w:r>
      <w:r>
        <w:rPr>
          <w:rFonts w:asciiTheme="majorBidi" w:hAnsiTheme="majorBidi" w:cstheme="majorBidi"/>
        </w:rPr>
        <w:tab/>
      </w:r>
      <w:r>
        <w:rPr>
          <w:szCs w:val="28"/>
          <w:lang w:val="en-US"/>
        </w:rPr>
        <w:t>Use of “degree of filling” for gases</w:t>
      </w:r>
    </w:p>
    <w:p w14:paraId="5BAD1B78" w14:textId="00A8FFC7" w:rsidR="00E45185" w:rsidRDefault="00E45185" w:rsidP="00E45185">
      <w:pPr>
        <w:pStyle w:val="SingleTxtG"/>
      </w:pPr>
      <w:r>
        <w:rPr>
          <w:lang w:val="en-US"/>
        </w:rPr>
        <w:t>3</w:t>
      </w:r>
      <w:r w:rsidRPr="00AE31E2">
        <w:rPr>
          <w:lang w:val="en-US"/>
        </w:rPr>
        <w:t>.</w:t>
      </w:r>
      <w:r>
        <w:tab/>
      </w:r>
      <w:proofErr w:type="spellStart"/>
      <w:r>
        <w:t>Analyzing</w:t>
      </w:r>
      <w:proofErr w:type="spellEnd"/>
      <w:r>
        <w:t xml:space="preserve"> the use of both terms, filling ratio and degree of filling in the Model Regulations, it seems clear that “filling ratio” should only be used for gases</w:t>
      </w:r>
      <w:r w:rsidR="00A15148">
        <w:t>.</w:t>
      </w:r>
      <w:r>
        <w:t xml:space="preserve"> </w:t>
      </w:r>
      <w:r w:rsidR="00A15148">
        <w:t>N</w:t>
      </w:r>
      <w:r>
        <w:t>evertheless, some cases where the wording “degree of filling” has been used can be observed throughout the Model Regulations. In these cases, which have been analysed one by one, the text should be amended to clearly use filling ratio in all cases linked to gases. Likewise, when “filling ratio” has been used for liquids or solids, the text should also be amended.</w:t>
      </w:r>
    </w:p>
    <w:p w14:paraId="1B03B585" w14:textId="7E58DB6A" w:rsidR="00E45185" w:rsidRDefault="00E45185" w:rsidP="00E45185">
      <w:pPr>
        <w:pStyle w:val="SingleTxtG"/>
      </w:pPr>
      <w:r>
        <w:t>4.</w:t>
      </w:r>
      <w:r>
        <w:tab/>
        <w:t>Spain has reviewed the use of these terms in the French, English and Spanish language versions of the Model Regulations, as the terminology has not been consequently used when translating from one language to another.</w:t>
      </w:r>
    </w:p>
    <w:p w14:paraId="09313CF9" w14:textId="77777777" w:rsidR="00AB7FA6" w:rsidRDefault="00AB7FA6">
      <w:pPr>
        <w:suppressAutoHyphens w:val="0"/>
        <w:kinsoku/>
        <w:overflowPunct/>
        <w:autoSpaceDE/>
        <w:autoSpaceDN/>
        <w:adjustRightInd/>
        <w:snapToGrid/>
        <w:spacing w:after="200" w:line="276" w:lineRule="auto"/>
      </w:pPr>
      <w:r>
        <w:br w:type="page"/>
      </w:r>
    </w:p>
    <w:p w14:paraId="78576A82" w14:textId="29785A69" w:rsidR="00E45185" w:rsidRDefault="00E45185" w:rsidP="00E45185">
      <w:pPr>
        <w:pStyle w:val="SingleTxtG"/>
      </w:pPr>
      <w:r>
        <w:lastRenderedPageBreak/>
        <w:t>5.</w:t>
      </w:r>
      <w:r>
        <w:tab/>
        <w:t>The equivalent definitions in these three languages are the following:</w:t>
      </w:r>
    </w:p>
    <w:tbl>
      <w:tblPr>
        <w:tblStyle w:val="TableGrid"/>
        <w:tblW w:w="0" w:type="auto"/>
        <w:tblInd w:w="1134" w:type="dxa"/>
        <w:tblLook w:val="04A0" w:firstRow="1" w:lastRow="0" w:firstColumn="1" w:lastColumn="0" w:noHBand="0" w:noVBand="1"/>
      </w:tblPr>
      <w:tblGrid>
        <w:gridCol w:w="1555"/>
        <w:gridCol w:w="1559"/>
        <w:gridCol w:w="2268"/>
        <w:gridCol w:w="2075"/>
      </w:tblGrid>
      <w:tr w:rsidR="00E45185" w14:paraId="14CCC30C" w14:textId="77777777" w:rsidTr="00645268">
        <w:tc>
          <w:tcPr>
            <w:tcW w:w="1555" w:type="dxa"/>
          </w:tcPr>
          <w:p w14:paraId="3A18E652" w14:textId="77777777" w:rsidR="00E45185" w:rsidRDefault="00E45185" w:rsidP="00C61F43">
            <w:pPr>
              <w:pStyle w:val="SingleTxtG"/>
              <w:spacing w:after="0"/>
              <w:ind w:left="136" w:right="0"/>
              <w:jc w:val="center"/>
            </w:pPr>
          </w:p>
        </w:tc>
        <w:tc>
          <w:tcPr>
            <w:tcW w:w="1559" w:type="dxa"/>
          </w:tcPr>
          <w:p w14:paraId="6848B453" w14:textId="77777777" w:rsidR="00E45185" w:rsidRDefault="00E45185" w:rsidP="00C61F43">
            <w:pPr>
              <w:pStyle w:val="SingleTxtG"/>
              <w:spacing w:after="0"/>
              <w:ind w:left="138" w:right="0"/>
              <w:jc w:val="center"/>
            </w:pPr>
            <w:r>
              <w:t>English</w:t>
            </w:r>
          </w:p>
        </w:tc>
        <w:tc>
          <w:tcPr>
            <w:tcW w:w="2268" w:type="dxa"/>
          </w:tcPr>
          <w:p w14:paraId="483ABA81" w14:textId="77777777" w:rsidR="00E45185" w:rsidRDefault="00E45185" w:rsidP="00C61F43">
            <w:pPr>
              <w:pStyle w:val="SingleTxtG"/>
              <w:spacing w:after="0"/>
              <w:ind w:left="142" w:right="0"/>
              <w:jc w:val="center"/>
            </w:pPr>
            <w:r>
              <w:t>French</w:t>
            </w:r>
          </w:p>
        </w:tc>
        <w:tc>
          <w:tcPr>
            <w:tcW w:w="2075" w:type="dxa"/>
          </w:tcPr>
          <w:p w14:paraId="1011C55A" w14:textId="77777777" w:rsidR="00E45185" w:rsidRDefault="00E45185" w:rsidP="00C61F43">
            <w:pPr>
              <w:pStyle w:val="SingleTxtG"/>
              <w:spacing w:after="0"/>
              <w:ind w:left="146" w:right="0"/>
              <w:jc w:val="center"/>
            </w:pPr>
            <w:r>
              <w:t>Spanish</w:t>
            </w:r>
          </w:p>
        </w:tc>
      </w:tr>
      <w:tr w:rsidR="00E45185" w14:paraId="06ABA367" w14:textId="77777777" w:rsidTr="00645268">
        <w:tc>
          <w:tcPr>
            <w:tcW w:w="1555" w:type="dxa"/>
          </w:tcPr>
          <w:p w14:paraId="0E63636D" w14:textId="77777777" w:rsidR="00E45185" w:rsidRDefault="00E45185" w:rsidP="00C61F43">
            <w:pPr>
              <w:pStyle w:val="SingleTxtG"/>
              <w:spacing w:after="0"/>
              <w:ind w:left="136" w:right="0"/>
            </w:pPr>
            <w:r>
              <w:t>Gases (as defined in 1.2.1)</w:t>
            </w:r>
          </w:p>
        </w:tc>
        <w:tc>
          <w:tcPr>
            <w:tcW w:w="1559" w:type="dxa"/>
          </w:tcPr>
          <w:p w14:paraId="15EA0BB1" w14:textId="21D0196A" w:rsidR="00E45185" w:rsidRDefault="00E45185" w:rsidP="00C61F43">
            <w:pPr>
              <w:pStyle w:val="SingleTxtG"/>
              <w:spacing w:after="0"/>
              <w:ind w:left="138" w:right="0"/>
            </w:pPr>
            <w:r>
              <w:t>Filling ratio</w:t>
            </w:r>
          </w:p>
        </w:tc>
        <w:tc>
          <w:tcPr>
            <w:tcW w:w="2268" w:type="dxa"/>
          </w:tcPr>
          <w:p w14:paraId="4ECF3687" w14:textId="77777777" w:rsidR="00E45185" w:rsidRPr="006E69EE" w:rsidRDefault="00E45185" w:rsidP="00C61F43">
            <w:pPr>
              <w:pStyle w:val="SingleTxtG"/>
              <w:spacing w:after="0"/>
              <w:ind w:left="142" w:right="0"/>
            </w:pPr>
            <w:r w:rsidRPr="006E69EE">
              <w:rPr>
                <w:lang w:val="fr-FR"/>
              </w:rPr>
              <w:t>Taux de remplissage</w:t>
            </w:r>
          </w:p>
        </w:tc>
        <w:tc>
          <w:tcPr>
            <w:tcW w:w="2075" w:type="dxa"/>
          </w:tcPr>
          <w:p w14:paraId="7E6BBFD7" w14:textId="77777777" w:rsidR="00E45185" w:rsidRDefault="00E45185" w:rsidP="00C61F43">
            <w:pPr>
              <w:pStyle w:val="SingleTxtG"/>
              <w:spacing w:after="0"/>
              <w:ind w:left="146" w:right="0"/>
            </w:pPr>
            <w:r>
              <w:t>Tasa/</w:t>
            </w:r>
            <w:proofErr w:type="spellStart"/>
            <w:r>
              <w:t>razón</w:t>
            </w:r>
            <w:proofErr w:type="spellEnd"/>
            <w:r>
              <w:t xml:space="preserve"> de </w:t>
            </w:r>
            <w:proofErr w:type="spellStart"/>
            <w:r>
              <w:t>llenado</w:t>
            </w:r>
            <w:proofErr w:type="spellEnd"/>
          </w:p>
        </w:tc>
      </w:tr>
      <w:tr w:rsidR="00E45185" w14:paraId="42790E8E" w14:textId="77777777" w:rsidTr="00645268">
        <w:tc>
          <w:tcPr>
            <w:tcW w:w="1555" w:type="dxa"/>
          </w:tcPr>
          <w:p w14:paraId="01A8697C" w14:textId="77777777" w:rsidR="00E45185" w:rsidRDefault="00E45185" w:rsidP="00C61F43">
            <w:pPr>
              <w:pStyle w:val="SingleTxtG"/>
              <w:spacing w:after="0"/>
              <w:ind w:left="136" w:right="0"/>
            </w:pPr>
            <w:r>
              <w:t>Liquids or solids</w:t>
            </w:r>
          </w:p>
        </w:tc>
        <w:tc>
          <w:tcPr>
            <w:tcW w:w="1559" w:type="dxa"/>
          </w:tcPr>
          <w:p w14:paraId="34E35CF7" w14:textId="77777777" w:rsidR="00E45185" w:rsidRDefault="00E45185" w:rsidP="00C61F43">
            <w:pPr>
              <w:pStyle w:val="SingleTxtG"/>
              <w:spacing w:after="0"/>
              <w:ind w:left="138" w:right="0"/>
            </w:pPr>
            <w:r>
              <w:t>Degree of filling</w:t>
            </w:r>
          </w:p>
        </w:tc>
        <w:tc>
          <w:tcPr>
            <w:tcW w:w="2268" w:type="dxa"/>
          </w:tcPr>
          <w:p w14:paraId="11723BF0" w14:textId="77777777" w:rsidR="00E45185" w:rsidRPr="006E69EE" w:rsidRDefault="00E45185" w:rsidP="00C61F43">
            <w:pPr>
              <w:pStyle w:val="SingleTxtG"/>
              <w:spacing w:after="0"/>
              <w:ind w:left="142" w:right="0"/>
            </w:pPr>
            <w:proofErr w:type="spellStart"/>
            <w:r w:rsidRPr="006E69EE">
              <w:t>Degré</w:t>
            </w:r>
            <w:proofErr w:type="spellEnd"/>
            <w:r w:rsidRPr="006E69EE">
              <w:t xml:space="preserve"> de </w:t>
            </w:r>
            <w:proofErr w:type="spellStart"/>
            <w:r w:rsidRPr="006E69EE">
              <w:t>remplissage</w:t>
            </w:r>
            <w:proofErr w:type="spellEnd"/>
          </w:p>
        </w:tc>
        <w:tc>
          <w:tcPr>
            <w:tcW w:w="2075" w:type="dxa"/>
          </w:tcPr>
          <w:p w14:paraId="66721ABF" w14:textId="77777777" w:rsidR="00E45185" w:rsidRDefault="00E45185" w:rsidP="00C61F43">
            <w:pPr>
              <w:pStyle w:val="SingleTxtG"/>
              <w:spacing w:after="0"/>
              <w:ind w:left="146" w:right="0"/>
            </w:pPr>
            <w:r>
              <w:t xml:space="preserve">Grado de </w:t>
            </w:r>
            <w:proofErr w:type="spellStart"/>
            <w:r>
              <w:t>llenado</w:t>
            </w:r>
            <w:proofErr w:type="spellEnd"/>
          </w:p>
        </w:tc>
      </w:tr>
    </w:tbl>
    <w:p w14:paraId="096686CD" w14:textId="65056D93" w:rsidR="00E45185" w:rsidRDefault="00E45185" w:rsidP="00AB7FA6">
      <w:pPr>
        <w:pStyle w:val="SingleTxtG"/>
        <w:spacing w:before="240"/>
      </w:pPr>
      <w:r>
        <w:t>6.</w:t>
      </w:r>
      <w:r>
        <w:tab/>
        <w:t xml:space="preserve">Special mention is made for the case of liquefied gases. To </w:t>
      </w:r>
      <w:proofErr w:type="gramStart"/>
      <w:r>
        <w:t>describe correctly</w:t>
      </w:r>
      <w:proofErr w:type="gramEnd"/>
      <w:r>
        <w:t xml:space="preserve"> the quantity of liquefied gas present in the receptacle, the relationship in between the total mass of gas (liquid phase and gas phase) contained in the pressure receptacle and the mass of water at 15</w:t>
      </w:r>
      <w:r w:rsidR="00905CAD">
        <w:t xml:space="preserve"> </w:t>
      </w:r>
      <w:r>
        <w:t>º</w:t>
      </w:r>
      <w:r w:rsidR="00905CAD">
        <w:t>C</w:t>
      </w:r>
      <w:r>
        <w:t xml:space="preserve"> that would completely fill the pressure receptacle has to be indicated, which is precisely the definition of “filling ratio”. Therefore, for liquefied gases in general, “filling ratio” </w:t>
      </w:r>
      <w:r w:rsidR="00850B3C">
        <w:t>shall</w:t>
      </w:r>
      <w:r>
        <w:t xml:space="preserve"> be used.</w:t>
      </w:r>
    </w:p>
    <w:p w14:paraId="3D4E1048" w14:textId="06EDFD28" w:rsidR="00E45185" w:rsidRDefault="00E45185" w:rsidP="00E45185">
      <w:pPr>
        <w:pStyle w:val="SingleTxtG"/>
      </w:pPr>
      <w:r>
        <w:t>7.</w:t>
      </w:r>
      <w:r>
        <w:tab/>
        <w:t xml:space="preserve">In the annex to this document </w:t>
      </w:r>
      <w:r w:rsidRPr="00C71551">
        <w:t xml:space="preserve">a table </w:t>
      </w:r>
      <w:r>
        <w:t>indicates</w:t>
      </w:r>
      <w:r w:rsidRPr="00C71551">
        <w:t xml:space="preserve"> where the terms "filling ratio" and "degree of filling" </w:t>
      </w:r>
      <w:r>
        <w:t xml:space="preserve">have been </w:t>
      </w:r>
      <w:r w:rsidRPr="00C71551">
        <w:t>used</w:t>
      </w:r>
      <w:r>
        <w:t xml:space="preserve"> in the Model Regulations, mentioning also if a proposal for amending the text is needed in one of the concerned languages. </w:t>
      </w:r>
      <w:r w:rsidRPr="008D6D9B">
        <w:t>Th</w:t>
      </w:r>
      <w:r>
        <w:t>is</w:t>
      </w:r>
      <w:r w:rsidRPr="008D6D9B">
        <w:t xml:space="preserve"> table can help to follow the changes </w:t>
      </w:r>
      <w:r w:rsidR="0034784F" w:rsidRPr="008D6D9B">
        <w:t xml:space="preserve">proposed </w:t>
      </w:r>
      <w:r w:rsidRPr="008D6D9B">
        <w:t xml:space="preserve">in </w:t>
      </w:r>
      <w:r w:rsidRPr="001F3EE1">
        <w:t xml:space="preserve">paragraphs 12 to </w:t>
      </w:r>
      <w:r w:rsidRPr="00D16361">
        <w:rPr>
          <w:color w:val="000000" w:themeColor="text1"/>
        </w:rPr>
        <w:t>53</w:t>
      </w:r>
      <w:r w:rsidRPr="001F3EE1">
        <w:t>,</w:t>
      </w:r>
      <w:r>
        <w:t xml:space="preserve"> sorted by language.</w:t>
      </w:r>
    </w:p>
    <w:p w14:paraId="76D381A1" w14:textId="77777777" w:rsidR="00E45185" w:rsidRPr="005E56E0" w:rsidRDefault="00E45185" w:rsidP="00E45185">
      <w:pPr>
        <w:pStyle w:val="HChG"/>
        <w:rPr>
          <w:rFonts w:asciiTheme="majorBidi" w:hAnsiTheme="majorBidi" w:cstheme="majorBidi"/>
          <w:b w:val="0"/>
        </w:rPr>
      </w:pPr>
      <w:r>
        <w:rPr>
          <w:rFonts w:asciiTheme="majorBidi" w:hAnsiTheme="majorBidi" w:cstheme="majorBidi"/>
        </w:rPr>
        <w:tab/>
      </w:r>
      <w:r>
        <w:rPr>
          <w:rFonts w:asciiTheme="majorBidi" w:hAnsiTheme="majorBidi" w:cstheme="majorBidi"/>
        </w:rPr>
        <w:tab/>
      </w:r>
      <w:r w:rsidRPr="005E56E0">
        <w:rPr>
          <w:rFonts w:asciiTheme="majorBidi" w:hAnsiTheme="majorBidi" w:cstheme="majorBidi"/>
        </w:rPr>
        <w:t>Introduction of a definition for “degree of filling”</w:t>
      </w:r>
    </w:p>
    <w:p w14:paraId="2B20F7C6" w14:textId="32A5DCC4" w:rsidR="00E45185" w:rsidRPr="002E03FE" w:rsidRDefault="00E45185" w:rsidP="00E45185">
      <w:pPr>
        <w:pStyle w:val="SingleTxtG"/>
        <w:rPr>
          <w:lang w:val="en-US"/>
        </w:rPr>
      </w:pPr>
      <w:r>
        <w:rPr>
          <w:lang w:val="en-US"/>
        </w:rPr>
        <w:t>8.</w:t>
      </w:r>
      <w:r>
        <w:rPr>
          <w:lang w:val="en-US"/>
        </w:rPr>
        <w:tab/>
        <w:t xml:space="preserve">In the Model Regulations the term “filling ratio” is used for gases and is defined in </w:t>
      </w:r>
      <w:r w:rsidR="00AC4A79">
        <w:rPr>
          <w:lang w:val="en-US"/>
        </w:rPr>
        <w:t>C</w:t>
      </w:r>
      <w:r>
        <w:rPr>
          <w:lang w:val="en-US"/>
        </w:rPr>
        <w:t xml:space="preserve">hapter 1.2. The term </w:t>
      </w:r>
      <w:r w:rsidR="00AC4A79">
        <w:rPr>
          <w:lang w:val="en-US"/>
        </w:rPr>
        <w:t>“</w:t>
      </w:r>
      <w:r>
        <w:rPr>
          <w:lang w:val="en-US"/>
        </w:rPr>
        <w:t>degree of filling</w:t>
      </w:r>
      <w:r w:rsidR="00AC4A79">
        <w:rPr>
          <w:lang w:val="en-US"/>
        </w:rPr>
        <w:t>”</w:t>
      </w:r>
      <w:r>
        <w:rPr>
          <w:lang w:val="en-US"/>
        </w:rPr>
        <w:t xml:space="preserve"> is dedicated to the liquids and solids; nevertheless, no definition for this term is available.</w:t>
      </w:r>
    </w:p>
    <w:p w14:paraId="2ACE2B31" w14:textId="31A44205" w:rsidR="00E45185" w:rsidRDefault="00E45185" w:rsidP="00E45185">
      <w:pPr>
        <w:pStyle w:val="SingleTxtG"/>
        <w:rPr>
          <w:lang w:val="en-US"/>
        </w:rPr>
      </w:pPr>
      <w:r>
        <w:rPr>
          <w:lang w:val="en-US"/>
        </w:rPr>
        <w:t>9.</w:t>
      </w:r>
      <w:r>
        <w:rPr>
          <w:lang w:val="en-US"/>
        </w:rPr>
        <w:tab/>
        <w:t xml:space="preserve">To avoid further confusions, a new definition for “degree of filling” could be added to 1.2.1 to clarify the use of both terms in the Model Regulation (see </w:t>
      </w:r>
      <w:r w:rsidRPr="001F3EE1">
        <w:rPr>
          <w:lang w:val="en-US"/>
        </w:rPr>
        <w:t>paragraph 5</w:t>
      </w:r>
      <w:r>
        <w:rPr>
          <w:lang w:val="en-US"/>
        </w:rPr>
        <w:t>4</w:t>
      </w:r>
      <w:r w:rsidR="00635CDE">
        <w:rPr>
          <w:lang w:val="en-US"/>
        </w:rPr>
        <w:t xml:space="preserve"> below</w:t>
      </w:r>
      <w:r>
        <w:rPr>
          <w:lang w:val="en-US"/>
        </w:rPr>
        <w:t>).</w:t>
      </w:r>
    </w:p>
    <w:p w14:paraId="425BBC7C" w14:textId="77777777" w:rsidR="00E45185" w:rsidRPr="007F6BBF" w:rsidRDefault="00E45185" w:rsidP="00E45185">
      <w:pPr>
        <w:pStyle w:val="HChG"/>
        <w:rPr>
          <w:rFonts w:asciiTheme="majorBidi" w:hAnsiTheme="majorBidi" w:cstheme="majorBidi"/>
        </w:rPr>
      </w:pPr>
      <w:r>
        <w:rPr>
          <w:rFonts w:asciiTheme="majorBidi" w:hAnsiTheme="majorBidi" w:cstheme="majorBidi"/>
        </w:rPr>
        <w:tab/>
      </w:r>
      <w:r>
        <w:rPr>
          <w:rFonts w:asciiTheme="majorBidi" w:hAnsiTheme="majorBidi" w:cstheme="majorBidi"/>
        </w:rPr>
        <w:tab/>
      </w:r>
      <w:r w:rsidRPr="007F6BBF">
        <w:rPr>
          <w:rFonts w:asciiTheme="majorBidi" w:hAnsiTheme="majorBidi" w:cstheme="majorBidi"/>
        </w:rPr>
        <w:t>Modification of Spanish language definition of “filling ratio”</w:t>
      </w:r>
    </w:p>
    <w:p w14:paraId="545AB80A" w14:textId="7461F2D1" w:rsidR="00E45185" w:rsidRDefault="00E45185" w:rsidP="00E45185">
      <w:pPr>
        <w:pStyle w:val="SingleTxtG"/>
      </w:pPr>
      <w:r>
        <w:t>10.</w:t>
      </w:r>
      <w:r>
        <w:tab/>
        <w:t>In the Spanish language version, a double terminology is introduced into the definition of “filling ratio”, “</w:t>
      </w:r>
      <w:proofErr w:type="spellStart"/>
      <w:r>
        <w:t>tasa</w:t>
      </w:r>
      <w:proofErr w:type="spellEnd"/>
      <w:r>
        <w:t>/</w:t>
      </w:r>
      <w:proofErr w:type="spellStart"/>
      <w:r>
        <w:t>razón</w:t>
      </w:r>
      <w:proofErr w:type="spellEnd"/>
      <w:r>
        <w:t xml:space="preserve"> de </w:t>
      </w:r>
      <w:proofErr w:type="spellStart"/>
      <w:r>
        <w:t>llenado</w:t>
      </w:r>
      <w:proofErr w:type="spellEnd"/>
      <w:r>
        <w:t>”. Both expressions are technically correct and equivalent</w:t>
      </w:r>
      <w:r w:rsidR="0082652D">
        <w:t>.</w:t>
      </w:r>
      <w:r>
        <w:t xml:space="preserve"> </w:t>
      </w:r>
      <w:r w:rsidR="0082652D">
        <w:t>N</w:t>
      </w:r>
      <w:r>
        <w:t xml:space="preserve">evertheless, in the whole Model Regulations, </w:t>
      </w:r>
      <w:r w:rsidR="00F21646">
        <w:t>the I</w:t>
      </w:r>
      <w:r w:rsidR="00F21646" w:rsidRPr="00F21646">
        <w:t xml:space="preserve">nternational Maritime Dangerous Goods </w:t>
      </w:r>
      <w:r w:rsidR="00F21646">
        <w:t>(</w:t>
      </w:r>
      <w:r>
        <w:t>IMDG</w:t>
      </w:r>
      <w:r w:rsidR="0017336E">
        <w:t>)</w:t>
      </w:r>
      <w:r>
        <w:t xml:space="preserve"> Code and </w:t>
      </w:r>
      <w:r w:rsidR="00F06282">
        <w:t xml:space="preserve">the </w:t>
      </w:r>
      <w:r w:rsidR="00F06282" w:rsidRPr="00F06282">
        <w:t xml:space="preserve">International Civil Aviation Organisation (ICAO) </w:t>
      </w:r>
      <w:r>
        <w:t>Technical Instructions, in its Spanish version, only “</w:t>
      </w:r>
      <w:proofErr w:type="spellStart"/>
      <w:r>
        <w:t>razón</w:t>
      </w:r>
      <w:proofErr w:type="spellEnd"/>
      <w:r>
        <w:t xml:space="preserve"> de </w:t>
      </w:r>
      <w:proofErr w:type="spellStart"/>
      <w:r>
        <w:t>llenado</w:t>
      </w:r>
      <w:proofErr w:type="spellEnd"/>
      <w:r>
        <w:t>” is used. In the IMDG Code and the Technical Instructions, “</w:t>
      </w:r>
      <w:proofErr w:type="spellStart"/>
      <w:r>
        <w:t>tasa</w:t>
      </w:r>
      <w:proofErr w:type="spellEnd"/>
      <w:r>
        <w:t xml:space="preserve"> de </w:t>
      </w:r>
      <w:proofErr w:type="spellStart"/>
      <w:r>
        <w:t>llenado</w:t>
      </w:r>
      <w:proofErr w:type="spellEnd"/>
      <w:r>
        <w:t>” is even not introduced into the definitions.</w:t>
      </w:r>
    </w:p>
    <w:p w14:paraId="37532D0D" w14:textId="58EA0E7E" w:rsidR="00E45185" w:rsidRPr="007F6BBF" w:rsidRDefault="00E45185" w:rsidP="00E45185">
      <w:pPr>
        <w:pStyle w:val="SingleTxtG"/>
      </w:pPr>
      <w:r>
        <w:t>11.</w:t>
      </w:r>
      <w:r>
        <w:tab/>
        <w:t>Therefore, it would seem logical to amend the Model Regulations deleting “</w:t>
      </w:r>
      <w:proofErr w:type="spellStart"/>
      <w:r>
        <w:t>tasa</w:t>
      </w:r>
      <w:proofErr w:type="spellEnd"/>
      <w:r>
        <w:t xml:space="preserve"> de </w:t>
      </w:r>
      <w:proofErr w:type="spellStart"/>
      <w:r>
        <w:t>llenado</w:t>
      </w:r>
      <w:proofErr w:type="spellEnd"/>
      <w:r>
        <w:t xml:space="preserve">” from the definitions (see proposal in paragraph </w:t>
      </w:r>
      <w:r w:rsidRPr="00886148">
        <w:t>44</w:t>
      </w:r>
      <w:r w:rsidR="00635CDE">
        <w:t xml:space="preserve"> below</w:t>
      </w:r>
      <w:r>
        <w:t>).</w:t>
      </w:r>
    </w:p>
    <w:p w14:paraId="0CF42843" w14:textId="0CD1F271" w:rsidR="00E45185" w:rsidRPr="00DC3AAF" w:rsidRDefault="00E45185" w:rsidP="00E45185">
      <w:pPr>
        <w:pStyle w:val="HChG"/>
        <w:ind w:firstLine="0"/>
        <w:jc w:val="both"/>
      </w:pPr>
      <w:r>
        <w:rPr>
          <w:szCs w:val="28"/>
        </w:rPr>
        <w:t>Proposals for amending the English language version</w:t>
      </w:r>
    </w:p>
    <w:p w14:paraId="0DB95255" w14:textId="77777777" w:rsidR="00E45185" w:rsidRDefault="00E45185" w:rsidP="00E45185">
      <w:pPr>
        <w:pStyle w:val="SingleTxtG"/>
        <w:rPr>
          <w:lang w:val="en-US"/>
        </w:rPr>
      </w:pPr>
      <w:r>
        <w:rPr>
          <w:lang w:val="en-US"/>
        </w:rPr>
        <w:t>12.</w:t>
      </w:r>
      <w:r>
        <w:rPr>
          <w:lang w:val="en-US"/>
        </w:rPr>
        <w:tab/>
        <w:t xml:space="preserve">In all proposed amendments, the deleted text appears </w:t>
      </w:r>
      <w:r w:rsidRPr="002E03FE">
        <w:rPr>
          <w:strike/>
          <w:lang w:val="en-US"/>
        </w:rPr>
        <w:t>stricken through</w:t>
      </w:r>
      <w:r>
        <w:rPr>
          <w:lang w:val="en-US"/>
        </w:rPr>
        <w:t xml:space="preserve"> and </w:t>
      </w:r>
      <w:r w:rsidRPr="006E69EE">
        <w:rPr>
          <w:bCs/>
          <w:lang w:val="en-US"/>
        </w:rPr>
        <w:t>new text</w:t>
      </w:r>
      <w:r>
        <w:rPr>
          <w:b/>
          <w:lang w:val="en-US"/>
        </w:rPr>
        <w:t xml:space="preserve"> in</w:t>
      </w:r>
      <w:r w:rsidRPr="00CC6443">
        <w:rPr>
          <w:b/>
          <w:lang w:val="en-US"/>
        </w:rPr>
        <w:t xml:space="preserve"> bold</w:t>
      </w:r>
      <w:r>
        <w:rPr>
          <w:lang w:val="en-US"/>
        </w:rPr>
        <w:t>.</w:t>
      </w:r>
    </w:p>
    <w:p w14:paraId="19983F01" w14:textId="77777777" w:rsidR="00E45185" w:rsidRDefault="00E45185" w:rsidP="00E45185">
      <w:pPr>
        <w:pStyle w:val="SingleTxtG"/>
      </w:pPr>
      <w:r>
        <w:t>13.</w:t>
      </w:r>
      <w:r>
        <w:tab/>
        <w:t>Spain proposes to amend section 9.6 of the Data sheet of the Recommendations on the transport of dangerous goods as follows:</w:t>
      </w:r>
    </w:p>
    <w:p w14:paraId="00B5BEB7" w14:textId="77777777" w:rsidR="00E45185" w:rsidRPr="009939FF" w:rsidRDefault="00E45185" w:rsidP="00E45185">
      <w:pPr>
        <w:pStyle w:val="SingleTxtG"/>
        <w:ind w:firstLine="50"/>
        <w:rPr>
          <w:b/>
        </w:rPr>
      </w:pPr>
      <w:r>
        <w:tab/>
        <w:t xml:space="preserve">9.6 </w:t>
      </w:r>
      <w:r w:rsidRPr="009939FF">
        <w:rPr>
          <w:strike/>
        </w:rPr>
        <w:t>Degree of</w:t>
      </w:r>
      <w:r>
        <w:rPr>
          <w:strike/>
        </w:rPr>
        <w:t xml:space="preserve"> filling</w:t>
      </w:r>
      <w:r>
        <w:t xml:space="preserve"> </w:t>
      </w:r>
      <w:proofErr w:type="spellStart"/>
      <w:r w:rsidRPr="004A349A">
        <w:rPr>
          <w:b/>
          <w:bCs/>
        </w:rPr>
        <w:t>Filling</w:t>
      </w:r>
      <w:proofErr w:type="spellEnd"/>
      <w:r>
        <w:t xml:space="preserve"> </w:t>
      </w:r>
      <w:r w:rsidRPr="009939FF">
        <w:rPr>
          <w:b/>
        </w:rPr>
        <w:t>ratio</w:t>
      </w:r>
    </w:p>
    <w:p w14:paraId="5762328B" w14:textId="34210F38" w:rsidR="00E45185" w:rsidRDefault="00E45185" w:rsidP="00E45185">
      <w:pPr>
        <w:pStyle w:val="SingleTxtG"/>
      </w:pPr>
      <w:r>
        <w:t>14.</w:t>
      </w:r>
      <w:r>
        <w:tab/>
        <w:t xml:space="preserve">In </w:t>
      </w:r>
      <w:r w:rsidR="0036607F">
        <w:t>4.1.4</w:t>
      </w:r>
      <w:r w:rsidR="006616B9">
        <w:t xml:space="preserve">.1 packing instruction </w:t>
      </w:r>
      <w:r>
        <w:t>P203, under (5) the volume of the liquid phase is referenced. Nevertheless, it is understood that the quantity of total substance to be introduced into the receptacle is such that the liquid phase fulfils certain criteria, and therefore “filling ratio” should be used, also in coherence with the rest of the uses of “filling ratio” over the Model Regulations. Therefore, it is proposed to amend packing instruction P203 in 4.1.4.1, point (5) as follows:</w:t>
      </w:r>
    </w:p>
    <w:p w14:paraId="6D39E3F3" w14:textId="7743A655" w:rsidR="00E45185" w:rsidRPr="00397BED" w:rsidRDefault="00AB7FA6" w:rsidP="006616B9">
      <w:pPr>
        <w:pStyle w:val="SingleTxtG"/>
        <w:keepNext/>
        <w:keepLines/>
        <w:rPr>
          <w:strike/>
        </w:rPr>
      </w:pPr>
      <w:r>
        <w:tab/>
      </w:r>
      <w:r>
        <w:tab/>
      </w:r>
      <w:r w:rsidR="00E45185">
        <w:t>“</w:t>
      </w:r>
      <w:r w:rsidR="00E45185" w:rsidRPr="00397BED">
        <w:rPr>
          <w:strike/>
        </w:rPr>
        <w:t>Degree of filling</w:t>
      </w:r>
      <w:r w:rsidR="00E45185">
        <w:rPr>
          <w:strike/>
        </w:rPr>
        <w:t xml:space="preserve"> </w:t>
      </w:r>
      <w:proofErr w:type="spellStart"/>
      <w:r w:rsidR="00E45185" w:rsidRPr="00397BED">
        <w:rPr>
          <w:b/>
        </w:rPr>
        <w:t>Filling</w:t>
      </w:r>
      <w:proofErr w:type="spellEnd"/>
      <w:r w:rsidR="00E45185" w:rsidRPr="00397BED">
        <w:rPr>
          <w:b/>
        </w:rPr>
        <w:t xml:space="preserve"> ratio</w:t>
      </w:r>
    </w:p>
    <w:p w14:paraId="60EAC455" w14:textId="77777777" w:rsidR="00E45185" w:rsidRPr="00291AC4" w:rsidRDefault="00E45185" w:rsidP="006616B9">
      <w:pPr>
        <w:pStyle w:val="SingleTxtG"/>
        <w:keepNext/>
        <w:keepLines/>
        <w:ind w:left="1701"/>
        <w:rPr>
          <w:lang w:val="en-US"/>
        </w:rPr>
      </w:pPr>
      <w:r w:rsidRPr="00291AC4">
        <w:rPr>
          <w:lang w:val="en-US"/>
        </w:rPr>
        <w:t>For non-flammable, non-toxic refrigerated liquefied gases the volume of liquid phase at the filling temperature and at a pressure of 100 kPa (1 bar) shall not exceed 98 % of the water capacity of the pressure receptacle.</w:t>
      </w:r>
    </w:p>
    <w:p w14:paraId="297ACFD1" w14:textId="77777777" w:rsidR="00E45185" w:rsidRPr="00291AC4" w:rsidRDefault="00E45185" w:rsidP="002A7CB6">
      <w:pPr>
        <w:pStyle w:val="SingleTxtG"/>
        <w:ind w:left="1701"/>
        <w:rPr>
          <w:lang w:val="en-US"/>
        </w:rPr>
      </w:pPr>
      <w:r w:rsidRPr="00291AC4">
        <w:rPr>
          <w:lang w:val="en-US"/>
        </w:rPr>
        <w:t xml:space="preserve">For flammable refrigerated liquefied gases the </w:t>
      </w:r>
      <w:r w:rsidRPr="00E06E48">
        <w:rPr>
          <w:strike/>
          <w:lang w:val="en-US"/>
        </w:rPr>
        <w:t>degree of filling</w:t>
      </w:r>
      <w:r w:rsidRPr="00291AC4">
        <w:rPr>
          <w:lang w:val="en-US"/>
        </w:rPr>
        <w:t xml:space="preserve"> </w:t>
      </w:r>
      <w:proofErr w:type="spellStart"/>
      <w:r w:rsidRPr="00E06E48">
        <w:rPr>
          <w:b/>
          <w:bCs/>
          <w:lang w:val="en-US"/>
        </w:rPr>
        <w:t>filling</w:t>
      </w:r>
      <w:proofErr w:type="spellEnd"/>
      <w:r w:rsidRPr="00E06E48">
        <w:rPr>
          <w:b/>
          <w:bCs/>
          <w:lang w:val="en-US"/>
        </w:rPr>
        <w:t xml:space="preserve"> ratio</w:t>
      </w:r>
      <w:r w:rsidRPr="00291AC4">
        <w:rPr>
          <w:lang w:val="en-US"/>
        </w:rPr>
        <w:t xml:space="preserve"> shall remain below the level at which, if the contents were raised to the temperature at which the </w:t>
      </w:r>
      <w:proofErr w:type="spellStart"/>
      <w:r w:rsidRPr="00291AC4">
        <w:rPr>
          <w:lang w:val="en-US"/>
        </w:rPr>
        <w:t>vapour</w:t>
      </w:r>
      <w:proofErr w:type="spellEnd"/>
      <w:r w:rsidRPr="00291AC4">
        <w:rPr>
          <w:lang w:val="en-US"/>
        </w:rPr>
        <w:t xml:space="preserve"> pressure </w:t>
      </w:r>
      <w:proofErr w:type="spellStart"/>
      <w:r w:rsidRPr="00291AC4">
        <w:rPr>
          <w:lang w:val="en-US"/>
        </w:rPr>
        <w:t>equalled</w:t>
      </w:r>
      <w:proofErr w:type="spellEnd"/>
      <w:r w:rsidRPr="00291AC4">
        <w:rPr>
          <w:lang w:val="en-US"/>
        </w:rPr>
        <w:t xml:space="preserve"> the opening pressure of the relief valve, the volume of the liquid phase would reach 98 % of the water capacity at that temperature.”</w:t>
      </w:r>
    </w:p>
    <w:p w14:paraId="67833DB8" w14:textId="1B76382B" w:rsidR="00E45185" w:rsidRDefault="00E45185" w:rsidP="00E45185">
      <w:pPr>
        <w:pStyle w:val="SingleTxtG"/>
        <w:rPr>
          <w:lang w:val="en-US"/>
        </w:rPr>
      </w:pPr>
      <w:r>
        <w:rPr>
          <w:lang w:val="en-US"/>
        </w:rPr>
        <w:t>15.</w:t>
      </w:r>
      <w:r>
        <w:rPr>
          <w:lang w:val="en-US"/>
        </w:rPr>
        <w:tab/>
        <w:t xml:space="preserve">Amend </w:t>
      </w:r>
      <w:r w:rsidRPr="00196BB5">
        <w:rPr>
          <w:lang w:val="en-US"/>
        </w:rPr>
        <w:t>4.2.3.6.2 to read (same justification as for P203 in paragraph</w:t>
      </w:r>
      <w:r w:rsidR="00AB7FA6">
        <w:rPr>
          <w:lang w:val="en-US"/>
        </w:rPr>
        <w:t> </w:t>
      </w:r>
      <w:r w:rsidRPr="00196BB5">
        <w:rPr>
          <w:lang w:val="en-US"/>
        </w:rPr>
        <w:t>14</w:t>
      </w:r>
      <w:r w:rsidR="00B45F4B">
        <w:rPr>
          <w:lang w:val="en-US"/>
        </w:rPr>
        <w:t xml:space="preserve"> above</w:t>
      </w:r>
      <w:r w:rsidRPr="00196BB5">
        <w:rPr>
          <w:lang w:val="en-US"/>
        </w:rPr>
        <w:t>):</w:t>
      </w:r>
    </w:p>
    <w:p w14:paraId="30E3AFE9" w14:textId="77777777" w:rsidR="00E45185" w:rsidRDefault="00E45185" w:rsidP="00AB7FA6">
      <w:pPr>
        <w:pStyle w:val="SingleTxtG"/>
        <w:ind w:left="1701"/>
        <w:rPr>
          <w:lang w:val="en-US"/>
        </w:rPr>
      </w:pPr>
      <w:r>
        <w:rPr>
          <w:lang w:val="en-US"/>
        </w:rPr>
        <w:t>“</w:t>
      </w:r>
      <w:r w:rsidRPr="00A13C5E">
        <w:rPr>
          <w:lang w:val="en-US"/>
        </w:rPr>
        <w:t xml:space="preserve">In estimating the initial </w:t>
      </w:r>
      <w:r w:rsidRPr="00603641">
        <w:rPr>
          <w:strike/>
          <w:lang w:val="en-US"/>
        </w:rPr>
        <w:t xml:space="preserve">degree of </w:t>
      </w:r>
      <w:r w:rsidRPr="009246E1">
        <w:rPr>
          <w:lang w:val="en-US"/>
        </w:rPr>
        <w:t>filling</w:t>
      </w:r>
      <w:r w:rsidRPr="00A13C5E">
        <w:rPr>
          <w:lang w:val="en-US"/>
        </w:rPr>
        <w:t xml:space="preserve"> </w:t>
      </w:r>
      <w:proofErr w:type="gramStart"/>
      <w:r w:rsidRPr="00603641">
        <w:rPr>
          <w:b/>
          <w:lang w:val="en-US"/>
        </w:rPr>
        <w:t>ratio</w:t>
      </w:r>
      <w:proofErr w:type="gramEnd"/>
      <w:r>
        <w:rPr>
          <w:lang w:val="en-US"/>
        </w:rPr>
        <w:t xml:space="preserve"> </w:t>
      </w:r>
      <w:r w:rsidRPr="00A13C5E">
        <w:rPr>
          <w:lang w:val="en-US"/>
        </w:rPr>
        <w:t>the necessary holding time for the intended journey</w:t>
      </w:r>
      <w:r>
        <w:rPr>
          <w:lang w:val="en-US"/>
        </w:rPr>
        <w:t xml:space="preserve"> </w:t>
      </w:r>
      <w:r w:rsidRPr="00A13C5E">
        <w:rPr>
          <w:lang w:val="en-US"/>
        </w:rPr>
        <w:t xml:space="preserve">including any delays which might be encountered shall be taken into consideration. The initial </w:t>
      </w:r>
      <w:r w:rsidRPr="006555C5">
        <w:rPr>
          <w:strike/>
          <w:lang w:val="en-US"/>
        </w:rPr>
        <w:t>degree of</w:t>
      </w:r>
      <w:r w:rsidRPr="00A13C5E">
        <w:rPr>
          <w:lang w:val="en-US"/>
        </w:rPr>
        <w:t xml:space="preserve"> filling</w:t>
      </w:r>
      <w:r>
        <w:rPr>
          <w:lang w:val="en-US"/>
        </w:rPr>
        <w:t xml:space="preserve"> </w:t>
      </w:r>
      <w:r w:rsidRPr="006555C5">
        <w:rPr>
          <w:b/>
          <w:lang w:val="en-US"/>
        </w:rPr>
        <w:t>ratio</w:t>
      </w:r>
      <w:r>
        <w:rPr>
          <w:lang w:val="en-US"/>
        </w:rPr>
        <w:t xml:space="preserve"> </w:t>
      </w:r>
      <w:r w:rsidRPr="00A13C5E">
        <w:rPr>
          <w:lang w:val="en-US"/>
        </w:rPr>
        <w:t>of the shell, except as provided for in 4.2.3.6.3 and 4.2.3.6.4, shall be such that if the contents, except helium,</w:t>
      </w:r>
      <w:r>
        <w:rPr>
          <w:lang w:val="en-US"/>
        </w:rPr>
        <w:t xml:space="preserve"> </w:t>
      </w:r>
      <w:r w:rsidRPr="00A13C5E">
        <w:rPr>
          <w:lang w:val="en-US"/>
        </w:rPr>
        <w:t xml:space="preserve">were to be raised to a temperature at which the </w:t>
      </w:r>
      <w:proofErr w:type="spellStart"/>
      <w:r w:rsidRPr="00A13C5E">
        <w:rPr>
          <w:lang w:val="en-US"/>
        </w:rPr>
        <w:t>vapour</w:t>
      </w:r>
      <w:proofErr w:type="spellEnd"/>
      <w:r w:rsidRPr="00A13C5E">
        <w:rPr>
          <w:lang w:val="en-US"/>
        </w:rPr>
        <w:t xml:space="preserve"> pressure is equal to the maximum allowable working</w:t>
      </w:r>
      <w:r>
        <w:rPr>
          <w:lang w:val="en-US"/>
        </w:rPr>
        <w:t xml:space="preserve"> </w:t>
      </w:r>
      <w:r w:rsidRPr="00A13C5E">
        <w:rPr>
          <w:lang w:val="en-US"/>
        </w:rPr>
        <w:t>pressure (MAWP) the volume occupied by liquid would not exceed 98 %.</w:t>
      </w:r>
      <w:r>
        <w:rPr>
          <w:lang w:val="en-US"/>
        </w:rPr>
        <w:t>”</w:t>
      </w:r>
    </w:p>
    <w:p w14:paraId="29E03EFC" w14:textId="4944E9B7" w:rsidR="00E45185" w:rsidRDefault="00E45185" w:rsidP="00E45185">
      <w:pPr>
        <w:pStyle w:val="SingleTxtG"/>
        <w:rPr>
          <w:lang w:val="en-US"/>
        </w:rPr>
      </w:pPr>
      <w:r>
        <w:rPr>
          <w:lang w:val="en-US"/>
        </w:rPr>
        <w:t>16.</w:t>
      </w:r>
      <w:r>
        <w:rPr>
          <w:lang w:val="en-US"/>
        </w:rPr>
        <w:tab/>
        <w:t xml:space="preserve">Amend 4.2.3.6.4 </w:t>
      </w:r>
      <w:r w:rsidR="00E86A66">
        <w:rPr>
          <w:lang w:val="en-US"/>
        </w:rPr>
        <w:t xml:space="preserve">to read </w:t>
      </w:r>
      <w:r>
        <w:rPr>
          <w:lang w:val="en-US"/>
        </w:rPr>
        <w:t xml:space="preserve">as follows (related to the previous amendment, the same terminology </w:t>
      </w:r>
      <w:r w:rsidR="005B6C65">
        <w:rPr>
          <w:lang w:val="en-US"/>
        </w:rPr>
        <w:t>shall</w:t>
      </w:r>
      <w:r>
        <w:rPr>
          <w:lang w:val="en-US"/>
        </w:rPr>
        <w:t xml:space="preserve"> be used):</w:t>
      </w:r>
    </w:p>
    <w:p w14:paraId="1ADD0C03" w14:textId="77777777" w:rsidR="00E45185" w:rsidRDefault="00E45185" w:rsidP="00AB7FA6">
      <w:pPr>
        <w:pStyle w:val="SingleTxtG"/>
        <w:ind w:left="1701"/>
      </w:pPr>
      <w:r>
        <w:t>“</w:t>
      </w:r>
      <w:r w:rsidRPr="00603641">
        <w:t xml:space="preserve">A higher initial </w:t>
      </w:r>
      <w:r w:rsidRPr="00603641">
        <w:rPr>
          <w:strike/>
        </w:rPr>
        <w:t xml:space="preserve">degree of </w:t>
      </w:r>
      <w:r w:rsidRPr="009246E1">
        <w:t>filling</w:t>
      </w:r>
      <w:r w:rsidRPr="00603641">
        <w:t xml:space="preserve"> </w:t>
      </w:r>
      <w:r w:rsidRPr="00603641">
        <w:rPr>
          <w:b/>
        </w:rPr>
        <w:t>ratio</w:t>
      </w:r>
      <w:r>
        <w:t xml:space="preserve"> </w:t>
      </w:r>
      <w:r w:rsidRPr="00603641">
        <w:t>may be allowed, subject to approval by the competent</w:t>
      </w:r>
      <w:r>
        <w:t xml:space="preserve"> </w:t>
      </w:r>
      <w:r w:rsidRPr="00603641">
        <w:t>authority, when the intended duration of transport is considerably shorter than the holding time.</w:t>
      </w:r>
      <w:r>
        <w:t>”</w:t>
      </w:r>
    </w:p>
    <w:p w14:paraId="2D2286FD" w14:textId="602FA510" w:rsidR="00E45185" w:rsidRDefault="00E45185" w:rsidP="00E45185">
      <w:pPr>
        <w:pStyle w:val="SingleTxtG"/>
        <w:rPr>
          <w:lang w:val="en-US"/>
        </w:rPr>
      </w:pPr>
      <w:r w:rsidRPr="00046120">
        <w:rPr>
          <w:lang w:val="en-US"/>
        </w:rPr>
        <w:t>1</w:t>
      </w:r>
      <w:r>
        <w:rPr>
          <w:lang w:val="en-US"/>
        </w:rPr>
        <w:t>7</w:t>
      </w:r>
      <w:r w:rsidRPr="00046120">
        <w:rPr>
          <w:lang w:val="en-US"/>
        </w:rPr>
        <w:t>.</w:t>
      </w:r>
      <w:r>
        <w:rPr>
          <w:lang w:val="en-US"/>
        </w:rPr>
        <w:tab/>
      </w:r>
      <w:r w:rsidRPr="00046120">
        <w:rPr>
          <w:lang w:val="en-US"/>
        </w:rPr>
        <w:t>Amend 4.2.5.</w:t>
      </w:r>
      <w:r>
        <w:rPr>
          <w:lang w:val="en-US"/>
        </w:rPr>
        <w:t>2.</w:t>
      </w:r>
      <w:r w:rsidRPr="00046120">
        <w:rPr>
          <w:lang w:val="en-US"/>
        </w:rPr>
        <w:t>3 as follows</w:t>
      </w:r>
      <w:r>
        <w:rPr>
          <w:lang w:val="en-US"/>
        </w:rPr>
        <w:t xml:space="preserve"> (same wording as in </w:t>
      </w:r>
      <w:r w:rsidR="00D62A58">
        <w:rPr>
          <w:lang w:val="en-US"/>
        </w:rPr>
        <w:t xml:space="preserve">portable tank instruction </w:t>
      </w:r>
      <w:r>
        <w:rPr>
          <w:lang w:val="en-US"/>
        </w:rPr>
        <w:t>T50)</w:t>
      </w:r>
      <w:r w:rsidRPr="00046120">
        <w:rPr>
          <w:lang w:val="en-US"/>
        </w:rPr>
        <w:t>:</w:t>
      </w:r>
    </w:p>
    <w:p w14:paraId="20A15EB8" w14:textId="77777777" w:rsidR="00E45185" w:rsidRDefault="00E45185" w:rsidP="00787232">
      <w:pPr>
        <w:pStyle w:val="SingleTxtG"/>
        <w:ind w:left="1701"/>
        <w:rPr>
          <w:color w:val="000000" w:themeColor="text1"/>
          <w:lang w:val="en-US"/>
        </w:rPr>
      </w:pPr>
      <w:r>
        <w:rPr>
          <w:color w:val="000000" w:themeColor="text1"/>
          <w:lang w:val="en-US"/>
        </w:rPr>
        <w:t>“</w:t>
      </w:r>
      <w:r w:rsidRPr="00046120">
        <w:rPr>
          <w:color w:val="000000" w:themeColor="text1"/>
          <w:lang w:val="en-US"/>
        </w:rPr>
        <w:t xml:space="preserve">Non-refrigerated liquefied gases are assigned to portable tank instruction T50. T50 provides the maximum allowable working pressures, bottom opening requirements, pressure relief requirements and </w:t>
      </w:r>
      <w:r w:rsidRPr="00046120">
        <w:rPr>
          <w:strike/>
          <w:color w:val="000000" w:themeColor="text1"/>
          <w:lang w:val="en-US"/>
        </w:rPr>
        <w:t>degree of</w:t>
      </w:r>
      <w:r w:rsidRPr="00046120">
        <w:rPr>
          <w:color w:val="000000" w:themeColor="text1"/>
          <w:lang w:val="en-US"/>
        </w:rPr>
        <w:t xml:space="preserve"> filling </w:t>
      </w:r>
      <w:r w:rsidRPr="00046120">
        <w:rPr>
          <w:b/>
          <w:bCs/>
          <w:color w:val="000000" w:themeColor="text1"/>
          <w:lang w:val="en-US"/>
        </w:rPr>
        <w:t>ratio</w:t>
      </w:r>
      <w:r w:rsidRPr="00046120">
        <w:rPr>
          <w:color w:val="000000" w:themeColor="text1"/>
          <w:lang w:val="en-US"/>
        </w:rPr>
        <w:t xml:space="preserve"> requirements for non-refrigerated liquefied gases permitted for transport in portable tanks</w:t>
      </w:r>
      <w:r>
        <w:rPr>
          <w:color w:val="000000" w:themeColor="text1"/>
          <w:lang w:val="en-US"/>
        </w:rPr>
        <w:t>”</w:t>
      </w:r>
    </w:p>
    <w:p w14:paraId="69BB8545" w14:textId="5D4EE622" w:rsidR="00E45185" w:rsidRDefault="00E45185" w:rsidP="00E45185">
      <w:pPr>
        <w:pStyle w:val="SingleTxtG"/>
        <w:ind w:firstLine="50"/>
      </w:pPr>
      <w:r>
        <w:t>18</w:t>
      </w:r>
      <w:r w:rsidR="00D76032">
        <w:t>.</w:t>
      </w:r>
      <w:r>
        <w:tab/>
        <w:t>Amend special provision TP5 of 4.2.5.3 as follows:</w:t>
      </w:r>
    </w:p>
    <w:p w14:paraId="59F48C65" w14:textId="77777777" w:rsidR="00E45185" w:rsidRDefault="00E45185" w:rsidP="00787232">
      <w:pPr>
        <w:pStyle w:val="SingleTxtG"/>
        <w:ind w:firstLine="567"/>
      </w:pPr>
      <w:r>
        <w:t>“</w:t>
      </w:r>
      <w:r w:rsidRPr="0023339E">
        <w:t xml:space="preserve">The </w:t>
      </w:r>
      <w:r w:rsidRPr="0023339E">
        <w:rPr>
          <w:strike/>
        </w:rPr>
        <w:t xml:space="preserve">degree of </w:t>
      </w:r>
      <w:r w:rsidRPr="009246E1">
        <w:t>filling</w:t>
      </w:r>
      <w:r w:rsidRPr="0023339E">
        <w:t xml:space="preserve"> </w:t>
      </w:r>
      <w:r w:rsidRPr="0023339E">
        <w:rPr>
          <w:b/>
        </w:rPr>
        <w:t>ratio</w:t>
      </w:r>
      <w:r>
        <w:t xml:space="preserve"> </w:t>
      </w:r>
      <w:r w:rsidRPr="0023339E">
        <w:t>prescribed in 4.2.3.6 shall be met</w:t>
      </w:r>
      <w:r>
        <w:t>.”</w:t>
      </w:r>
    </w:p>
    <w:p w14:paraId="15BAE0DA" w14:textId="66E327C3" w:rsidR="00E45185" w:rsidRDefault="00E45185" w:rsidP="00E45185">
      <w:pPr>
        <w:pStyle w:val="SingleTxtG"/>
        <w:ind w:firstLine="50"/>
      </w:pPr>
      <w:r>
        <w:t>19.</w:t>
      </w:r>
      <w:r w:rsidR="00787232">
        <w:tab/>
      </w:r>
      <w:r>
        <w:t>In 6.7.4.15.1 (</w:t>
      </w:r>
      <w:proofErr w:type="spellStart"/>
      <w:r>
        <w:t>i</w:t>
      </w:r>
      <w:proofErr w:type="spellEnd"/>
      <w:r>
        <w:t xml:space="preserve">)(iv), the concept of filling ratio </w:t>
      </w:r>
      <w:r w:rsidR="0096681E">
        <w:t>shall</w:t>
      </w:r>
      <w:r>
        <w:t xml:space="preserve"> be used. As additionally the unit of measurement </w:t>
      </w:r>
      <w:r w:rsidR="00593019">
        <w:t>shall</w:t>
      </w:r>
      <w:r>
        <w:t xml:space="preserve"> be also mentioned, and the filling ratio is defined as the ratio of the mass of gas to the mass of water, also the unit </w:t>
      </w:r>
      <w:r w:rsidR="002479B4">
        <w:t>shall</w:t>
      </w:r>
      <w:r>
        <w:t xml:space="preserve"> be modified, and therefor this paragraph </w:t>
      </w:r>
      <w:r w:rsidR="002479B4">
        <w:t>shall</w:t>
      </w:r>
      <w:r>
        <w:t xml:space="preserve"> be amended as follows:</w:t>
      </w:r>
    </w:p>
    <w:p w14:paraId="3D50BCB9" w14:textId="77777777" w:rsidR="00E45185" w:rsidRDefault="00E45185" w:rsidP="00787232">
      <w:pPr>
        <w:pStyle w:val="SingleTxtG"/>
        <w:ind w:firstLine="567"/>
      </w:pPr>
      <w:r>
        <w:t>“</w:t>
      </w:r>
      <w:r w:rsidRPr="00BF3A46">
        <w:t xml:space="preserve">(iv) </w:t>
      </w:r>
      <w:r w:rsidRPr="00046120">
        <w:rPr>
          <w:strike/>
        </w:rPr>
        <w:t>Degree of</w:t>
      </w:r>
      <w:r w:rsidRPr="00BF3A46">
        <w:t xml:space="preserve"> </w:t>
      </w:r>
      <w:r>
        <w:t>F</w:t>
      </w:r>
      <w:r w:rsidRPr="00BF3A46">
        <w:t>illing</w:t>
      </w:r>
      <w:r>
        <w:t xml:space="preserve"> </w:t>
      </w:r>
      <w:r w:rsidRPr="00046120">
        <w:rPr>
          <w:b/>
          <w:bCs/>
        </w:rPr>
        <w:t>ratio</w:t>
      </w:r>
      <w:r w:rsidRPr="00BF3A46">
        <w:t xml:space="preserve"> (in kg</w:t>
      </w:r>
      <w:r>
        <w:t xml:space="preserve"> </w:t>
      </w:r>
      <w:r w:rsidRPr="001B6B18">
        <w:rPr>
          <w:b/>
          <w:bCs/>
        </w:rPr>
        <w:t>gas/kg water</w:t>
      </w:r>
      <w:r w:rsidRPr="00BF3A46">
        <w:t>)</w:t>
      </w:r>
      <w:r w:rsidRPr="002552B8">
        <w:rPr>
          <w:vertAlign w:val="superscript"/>
        </w:rPr>
        <w:t>3</w:t>
      </w:r>
      <w:r w:rsidRPr="00BF3A46">
        <w:t>;</w:t>
      </w:r>
      <w:r>
        <w:t>”</w:t>
      </w:r>
    </w:p>
    <w:p w14:paraId="5D64E184" w14:textId="2449C72F" w:rsidR="00E45185" w:rsidRDefault="00E45185" w:rsidP="00E45185">
      <w:pPr>
        <w:pStyle w:val="SingleTxtG"/>
        <w:ind w:firstLine="50"/>
      </w:pPr>
      <w:r>
        <w:t>20.</w:t>
      </w:r>
      <w:r w:rsidR="00787232">
        <w:tab/>
      </w:r>
      <w:r>
        <w:t xml:space="preserve">Similarly, Figure 6.7.4.15.1 in its last column under “HOLDING TIMES” </w:t>
      </w:r>
      <w:proofErr w:type="gramStart"/>
      <w:r>
        <w:t>has to</w:t>
      </w:r>
      <w:proofErr w:type="gramEnd"/>
      <w:r>
        <w:t xml:space="preserve"> be amended as follows:</w:t>
      </w:r>
    </w:p>
    <w:p w14:paraId="022C7CC4" w14:textId="77777777" w:rsidR="00E45185" w:rsidRDefault="00E45185" w:rsidP="00787232">
      <w:pPr>
        <w:pStyle w:val="SingleTxtG"/>
        <w:ind w:firstLine="567"/>
        <w:rPr>
          <w:b/>
          <w:bCs/>
        </w:rPr>
      </w:pPr>
      <w:r>
        <w:rPr>
          <w:strike/>
        </w:rPr>
        <w:t>“</w:t>
      </w:r>
      <w:r w:rsidRPr="00046120">
        <w:rPr>
          <w:strike/>
        </w:rPr>
        <w:t>Degree of</w:t>
      </w:r>
      <w:r>
        <w:t xml:space="preserve"> Filling </w:t>
      </w:r>
      <w:r w:rsidRPr="00046120">
        <w:rPr>
          <w:b/>
          <w:bCs/>
        </w:rPr>
        <w:t>ratio</w:t>
      </w:r>
      <w:r w:rsidRPr="001B6B18">
        <w:t>”</w:t>
      </w:r>
    </w:p>
    <w:p w14:paraId="7FBB2FAF" w14:textId="77777777" w:rsidR="00E45185" w:rsidRDefault="00E45185" w:rsidP="00787232">
      <w:pPr>
        <w:pStyle w:val="SingleTxtG"/>
        <w:ind w:firstLine="567"/>
      </w:pPr>
      <w:r>
        <w:rPr>
          <w:b/>
          <w:bCs/>
        </w:rPr>
        <w:t>“</w:t>
      </w:r>
      <w:proofErr w:type="gramStart"/>
      <w:r w:rsidRPr="00BF3A46">
        <w:t>kg</w:t>
      </w:r>
      <w:proofErr w:type="gramEnd"/>
      <w:r>
        <w:t xml:space="preserve"> </w:t>
      </w:r>
      <w:r w:rsidRPr="003D5FD7">
        <w:rPr>
          <w:b/>
          <w:bCs/>
        </w:rPr>
        <w:t>gas/kg water</w:t>
      </w:r>
      <w:r w:rsidRPr="001B6B18">
        <w:t>”</w:t>
      </w:r>
    </w:p>
    <w:p w14:paraId="57A815AC" w14:textId="4479BD55" w:rsidR="00E45185" w:rsidRDefault="00787232" w:rsidP="00787232">
      <w:pPr>
        <w:pStyle w:val="HChG"/>
      </w:pPr>
      <w:r>
        <w:tab/>
      </w:r>
      <w:r>
        <w:tab/>
      </w:r>
      <w:r w:rsidR="00E45185" w:rsidRPr="00E50DAE">
        <w:t>Proposals for amending the French language version</w:t>
      </w:r>
    </w:p>
    <w:p w14:paraId="66545B52" w14:textId="77777777" w:rsidR="00E45185" w:rsidRPr="00E06E48" w:rsidRDefault="00E45185" w:rsidP="00E45185">
      <w:pPr>
        <w:pStyle w:val="SingleTxtG"/>
        <w:rPr>
          <w:rFonts w:ascii="TimesNewRomanPSMT" w:hAnsi="TimesNewRomanPSMT" w:cs="TimesNewRomanPSMT"/>
        </w:rPr>
      </w:pPr>
      <w:r>
        <w:rPr>
          <w:rFonts w:ascii="TimesNewRomanPSMT" w:hAnsi="TimesNewRomanPSMT" w:cs="TimesNewRomanPSMT"/>
        </w:rPr>
        <w:t>21</w:t>
      </w:r>
      <w:r w:rsidRPr="00E06E48">
        <w:rPr>
          <w:rFonts w:ascii="TimesNewRomanPSMT" w:hAnsi="TimesNewRomanPSMT" w:cs="TimesNewRomanPSMT"/>
        </w:rPr>
        <w:t>.</w:t>
      </w:r>
      <w:r w:rsidRPr="00E06E48">
        <w:rPr>
          <w:rFonts w:ascii="TimesNewRomanPSMT" w:hAnsi="TimesNewRomanPSMT" w:cs="TimesNewRomanPSMT"/>
        </w:rPr>
        <w:tab/>
        <w:t xml:space="preserve">Spain proposes to </w:t>
      </w:r>
      <w:r>
        <w:rPr>
          <w:rFonts w:ascii="TimesNewRomanPSMT" w:hAnsi="TimesNewRomanPSMT" w:cs="TimesNewRomanPSMT"/>
        </w:rPr>
        <w:t>a</w:t>
      </w:r>
      <w:r w:rsidRPr="00E06E48">
        <w:rPr>
          <w:rFonts w:ascii="TimesNewRomanPSMT" w:hAnsi="TimesNewRomanPSMT" w:cs="TimesNewRomanPSMT"/>
        </w:rPr>
        <w:t>mend 4.1.1.10 a) as follows:</w:t>
      </w:r>
    </w:p>
    <w:p w14:paraId="4D4051F3" w14:textId="77777777" w:rsidR="00E45185" w:rsidRDefault="00E45185" w:rsidP="00787232">
      <w:pPr>
        <w:pStyle w:val="SingleTxtG"/>
        <w:ind w:left="1701"/>
        <w:rPr>
          <w:rFonts w:ascii="TimesNewRomanPSMT" w:hAnsi="TimesNewRomanPSMT" w:cs="TimesNewRomanPSMT"/>
          <w:lang w:val="fr-FR"/>
        </w:rPr>
      </w:pPr>
      <w:r>
        <w:rPr>
          <w:rFonts w:ascii="TimesNewRomanPSMT" w:hAnsi="TimesNewRomanPSMT" w:cs="TimesNewRomanPSMT"/>
          <w:lang w:val="fr-FR"/>
        </w:rPr>
        <w:t>« </w:t>
      </w:r>
      <w:r w:rsidRPr="00494446">
        <w:rPr>
          <w:rFonts w:ascii="TimesNewRomanPSMT" w:hAnsi="TimesNewRomanPSMT" w:cs="TimesNewRomanPSMT"/>
          <w:lang w:val="fr-FR"/>
        </w:rPr>
        <w:t>Telle que la pression manométrique totale dans l'emballage ou le GRV (c'est-à-dire pression de</w:t>
      </w:r>
      <w:r>
        <w:rPr>
          <w:rFonts w:ascii="TimesNewRomanPSMT" w:hAnsi="TimesNewRomanPSMT" w:cs="TimesNewRomanPSMT"/>
          <w:lang w:val="fr-FR"/>
        </w:rPr>
        <w:t xml:space="preserve"> </w:t>
      </w:r>
      <w:r w:rsidRPr="00494446">
        <w:rPr>
          <w:rFonts w:ascii="TimesNewRomanPSMT" w:hAnsi="TimesNewRomanPSMT" w:cs="TimesNewRomanPSMT"/>
          <w:lang w:val="fr-FR"/>
        </w:rPr>
        <w:t>vapeur de la matière contenue, plus pression partielle de l'air ou d'autres gaz inertes,</w:t>
      </w:r>
      <w:r>
        <w:rPr>
          <w:rFonts w:ascii="TimesNewRomanPSMT" w:hAnsi="TimesNewRomanPSMT" w:cs="TimesNewRomanPSMT"/>
          <w:lang w:val="fr-FR"/>
        </w:rPr>
        <w:t xml:space="preserve"> </w:t>
      </w:r>
      <w:r w:rsidRPr="00494446">
        <w:rPr>
          <w:rFonts w:ascii="TimesNewRomanPSMT" w:hAnsi="TimesNewRomanPSMT" w:cs="TimesNewRomanPSMT"/>
          <w:lang w:val="fr-FR"/>
        </w:rPr>
        <w:t xml:space="preserve">et moins 100 kPa) à 55 °C, déterminée sur la base d'un </w:t>
      </w:r>
      <w:r w:rsidRPr="00494446">
        <w:rPr>
          <w:rFonts w:ascii="TimesNewRomanPSMT" w:hAnsi="TimesNewRomanPSMT" w:cs="TimesNewRomanPSMT"/>
          <w:strike/>
          <w:lang w:val="fr-FR"/>
        </w:rPr>
        <w:t>taux</w:t>
      </w:r>
      <w:r w:rsidRPr="00082928">
        <w:rPr>
          <w:rFonts w:ascii="TimesNewRomanPSMT" w:hAnsi="TimesNewRomanPSMT" w:cs="TimesNewRomanPSMT"/>
          <w:lang w:val="fr-FR"/>
        </w:rPr>
        <w:t xml:space="preserve"> </w:t>
      </w:r>
      <w:r w:rsidRPr="004C27B8">
        <w:rPr>
          <w:rFonts w:ascii="TimesNewRomanPSMT" w:hAnsi="TimesNewRomanPSMT" w:cs="TimesNewRomanPSMT"/>
          <w:b/>
          <w:lang w:val="fr-FR"/>
        </w:rPr>
        <w:t xml:space="preserve">degré </w:t>
      </w:r>
      <w:r w:rsidRPr="009C6EE3">
        <w:rPr>
          <w:rFonts w:ascii="TimesNewRomanPSMT" w:hAnsi="TimesNewRomanPSMT" w:cs="TimesNewRomanPSMT"/>
          <w:strike/>
          <w:lang w:val="fr-FR"/>
        </w:rPr>
        <w:t>de</w:t>
      </w:r>
      <w:r w:rsidRPr="004C27B8">
        <w:rPr>
          <w:rFonts w:ascii="TimesNewRomanPSMT" w:hAnsi="TimesNewRomanPSMT" w:cs="TimesNewRomanPSMT"/>
          <w:lang w:val="fr-FR"/>
        </w:rPr>
        <w:t xml:space="preserve"> </w:t>
      </w:r>
      <w:r w:rsidRPr="009C6EE3">
        <w:rPr>
          <w:rFonts w:ascii="TimesNewRomanPSMT" w:hAnsi="TimesNewRomanPSMT" w:cs="TimesNewRomanPSMT"/>
          <w:strike/>
          <w:lang w:val="fr-FR"/>
        </w:rPr>
        <w:t>remplissage</w:t>
      </w:r>
      <w:r>
        <w:rPr>
          <w:rFonts w:ascii="TimesNewRomanPSMT" w:hAnsi="TimesNewRomanPSMT" w:cs="TimesNewRomanPSMT"/>
          <w:lang w:val="fr-FR"/>
        </w:rPr>
        <w:t xml:space="preserve"> </w:t>
      </w:r>
      <w:r w:rsidRPr="00494446">
        <w:rPr>
          <w:rFonts w:ascii="TimesNewRomanPSMT" w:hAnsi="TimesNewRomanPSMT" w:cs="TimesNewRomanPSMT"/>
          <w:lang w:val="fr-FR"/>
        </w:rPr>
        <w:t xml:space="preserve">maximal </w:t>
      </w:r>
      <w:r w:rsidRPr="009C6EE3">
        <w:rPr>
          <w:rFonts w:ascii="TimesNewRomanPSMT" w:hAnsi="TimesNewRomanPSMT" w:cs="TimesNewRomanPSMT"/>
          <w:b/>
          <w:lang w:val="fr-FR"/>
        </w:rPr>
        <w:t>de remplissage</w:t>
      </w:r>
      <w:r>
        <w:rPr>
          <w:rFonts w:ascii="TimesNewRomanPSMT" w:hAnsi="TimesNewRomanPSMT" w:cs="TimesNewRomanPSMT"/>
          <w:lang w:val="fr-FR"/>
        </w:rPr>
        <w:t xml:space="preserve"> </w:t>
      </w:r>
      <w:r w:rsidRPr="00494446">
        <w:rPr>
          <w:rFonts w:ascii="TimesNewRomanPSMT" w:hAnsi="TimesNewRomanPSMT" w:cs="TimesNewRomanPSMT"/>
          <w:lang w:val="fr-FR"/>
        </w:rPr>
        <w:t>conforme</w:t>
      </w:r>
      <w:r>
        <w:rPr>
          <w:rFonts w:ascii="TimesNewRomanPSMT" w:hAnsi="TimesNewRomanPSMT" w:cs="TimesNewRomanPSMT"/>
          <w:lang w:val="fr-FR"/>
        </w:rPr>
        <w:t xml:space="preserve"> </w:t>
      </w:r>
      <w:r w:rsidRPr="00494446">
        <w:rPr>
          <w:rFonts w:ascii="TimesNewRomanPSMT" w:hAnsi="TimesNewRomanPSMT" w:cs="TimesNewRomanPSMT"/>
          <w:lang w:val="fr-FR"/>
        </w:rPr>
        <w:t>au 4.1.1.4 et d'une température de remplissage de 15 °C, ne dépasse pas les deux tiers de</w:t>
      </w:r>
      <w:r>
        <w:rPr>
          <w:rFonts w:ascii="TimesNewRomanPSMT" w:hAnsi="TimesNewRomanPSMT" w:cs="TimesNewRomanPSMT"/>
          <w:lang w:val="fr-FR"/>
        </w:rPr>
        <w:t xml:space="preserve"> </w:t>
      </w:r>
      <w:r w:rsidRPr="00494446">
        <w:rPr>
          <w:rFonts w:ascii="TimesNewRomanPSMT" w:hAnsi="TimesNewRomanPSMT" w:cs="TimesNewRomanPSMT"/>
          <w:lang w:val="fr-FR"/>
        </w:rPr>
        <w:t>la pression d'épreuve inscrite</w:t>
      </w:r>
      <w:r>
        <w:rPr>
          <w:rFonts w:ascii="TimesNewRomanPSMT" w:hAnsi="TimesNewRomanPSMT" w:cs="TimesNewRomanPSMT"/>
          <w:lang w:val="fr-FR"/>
        </w:rPr>
        <w:t>. »</w:t>
      </w:r>
    </w:p>
    <w:p w14:paraId="3794A61A" w14:textId="2F808B51" w:rsidR="00E45185" w:rsidRDefault="00E45185" w:rsidP="00E45185">
      <w:pPr>
        <w:pStyle w:val="SingleTxtG"/>
        <w:rPr>
          <w:lang w:val="en-US"/>
        </w:rPr>
      </w:pPr>
      <w:r>
        <w:rPr>
          <w:lang w:val="en-US"/>
        </w:rPr>
        <w:t>22.</w:t>
      </w:r>
      <w:r>
        <w:rPr>
          <w:lang w:val="en-US"/>
        </w:rPr>
        <w:tab/>
      </w:r>
      <w:r>
        <w:t xml:space="preserve">In </w:t>
      </w:r>
      <w:r w:rsidR="00461162">
        <w:t xml:space="preserve">4.1.4.1 </w:t>
      </w:r>
      <w:r w:rsidR="00244490">
        <w:t xml:space="preserve">packing instruction </w:t>
      </w:r>
      <w:r>
        <w:t xml:space="preserve">P203, under (5) the volume of the liquid phase is referenced. Nevertheless, it is understood that the quantity of total substance to be introduced into the receptacle is such that the liquid phase fulfils certain criteria, and therefore “filling ratio” should be used, also in coherence with the rest of the uses of “filling ratio” </w:t>
      </w:r>
      <w:r w:rsidR="005130A2">
        <w:t>through</w:t>
      </w:r>
      <w:r>
        <w:t xml:space="preserve"> the Model Regulations. Therefore, it is proposed to amend packing instruction P203 in 4.1.4.1, point (5) as follows</w:t>
      </w:r>
      <w:r>
        <w:rPr>
          <w:lang w:val="en-US"/>
        </w:rPr>
        <w:t>:</w:t>
      </w:r>
    </w:p>
    <w:p w14:paraId="5CB51094" w14:textId="77777777" w:rsidR="00E45185" w:rsidRDefault="00E45185" w:rsidP="00787232">
      <w:pPr>
        <w:pStyle w:val="SingleTxtG"/>
        <w:ind w:firstLine="567"/>
        <w:rPr>
          <w:rFonts w:ascii="TimesNewRomanPSMT" w:hAnsi="TimesNewRomanPSMT" w:cs="TimesNewRomanPSMT"/>
          <w:b/>
          <w:lang w:val="fr-FR"/>
        </w:rPr>
      </w:pPr>
      <w:r w:rsidRPr="003C75FC">
        <w:rPr>
          <w:rFonts w:ascii="TimesNewRomanPSMT" w:hAnsi="TimesNewRomanPSMT" w:cs="TimesNewRomanPSMT"/>
          <w:lang w:val="fr-FR"/>
        </w:rPr>
        <w:t>«</w:t>
      </w:r>
      <w:r>
        <w:rPr>
          <w:rFonts w:ascii="TimesNewRomanPSMT" w:hAnsi="TimesNewRomanPSMT" w:cs="TimesNewRomanPSMT"/>
          <w:strike/>
          <w:lang w:val="fr-FR"/>
        </w:rPr>
        <w:t> </w:t>
      </w:r>
      <w:r w:rsidRPr="003C75FC">
        <w:rPr>
          <w:rFonts w:ascii="TimesNewRomanPSMT" w:hAnsi="TimesNewRomanPSMT" w:cs="TimesNewRomanPSMT"/>
          <w:lang w:val="fr-FR"/>
        </w:rPr>
        <w:t>5)</w:t>
      </w:r>
      <w:r>
        <w:rPr>
          <w:rFonts w:ascii="TimesNewRomanPSMT" w:hAnsi="TimesNewRomanPSMT" w:cs="TimesNewRomanPSMT"/>
          <w:strike/>
          <w:lang w:val="fr-FR"/>
        </w:rPr>
        <w:t xml:space="preserve"> </w:t>
      </w:r>
      <w:r w:rsidRPr="00CC00D6">
        <w:rPr>
          <w:rFonts w:ascii="TimesNewRomanPSMT" w:hAnsi="TimesNewRomanPSMT" w:cs="TimesNewRomanPSMT"/>
          <w:strike/>
          <w:lang w:val="fr-FR"/>
        </w:rPr>
        <w:t xml:space="preserve">Degré de remplissage </w:t>
      </w:r>
      <w:r w:rsidRPr="00CC00D6">
        <w:rPr>
          <w:rFonts w:ascii="TimesNewRomanPSMT" w:hAnsi="TimesNewRomanPSMT" w:cs="TimesNewRomanPSMT"/>
          <w:b/>
          <w:lang w:val="fr-FR"/>
        </w:rPr>
        <w:t>Taux remplissage</w:t>
      </w:r>
    </w:p>
    <w:p w14:paraId="2949F581" w14:textId="4816BA98" w:rsidR="00E45185" w:rsidRPr="009939FF" w:rsidRDefault="00E45185" w:rsidP="00E45185">
      <w:pPr>
        <w:pStyle w:val="SingleTxtG"/>
        <w:rPr>
          <w:rFonts w:ascii="TimesNewRomanPSMT" w:hAnsi="TimesNewRomanPSMT" w:cs="TimesNewRomanPSMT"/>
          <w:lang w:val="fr-FR"/>
        </w:rPr>
      </w:pPr>
      <w:r w:rsidRPr="009939FF">
        <w:rPr>
          <w:rFonts w:ascii="TimesNewRomanPSMT" w:hAnsi="TimesNewRomanPSMT" w:cs="TimesNewRomanPSMT"/>
          <w:lang w:val="fr-FR"/>
        </w:rPr>
        <w:t>Pour les gaz liquéfiés réfrigérés non toxiques ininflammables, la phase liquide à la température de remplissage et</w:t>
      </w:r>
      <w:r w:rsidR="00D55B64">
        <w:rPr>
          <w:rFonts w:ascii="TimesNewRomanPSMT" w:hAnsi="TimesNewRomanPSMT" w:cs="TimesNewRomanPSMT"/>
          <w:lang w:val="fr-FR"/>
        </w:rPr>
        <w:t xml:space="preserve"> </w:t>
      </w:r>
      <w:r w:rsidRPr="009939FF">
        <w:rPr>
          <w:rFonts w:ascii="TimesNewRomanPSMT" w:hAnsi="TimesNewRomanPSMT" w:cs="TimesNewRomanPSMT"/>
          <w:lang w:val="fr-FR"/>
        </w:rPr>
        <w:t>à une pression de 100 kPa (1 bar) ne doit pas dépasser 98 % de la contenance (en eau) du récipient.</w:t>
      </w:r>
    </w:p>
    <w:p w14:paraId="155C1362" w14:textId="77777777" w:rsidR="00E45185" w:rsidRPr="009939FF" w:rsidRDefault="00E45185" w:rsidP="00E45185">
      <w:pPr>
        <w:pStyle w:val="SingleTxtG"/>
        <w:rPr>
          <w:rFonts w:ascii="TimesNewRomanPSMT" w:hAnsi="TimesNewRomanPSMT" w:cs="TimesNewRomanPSMT"/>
          <w:lang w:val="fr-FR"/>
        </w:rPr>
      </w:pPr>
      <w:r w:rsidRPr="009939FF">
        <w:rPr>
          <w:rFonts w:ascii="TimesNewRomanPSMT" w:hAnsi="TimesNewRomanPSMT" w:cs="TimesNewRomanPSMT"/>
          <w:lang w:val="fr-FR"/>
        </w:rPr>
        <w:t xml:space="preserve">Pour les gaz liquéfiés réfrigérés inflammables, le </w:t>
      </w:r>
      <w:r w:rsidRPr="009939FF">
        <w:rPr>
          <w:rFonts w:ascii="TimesNewRomanPSMT" w:hAnsi="TimesNewRomanPSMT" w:cs="TimesNewRomanPSMT"/>
          <w:strike/>
          <w:lang w:val="fr-FR"/>
        </w:rPr>
        <w:t>degré</w:t>
      </w:r>
      <w:r w:rsidRPr="009939FF">
        <w:rPr>
          <w:rFonts w:ascii="TimesNewRomanPSMT" w:hAnsi="TimesNewRomanPSMT" w:cs="TimesNewRomanPSMT"/>
          <w:lang w:val="fr-FR"/>
        </w:rPr>
        <w:t xml:space="preserve"> </w:t>
      </w:r>
      <w:r w:rsidRPr="00481258">
        <w:rPr>
          <w:rFonts w:ascii="TimesNewRomanPSMT" w:hAnsi="TimesNewRomanPSMT" w:cs="TimesNewRomanPSMT"/>
          <w:b/>
          <w:lang w:val="fr-FR"/>
        </w:rPr>
        <w:t>taux</w:t>
      </w:r>
      <w:r w:rsidRPr="009939FF">
        <w:rPr>
          <w:rFonts w:ascii="TimesNewRomanPSMT" w:hAnsi="TimesNewRomanPSMT" w:cs="TimesNewRomanPSMT"/>
          <w:lang w:val="fr-FR"/>
        </w:rPr>
        <w:t xml:space="preserve"> de remplissage doit rester inférieur à une valeur telle que,</w:t>
      </w:r>
      <w:r>
        <w:rPr>
          <w:rFonts w:ascii="TimesNewRomanPSMT" w:hAnsi="TimesNewRomanPSMT" w:cs="TimesNewRomanPSMT"/>
          <w:lang w:val="fr-FR"/>
        </w:rPr>
        <w:t xml:space="preserve"> </w:t>
      </w:r>
      <w:r w:rsidRPr="009939FF">
        <w:rPr>
          <w:rFonts w:ascii="TimesNewRomanPSMT" w:hAnsi="TimesNewRomanPSMT" w:cs="TimesNewRomanPSMT"/>
          <w:lang w:val="fr-FR"/>
        </w:rPr>
        <w:t>lorsque le contenu est porté à la température à laquelle la tension de vapeur égale la pression d'ouverture du dispositif de décompression, la phase liquide atteindrait 98 % de la contenance (en eau) du récipient à cette température.</w:t>
      </w:r>
      <w:r>
        <w:rPr>
          <w:rFonts w:ascii="TimesNewRomanPSMT" w:hAnsi="TimesNewRomanPSMT" w:cs="TimesNewRomanPSMT"/>
          <w:lang w:val="fr-FR"/>
        </w:rPr>
        <w:t> »</w:t>
      </w:r>
    </w:p>
    <w:p w14:paraId="08604EF4" w14:textId="2B013DC6" w:rsidR="00E45185" w:rsidRPr="00160C63" w:rsidRDefault="00E45185" w:rsidP="00E45185">
      <w:pPr>
        <w:pStyle w:val="SingleTxtG"/>
        <w:rPr>
          <w:rFonts w:ascii="TimesNewRomanPSMT" w:hAnsi="TimesNewRomanPSMT" w:cs="TimesNewRomanPSMT"/>
        </w:rPr>
      </w:pPr>
      <w:r w:rsidRPr="00160C63">
        <w:rPr>
          <w:rFonts w:ascii="TimesNewRomanPSMT" w:hAnsi="TimesNewRomanPSMT" w:cs="TimesNewRomanPSMT"/>
        </w:rPr>
        <w:t>23.</w:t>
      </w:r>
      <w:r w:rsidRPr="00160C63">
        <w:rPr>
          <w:rFonts w:ascii="TimesNewRomanPSMT" w:hAnsi="TimesNewRomanPSMT" w:cs="TimesNewRomanPSMT"/>
        </w:rPr>
        <w:tab/>
        <w:t>Amend 4.1.7.0.1 as follows:</w:t>
      </w:r>
    </w:p>
    <w:p w14:paraId="71C18A87" w14:textId="77777777" w:rsidR="00E45185" w:rsidRDefault="00E45185" w:rsidP="00787232">
      <w:pPr>
        <w:pStyle w:val="SingleTxtG"/>
        <w:ind w:left="1701"/>
        <w:rPr>
          <w:rFonts w:ascii="TimesNewRomanPSMT" w:hAnsi="TimesNewRomanPSMT" w:cs="TimesNewRomanPSMT"/>
          <w:lang w:val="fr-FR"/>
        </w:rPr>
      </w:pPr>
      <w:r>
        <w:rPr>
          <w:rFonts w:ascii="TimesNewRomanPSMT" w:hAnsi="TimesNewRomanPSMT" w:cs="TimesNewRomanPSMT"/>
          <w:lang w:val="fr-FR"/>
        </w:rPr>
        <w:t>« </w:t>
      </w:r>
      <w:r w:rsidRPr="004C27B8">
        <w:rPr>
          <w:rFonts w:ascii="TimesNewRomanPSMT" w:hAnsi="TimesNewRomanPSMT" w:cs="TimesNewRomanPSMT"/>
          <w:lang w:val="fr-FR"/>
        </w:rPr>
        <w:t>Pour les peroxydes organiques, tous les récipients doivent être « effectivement fermés ». En cas de</w:t>
      </w:r>
      <w:r>
        <w:rPr>
          <w:rFonts w:ascii="TimesNewRomanPSMT" w:hAnsi="TimesNewRomanPSMT" w:cs="TimesNewRomanPSMT"/>
          <w:lang w:val="fr-FR"/>
        </w:rPr>
        <w:t xml:space="preserve"> </w:t>
      </w:r>
      <w:r w:rsidRPr="004C27B8">
        <w:rPr>
          <w:rFonts w:ascii="TimesNewRomanPSMT" w:hAnsi="TimesNewRomanPSMT" w:cs="TimesNewRomanPSMT"/>
          <w:lang w:val="fr-FR"/>
        </w:rPr>
        <w:t>risque de forte augmentation de la pression interne dans un colis à cause de la transformation d'un gaz, un évent peut être</w:t>
      </w:r>
      <w:r>
        <w:rPr>
          <w:rFonts w:ascii="TimesNewRomanPSMT" w:hAnsi="TimesNewRomanPSMT" w:cs="TimesNewRomanPSMT"/>
          <w:lang w:val="fr-FR"/>
        </w:rPr>
        <w:t xml:space="preserve"> </w:t>
      </w:r>
      <w:r w:rsidRPr="004C27B8">
        <w:rPr>
          <w:rFonts w:ascii="TimesNewRomanPSMT" w:hAnsi="TimesNewRomanPSMT" w:cs="TimesNewRomanPSMT"/>
          <w:lang w:val="fr-FR"/>
        </w:rPr>
        <w:t xml:space="preserve">prévu, à condition que le gaz émis ne présente pas de danger ; dans le cas contraire, le </w:t>
      </w:r>
      <w:r w:rsidRPr="004C27B8">
        <w:rPr>
          <w:rFonts w:ascii="TimesNewRomanPSMT" w:hAnsi="TimesNewRomanPSMT" w:cs="TimesNewRomanPSMT"/>
          <w:strike/>
          <w:lang w:val="fr-FR"/>
        </w:rPr>
        <w:t>taux</w:t>
      </w:r>
      <w:r>
        <w:rPr>
          <w:rFonts w:ascii="TimesNewRomanPSMT" w:hAnsi="TimesNewRomanPSMT" w:cs="TimesNewRomanPSMT"/>
          <w:lang w:val="fr-FR"/>
        </w:rPr>
        <w:t xml:space="preserve"> </w:t>
      </w:r>
      <w:r w:rsidRPr="004C27B8">
        <w:rPr>
          <w:rFonts w:ascii="TimesNewRomanPSMT" w:hAnsi="TimesNewRomanPSMT" w:cs="TimesNewRomanPSMT"/>
          <w:b/>
          <w:lang w:val="fr-FR"/>
        </w:rPr>
        <w:t>degré</w:t>
      </w:r>
      <w:r>
        <w:rPr>
          <w:rFonts w:ascii="TimesNewRomanPSMT" w:hAnsi="TimesNewRomanPSMT" w:cs="TimesNewRomanPSMT"/>
          <w:lang w:val="fr-FR"/>
        </w:rPr>
        <w:t xml:space="preserve"> </w:t>
      </w:r>
      <w:r w:rsidRPr="004C27B8">
        <w:rPr>
          <w:rFonts w:ascii="TimesNewRomanPSMT" w:hAnsi="TimesNewRomanPSMT" w:cs="TimesNewRomanPSMT"/>
          <w:lang w:val="fr-FR"/>
        </w:rPr>
        <w:t>de remplissage devra être</w:t>
      </w:r>
      <w:r>
        <w:rPr>
          <w:rFonts w:ascii="TimesNewRomanPSMT" w:hAnsi="TimesNewRomanPSMT" w:cs="TimesNewRomanPSMT"/>
          <w:lang w:val="fr-FR"/>
        </w:rPr>
        <w:t xml:space="preserve"> </w:t>
      </w:r>
      <w:r w:rsidRPr="004C27B8">
        <w:rPr>
          <w:rFonts w:ascii="TimesNewRomanPSMT" w:hAnsi="TimesNewRomanPSMT" w:cs="TimesNewRomanPSMT"/>
          <w:lang w:val="fr-FR"/>
        </w:rPr>
        <w:t>limité. Tout évent doit être aménagé de sorte que le liquide ne puisse pas s'échapper lorsque le colis est en position debout</w:t>
      </w:r>
      <w:r>
        <w:rPr>
          <w:rFonts w:ascii="TimesNewRomanPSMT" w:hAnsi="TimesNewRomanPSMT" w:cs="TimesNewRomanPSMT"/>
          <w:lang w:val="fr-FR"/>
        </w:rPr>
        <w:t xml:space="preserve"> </w:t>
      </w:r>
      <w:r w:rsidRPr="004C27B8">
        <w:rPr>
          <w:rFonts w:ascii="TimesNewRomanPSMT" w:hAnsi="TimesNewRomanPSMT" w:cs="TimesNewRomanPSMT"/>
          <w:lang w:val="fr-FR"/>
        </w:rPr>
        <w:t>et à ne laisser entrer aucune impureté. L'emballage extérieur, s'il en existe un, doit être conçu de façon à ne pas gêner le</w:t>
      </w:r>
      <w:r>
        <w:rPr>
          <w:rFonts w:ascii="TimesNewRomanPSMT" w:hAnsi="TimesNewRomanPSMT" w:cs="TimesNewRomanPSMT"/>
          <w:lang w:val="fr-FR"/>
        </w:rPr>
        <w:t xml:space="preserve"> </w:t>
      </w:r>
      <w:r w:rsidRPr="004C27B8">
        <w:rPr>
          <w:rFonts w:ascii="TimesNewRomanPSMT" w:hAnsi="TimesNewRomanPSMT" w:cs="TimesNewRomanPSMT"/>
          <w:lang w:val="fr-FR"/>
        </w:rPr>
        <w:t>fonctionnement de l'évent.</w:t>
      </w:r>
      <w:r>
        <w:rPr>
          <w:rFonts w:ascii="TimesNewRomanPSMT" w:hAnsi="TimesNewRomanPSMT" w:cs="TimesNewRomanPSMT"/>
          <w:lang w:val="fr-FR"/>
        </w:rPr>
        <w:t> »</w:t>
      </w:r>
    </w:p>
    <w:p w14:paraId="28EC5D79" w14:textId="39BE9CD6" w:rsidR="00E45185" w:rsidRPr="00160C63" w:rsidRDefault="00E45185" w:rsidP="00E45185">
      <w:pPr>
        <w:pStyle w:val="SingleTxtG"/>
        <w:rPr>
          <w:rFonts w:ascii="TimesNewRomanPSMT" w:hAnsi="TimesNewRomanPSMT" w:cs="TimesNewRomanPSMT"/>
        </w:rPr>
      </w:pPr>
      <w:r w:rsidRPr="00160C63">
        <w:rPr>
          <w:rFonts w:ascii="TimesNewRomanPSMT" w:hAnsi="TimesNewRomanPSMT" w:cs="TimesNewRomanPSMT"/>
        </w:rPr>
        <w:t>24.</w:t>
      </w:r>
      <w:r w:rsidRPr="00160C63">
        <w:rPr>
          <w:rFonts w:ascii="TimesNewRomanPSMT" w:hAnsi="TimesNewRomanPSMT" w:cs="TimesNewRomanPSMT"/>
        </w:rPr>
        <w:tab/>
        <w:t>Amend 4.2.1.9.2 as follows:</w:t>
      </w:r>
    </w:p>
    <w:p w14:paraId="0ECAAB53" w14:textId="77777777" w:rsidR="00E45185" w:rsidRPr="007F4012" w:rsidRDefault="00E45185" w:rsidP="00787232">
      <w:pPr>
        <w:pStyle w:val="SingleTxtG"/>
        <w:ind w:left="1701"/>
        <w:rPr>
          <w:rFonts w:ascii="TimesNewRomanPSMT" w:hAnsi="TimesNewRomanPSMT" w:cs="TimesNewRomanPSMT"/>
          <w:lang w:val="fr-FR"/>
        </w:rPr>
      </w:pPr>
      <w:r>
        <w:rPr>
          <w:rFonts w:ascii="TimesNewRomanPSMT" w:hAnsi="TimesNewRomanPSMT" w:cs="TimesNewRomanPSMT"/>
          <w:lang w:val="fr-FR"/>
        </w:rPr>
        <w:t xml:space="preserve">« </w:t>
      </w:r>
      <w:r w:rsidRPr="007F4012">
        <w:rPr>
          <w:rFonts w:ascii="TimesNewRomanPSMT" w:hAnsi="TimesNewRomanPSMT" w:cs="TimesNewRomanPSMT"/>
          <w:lang w:val="fr-FR"/>
        </w:rPr>
        <w:t xml:space="preserve">Dans les cas généraux d'utilisation, le </w:t>
      </w:r>
      <w:r w:rsidRPr="007F4012">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degré</w:t>
      </w:r>
      <w:r w:rsidRPr="007F4012">
        <w:rPr>
          <w:rFonts w:ascii="TimesNewRomanPSMT" w:hAnsi="TimesNewRomanPSMT" w:cs="TimesNewRomanPSMT"/>
          <w:lang w:val="fr-FR"/>
        </w:rPr>
        <w:t xml:space="preserve"> maximal de remplissage (en %) est donnée par la formule</w:t>
      </w:r>
      <w:r>
        <w:rPr>
          <w:rFonts w:ascii="TimesNewRomanPSMT" w:hAnsi="TimesNewRomanPSMT" w:cs="TimesNewRomanPSMT"/>
          <w:lang w:val="fr-FR"/>
        </w:rPr>
        <w:t xml:space="preserve"> </w:t>
      </w:r>
      <w:r w:rsidRPr="007F4012">
        <w:rPr>
          <w:rFonts w:ascii="TimesNewRomanPSMT" w:hAnsi="TimesNewRomanPSMT" w:cs="TimesNewRomanPSMT"/>
          <w:lang w:val="fr-FR"/>
        </w:rPr>
        <w:t>suivante :</w:t>
      </w:r>
      <w:r>
        <w:rPr>
          <w:rFonts w:ascii="TimesNewRomanPSMT" w:hAnsi="TimesNewRomanPSMT" w:cs="TimesNewRomanPSMT"/>
          <w:lang w:val="fr-FR"/>
        </w:rPr>
        <w:t xml:space="preserve"> </w:t>
      </w:r>
      <w:r w:rsidRPr="009D29CE">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D</w:t>
      </w:r>
      <w:r w:rsidRPr="009D29CE">
        <w:rPr>
          <w:rFonts w:ascii="TimesNewRomanPSMT" w:hAnsi="TimesNewRomanPSMT" w:cs="TimesNewRomanPSMT"/>
          <w:b/>
          <w:lang w:val="fr-FR"/>
        </w:rPr>
        <w:t>egré</w:t>
      </w:r>
      <w:r>
        <w:rPr>
          <w:rFonts w:ascii="TimesNewRomanPSMT" w:hAnsi="TimesNewRomanPSMT" w:cs="TimesNewRomanPSMT"/>
          <w:lang w:val="fr-FR"/>
        </w:rPr>
        <w:t xml:space="preserve"> de remplissage=… »</w:t>
      </w:r>
    </w:p>
    <w:p w14:paraId="101B43C1" w14:textId="29399D22" w:rsidR="00E45185" w:rsidRPr="00160C63" w:rsidRDefault="00E45185" w:rsidP="00E45185">
      <w:pPr>
        <w:pStyle w:val="SingleTxtG"/>
        <w:rPr>
          <w:rFonts w:ascii="TimesNewRomanPSMT" w:hAnsi="TimesNewRomanPSMT" w:cs="TimesNewRomanPSMT"/>
        </w:rPr>
      </w:pPr>
      <w:r w:rsidRPr="00160C63">
        <w:rPr>
          <w:rFonts w:ascii="TimesNewRomanPSMT" w:hAnsi="TimesNewRomanPSMT" w:cs="TimesNewRomanPSMT"/>
        </w:rPr>
        <w:t>25.</w:t>
      </w:r>
      <w:r w:rsidRPr="00160C63">
        <w:rPr>
          <w:rFonts w:ascii="TimesNewRomanPSMT" w:hAnsi="TimesNewRomanPSMT" w:cs="TimesNewRomanPSMT"/>
        </w:rPr>
        <w:tab/>
        <w:t>Amend 4.2.1.9.3 as follows:</w:t>
      </w:r>
    </w:p>
    <w:p w14:paraId="01030A39" w14:textId="77777777" w:rsidR="00E45185" w:rsidRDefault="00E45185" w:rsidP="00787232">
      <w:pPr>
        <w:pStyle w:val="SingleTxtG"/>
        <w:ind w:left="1701"/>
        <w:rPr>
          <w:rFonts w:ascii="TimesNewRomanPSMT" w:hAnsi="TimesNewRomanPSMT" w:cs="TimesNewRomanPSMT"/>
          <w:lang w:val="fr-FR"/>
        </w:rPr>
      </w:pPr>
      <w:r>
        <w:rPr>
          <w:rFonts w:ascii="TimesNewRomanPSMT" w:hAnsi="TimesNewRomanPSMT" w:cs="TimesNewRomanPSMT"/>
          <w:lang w:val="fr-FR"/>
        </w:rPr>
        <w:t>« </w:t>
      </w:r>
      <w:r w:rsidRPr="009D29CE">
        <w:rPr>
          <w:rFonts w:ascii="TimesNewRomanPSMT" w:hAnsi="TimesNewRomanPSMT" w:cs="TimesNewRomanPSMT"/>
          <w:lang w:val="fr-FR"/>
        </w:rPr>
        <w:t>Pour les matières liquides de la division 6.1 ou de la classe 8 qui relèvent des groupes d'emballage I ou</w:t>
      </w:r>
      <w:r>
        <w:rPr>
          <w:rFonts w:ascii="TimesNewRomanPSMT" w:hAnsi="TimesNewRomanPSMT" w:cs="TimesNewRomanPSMT"/>
          <w:lang w:val="fr-FR"/>
        </w:rPr>
        <w:t xml:space="preserve"> </w:t>
      </w:r>
      <w:r w:rsidRPr="009D29CE">
        <w:rPr>
          <w:rFonts w:ascii="TimesNewRomanPSMT" w:hAnsi="TimesNewRomanPSMT" w:cs="TimesNewRomanPSMT"/>
          <w:lang w:val="fr-FR"/>
        </w:rPr>
        <w:t>II, de même que pour les matières liquides dont la pression absolue de vapeur est supérieure à 175 kPa (1,75 bar) à 65 °C,</w:t>
      </w:r>
      <w:r>
        <w:rPr>
          <w:rFonts w:ascii="TimesNewRomanPSMT" w:hAnsi="TimesNewRomanPSMT" w:cs="TimesNewRomanPSMT"/>
          <w:lang w:val="fr-FR"/>
        </w:rPr>
        <w:t xml:space="preserve"> </w:t>
      </w:r>
      <w:r w:rsidRPr="009D29CE">
        <w:rPr>
          <w:rFonts w:ascii="TimesNewRomanPSMT" w:hAnsi="TimesNewRomanPSMT" w:cs="TimesNewRomanPSMT"/>
          <w:lang w:val="fr-FR"/>
        </w:rPr>
        <w:t xml:space="preserve">le </w:t>
      </w:r>
      <w:r w:rsidRPr="009D29CE">
        <w:rPr>
          <w:rFonts w:ascii="TimesNewRomanPSMT" w:hAnsi="TimesNewRomanPSMT" w:cs="TimesNewRomanPSMT"/>
          <w:strike/>
          <w:lang w:val="fr-FR"/>
        </w:rPr>
        <w:t>taux</w:t>
      </w:r>
      <w:r w:rsidRPr="007C5CFA">
        <w:rPr>
          <w:rFonts w:ascii="TimesNewRomanPSMT" w:hAnsi="TimesNewRomanPSMT" w:cs="TimesNewRomanPSMT"/>
          <w:lang w:val="fr-FR"/>
        </w:rPr>
        <w:t xml:space="preserve"> </w:t>
      </w:r>
      <w:r w:rsidRPr="009D29CE">
        <w:rPr>
          <w:rFonts w:ascii="TimesNewRomanPSMT" w:hAnsi="TimesNewRomanPSMT" w:cs="TimesNewRomanPSMT"/>
          <w:b/>
          <w:lang w:val="fr-FR"/>
        </w:rPr>
        <w:t>degré</w:t>
      </w:r>
      <w:r>
        <w:rPr>
          <w:rFonts w:ascii="TimesNewRomanPSMT" w:hAnsi="TimesNewRomanPSMT" w:cs="TimesNewRomanPSMT"/>
          <w:lang w:val="fr-FR"/>
        </w:rPr>
        <w:t xml:space="preserve"> </w:t>
      </w:r>
      <w:r w:rsidRPr="009D29CE">
        <w:rPr>
          <w:rFonts w:ascii="TimesNewRomanPSMT" w:hAnsi="TimesNewRomanPSMT" w:cs="TimesNewRomanPSMT"/>
          <w:lang w:val="fr-FR"/>
        </w:rPr>
        <w:t>maximal de remplissage (en %) est donné par la formule suivante :</w:t>
      </w:r>
      <w:r>
        <w:rPr>
          <w:rFonts w:ascii="TimesNewRomanPSMT" w:hAnsi="TimesNewRomanPSMT" w:cs="TimesNewRomanPSMT"/>
          <w:lang w:val="fr-FR"/>
        </w:rPr>
        <w:t xml:space="preserve"> </w:t>
      </w:r>
      <w:r w:rsidRPr="009D29CE">
        <w:rPr>
          <w:rFonts w:ascii="TimesNewRomanPSMT" w:hAnsi="TimesNewRomanPSMT" w:cs="TimesNewRomanPSMT"/>
          <w:strike/>
          <w:lang w:val="fr-FR"/>
        </w:rPr>
        <w:t>Taux</w:t>
      </w:r>
      <w:r>
        <w:rPr>
          <w:rFonts w:ascii="TimesNewRomanPSMT" w:hAnsi="TimesNewRomanPSMT" w:cs="TimesNewRomanPSMT"/>
          <w:strike/>
          <w:lang w:val="fr-FR"/>
        </w:rPr>
        <w:t xml:space="preserve"> </w:t>
      </w:r>
      <w:r w:rsidRPr="007C5CFA">
        <w:rPr>
          <w:rFonts w:ascii="TimesNewRomanPSMT" w:hAnsi="TimesNewRomanPSMT" w:cs="TimesNewRomanPSMT"/>
          <w:lang w:val="fr-FR"/>
        </w:rPr>
        <w:t>D</w:t>
      </w:r>
      <w:r w:rsidRPr="009D29CE">
        <w:rPr>
          <w:rFonts w:ascii="TimesNewRomanPSMT" w:hAnsi="TimesNewRomanPSMT" w:cs="TimesNewRomanPSMT"/>
          <w:b/>
          <w:lang w:val="fr-FR"/>
        </w:rPr>
        <w:t xml:space="preserve">egré </w:t>
      </w:r>
      <w:r w:rsidRPr="009D29CE">
        <w:rPr>
          <w:rFonts w:ascii="TimesNewRomanPSMT" w:hAnsi="TimesNewRomanPSMT" w:cs="TimesNewRomanPSMT"/>
          <w:lang w:val="fr-FR"/>
        </w:rPr>
        <w:t>de remplissage</w:t>
      </w:r>
      <w:r>
        <w:rPr>
          <w:rFonts w:ascii="TimesNewRomanPSMT" w:hAnsi="TimesNewRomanPSMT" w:cs="TimesNewRomanPSMT"/>
          <w:lang w:val="fr-FR"/>
        </w:rPr>
        <w:t>=... »</w:t>
      </w:r>
    </w:p>
    <w:p w14:paraId="6CABEEA4" w14:textId="184F5D7D" w:rsidR="00E45185" w:rsidRPr="00A314CE" w:rsidRDefault="00E45185" w:rsidP="00E45185">
      <w:pPr>
        <w:pStyle w:val="SingleTxtG"/>
        <w:rPr>
          <w:highlight w:val="yellow"/>
        </w:rPr>
      </w:pPr>
      <w:r>
        <w:t>26</w:t>
      </w:r>
      <w:r w:rsidRPr="00A314CE">
        <w:t>.</w:t>
      </w:r>
      <w:r w:rsidRPr="00A314CE">
        <w:tab/>
        <w:t xml:space="preserve">The present text </w:t>
      </w:r>
      <w:r>
        <w:t xml:space="preserve">of 4.2.1.9.5 </w:t>
      </w:r>
      <w:r w:rsidRPr="00A314CE">
        <w:t xml:space="preserve">does </w:t>
      </w:r>
      <w:proofErr w:type="gramStart"/>
      <w:r w:rsidRPr="00A314CE">
        <w:t>express correct</w:t>
      </w:r>
      <w:r>
        <w:t>ly</w:t>
      </w:r>
      <w:proofErr w:type="gramEnd"/>
      <w:r>
        <w:t xml:space="preserve"> the same meaning as “</w:t>
      </w:r>
      <w:proofErr w:type="spellStart"/>
      <w:r>
        <w:t>degré</w:t>
      </w:r>
      <w:proofErr w:type="spellEnd"/>
      <w:r>
        <w:t xml:space="preserve"> de </w:t>
      </w:r>
      <w:proofErr w:type="spellStart"/>
      <w:r>
        <w:t>remplissage</w:t>
      </w:r>
      <w:proofErr w:type="spellEnd"/>
      <w:r>
        <w:t>”, without using this precise wording. Nevertheless, the text could be amended as follows including this terminology:</w:t>
      </w:r>
    </w:p>
    <w:p w14:paraId="1AEF03CA" w14:textId="03A0496E" w:rsidR="00E45185" w:rsidRDefault="00E45185" w:rsidP="00787232">
      <w:pPr>
        <w:pStyle w:val="SingleTxtG"/>
        <w:ind w:left="1701"/>
        <w:rPr>
          <w:lang w:val="fr-FR"/>
        </w:rPr>
      </w:pPr>
      <w:r w:rsidRPr="006A5954">
        <w:rPr>
          <w:lang w:val="fr-FR"/>
        </w:rPr>
        <w:t>«</w:t>
      </w:r>
      <w:r>
        <w:rPr>
          <w:lang w:val="fr-FR"/>
        </w:rPr>
        <w:t xml:space="preserve"> </w:t>
      </w:r>
      <w:r w:rsidRPr="00A314CE">
        <w:rPr>
          <w:lang w:val="fr-FR"/>
        </w:rPr>
        <w:t>Les dispositions des 4.2.1.9.2 à 4.2.1.9.4.1 ne s’appliquent pas aux citerne</w:t>
      </w:r>
      <w:r w:rsidR="00C07C0F">
        <w:rPr>
          <w:lang w:val="fr-FR"/>
        </w:rPr>
        <w:t>s</w:t>
      </w:r>
      <w:r w:rsidRPr="00A314CE">
        <w:rPr>
          <w:lang w:val="fr-FR"/>
        </w:rPr>
        <w:t xml:space="preserve"> mobiles dont le contenu est maintenu à une température supérieure à 50</w:t>
      </w:r>
      <w:r w:rsidR="00C07C0F">
        <w:rPr>
          <w:lang w:val="fr-FR"/>
        </w:rPr>
        <w:t xml:space="preserve"> </w:t>
      </w:r>
      <w:r w:rsidRPr="00A314CE">
        <w:rPr>
          <w:lang w:val="fr-FR"/>
        </w:rPr>
        <w:t>ºC durant le transport (par exemple, au moyen d’un dispositif de chauffage). Po</w:t>
      </w:r>
      <w:r w:rsidR="00C07C0F">
        <w:rPr>
          <w:lang w:val="fr-FR"/>
        </w:rPr>
        <w:t>u</w:t>
      </w:r>
      <w:r w:rsidRPr="00A314CE">
        <w:rPr>
          <w:lang w:val="fr-FR"/>
        </w:rPr>
        <w:t>r les citernes mobiles équipées d’un tel dispositif, un régulateur de temp</w:t>
      </w:r>
      <w:r w:rsidR="00AF4167">
        <w:rPr>
          <w:lang w:val="fr-FR"/>
        </w:rPr>
        <w:t>é</w:t>
      </w:r>
      <w:r w:rsidRPr="00A314CE">
        <w:rPr>
          <w:lang w:val="fr-FR"/>
        </w:rPr>
        <w:t xml:space="preserve">rature sera utilisé afin </w:t>
      </w:r>
      <w:r w:rsidRPr="00A314CE">
        <w:rPr>
          <w:b/>
          <w:lang w:val="fr-FR"/>
        </w:rPr>
        <w:t>d’assurer</w:t>
      </w:r>
      <w:r w:rsidRPr="00A314CE">
        <w:rPr>
          <w:lang w:val="fr-FR"/>
        </w:rPr>
        <w:t xml:space="preserve"> que </w:t>
      </w:r>
      <w:r w:rsidRPr="00A314CE">
        <w:rPr>
          <w:strike/>
          <w:lang w:val="fr-FR"/>
        </w:rPr>
        <w:t>la citerne ne soit jamais pleine</w:t>
      </w:r>
      <w:r w:rsidRPr="00A314CE">
        <w:rPr>
          <w:lang w:val="fr-FR"/>
        </w:rPr>
        <w:t xml:space="preserve"> </w:t>
      </w:r>
      <w:proofErr w:type="gramStart"/>
      <w:r w:rsidRPr="00A314CE">
        <w:rPr>
          <w:b/>
          <w:lang w:val="fr-FR"/>
        </w:rPr>
        <w:t>le degré maximale</w:t>
      </w:r>
      <w:proofErr w:type="gramEnd"/>
      <w:r w:rsidRPr="00A314CE">
        <w:rPr>
          <w:b/>
          <w:lang w:val="fr-FR"/>
        </w:rPr>
        <w:t xml:space="preserve"> de remplissage</w:t>
      </w:r>
      <w:r w:rsidRPr="00A314CE">
        <w:rPr>
          <w:lang w:val="fr-FR"/>
        </w:rPr>
        <w:t xml:space="preserve"> </w:t>
      </w:r>
      <w:r w:rsidRPr="00A314CE">
        <w:rPr>
          <w:strike/>
          <w:lang w:val="fr-FR"/>
        </w:rPr>
        <w:t>à plus</w:t>
      </w:r>
      <w:r w:rsidRPr="00A314CE">
        <w:rPr>
          <w:lang w:val="fr-FR"/>
        </w:rPr>
        <w:t xml:space="preserve"> </w:t>
      </w:r>
      <w:r w:rsidRPr="00A314CE">
        <w:rPr>
          <w:b/>
          <w:lang w:val="fr-FR"/>
        </w:rPr>
        <w:t>ne dépasse pas</w:t>
      </w:r>
      <w:r w:rsidRPr="00A314CE">
        <w:rPr>
          <w:lang w:val="fr-FR"/>
        </w:rPr>
        <w:t xml:space="preserve"> </w:t>
      </w:r>
      <w:proofErr w:type="spellStart"/>
      <w:r w:rsidRPr="00A314CE">
        <w:rPr>
          <w:lang w:val="fr-FR"/>
        </w:rPr>
        <w:t>d</w:t>
      </w:r>
      <w:r w:rsidRPr="00A314CE">
        <w:rPr>
          <w:strike/>
          <w:lang w:val="fr-FR"/>
        </w:rPr>
        <w:t>e</w:t>
      </w:r>
      <w:r w:rsidRPr="00A314CE">
        <w:rPr>
          <w:b/>
          <w:lang w:val="fr-FR"/>
        </w:rPr>
        <w:t>u</w:t>
      </w:r>
      <w:proofErr w:type="spellEnd"/>
      <w:r w:rsidRPr="00A314CE">
        <w:rPr>
          <w:lang w:val="fr-FR"/>
        </w:rPr>
        <w:t xml:space="preserve"> 95% à un moment quelconque du transport.</w:t>
      </w:r>
      <w:r w:rsidRPr="006A5954">
        <w:rPr>
          <w:lang w:val="fr-FR"/>
        </w:rPr>
        <w:t> »</w:t>
      </w:r>
    </w:p>
    <w:p w14:paraId="5E712549" w14:textId="3AD3ACDD" w:rsidR="00E45185" w:rsidRPr="00AF4167" w:rsidRDefault="00E45185" w:rsidP="00E45185">
      <w:pPr>
        <w:pStyle w:val="SingleTxtG"/>
        <w:rPr>
          <w:rFonts w:ascii="TimesNewRomanPSMT" w:hAnsi="TimesNewRomanPSMT" w:cs="TimesNewRomanPSMT"/>
        </w:rPr>
      </w:pPr>
      <w:r w:rsidRPr="00AF4167">
        <w:rPr>
          <w:rFonts w:ascii="TimesNewRomanPSMT" w:hAnsi="TimesNewRomanPSMT" w:cs="TimesNewRomanPSMT"/>
        </w:rPr>
        <w:t>27.</w:t>
      </w:r>
      <w:r w:rsidRPr="00AF4167">
        <w:rPr>
          <w:rFonts w:ascii="TimesNewRomanPSMT" w:hAnsi="TimesNewRomanPSMT" w:cs="TimesNewRomanPSMT"/>
        </w:rPr>
        <w:tab/>
        <w:t>Amend 4.2.1.9.5.1 as follows:</w:t>
      </w:r>
    </w:p>
    <w:p w14:paraId="35B0579C" w14:textId="77777777" w:rsidR="00E45185" w:rsidRDefault="00E45185" w:rsidP="009F6EBA">
      <w:pPr>
        <w:pStyle w:val="SingleTxtG"/>
        <w:ind w:left="1701"/>
        <w:rPr>
          <w:rFonts w:ascii="TimesNewRomanPSMT" w:hAnsi="TimesNewRomanPSMT" w:cs="TimesNewRomanPSMT"/>
          <w:lang w:val="fr-FR"/>
        </w:rPr>
      </w:pPr>
      <w:r>
        <w:rPr>
          <w:rFonts w:ascii="TimesNewRomanPSMT" w:hAnsi="TimesNewRomanPSMT" w:cs="TimesNewRomanPSMT"/>
          <w:lang w:val="fr-FR"/>
        </w:rPr>
        <w:t>« </w:t>
      </w:r>
      <w:r w:rsidRPr="0055258E">
        <w:rPr>
          <w:rFonts w:ascii="TimesNewRomanPSMT" w:hAnsi="TimesNewRomanPSMT" w:cs="TimesNewRomanPSMT"/>
          <w:lang w:val="fr-FR"/>
        </w:rPr>
        <w:t xml:space="preserve">Le </w:t>
      </w:r>
      <w:r w:rsidRPr="00294D0F">
        <w:rPr>
          <w:rFonts w:ascii="TimesNewRomanPSMT" w:hAnsi="TimesNewRomanPSMT" w:cs="TimesNewRomanPSMT"/>
          <w:strike/>
          <w:lang w:val="fr-FR"/>
        </w:rPr>
        <w:t>taux</w:t>
      </w:r>
      <w:r>
        <w:rPr>
          <w:rFonts w:ascii="TimesNewRomanPSMT" w:hAnsi="TimesNewRomanPSMT" w:cs="TimesNewRomanPSMT"/>
          <w:lang w:val="fr-FR"/>
        </w:rPr>
        <w:t xml:space="preserve"> </w:t>
      </w:r>
      <w:r w:rsidRPr="00294D0F">
        <w:rPr>
          <w:rFonts w:ascii="TimesNewRomanPSMT" w:hAnsi="TimesNewRomanPSMT" w:cs="TimesNewRomanPSMT"/>
          <w:b/>
          <w:lang w:val="fr-FR"/>
        </w:rPr>
        <w:t xml:space="preserve">degré </w:t>
      </w:r>
      <w:r w:rsidRPr="0055258E">
        <w:rPr>
          <w:rFonts w:ascii="TimesNewRomanPSMT" w:hAnsi="TimesNewRomanPSMT" w:cs="TimesNewRomanPSMT"/>
          <w:lang w:val="fr-FR"/>
        </w:rPr>
        <w:t>de remplissage maximal (en %) pour les matières solides transportées à des températures</w:t>
      </w:r>
      <w:r>
        <w:rPr>
          <w:rFonts w:ascii="TimesNewRomanPSMT" w:hAnsi="TimesNewRomanPSMT" w:cs="TimesNewRomanPSMT"/>
          <w:lang w:val="fr-FR"/>
        </w:rPr>
        <w:t xml:space="preserve"> </w:t>
      </w:r>
      <w:r w:rsidRPr="0055258E">
        <w:rPr>
          <w:rFonts w:ascii="TimesNewRomanPSMT" w:hAnsi="TimesNewRomanPSMT" w:cs="TimesNewRomanPSMT"/>
          <w:lang w:val="fr-FR"/>
        </w:rPr>
        <w:t>supérieures à leur point de fusion et pour les liquides à température élevée doit être déterminé au moyen de la formule</w:t>
      </w:r>
      <w:r>
        <w:rPr>
          <w:rFonts w:ascii="TimesNewRomanPSMT" w:hAnsi="TimesNewRomanPSMT" w:cs="TimesNewRomanPSMT"/>
          <w:lang w:val="fr-FR"/>
        </w:rPr>
        <w:t xml:space="preserve"> </w:t>
      </w:r>
      <w:r w:rsidRPr="0055258E">
        <w:rPr>
          <w:rFonts w:ascii="TimesNewRomanPSMT" w:hAnsi="TimesNewRomanPSMT" w:cs="TimesNewRomanPSMT"/>
          <w:lang w:val="fr-FR"/>
        </w:rPr>
        <w:t>suivante :</w:t>
      </w:r>
      <w:r>
        <w:rPr>
          <w:rFonts w:ascii="TimesNewRomanPSMT" w:hAnsi="TimesNewRomanPSMT" w:cs="TimesNewRomanPSMT"/>
          <w:lang w:val="fr-FR"/>
        </w:rPr>
        <w:t xml:space="preserve"> </w:t>
      </w:r>
      <w:proofErr w:type="gramStart"/>
      <w:r w:rsidRPr="00294D0F">
        <w:rPr>
          <w:rFonts w:ascii="TimesNewRomanPSMT" w:hAnsi="TimesNewRomanPSMT" w:cs="TimesNewRomanPSMT"/>
          <w:strike/>
          <w:lang w:val="fr-FR"/>
        </w:rPr>
        <w:t xml:space="preserve">Taux </w:t>
      </w:r>
      <w:r>
        <w:rPr>
          <w:rFonts w:ascii="TimesNewRomanPSMT" w:hAnsi="TimesNewRomanPSMT" w:cs="TimesNewRomanPSMT"/>
          <w:lang w:val="fr-FR"/>
        </w:rPr>
        <w:t xml:space="preserve"> </w:t>
      </w:r>
      <w:r w:rsidRPr="00294D0F">
        <w:rPr>
          <w:rFonts w:ascii="TimesNewRomanPSMT" w:hAnsi="TimesNewRomanPSMT" w:cs="TimesNewRomanPSMT"/>
          <w:b/>
          <w:lang w:val="fr-FR"/>
        </w:rPr>
        <w:t>Degré</w:t>
      </w:r>
      <w:proofErr w:type="gramEnd"/>
      <w:r>
        <w:rPr>
          <w:rFonts w:ascii="TimesNewRomanPSMT" w:hAnsi="TimesNewRomanPSMT" w:cs="TimesNewRomanPSMT"/>
          <w:lang w:val="fr-FR"/>
        </w:rPr>
        <w:t xml:space="preserve"> </w:t>
      </w:r>
      <w:r w:rsidRPr="0055258E">
        <w:rPr>
          <w:rFonts w:ascii="TimesNewRomanPSMT" w:hAnsi="TimesNewRomanPSMT" w:cs="TimesNewRomanPSMT"/>
          <w:lang w:val="fr-FR"/>
        </w:rPr>
        <w:t>de rempl</w:t>
      </w:r>
      <w:r>
        <w:rPr>
          <w:rFonts w:ascii="TimesNewRomanPSMT" w:hAnsi="TimesNewRomanPSMT" w:cs="TimesNewRomanPSMT"/>
          <w:lang w:val="fr-FR"/>
        </w:rPr>
        <w:t>issage=... »</w:t>
      </w:r>
    </w:p>
    <w:p w14:paraId="491DB956" w14:textId="4FC4A682" w:rsidR="00E45185" w:rsidRPr="00AF4167" w:rsidRDefault="00E45185" w:rsidP="00E45185">
      <w:pPr>
        <w:pStyle w:val="SingleTxtG"/>
        <w:rPr>
          <w:rFonts w:ascii="TimesNewRomanPSMT" w:hAnsi="TimesNewRomanPSMT" w:cs="TimesNewRomanPSMT"/>
        </w:rPr>
      </w:pPr>
      <w:r w:rsidRPr="00AF4167">
        <w:rPr>
          <w:rFonts w:ascii="TimesNewRomanPSMT" w:hAnsi="TimesNewRomanPSMT" w:cs="TimesNewRomanPSMT"/>
        </w:rPr>
        <w:t>28.</w:t>
      </w:r>
      <w:r w:rsidRPr="00AF4167">
        <w:rPr>
          <w:rFonts w:ascii="TimesNewRomanPSMT" w:hAnsi="TimesNewRomanPSMT" w:cs="TimesNewRomanPSMT"/>
        </w:rPr>
        <w:tab/>
        <w:t>Amend 4.2.1.9.6</w:t>
      </w:r>
      <w:r w:rsidR="00AF4167">
        <w:rPr>
          <w:rFonts w:ascii="TimesNewRomanPSMT" w:hAnsi="TimesNewRomanPSMT" w:cs="TimesNewRomanPSMT"/>
        </w:rPr>
        <w:t xml:space="preserve"> </w:t>
      </w:r>
      <w:r w:rsidR="00D70EFE">
        <w:rPr>
          <w:rFonts w:ascii="TimesNewRomanPSMT" w:hAnsi="TimesNewRomanPSMT" w:cs="TimesNewRomanPSMT"/>
        </w:rPr>
        <w:t>(</w:t>
      </w:r>
      <w:r w:rsidRPr="00AF4167">
        <w:rPr>
          <w:rFonts w:ascii="TimesNewRomanPSMT" w:hAnsi="TimesNewRomanPSMT" w:cs="TimesNewRomanPSMT"/>
        </w:rPr>
        <w:t>a) as follows:</w:t>
      </w:r>
    </w:p>
    <w:p w14:paraId="145C04E4" w14:textId="77777777" w:rsidR="00E45185" w:rsidRDefault="00E45185" w:rsidP="009F6EBA">
      <w:pPr>
        <w:pStyle w:val="SingleTxtG"/>
        <w:ind w:left="1701"/>
        <w:rPr>
          <w:rFonts w:ascii="TimesNewRomanPSMT" w:hAnsi="TimesNewRomanPSMT" w:cs="TimesNewRomanPSMT"/>
          <w:lang w:val="fr-FR"/>
        </w:rPr>
      </w:pPr>
      <w:r>
        <w:rPr>
          <w:rFonts w:ascii="TimesNewRomanPSMT" w:hAnsi="TimesNewRomanPSMT" w:cs="TimesNewRomanPSMT"/>
          <w:lang w:val="fr-FR"/>
        </w:rPr>
        <w:t>« </w:t>
      </w:r>
      <w:r w:rsidRPr="00AB306E">
        <w:rPr>
          <w:rFonts w:ascii="TimesNewRomanPSMT" w:hAnsi="TimesNewRomanPSMT" w:cs="TimesNewRomanPSMT"/>
          <w:lang w:val="fr-FR"/>
        </w:rPr>
        <w:t xml:space="preserve">Si leur </w:t>
      </w:r>
      <w:r w:rsidRPr="00AB306E">
        <w:rPr>
          <w:rFonts w:ascii="TimesNewRomanPSMT" w:hAnsi="TimesNewRomanPSMT" w:cs="TimesNewRomanPSMT"/>
          <w:strike/>
          <w:lang w:val="fr-FR"/>
        </w:rPr>
        <w:t>taux</w:t>
      </w:r>
      <w:r>
        <w:rPr>
          <w:rFonts w:ascii="TimesNewRomanPSMT" w:hAnsi="TimesNewRomanPSMT" w:cs="TimesNewRomanPSMT"/>
          <w:lang w:val="fr-FR"/>
        </w:rPr>
        <w:t xml:space="preserve"> </w:t>
      </w:r>
      <w:r>
        <w:rPr>
          <w:rFonts w:ascii="TimesNewRomanPSMT" w:hAnsi="TimesNewRomanPSMT" w:cs="TimesNewRomanPSMT"/>
          <w:b/>
          <w:lang w:val="fr-FR"/>
        </w:rPr>
        <w:t xml:space="preserve">degré </w:t>
      </w:r>
      <w:r w:rsidRPr="00AB306E">
        <w:rPr>
          <w:rFonts w:ascii="TimesNewRomanPSMT" w:hAnsi="TimesNewRomanPSMT" w:cs="TimesNewRomanPSMT"/>
          <w:lang w:val="fr-FR"/>
        </w:rPr>
        <w:t>de remplissage, dans le cas de liquides ayant une viscosité inférieure à 2 680 mm2/s</w:t>
      </w:r>
      <w:r>
        <w:rPr>
          <w:rFonts w:ascii="TimesNewRomanPSMT" w:hAnsi="TimesNewRomanPSMT" w:cs="TimesNewRomanPSMT"/>
          <w:lang w:val="fr-FR"/>
        </w:rPr>
        <w:t xml:space="preserve"> </w:t>
      </w:r>
      <w:r w:rsidRPr="00AB306E">
        <w:rPr>
          <w:rFonts w:ascii="TimesNewRomanPSMT" w:hAnsi="TimesNewRomanPSMT" w:cs="TimesNewRomanPSMT"/>
          <w:lang w:val="fr-FR"/>
        </w:rPr>
        <w:t>à 20 °C ou à la température maximale de la matière au cours du transport dans le cas d'une</w:t>
      </w:r>
      <w:r>
        <w:rPr>
          <w:rFonts w:ascii="TimesNewRomanPSMT" w:hAnsi="TimesNewRomanPSMT" w:cs="TimesNewRomanPSMT"/>
          <w:lang w:val="fr-FR"/>
        </w:rPr>
        <w:t xml:space="preserve"> </w:t>
      </w:r>
      <w:r w:rsidRPr="00AB306E">
        <w:rPr>
          <w:rFonts w:ascii="TimesNewRomanPSMT" w:hAnsi="TimesNewRomanPSMT" w:cs="TimesNewRomanPSMT"/>
          <w:lang w:val="fr-FR"/>
        </w:rPr>
        <w:t>matière transportée à chaud, est supérieur à 20 % mais inférieur à 80 %, à moins que les</w:t>
      </w:r>
      <w:r>
        <w:rPr>
          <w:rFonts w:ascii="TimesNewRomanPSMT" w:hAnsi="TimesNewRomanPSMT" w:cs="TimesNewRomanPSMT"/>
          <w:lang w:val="fr-FR"/>
        </w:rPr>
        <w:t xml:space="preserve"> </w:t>
      </w:r>
      <w:r w:rsidRPr="00AB306E">
        <w:rPr>
          <w:rFonts w:ascii="TimesNewRomanPSMT" w:hAnsi="TimesNewRomanPSMT" w:cs="TimesNewRomanPSMT"/>
          <w:lang w:val="fr-FR"/>
        </w:rPr>
        <w:t>réservoirs soient divisés par des cloisons ou brise-flots en sections de capacités maximale de 7</w:t>
      </w:r>
      <w:r>
        <w:rPr>
          <w:rFonts w:ascii="TimesNewRomanPSMT" w:hAnsi="TimesNewRomanPSMT" w:cs="TimesNewRomanPSMT"/>
          <w:lang w:val="fr-FR"/>
        </w:rPr>
        <w:t xml:space="preserve"> </w:t>
      </w:r>
      <w:r w:rsidRPr="00AB306E">
        <w:rPr>
          <w:rFonts w:ascii="TimesNewRomanPSMT" w:hAnsi="TimesNewRomanPSMT" w:cs="TimesNewRomanPSMT"/>
          <w:lang w:val="fr-FR"/>
        </w:rPr>
        <w:t xml:space="preserve">500 </w:t>
      </w:r>
      <w:proofErr w:type="gramStart"/>
      <w:r w:rsidRPr="00AB306E">
        <w:rPr>
          <w:rFonts w:ascii="TimesNewRomanPSMT" w:hAnsi="TimesNewRomanPSMT" w:cs="TimesNewRomanPSMT"/>
          <w:lang w:val="fr-FR"/>
        </w:rPr>
        <w:t>l;</w:t>
      </w:r>
      <w:proofErr w:type="gramEnd"/>
      <w:r>
        <w:rPr>
          <w:rFonts w:ascii="TimesNewRomanPSMT" w:hAnsi="TimesNewRomanPSMT" w:cs="TimesNewRomanPSMT"/>
          <w:lang w:val="fr-FR"/>
        </w:rPr>
        <w:t> »</w:t>
      </w:r>
    </w:p>
    <w:p w14:paraId="293460D7" w14:textId="31B15539" w:rsidR="00E45185" w:rsidRPr="00AF4167" w:rsidRDefault="00E45185" w:rsidP="00E45185">
      <w:pPr>
        <w:pStyle w:val="SingleTxtG"/>
        <w:rPr>
          <w:rFonts w:ascii="TimesNewRomanPSMT" w:hAnsi="TimesNewRomanPSMT" w:cs="TimesNewRomanPSMT"/>
        </w:rPr>
      </w:pPr>
      <w:r w:rsidRPr="00AF4167">
        <w:rPr>
          <w:rFonts w:ascii="TimesNewRomanPSMT" w:hAnsi="TimesNewRomanPSMT" w:cs="TimesNewRomanPSMT"/>
        </w:rPr>
        <w:t>29.</w:t>
      </w:r>
      <w:r w:rsidRPr="00AF4167">
        <w:rPr>
          <w:rFonts w:ascii="TimesNewRomanPSMT" w:hAnsi="TimesNewRomanPSMT" w:cs="TimesNewRomanPSMT"/>
        </w:rPr>
        <w:tab/>
        <w:t>Amend 4.2.1.13.13 as follows:</w:t>
      </w:r>
    </w:p>
    <w:p w14:paraId="5973F2EB" w14:textId="77777777" w:rsidR="00E45185" w:rsidRDefault="00E45185" w:rsidP="009F6EBA">
      <w:pPr>
        <w:pStyle w:val="SingleTxtG"/>
        <w:ind w:firstLine="567"/>
        <w:rPr>
          <w:rFonts w:ascii="TimesNewRomanPSMT" w:hAnsi="TimesNewRomanPSMT" w:cs="TimesNewRomanPSMT"/>
          <w:lang w:val="fr-FR"/>
        </w:rPr>
      </w:pPr>
      <w:r>
        <w:rPr>
          <w:rFonts w:ascii="TimesNewRomanPSMT" w:hAnsi="TimesNewRomanPSMT" w:cs="TimesNewRomanPSMT"/>
          <w:lang w:val="fr-FR"/>
        </w:rPr>
        <w:t xml:space="preserve">« </w:t>
      </w:r>
      <w:r w:rsidRPr="0089410B">
        <w:rPr>
          <w:rFonts w:ascii="TimesNewRomanPSMT" w:hAnsi="TimesNewRomanPSMT" w:cs="TimesNewRomanPSMT"/>
          <w:lang w:val="fr-FR"/>
        </w:rPr>
        <w:t xml:space="preserve">Le </w:t>
      </w:r>
      <w:r w:rsidRPr="0089410B">
        <w:rPr>
          <w:rFonts w:ascii="TimesNewRomanPSMT" w:hAnsi="TimesNewRomanPSMT" w:cs="TimesNewRomanPSMT"/>
          <w:strike/>
          <w:lang w:val="fr-FR"/>
        </w:rPr>
        <w:t>taux</w:t>
      </w:r>
      <w:r w:rsidRPr="0089410B">
        <w:rPr>
          <w:rFonts w:ascii="TimesNewRomanPSMT" w:hAnsi="TimesNewRomanPSMT" w:cs="TimesNewRomanPSMT"/>
          <w:lang w:val="fr-FR"/>
        </w:rPr>
        <w:t xml:space="preserve"> </w:t>
      </w:r>
      <w:r w:rsidRPr="0089410B">
        <w:rPr>
          <w:rFonts w:ascii="TimesNewRomanPSMT" w:hAnsi="TimesNewRomanPSMT" w:cs="TimesNewRomanPSMT"/>
          <w:b/>
          <w:lang w:val="fr-FR"/>
        </w:rPr>
        <w:t>degré</w:t>
      </w:r>
      <w:r>
        <w:rPr>
          <w:rFonts w:ascii="TimesNewRomanPSMT" w:hAnsi="TimesNewRomanPSMT" w:cs="TimesNewRomanPSMT"/>
          <w:lang w:val="fr-FR"/>
        </w:rPr>
        <w:t xml:space="preserve"> </w:t>
      </w:r>
      <w:r w:rsidRPr="0089410B">
        <w:rPr>
          <w:rFonts w:ascii="TimesNewRomanPSMT" w:hAnsi="TimesNewRomanPSMT" w:cs="TimesNewRomanPSMT"/>
          <w:lang w:val="fr-FR"/>
        </w:rPr>
        <w:t>de remplissage ne doit pas dépasser 90 % à 15 °C.</w:t>
      </w:r>
      <w:r>
        <w:rPr>
          <w:rFonts w:ascii="TimesNewRomanPSMT" w:hAnsi="TimesNewRomanPSMT" w:cs="TimesNewRomanPSMT"/>
          <w:lang w:val="fr-FR"/>
        </w:rPr>
        <w:t> »</w:t>
      </w:r>
    </w:p>
    <w:p w14:paraId="503B00E7" w14:textId="1B1DB242" w:rsidR="00E45185" w:rsidRPr="00D70EFE" w:rsidRDefault="00E45185" w:rsidP="00E45185">
      <w:pPr>
        <w:pStyle w:val="SingleTxtG"/>
        <w:rPr>
          <w:rFonts w:ascii="TimesNewRomanPSMT" w:hAnsi="TimesNewRomanPSMT" w:cs="TimesNewRomanPSMT"/>
        </w:rPr>
      </w:pPr>
      <w:r w:rsidRPr="00D70EFE">
        <w:rPr>
          <w:rFonts w:ascii="TimesNewRomanPSMT" w:hAnsi="TimesNewRomanPSMT" w:cs="TimesNewRomanPSMT"/>
        </w:rPr>
        <w:t>30.</w:t>
      </w:r>
      <w:r w:rsidRPr="00D70EFE">
        <w:rPr>
          <w:rFonts w:ascii="TimesNewRomanPSMT" w:hAnsi="TimesNewRomanPSMT" w:cs="TimesNewRomanPSMT"/>
        </w:rPr>
        <w:tab/>
        <w:t>Amend 4.2.1.16.2 as follows:</w:t>
      </w:r>
    </w:p>
    <w:p w14:paraId="029E8E77" w14:textId="77777777" w:rsidR="00E45185" w:rsidRDefault="00E45185" w:rsidP="009F6EBA">
      <w:pPr>
        <w:pStyle w:val="SingleTxtG"/>
        <w:ind w:left="1701"/>
        <w:rPr>
          <w:rFonts w:ascii="TimesNewRomanPSMT" w:hAnsi="TimesNewRomanPSMT" w:cs="TimesNewRomanPSMT"/>
          <w:lang w:val="fr-FR"/>
        </w:rPr>
      </w:pPr>
      <w:r>
        <w:rPr>
          <w:rFonts w:ascii="TimesNewRomanPSMT" w:hAnsi="TimesNewRomanPSMT" w:cs="TimesNewRomanPSMT"/>
          <w:lang w:val="fr-FR"/>
        </w:rPr>
        <w:t>« </w:t>
      </w:r>
      <w:r w:rsidRPr="00AD5E4D">
        <w:rPr>
          <w:rFonts w:ascii="TimesNewRomanPSMT" w:hAnsi="TimesNewRomanPSMT" w:cs="TimesNewRomanPSMT"/>
          <w:lang w:val="fr-FR"/>
        </w:rPr>
        <w:t xml:space="preserve">Le </w:t>
      </w:r>
      <w:r w:rsidRPr="00AD5E4D">
        <w:rPr>
          <w:rFonts w:ascii="TimesNewRomanPSMT" w:hAnsi="TimesNewRomanPSMT" w:cs="TimesNewRomanPSMT"/>
          <w:strike/>
          <w:lang w:val="fr-FR"/>
        </w:rPr>
        <w:t>taux</w:t>
      </w:r>
      <w:r>
        <w:rPr>
          <w:rFonts w:ascii="TimesNewRomanPSMT" w:hAnsi="TimesNewRomanPSMT" w:cs="TimesNewRomanPSMT"/>
          <w:lang w:val="fr-FR"/>
        </w:rPr>
        <w:t xml:space="preserve"> </w:t>
      </w:r>
      <w:r w:rsidRPr="00AD5E4D">
        <w:rPr>
          <w:rFonts w:ascii="TimesNewRomanPSMT" w:hAnsi="TimesNewRomanPSMT" w:cs="TimesNewRomanPSMT"/>
          <w:b/>
          <w:lang w:val="fr-FR"/>
        </w:rPr>
        <w:t>degré</w:t>
      </w:r>
      <w:r>
        <w:rPr>
          <w:rFonts w:ascii="TimesNewRomanPSMT" w:hAnsi="TimesNewRomanPSMT" w:cs="TimesNewRomanPSMT"/>
          <w:lang w:val="fr-FR"/>
        </w:rPr>
        <w:t xml:space="preserve"> </w:t>
      </w:r>
      <w:r w:rsidRPr="00AD5E4D">
        <w:rPr>
          <w:rFonts w:ascii="TimesNewRomanPSMT" w:hAnsi="TimesNewRomanPSMT" w:cs="TimesNewRomanPSMT"/>
          <w:lang w:val="fr-FR"/>
        </w:rPr>
        <w:t>de remplissage des citernes mobiles ne doit pas dépasser 90 % ou toute autre valeur approuvée</w:t>
      </w:r>
      <w:r>
        <w:rPr>
          <w:rFonts w:ascii="TimesNewRomanPSMT" w:hAnsi="TimesNewRomanPSMT" w:cs="TimesNewRomanPSMT"/>
          <w:lang w:val="fr-FR"/>
        </w:rPr>
        <w:t xml:space="preserve"> </w:t>
      </w:r>
      <w:r w:rsidRPr="00AD5E4D">
        <w:rPr>
          <w:rFonts w:ascii="TimesNewRomanPSMT" w:hAnsi="TimesNewRomanPSMT" w:cs="TimesNewRomanPSMT"/>
          <w:lang w:val="fr-FR"/>
        </w:rPr>
        <w:t>par l'autorité compétente.</w:t>
      </w:r>
      <w:r>
        <w:rPr>
          <w:rFonts w:ascii="TimesNewRomanPSMT" w:hAnsi="TimesNewRomanPSMT" w:cs="TimesNewRomanPSMT"/>
          <w:lang w:val="fr-FR"/>
        </w:rPr>
        <w:t xml:space="preserve"> »</w:t>
      </w:r>
    </w:p>
    <w:p w14:paraId="17CC17F7" w14:textId="74A46104" w:rsidR="00E45185" w:rsidRPr="00D70EFE" w:rsidRDefault="00E45185" w:rsidP="00E45185">
      <w:pPr>
        <w:pStyle w:val="SingleTxtG"/>
        <w:rPr>
          <w:rFonts w:ascii="TimesNewRomanPSMT" w:hAnsi="TimesNewRomanPSMT" w:cs="TimesNewRomanPSMT"/>
        </w:rPr>
      </w:pPr>
      <w:r w:rsidRPr="00D70EFE">
        <w:rPr>
          <w:rFonts w:ascii="TimesNewRomanPSMT" w:hAnsi="TimesNewRomanPSMT" w:cs="TimesNewRomanPSMT"/>
        </w:rPr>
        <w:t>31.</w:t>
      </w:r>
      <w:r w:rsidRPr="00D70EFE">
        <w:rPr>
          <w:rFonts w:ascii="TimesNewRomanPSMT" w:hAnsi="TimesNewRomanPSMT" w:cs="TimesNewRomanPSMT"/>
        </w:rPr>
        <w:tab/>
        <w:t>Amend 4.2.1.19.2 as follows:</w:t>
      </w:r>
    </w:p>
    <w:p w14:paraId="0BC02312" w14:textId="77777777" w:rsidR="00E45185" w:rsidRPr="00494446" w:rsidRDefault="00E45185" w:rsidP="009F6EBA">
      <w:pPr>
        <w:pStyle w:val="SingleTxtG"/>
        <w:ind w:left="1701"/>
        <w:rPr>
          <w:rFonts w:ascii="TimesNewRomanPSMT" w:hAnsi="TimesNewRomanPSMT" w:cs="TimesNewRomanPSMT"/>
          <w:lang w:val="fr-FR"/>
        </w:rPr>
      </w:pPr>
      <w:r>
        <w:rPr>
          <w:rFonts w:ascii="TimesNewRomanPSMT" w:hAnsi="TimesNewRomanPSMT" w:cs="TimesNewRomanPSMT"/>
          <w:lang w:val="fr-FR"/>
        </w:rPr>
        <w:t>« </w:t>
      </w:r>
      <w:r w:rsidRPr="00AD5E4D">
        <w:rPr>
          <w:rFonts w:ascii="TimesNewRomanPSMT" w:hAnsi="TimesNewRomanPSMT" w:cs="TimesNewRomanPSMT"/>
          <w:lang w:val="fr-FR"/>
        </w:rPr>
        <w:t>Sauf indication contraire dans la Liste des marchandises dangereuses du chapitre 3.2, les citernes</w:t>
      </w:r>
      <w:r>
        <w:rPr>
          <w:rFonts w:ascii="TimesNewRomanPSMT" w:hAnsi="TimesNewRomanPSMT" w:cs="TimesNewRomanPSMT"/>
          <w:lang w:val="fr-FR"/>
        </w:rPr>
        <w:t xml:space="preserve"> </w:t>
      </w:r>
      <w:r w:rsidRPr="00AD5E4D">
        <w:rPr>
          <w:rFonts w:ascii="TimesNewRomanPSMT" w:hAnsi="TimesNewRomanPSMT" w:cs="TimesNewRomanPSMT"/>
          <w:lang w:val="fr-FR"/>
        </w:rPr>
        <w:t>mobiles employées pour le transport de ces matières solides au-dessus de leur point de fusion doivent être conformes aux</w:t>
      </w:r>
      <w:r>
        <w:rPr>
          <w:rFonts w:ascii="TimesNewRomanPSMT" w:hAnsi="TimesNewRomanPSMT" w:cs="TimesNewRomanPSMT"/>
          <w:lang w:val="fr-FR"/>
        </w:rPr>
        <w:t xml:space="preserve"> </w:t>
      </w:r>
      <w:r w:rsidRPr="00AD5E4D">
        <w:rPr>
          <w:rFonts w:ascii="TimesNewRomanPSMT" w:hAnsi="TimesNewRomanPSMT" w:cs="TimesNewRomanPSMT"/>
          <w:lang w:val="fr-FR"/>
        </w:rPr>
        <w:t>dispositions de l'instruction de transport en citernes mobiles T4 pour les matières solides du groupe d'emballage III ou T7</w:t>
      </w:r>
      <w:r>
        <w:rPr>
          <w:rFonts w:ascii="TimesNewRomanPSMT" w:hAnsi="TimesNewRomanPSMT" w:cs="TimesNewRomanPSMT"/>
          <w:lang w:val="fr-FR"/>
        </w:rPr>
        <w:t xml:space="preserve"> </w:t>
      </w:r>
      <w:r w:rsidRPr="00AD5E4D">
        <w:rPr>
          <w:rFonts w:ascii="TimesNewRomanPSMT" w:hAnsi="TimesNewRomanPSMT" w:cs="TimesNewRomanPSMT"/>
          <w:lang w:val="fr-FR"/>
        </w:rPr>
        <w:t>pour les matières solides du groupe d'emballage II. Une citerne mobile qui garantit un niveau de sécurité équivalent ou</w:t>
      </w:r>
      <w:r>
        <w:rPr>
          <w:rFonts w:ascii="TimesNewRomanPSMT" w:hAnsi="TimesNewRomanPSMT" w:cs="TimesNewRomanPSMT"/>
          <w:lang w:val="fr-FR"/>
        </w:rPr>
        <w:t xml:space="preserve"> </w:t>
      </w:r>
      <w:r w:rsidRPr="00AD5E4D">
        <w:rPr>
          <w:rFonts w:ascii="TimesNewRomanPSMT" w:hAnsi="TimesNewRomanPSMT" w:cs="TimesNewRomanPSMT"/>
          <w:lang w:val="fr-FR"/>
        </w:rPr>
        <w:t xml:space="preserve">supérieur peut être choisie conformément au 4.2.5.2.5. Le </w:t>
      </w:r>
      <w:r w:rsidRPr="00AD5E4D">
        <w:rPr>
          <w:rFonts w:ascii="TimesNewRomanPSMT" w:hAnsi="TimesNewRomanPSMT" w:cs="TimesNewRomanPSMT"/>
          <w:strike/>
          <w:lang w:val="fr-FR"/>
        </w:rPr>
        <w:t>taux</w:t>
      </w:r>
      <w:r>
        <w:rPr>
          <w:rFonts w:ascii="TimesNewRomanPSMT" w:hAnsi="TimesNewRomanPSMT" w:cs="TimesNewRomanPSMT"/>
          <w:lang w:val="fr-FR"/>
        </w:rPr>
        <w:t xml:space="preserve"> </w:t>
      </w:r>
      <w:r w:rsidRPr="00AD5E4D">
        <w:rPr>
          <w:rFonts w:ascii="TimesNewRomanPSMT" w:hAnsi="TimesNewRomanPSMT" w:cs="TimesNewRomanPSMT"/>
          <w:b/>
          <w:lang w:val="fr-FR"/>
        </w:rPr>
        <w:t xml:space="preserve">degré </w:t>
      </w:r>
      <w:r w:rsidRPr="00AD5E4D">
        <w:rPr>
          <w:rFonts w:ascii="TimesNewRomanPSMT" w:hAnsi="TimesNewRomanPSMT" w:cs="TimesNewRomanPSMT"/>
          <w:lang w:val="fr-FR"/>
        </w:rPr>
        <w:t>de remplissage maximal (en %) doit être déterminé</w:t>
      </w:r>
      <w:r>
        <w:rPr>
          <w:rFonts w:ascii="TimesNewRomanPSMT" w:hAnsi="TimesNewRomanPSMT" w:cs="TimesNewRomanPSMT"/>
          <w:lang w:val="fr-FR"/>
        </w:rPr>
        <w:t xml:space="preserve"> </w:t>
      </w:r>
      <w:r w:rsidRPr="00AD5E4D">
        <w:rPr>
          <w:rFonts w:ascii="TimesNewRomanPSMT" w:hAnsi="TimesNewRomanPSMT" w:cs="TimesNewRomanPSMT"/>
          <w:lang w:val="fr-FR"/>
        </w:rPr>
        <w:t>conformément au 4.2.1.9.5 (TP3).</w:t>
      </w:r>
      <w:r>
        <w:rPr>
          <w:rFonts w:ascii="TimesNewRomanPSMT" w:hAnsi="TimesNewRomanPSMT" w:cs="TimesNewRomanPSMT"/>
          <w:lang w:val="fr-FR"/>
        </w:rPr>
        <w:t> »</w:t>
      </w:r>
    </w:p>
    <w:p w14:paraId="650E26D4" w14:textId="034010A3" w:rsidR="00E45185" w:rsidRPr="001B6B18" w:rsidRDefault="00E45185" w:rsidP="00E45185">
      <w:pPr>
        <w:pStyle w:val="SingleTxtG"/>
      </w:pPr>
      <w:r w:rsidRPr="001B6B18">
        <w:t>3</w:t>
      </w:r>
      <w:r>
        <w:t>2</w:t>
      </w:r>
      <w:r w:rsidRPr="001B6B18">
        <w:t>.</w:t>
      </w:r>
      <w:r w:rsidRPr="001B6B18">
        <w:tab/>
      </w:r>
      <w:r w:rsidRPr="00046120">
        <w:rPr>
          <w:lang w:val="en-US"/>
        </w:rPr>
        <w:t>Amend 4.2.5.</w:t>
      </w:r>
      <w:r>
        <w:rPr>
          <w:lang w:val="en-US"/>
        </w:rPr>
        <w:t>2.</w:t>
      </w:r>
      <w:r w:rsidRPr="00046120">
        <w:rPr>
          <w:lang w:val="en-US"/>
        </w:rPr>
        <w:t>3 as follows</w:t>
      </w:r>
      <w:r>
        <w:rPr>
          <w:lang w:val="en-US"/>
        </w:rPr>
        <w:t xml:space="preserve"> (same wording as in </w:t>
      </w:r>
      <w:r w:rsidR="009E4262" w:rsidRPr="009E4262">
        <w:rPr>
          <w:lang w:val="en-US"/>
        </w:rPr>
        <w:t xml:space="preserve">portable tank instruction </w:t>
      </w:r>
      <w:r>
        <w:rPr>
          <w:lang w:val="en-US"/>
        </w:rPr>
        <w:t>T50)</w:t>
      </w:r>
      <w:r w:rsidRPr="001B6B18">
        <w:t>:</w:t>
      </w:r>
    </w:p>
    <w:p w14:paraId="6AF4832E" w14:textId="77777777" w:rsidR="00E45185" w:rsidRDefault="00E45185" w:rsidP="003E5EB4">
      <w:pPr>
        <w:pStyle w:val="SingleTxtG"/>
        <w:ind w:left="1701"/>
        <w:rPr>
          <w:lang w:val="fr-FR"/>
        </w:rPr>
      </w:pPr>
      <w:r>
        <w:rPr>
          <w:lang w:val="fr-FR"/>
        </w:rPr>
        <w:t>« </w:t>
      </w:r>
      <w:r w:rsidRPr="0096780D">
        <w:rPr>
          <w:lang w:val="fr-FR"/>
        </w:rPr>
        <w:t xml:space="preserve">L'instruction de transport en citernes mobiles T50 est applicable aux gaz liquéfiés non </w:t>
      </w:r>
      <w:r w:rsidRPr="003E5EB4">
        <w:rPr>
          <w:rFonts w:ascii="TimesNewRomanPSMT" w:hAnsi="TimesNewRomanPSMT" w:cs="TimesNewRomanPSMT"/>
          <w:lang w:val="fr-FR"/>
        </w:rPr>
        <w:t>réfrigérés</w:t>
      </w:r>
      <w:r w:rsidRPr="0096780D">
        <w:rPr>
          <w:lang w:val="fr-FR"/>
        </w:rPr>
        <w:t xml:space="preserve"> et</w:t>
      </w:r>
      <w:r>
        <w:rPr>
          <w:lang w:val="fr-FR"/>
        </w:rPr>
        <w:t xml:space="preserve"> </w:t>
      </w:r>
      <w:r w:rsidRPr="0096780D">
        <w:rPr>
          <w:lang w:val="fr-FR"/>
        </w:rPr>
        <w:t>indique les pressions de service maximales autorisées, les prescriptions pour les orifices au-dessous du niveau du liquide,</w:t>
      </w:r>
      <w:r>
        <w:rPr>
          <w:lang w:val="fr-FR"/>
        </w:rPr>
        <w:t xml:space="preserve"> </w:t>
      </w:r>
      <w:r w:rsidRPr="0096780D">
        <w:rPr>
          <w:lang w:val="fr-FR"/>
        </w:rPr>
        <w:t xml:space="preserve">pour les dispositifs de décompression et pour </w:t>
      </w:r>
      <w:r w:rsidRPr="0096780D">
        <w:rPr>
          <w:strike/>
          <w:lang w:val="fr-FR"/>
        </w:rPr>
        <w:t>la densité</w:t>
      </w:r>
      <w:r>
        <w:rPr>
          <w:lang w:val="fr-FR"/>
        </w:rPr>
        <w:t xml:space="preserve"> </w:t>
      </w:r>
      <w:r w:rsidRPr="0096780D">
        <w:rPr>
          <w:b/>
          <w:lang w:val="fr-FR"/>
        </w:rPr>
        <w:t xml:space="preserve">le </w:t>
      </w:r>
      <w:r>
        <w:rPr>
          <w:b/>
          <w:lang w:val="fr-FR"/>
        </w:rPr>
        <w:t>taux</w:t>
      </w:r>
      <w:r>
        <w:rPr>
          <w:lang w:val="fr-FR"/>
        </w:rPr>
        <w:t xml:space="preserve"> </w:t>
      </w:r>
      <w:r w:rsidRPr="0096780D">
        <w:rPr>
          <w:lang w:val="fr-FR"/>
        </w:rPr>
        <w:t>de remplissage maximal</w:t>
      </w:r>
      <w:r w:rsidRPr="00E06E48">
        <w:rPr>
          <w:strike/>
          <w:lang w:val="fr-FR"/>
        </w:rPr>
        <w:t>e</w:t>
      </w:r>
      <w:r w:rsidRPr="0096780D">
        <w:rPr>
          <w:lang w:val="fr-FR"/>
        </w:rPr>
        <w:t xml:space="preserve"> pour chacun des gaz liquéfiés non</w:t>
      </w:r>
      <w:r>
        <w:rPr>
          <w:lang w:val="fr-FR"/>
        </w:rPr>
        <w:t xml:space="preserve"> </w:t>
      </w:r>
      <w:r w:rsidRPr="0096780D">
        <w:rPr>
          <w:lang w:val="fr-FR"/>
        </w:rPr>
        <w:t>réfrigérés autorisé au transport en citernes mobile</w:t>
      </w:r>
      <w:r>
        <w:rPr>
          <w:lang w:val="fr-FR"/>
        </w:rPr>
        <w:t>. »</w:t>
      </w:r>
    </w:p>
    <w:p w14:paraId="415978B1" w14:textId="222E67EF" w:rsidR="00E45185" w:rsidRPr="00D16361" w:rsidRDefault="00E45185" w:rsidP="00E45185">
      <w:pPr>
        <w:pStyle w:val="SingleTxtG"/>
        <w:rPr>
          <w:color w:val="000000" w:themeColor="text1"/>
          <w:lang w:val="en-US"/>
        </w:rPr>
      </w:pPr>
      <w:r w:rsidRPr="00D16361">
        <w:rPr>
          <w:color w:val="000000" w:themeColor="text1"/>
        </w:rPr>
        <w:t>33.</w:t>
      </w:r>
      <w:r w:rsidRPr="00D16361">
        <w:rPr>
          <w:color w:val="000000" w:themeColor="text1"/>
        </w:rPr>
        <w:tab/>
      </w:r>
      <w:r w:rsidR="00042BBA">
        <w:rPr>
          <w:color w:val="000000" w:themeColor="text1"/>
          <w:lang w:val="en-US"/>
        </w:rPr>
        <w:t>I</w:t>
      </w:r>
      <w:r w:rsidR="00042BBA" w:rsidRPr="00D16361">
        <w:rPr>
          <w:color w:val="000000" w:themeColor="text1"/>
          <w:lang w:val="en-US"/>
        </w:rPr>
        <w:t xml:space="preserve">n 4.2.5.2.6 </w:t>
      </w:r>
      <w:r w:rsidR="00042BBA">
        <w:rPr>
          <w:color w:val="000000" w:themeColor="text1"/>
          <w:lang w:val="en-US"/>
        </w:rPr>
        <w:t>a</w:t>
      </w:r>
      <w:r w:rsidRPr="00D16361">
        <w:rPr>
          <w:color w:val="000000" w:themeColor="text1"/>
          <w:lang w:val="en-US"/>
        </w:rPr>
        <w:t xml:space="preserve">mend the seventh column TP23 </w:t>
      </w:r>
      <w:r w:rsidR="00042BBA">
        <w:rPr>
          <w:color w:val="000000" w:themeColor="text1"/>
          <w:lang w:val="en-US"/>
        </w:rPr>
        <w:t xml:space="preserve">to read </w:t>
      </w:r>
      <w:r w:rsidRPr="00D16361">
        <w:rPr>
          <w:color w:val="000000" w:themeColor="text1"/>
          <w:lang w:val="en-US"/>
        </w:rPr>
        <w:t>as follows:</w:t>
      </w:r>
    </w:p>
    <w:p w14:paraId="2077F73E" w14:textId="713AA0CE" w:rsidR="00E45185" w:rsidRPr="00D16361" w:rsidRDefault="00E45185" w:rsidP="00E45185">
      <w:pPr>
        <w:pStyle w:val="SingleTxtG"/>
        <w:rPr>
          <w:color w:val="000000" w:themeColor="text1"/>
          <w:lang w:val="fr-FR"/>
        </w:rPr>
      </w:pPr>
      <w:r w:rsidRPr="00D16361">
        <w:rPr>
          <w:color w:val="000000" w:themeColor="text1"/>
          <w:lang w:val="en-US"/>
        </w:rPr>
        <w:tab/>
      </w:r>
      <w:r w:rsidRPr="00D16361">
        <w:rPr>
          <w:color w:val="000000" w:themeColor="text1"/>
          <w:lang w:val="en-US"/>
        </w:rPr>
        <w:tab/>
      </w:r>
      <w:r w:rsidR="00835505">
        <w:rPr>
          <w:lang w:val="fr-FR"/>
        </w:rPr>
        <w:t>« </w:t>
      </w:r>
      <w:r w:rsidRPr="00D16361">
        <w:rPr>
          <w:strike/>
          <w:color w:val="000000" w:themeColor="text1"/>
          <w:lang w:val="fr-FR"/>
        </w:rPr>
        <w:t>Taux</w:t>
      </w:r>
      <w:r w:rsidRPr="00D16361">
        <w:rPr>
          <w:color w:val="000000" w:themeColor="text1"/>
          <w:lang w:val="fr-FR"/>
        </w:rPr>
        <w:t xml:space="preserve"> </w:t>
      </w:r>
      <w:r w:rsidRPr="00D16361">
        <w:rPr>
          <w:b/>
          <w:color w:val="000000" w:themeColor="text1"/>
          <w:lang w:val="fr-FR"/>
        </w:rPr>
        <w:t>Degré</w:t>
      </w:r>
      <w:r w:rsidRPr="00D16361">
        <w:rPr>
          <w:color w:val="000000" w:themeColor="text1"/>
          <w:lang w:val="fr-FR"/>
        </w:rPr>
        <w:t xml:space="preserve"> de remplissage</w:t>
      </w:r>
      <w:r w:rsidR="00835505">
        <w:rPr>
          <w:rFonts w:ascii="TimesNewRomanPSMT" w:hAnsi="TimesNewRomanPSMT" w:cs="TimesNewRomanPSMT"/>
          <w:lang w:val="fr-FR"/>
        </w:rPr>
        <w:t> »</w:t>
      </w:r>
    </w:p>
    <w:p w14:paraId="3554D04E" w14:textId="492F1F21" w:rsidR="00E45185" w:rsidRPr="009E4262" w:rsidRDefault="00E45185" w:rsidP="00E45185">
      <w:pPr>
        <w:pStyle w:val="SingleTxtG"/>
        <w:rPr>
          <w:lang w:val="en-US"/>
        </w:rPr>
      </w:pPr>
      <w:r w:rsidRPr="009E4262">
        <w:rPr>
          <w:lang w:val="en-US"/>
        </w:rPr>
        <w:t>34.</w:t>
      </w:r>
      <w:r w:rsidRPr="009E4262">
        <w:rPr>
          <w:lang w:val="en-US"/>
        </w:rPr>
        <w:tab/>
        <w:t>Amend portable tank instruction T50 in 4.2.5.2.</w:t>
      </w:r>
      <w:r w:rsidR="009A2BAD">
        <w:rPr>
          <w:lang w:val="en-US"/>
        </w:rPr>
        <w:t>6</w:t>
      </w:r>
      <w:r w:rsidRPr="009E4262">
        <w:rPr>
          <w:lang w:val="en-US"/>
        </w:rPr>
        <w:t xml:space="preserve"> Note c) as follows:</w:t>
      </w:r>
    </w:p>
    <w:p w14:paraId="11C7FE74" w14:textId="18171C7F" w:rsidR="00E45185" w:rsidRPr="00E87B09" w:rsidRDefault="00E45185" w:rsidP="003E5EB4">
      <w:pPr>
        <w:pStyle w:val="SingleTxtG"/>
        <w:ind w:left="1701"/>
        <w:rPr>
          <w:lang w:val="fr-FR"/>
        </w:rPr>
      </w:pPr>
      <w:r>
        <w:rPr>
          <w:lang w:val="fr-FR"/>
        </w:rPr>
        <w:t>« Pour les Nos ONU 3500,</w:t>
      </w:r>
      <w:r w:rsidR="00072E42">
        <w:rPr>
          <w:lang w:val="fr-FR"/>
        </w:rPr>
        <w:t xml:space="preserve"> </w:t>
      </w:r>
      <w:r>
        <w:rPr>
          <w:lang w:val="fr-FR"/>
        </w:rPr>
        <w:t>3501,</w:t>
      </w:r>
      <w:r w:rsidR="00072E42">
        <w:rPr>
          <w:lang w:val="fr-FR"/>
        </w:rPr>
        <w:t xml:space="preserve"> </w:t>
      </w:r>
      <w:r>
        <w:rPr>
          <w:lang w:val="fr-FR"/>
        </w:rPr>
        <w:t>3502,</w:t>
      </w:r>
      <w:r w:rsidR="00072E42">
        <w:rPr>
          <w:lang w:val="fr-FR"/>
        </w:rPr>
        <w:t xml:space="preserve"> </w:t>
      </w:r>
      <w:r>
        <w:rPr>
          <w:lang w:val="fr-FR"/>
        </w:rPr>
        <w:t>3503,</w:t>
      </w:r>
      <w:r w:rsidR="00072E42">
        <w:rPr>
          <w:lang w:val="fr-FR"/>
        </w:rPr>
        <w:t xml:space="preserve"> </w:t>
      </w:r>
      <w:r>
        <w:rPr>
          <w:lang w:val="fr-FR"/>
        </w:rPr>
        <w:t xml:space="preserve">3504 et 3505, le degré de remplissage doit être pris en compte au </w:t>
      </w:r>
      <w:r w:rsidRPr="003E5EB4">
        <w:rPr>
          <w:rFonts w:ascii="TimesNewRomanPSMT" w:hAnsi="TimesNewRomanPSMT" w:cs="TimesNewRomanPSMT"/>
          <w:lang w:val="fr-FR"/>
        </w:rPr>
        <w:t>lieu</w:t>
      </w:r>
      <w:r>
        <w:rPr>
          <w:lang w:val="fr-FR"/>
        </w:rPr>
        <w:t xml:space="preserve"> </w:t>
      </w:r>
      <w:r w:rsidRPr="008262A1">
        <w:rPr>
          <w:strike/>
          <w:lang w:val="fr-FR"/>
        </w:rPr>
        <w:t>de la densité</w:t>
      </w:r>
      <w:r>
        <w:rPr>
          <w:lang w:val="fr-FR"/>
        </w:rPr>
        <w:t xml:space="preserve"> </w:t>
      </w:r>
      <w:r w:rsidRPr="008262A1">
        <w:rPr>
          <w:b/>
          <w:lang w:val="fr-FR"/>
        </w:rPr>
        <w:t xml:space="preserve">du </w:t>
      </w:r>
      <w:r>
        <w:rPr>
          <w:b/>
          <w:lang w:val="fr-FR"/>
        </w:rPr>
        <w:t>taux</w:t>
      </w:r>
      <w:r>
        <w:rPr>
          <w:lang w:val="fr-FR"/>
        </w:rPr>
        <w:t xml:space="preserve"> de remplissage maximale. »</w:t>
      </w:r>
    </w:p>
    <w:p w14:paraId="407971DF" w14:textId="07DBD571" w:rsidR="00E45185" w:rsidRPr="006E69EE" w:rsidRDefault="00E45185" w:rsidP="00E45185">
      <w:pPr>
        <w:pStyle w:val="SingleTxtG"/>
      </w:pPr>
      <w:r>
        <w:t>35</w:t>
      </w:r>
      <w:r w:rsidRPr="006E69EE">
        <w:t>.</w:t>
      </w:r>
      <w:r w:rsidRPr="006E69EE">
        <w:tab/>
      </w:r>
      <w:r w:rsidR="00DD715C">
        <w:t>I</w:t>
      </w:r>
      <w:r w:rsidR="00DD715C" w:rsidRPr="006E69EE">
        <w:t>n 4.2.5.</w:t>
      </w:r>
      <w:r w:rsidR="00DD715C">
        <w:t>3</w:t>
      </w:r>
      <w:r w:rsidR="00DD715C" w:rsidRPr="006E69EE">
        <w:t xml:space="preserve"> </w:t>
      </w:r>
      <w:r w:rsidR="00DD715C">
        <w:t>a</w:t>
      </w:r>
      <w:r w:rsidRPr="006E69EE">
        <w:t xml:space="preserve">mend </w:t>
      </w:r>
      <w:r w:rsidR="003145DA">
        <w:t xml:space="preserve">portable tank special provision </w:t>
      </w:r>
      <w:r w:rsidRPr="006E69EE">
        <w:t>TP1 as follows:</w:t>
      </w:r>
    </w:p>
    <w:p w14:paraId="0E1247AA" w14:textId="77777777" w:rsidR="00E45185" w:rsidRPr="0096780D" w:rsidRDefault="00E45185" w:rsidP="003E5EB4">
      <w:pPr>
        <w:pStyle w:val="SingleTxtG"/>
        <w:ind w:left="1701"/>
        <w:rPr>
          <w:lang w:val="fr-FR"/>
        </w:rPr>
      </w:pPr>
      <w:r>
        <w:rPr>
          <w:lang w:val="fr-FR"/>
        </w:rPr>
        <w:t>« </w:t>
      </w:r>
      <w:r w:rsidRPr="0096780D">
        <w:rPr>
          <w:lang w:val="fr-FR"/>
        </w:rPr>
        <w:t xml:space="preserve">Le </w:t>
      </w:r>
      <w:r w:rsidRPr="0096780D">
        <w:rPr>
          <w:strike/>
          <w:lang w:val="fr-FR"/>
        </w:rPr>
        <w:t>taux</w:t>
      </w:r>
      <w:r>
        <w:rPr>
          <w:lang w:val="fr-FR"/>
        </w:rPr>
        <w:t xml:space="preserve"> </w:t>
      </w:r>
      <w:r w:rsidRPr="003E5EB4">
        <w:rPr>
          <w:rFonts w:ascii="TimesNewRomanPSMT" w:hAnsi="TimesNewRomanPSMT" w:cs="TimesNewRomanPSMT"/>
          <w:lang w:val="fr-FR"/>
        </w:rPr>
        <w:t>degré</w:t>
      </w:r>
      <w:r w:rsidRPr="0096780D">
        <w:rPr>
          <w:b/>
          <w:lang w:val="fr-FR"/>
        </w:rPr>
        <w:t xml:space="preserve"> </w:t>
      </w:r>
      <w:r w:rsidRPr="0096780D">
        <w:rPr>
          <w:lang w:val="fr-FR"/>
        </w:rPr>
        <w:t>de remplissage du 4.2.1.9.2 ne doit pas être dépassé, soit :</w:t>
      </w:r>
    </w:p>
    <w:p w14:paraId="6E53FB74" w14:textId="77777777" w:rsidR="00E45185" w:rsidRDefault="00E45185" w:rsidP="00E45185">
      <w:pPr>
        <w:pStyle w:val="SingleTxtG"/>
        <w:ind w:firstLine="567"/>
        <w:rPr>
          <w:lang w:val="fr-FR"/>
        </w:rPr>
      </w:pPr>
      <w:r w:rsidRPr="0096780D">
        <w:rPr>
          <w:strike/>
          <w:lang w:val="fr-FR"/>
        </w:rPr>
        <w:t>Taux</w:t>
      </w:r>
      <w:r>
        <w:rPr>
          <w:lang w:val="fr-FR"/>
        </w:rPr>
        <w:t xml:space="preserve"> </w:t>
      </w:r>
      <w:r w:rsidRPr="0096780D">
        <w:rPr>
          <w:b/>
          <w:lang w:val="fr-FR"/>
        </w:rPr>
        <w:t>Degré</w:t>
      </w:r>
      <w:r>
        <w:rPr>
          <w:lang w:val="fr-FR"/>
        </w:rPr>
        <w:t xml:space="preserve"> </w:t>
      </w:r>
      <w:r w:rsidRPr="0096780D">
        <w:rPr>
          <w:lang w:val="fr-FR"/>
        </w:rPr>
        <w:t>de remplissage</w:t>
      </w:r>
      <w:r>
        <w:rPr>
          <w:lang w:val="fr-FR"/>
        </w:rPr>
        <w:t>=… »</w:t>
      </w:r>
    </w:p>
    <w:p w14:paraId="26E281E9" w14:textId="097C080C" w:rsidR="00E45185" w:rsidRPr="003D79F7" w:rsidRDefault="00E45185" w:rsidP="00E45185">
      <w:pPr>
        <w:pStyle w:val="SingleTxtG"/>
      </w:pPr>
      <w:r w:rsidRPr="003D79F7">
        <w:t>36.</w:t>
      </w:r>
      <w:r w:rsidRPr="003D79F7">
        <w:tab/>
      </w:r>
      <w:r w:rsidR="003145DA" w:rsidRPr="003D79F7">
        <w:t>In 4.2.5.3 a</w:t>
      </w:r>
      <w:r w:rsidRPr="003D79F7">
        <w:t>mend TP2 as follows:</w:t>
      </w:r>
    </w:p>
    <w:p w14:paraId="5A9E895B" w14:textId="77777777" w:rsidR="00E45185" w:rsidRPr="0096780D" w:rsidRDefault="00E45185" w:rsidP="003E5EB4">
      <w:pPr>
        <w:pStyle w:val="SingleTxtG"/>
        <w:ind w:left="1701"/>
        <w:rPr>
          <w:lang w:val="fr-FR"/>
        </w:rPr>
      </w:pPr>
      <w:r>
        <w:rPr>
          <w:lang w:val="fr-FR"/>
        </w:rPr>
        <w:t>« </w:t>
      </w:r>
      <w:r w:rsidRPr="0096780D">
        <w:rPr>
          <w:lang w:val="fr-FR"/>
        </w:rPr>
        <w:t xml:space="preserve">Le </w:t>
      </w:r>
      <w:r w:rsidRPr="0096780D">
        <w:rPr>
          <w:strike/>
          <w:lang w:val="fr-FR"/>
        </w:rPr>
        <w:t>taux</w:t>
      </w:r>
      <w:r>
        <w:rPr>
          <w:lang w:val="fr-FR"/>
        </w:rPr>
        <w:t xml:space="preserve"> </w:t>
      </w:r>
      <w:r w:rsidRPr="003E5EB4">
        <w:rPr>
          <w:rFonts w:ascii="TimesNewRomanPSMT" w:hAnsi="TimesNewRomanPSMT" w:cs="TimesNewRomanPSMT"/>
          <w:lang w:val="fr-FR"/>
        </w:rPr>
        <w:t>degré</w:t>
      </w:r>
      <w:r w:rsidRPr="0096780D">
        <w:rPr>
          <w:lang w:val="fr-FR"/>
        </w:rPr>
        <w:t xml:space="preserve"> de remplissage du 4.2.1.9.3 ne doit pas être dépassé, soit :</w:t>
      </w:r>
    </w:p>
    <w:p w14:paraId="0F084D5D" w14:textId="77777777" w:rsidR="00E45185" w:rsidRDefault="00E45185" w:rsidP="00E45185">
      <w:pPr>
        <w:pStyle w:val="SingleTxtG"/>
        <w:ind w:firstLine="567"/>
        <w:rPr>
          <w:lang w:val="fr-FR"/>
        </w:rPr>
      </w:pPr>
      <w:r w:rsidRPr="0096780D">
        <w:rPr>
          <w:strike/>
          <w:lang w:val="fr-FR"/>
        </w:rPr>
        <w:t>Taux</w:t>
      </w:r>
      <w:r>
        <w:rPr>
          <w:lang w:val="fr-FR"/>
        </w:rPr>
        <w:t xml:space="preserve"> </w:t>
      </w:r>
      <w:r w:rsidRPr="0096780D">
        <w:rPr>
          <w:b/>
          <w:lang w:val="fr-FR"/>
        </w:rPr>
        <w:t>Degré</w:t>
      </w:r>
      <w:r>
        <w:rPr>
          <w:lang w:val="fr-FR"/>
        </w:rPr>
        <w:t xml:space="preserve"> </w:t>
      </w:r>
      <w:r w:rsidRPr="0096780D">
        <w:rPr>
          <w:lang w:val="fr-FR"/>
        </w:rPr>
        <w:t>de remplissage</w:t>
      </w:r>
      <w:r>
        <w:rPr>
          <w:lang w:val="fr-FR"/>
        </w:rPr>
        <w:t>=… »</w:t>
      </w:r>
    </w:p>
    <w:p w14:paraId="4C8CB270" w14:textId="7F29331B" w:rsidR="00E45185" w:rsidRPr="003D79F7" w:rsidRDefault="00E45185" w:rsidP="00E45185">
      <w:pPr>
        <w:pStyle w:val="SingleTxtG"/>
      </w:pPr>
      <w:r w:rsidRPr="003D79F7">
        <w:t>37.</w:t>
      </w:r>
      <w:r w:rsidRPr="003D79F7">
        <w:tab/>
      </w:r>
      <w:r w:rsidR="00906062" w:rsidRPr="003D79F7">
        <w:t>In 4.2.5.3 a</w:t>
      </w:r>
      <w:r w:rsidRPr="003D79F7">
        <w:t>mend TP3 as follows:</w:t>
      </w:r>
    </w:p>
    <w:p w14:paraId="4CA661BB" w14:textId="77777777" w:rsidR="00E45185" w:rsidRPr="00801641" w:rsidRDefault="00E45185" w:rsidP="003E5EB4">
      <w:pPr>
        <w:pStyle w:val="SingleTxtG"/>
        <w:ind w:left="1701"/>
        <w:rPr>
          <w:lang w:val="fr-FR"/>
        </w:rPr>
      </w:pPr>
      <w:r w:rsidRPr="00801641">
        <w:rPr>
          <w:lang w:val="fr-FR"/>
        </w:rPr>
        <w:t xml:space="preserve">« Le </w:t>
      </w:r>
      <w:r w:rsidRPr="00801641">
        <w:rPr>
          <w:strike/>
          <w:lang w:val="fr-FR"/>
        </w:rPr>
        <w:t>taux</w:t>
      </w:r>
      <w:r w:rsidRPr="00801641">
        <w:rPr>
          <w:lang w:val="fr-FR"/>
        </w:rPr>
        <w:t xml:space="preserve"> </w:t>
      </w:r>
      <w:r w:rsidRPr="00801641">
        <w:rPr>
          <w:b/>
          <w:lang w:val="fr-FR"/>
        </w:rPr>
        <w:t>degré</w:t>
      </w:r>
      <w:r w:rsidRPr="00801641">
        <w:rPr>
          <w:lang w:val="fr-FR"/>
        </w:rPr>
        <w:t xml:space="preserve"> de remplissage maximal (en %) pour les matières solides transportées à des températures supérieures à leur point de fusion et pour les liquides à température élevée doit être déterminé conformément au 4.2.1.9.5.</w:t>
      </w:r>
    </w:p>
    <w:p w14:paraId="2600241E" w14:textId="77777777" w:rsidR="00E45185" w:rsidRDefault="00E45185" w:rsidP="00E45185">
      <w:pPr>
        <w:pStyle w:val="SingleTxtG"/>
        <w:ind w:firstLine="567"/>
        <w:rPr>
          <w:lang w:val="fr-FR"/>
        </w:rPr>
      </w:pPr>
      <w:r w:rsidRPr="00801641">
        <w:rPr>
          <w:strike/>
          <w:lang w:val="fr-FR"/>
        </w:rPr>
        <w:t>Taux</w:t>
      </w:r>
      <w:r w:rsidRPr="00801641">
        <w:rPr>
          <w:lang w:val="fr-FR"/>
        </w:rPr>
        <w:t xml:space="preserve"> </w:t>
      </w:r>
      <w:r w:rsidRPr="00801641">
        <w:rPr>
          <w:b/>
          <w:lang w:val="fr-FR"/>
        </w:rPr>
        <w:t>Degré</w:t>
      </w:r>
      <w:r w:rsidRPr="00801641">
        <w:rPr>
          <w:lang w:val="fr-FR"/>
        </w:rPr>
        <w:t xml:space="preserve"> de remplissage</w:t>
      </w:r>
      <w:r>
        <w:rPr>
          <w:lang w:val="fr-FR"/>
        </w:rPr>
        <w:t>=…</w:t>
      </w:r>
      <w:r w:rsidRPr="00801641">
        <w:rPr>
          <w:lang w:val="fr-FR"/>
        </w:rPr>
        <w:t> »</w:t>
      </w:r>
    </w:p>
    <w:p w14:paraId="6E765CED" w14:textId="4BF72905" w:rsidR="00E45185" w:rsidRPr="003D79F7" w:rsidRDefault="00E45185" w:rsidP="00E45185">
      <w:pPr>
        <w:pStyle w:val="SingleTxtG"/>
      </w:pPr>
      <w:r w:rsidRPr="003D79F7">
        <w:t>38.</w:t>
      </w:r>
      <w:r w:rsidRPr="003D79F7">
        <w:tab/>
      </w:r>
      <w:r w:rsidR="003D79F7" w:rsidRPr="003D79F7">
        <w:t>I</w:t>
      </w:r>
      <w:r w:rsidR="00906062" w:rsidRPr="003D79F7">
        <w:t xml:space="preserve">n 4.2.5.3 </w:t>
      </w:r>
      <w:r w:rsidR="003D79F7" w:rsidRPr="003D79F7">
        <w:t>a</w:t>
      </w:r>
      <w:r w:rsidRPr="003D79F7">
        <w:t>mend TP4 as follows:</w:t>
      </w:r>
    </w:p>
    <w:p w14:paraId="4DD7DB9F" w14:textId="53905895" w:rsidR="00E45185" w:rsidRDefault="00E45185" w:rsidP="003E5EB4">
      <w:pPr>
        <w:pStyle w:val="SingleTxtG"/>
        <w:ind w:left="1701"/>
        <w:rPr>
          <w:lang w:val="fr-FR"/>
        </w:rPr>
      </w:pPr>
      <w:r>
        <w:rPr>
          <w:lang w:val="fr-FR"/>
        </w:rPr>
        <w:t>« </w:t>
      </w:r>
      <w:r w:rsidRPr="00627301">
        <w:rPr>
          <w:lang w:val="fr-FR"/>
        </w:rPr>
        <w:t xml:space="preserve">Le </w:t>
      </w:r>
      <w:r w:rsidRPr="00627301">
        <w:rPr>
          <w:strike/>
          <w:lang w:val="fr-FR"/>
        </w:rPr>
        <w:t xml:space="preserve">taux </w:t>
      </w:r>
      <w:r w:rsidRPr="003E5EB4">
        <w:rPr>
          <w:rFonts w:ascii="TimesNewRomanPSMT" w:hAnsi="TimesNewRomanPSMT" w:cs="TimesNewRomanPSMT"/>
          <w:lang w:val="fr-FR"/>
        </w:rPr>
        <w:t>degré</w:t>
      </w:r>
      <w:r w:rsidRPr="00627301">
        <w:rPr>
          <w:b/>
          <w:lang w:val="fr-FR"/>
        </w:rPr>
        <w:t xml:space="preserve"> </w:t>
      </w:r>
      <w:r w:rsidRPr="00627301">
        <w:rPr>
          <w:lang w:val="fr-FR"/>
        </w:rPr>
        <w:t>de remplissage ne doit pas dépasser 90 % ou toute autre valeur approuvée par l'autorité</w:t>
      </w:r>
      <w:r>
        <w:rPr>
          <w:lang w:val="fr-FR"/>
        </w:rPr>
        <w:t xml:space="preserve"> </w:t>
      </w:r>
      <w:r w:rsidRPr="00627301">
        <w:rPr>
          <w:lang w:val="fr-FR"/>
        </w:rPr>
        <w:t>compétente (voir 4.2.1.16.2).</w:t>
      </w:r>
      <w:r>
        <w:rPr>
          <w:lang w:val="fr-FR"/>
        </w:rPr>
        <w:t> »</w:t>
      </w:r>
    </w:p>
    <w:p w14:paraId="6D112F69" w14:textId="7A7C910C" w:rsidR="00E45185" w:rsidRPr="003D79F7" w:rsidRDefault="00E45185" w:rsidP="00E45185">
      <w:pPr>
        <w:pStyle w:val="SingleTxtG"/>
      </w:pPr>
      <w:r w:rsidRPr="003D79F7">
        <w:t>39.</w:t>
      </w:r>
      <w:r w:rsidRPr="003D79F7">
        <w:tab/>
        <w:t>Amend 6.1.5.5.4 a) as follows:</w:t>
      </w:r>
    </w:p>
    <w:p w14:paraId="4754C861" w14:textId="77777777" w:rsidR="00E45185" w:rsidRDefault="00E45185" w:rsidP="003E5EB4">
      <w:pPr>
        <w:pStyle w:val="SingleTxtG"/>
        <w:ind w:left="1701"/>
        <w:rPr>
          <w:lang w:val="fr-FR"/>
        </w:rPr>
      </w:pPr>
      <w:r>
        <w:rPr>
          <w:lang w:val="fr-FR"/>
        </w:rPr>
        <w:t>« </w:t>
      </w:r>
      <w:r w:rsidRPr="00FC2E0A">
        <w:rPr>
          <w:lang w:val="fr-FR"/>
        </w:rPr>
        <w:t>Au moins la pression manométrique totale mesurée dans l'emballage (c'est-à-dire la pression de</w:t>
      </w:r>
      <w:r>
        <w:rPr>
          <w:lang w:val="fr-FR"/>
        </w:rPr>
        <w:t xml:space="preserve"> </w:t>
      </w:r>
      <w:r w:rsidRPr="00FC2E0A">
        <w:rPr>
          <w:lang w:val="fr-FR"/>
        </w:rPr>
        <w:t>vapeur du liquide de remplissage additionnée de la pression partielle de l'air ou des autres gaz</w:t>
      </w:r>
      <w:r>
        <w:rPr>
          <w:lang w:val="fr-FR"/>
        </w:rPr>
        <w:t xml:space="preserve"> </w:t>
      </w:r>
      <w:r w:rsidRPr="00FC2E0A">
        <w:rPr>
          <w:lang w:val="fr-FR"/>
        </w:rPr>
        <w:t>inertes et diminuée de 100 kPa) à 55 °C, multipliée par un coefficient de sécurité de 1,5 ; pour</w:t>
      </w:r>
      <w:r>
        <w:rPr>
          <w:lang w:val="fr-FR"/>
        </w:rPr>
        <w:t xml:space="preserve"> </w:t>
      </w:r>
      <w:r w:rsidRPr="00FC2E0A">
        <w:rPr>
          <w:lang w:val="fr-FR"/>
        </w:rPr>
        <w:t xml:space="preserve">déterminer cette pression manométrique totale, il faut prendre pour base 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w:t>
      </w:r>
      <w:r>
        <w:rPr>
          <w:lang w:val="fr-FR"/>
        </w:rPr>
        <w:t xml:space="preserve"> </w:t>
      </w:r>
      <w:r w:rsidRPr="00FC2E0A">
        <w:rPr>
          <w:lang w:val="fr-FR"/>
        </w:rPr>
        <w:t xml:space="preserve">maximal conforme à celui indiqué au 4.1.1.4 et une température de remplissage de 15 °C ; </w:t>
      </w:r>
      <w:proofErr w:type="gramStart"/>
      <w:r w:rsidRPr="00FC2E0A">
        <w:rPr>
          <w:lang w:val="fr-FR"/>
        </w:rPr>
        <w:t>ou</w:t>
      </w:r>
      <w:r>
        <w:rPr>
          <w:lang w:val="fr-FR"/>
        </w:rPr>
        <w:t> »</w:t>
      </w:r>
      <w:proofErr w:type="gramEnd"/>
    </w:p>
    <w:p w14:paraId="1A98072F" w14:textId="6F34A53F" w:rsidR="00E45185" w:rsidRPr="00AC41A7" w:rsidRDefault="00E45185" w:rsidP="00E45185">
      <w:pPr>
        <w:pStyle w:val="SingleTxtG"/>
      </w:pPr>
      <w:r w:rsidRPr="00AC41A7">
        <w:t>40.</w:t>
      </w:r>
      <w:r w:rsidRPr="00AC41A7">
        <w:tab/>
        <w:t>Amend 6.5.5.1.7 as follows:</w:t>
      </w:r>
    </w:p>
    <w:p w14:paraId="555856A9" w14:textId="77777777" w:rsidR="00E45185" w:rsidRDefault="00E45185" w:rsidP="003E5EB4">
      <w:pPr>
        <w:pStyle w:val="SingleTxtG"/>
        <w:ind w:left="1701"/>
        <w:rPr>
          <w:lang w:val="fr-FR"/>
        </w:rPr>
      </w:pPr>
      <w:r>
        <w:rPr>
          <w:lang w:val="fr-FR"/>
        </w:rPr>
        <w:t>« </w:t>
      </w:r>
      <w:r w:rsidRPr="00FC2E0A">
        <w:rPr>
          <w:lang w:val="fr-FR"/>
        </w:rPr>
        <w:t>Prescriptions relatives à la décompression : les GRV pour liquides doivent être conçus de manière</w:t>
      </w:r>
      <w:r>
        <w:rPr>
          <w:lang w:val="fr-FR"/>
        </w:rPr>
        <w:t xml:space="preserve"> </w:t>
      </w:r>
      <w:r w:rsidRPr="00FC2E0A">
        <w:rPr>
          <w:lang w:val="fr-FR"/>
        </w:rPr>
        <w:t xml:space="preserve">à </w:t>
      </w:r>
      <w:r w:rsidRPr="003E5EB4">
        <w:rPr>
          <w:rFonts w:ascii="TimesNewRomanPSMT" w:hAnsi="TimesNewRomanPSMT" w:cs="TimesNewRomanPSMT"/>
          <w:lang w:val="fr-FR"/>
        </w:rPr>
        <w:t>pouvoir</w:t>
      </w:r>
      <w:r w:rsidRPr="00FC2E0A">
        <w:rPr>
          <w:lang w:val="fr-FR"/>
        </w:rPr>
        <w:t xml:space="preserve"> évacuer les vapeurs dégagées en cas d'immersion dans les flammes avec un débit suffisant pour éviter une</w:t>
      </w:r>
      <w:r>
        <w:rPr>
          <w:lang w:val="fr-FR"/>
        </w:rPr>
        <w:t xml:space="preserve"> </w:t>
      </w:r>
      <w:r w:rsidRPr="00FC2E0A">
        <w:rPr>
          <w:lang w:val="fr-FR"/>
        </w:rPr>
        <w:t>rupture du corps. Ce résultat peut être obtenu au moyen de dispositifs de décompression classiques ou par d'autres</w:t>
      </w:r>
      <w:r>
        <w:rPr>
          <w:lang w:val="fr-FR"/>
        </w:rPr>
        <w:t xml:space="preserve"> </w:t>
      </w:r>
      <w:r w:rsidRPr="00FC2E0A">
        <w:rPr>
          <w:lang w:val="fr-FR"/>
        </w:rPr>
        <w:t>techniques de construction. La pression provoquant le fonctionnement de ces dispositifs ne doit pas être supérieure</w:t>
      </w:r>
      <w:r>
        <w:rPr>
          <w:lang w:val="fr-FR"/>
        </w:rPr>
        <w:t xml:space="preserve"> </w:t>
      </w:r>
      <w:r w:rsidRPr="00FC2E0A">
        <w:rPr>
          <w:lang w:val="fr-FR"/>
        </w:rPr>
        <w:t>à 65 kPa (0,65 bar) ni inférieure à la pression totale (manométrique) effective dans le GRV (pression de vapeur de la</w:t>
      </w:r>
      <w:r>
        <w:rPr>
          <w:lang w:val="fr-FR"/>
        </w:rPr>
        <w:t xml:space="preserve"> </w:t>
      </w:r>
      <w:r w:rsidRPr="00FC2E0A">
        <w:rPr>
          <w:lang w:val="fr-FR"/>
        </w:rPr>
        <w:t>matière transportée, plus pression partielle de l'air ou d'un gaz inerte, moins 100 kPa (1 bar)) à 55 °C, déterminée sur la</w:t>
      </w:r>
      <w:r>
        <w:rPr>
          <w:lang w:val="fr-FR"/>
        </w:rPr>
        <w:t xml:space="preserve"> </w:t>
      </w:r>
      <w:r w:rsidRPr="00FC2E0A">
        <w:rPr>
          <w:lang w:val="fr-FR"/>
        </w:rPr>
        <w:t xml:space="preserve">base d'un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 maximal conforme au 4.1.1.4. Les dispositifs de décompression prescrits doivent être</w:t>
      </w:r>
      <w:r>
        <w:rPr>
          <w:lang w:val="fr-FR"/>
        </w:rPr>
        <w:t xml:space="preserve"> </w:t>
      </w:r>
      <w:r w:rsidRPr="00FC2E0A">
        <w:rPr>
          <w:lang w:val="fr-FR"/>
        </w:rPr>
        <w:t>installés dans la phase vapeur.</w:t>
      </w:r>
      <w:r>
        <w:rPr>
          <w:lang w:val="fr-FR"/>
        </w:rPr>
        <w:t> »</w:t>
      </w:r>
    </w:p>
    <w:p w14:paraId="39018143" w14:textId="77777777" w:rsidR="00E45185" w:rsidRPr="006E69EE" w:rsidRDefault="00E45185" w:rsidP="00E45185">
      <w:pPr>
        <w:pStyle w:val="SingleTxtG"/>
      </w:pPr>
      <w:r>
        <w:t>41</w:t>
      </w:r>
      <w:r w:rsidRPr="006E69EE">
        <w:t>.</w:t>
      </w:r>
      <w:r w:rsidRPr="006E69EE">
        <w:tab/>
        <w:t>Amend 6.5.6.8.4.2 (b)(</w:t>
      </w:r>
      <w:proofErr w:type="spellStart"/>
      <w:r w:rsidRPr="006E69EE">
        <w:t>i</w:t>
      </w:r>
      <w:proofErr w:type="spellEnd"/>
      <w:r w:rsidRPr="006E69EE">
        <w:t>) as follows:</w:t>
      </w:r>
    </w:p>
    <w:p w14:paraId="09C8C873" w14:textId="77777777" w:rsidR="00E45185" w:rsidRDefault="00E45185" w:rsidP="003E5EB4">
      <w:pPr>
        <w:pStyle w:val="SingleTxtG"/>
        <w:ind w:left="1701"/>
        <w:rPr>
          <w:lang w:val="fr-FR"/>
        </w:rPr>
      </w:pPr>
      <w:r>
        <w:rPr>
          <w:lang w:val="fr-FR"/>
        </w:rPr>
        <w:t xml:space="preserve">« (i) </w:t>
      </w:r>
      <w:r w:rsidRPr="00FC2E0A">
        <w:rPr>
          <w:lang w:val="fr-FR"/>
        </w:rPr>
        <w:t>la pression manométrique totale mesurée dans le GRV (pression de vapeur de la matière</w:t>
      </w:r>
      <w:r>
        <w:rPr>
          <w:lang w:val="fr-FR"/>
        </w:rPr>
        <w:t xml:space="preserve"> </w:t>
      </w:r>
      <w:r w:rsidRPr="00FC2E0A">
        <w:rPr>
          <w:lang w:val="fr-FR"/>
        </w:rPr>
        <w:t>transportée, plus pression partielle de l'air ou d'un gaz inerte, moins 100 kPa) à 55 °C,</w:t>
      </w:r>
      <w:r>
        <w:rPr>
          <w:lang w:val="fr-FR"/>
        </w:rPr>
        <w:t xml:space="preserve"> </w:t>
      </w:r>
      <w:r w:rsidRPr="00FC2E0A">
        <w:rPr>
          <w:lang w:val="fr-FR"/>
        </w:rPr>
        <w:t>multipliée par un coefficient de sécurité de 1,5 ; pour déterminer cette pression</w:t>
      </w:r>
      <w:r>
        <w:rPr>
          <w:lang w:val="fr-FR"/>
        </w:rPr>
        <w:t xml:space="preserve"> </w:t>
      </w:r>
      <w:r w:rsidRPr="00FC2E0A">
        <w:rPr>
          <w:lang w:val="fr-FR"/>
        </w:rPr>
        <w:t xml:space="preserve">manométrique totale, on prend pour base un </w:t>
      </w:r>
      <w:r w:rsidRPr="00FC2E0A">
        <w:rPr>
          <w:strike/>
          <w:lang w:val="fr-FR"/>
        </w:rPr>
        <w:t>taux</w:t>
      </w:r>
      <w:r>
        <w:rPr>
          <w:lang w:val="fr-FR"/>
        </w:rPr>
        <w:t xml:space="preserve"> </w:t>
      </w:r>
      <w:r w:rsidRPr="00FC2E0A">
        <w:rPr>
          <w:b/>
          <w:lang w:val="fr-FR"/>
        </w:rPr>
        <w:t>degré</w:t>
      </w:r>
      <w:r>
        <w:rPr>
          <w:lang w:val="fr-FR"/>
        </w:rPr>
        <w:t xml:space="preserve"> </w:t>
      </w:r>
      <w:r w:rsidRPr="00FC2E0A">
        <w:rPr>
          <w:lang w:val="fr-FR"/>
        </w:rPr>
        <w:t>de remplissage maximal conformément</w:t>
      </w:r>
      <w:r>
        <w:rPr>
          <w:lang w:val="fr-FR"/>
        </w:rPr>
        <w:t xml:space="preserve"> </w:t>
      </w:r>
      <w:r w:rsidRPr="00FC2E0A">
        <w:rPr>
          <w:lang w:val="fr-FR"/>
        </w:rPr>
        <w:t>au 4.1.1.4 et une température de remplissage de 15 °</w:t>
      </w:r>
      <w:proofErr w:type="gramStart"/>
      <w:r w:rsidRPr="00FC2E0A">
        <w:rPr>
          <w:lang w:val="fr-FR"/>
        </w:rPr>
        <w:t>C;</w:t>
      </w:r>
      <w:proofErr w:type="gramEnd"/>
      <w:r>
        <w:rPr>
          <w:lang w:val="fr-FR"/>
        </w:rPr>
        <w:t> »</w:t>
      </w:r>
    </w:p>
    <w:p w14:paraId="76BEA6D6" w14:textId="1C765257" w:rsidR="00E45185" w:rsidRDefault="00E45185" w:rsidP="00586C0C">
      <w:pPr>
        <w:pStyle w:val="SingleTxtG"/>
      </w:pPr>
      <w:r w:rsidRPr="007E204D">
        <w:t>42.</w:t>
      </w:r>
      <w:r w:rsidRPr="007E204D">
        <w:tab/>
      </w:r>
      <w:r>
        <w:t>In 6.7.4.15.1 (</w:t>
      </w:r>
      <w:proofErr w:type="spellStart"/>
      <w:r>
        <w:t>i</w:t>
      </w:r>
      <w:proofErr w:type="spellEnd"/>
      <w:r>
        <w:t xml:space="preserve">)(iv), the concept of filling ratio is correctly used in the French language version. Nevertheless, as additionally the unit of measurement </w:t>
      </w:r>
      <w:proofErr w:type="gramStart"/>
      <w:r>
        <w:t>has to</w:t>
      </w:r>
      <w:proofErr w:type="gramEnd"/>
      <w:r>
        <w:t xml:space="preserve"> be mentioned also, and the filling ratio is defined as the ratio of the mass of gas to the mass of water, the unit referenced has to be modified, and therefor this paragraph has to be amended as follows: </w:t>
      </w:r>
    </w:p>
    <w:p w14:paraId="0B134F64" w14:textId="77777777" w:rsidR="00E45185" w:rsidRPr="00092723" w:rsidRDefault="00E45185" w:rsidP="003E5EB4">
      <w:pPr>
        <w:pStyle w:val="SingleTxtG"/>
        <w:ind w:left="1701"/>
        <w:rPr>
          <w:lang w:val="fr-FR"/>
        </w:rPr>
      </w:pPr>
      <w:r>
        <w:rPr>
          <w:lang w:val="fr-FR"/>
        </w:rPr>
        <w:t>« </w:t>
      </w:r>
      <w:r w:rsidRPr="00092723">
        <w:rPr>
          <w:lang w:val="fr-FR"/>
        </w:rPr>
        <w:t xml:space="preserve">(iv) Taux </w:t>
      </w:r>
      <w:r w:rsidRPr="003E5EB4">
        <w:rPr>
          <w:rFonts w:ascii="TimesNewRomanPSMT" w:hAnsi="TimesNewRomanPSMT" w:cs="TimesNewRomanPSMT"/>
          <w:lang w:val="fr-FR"/>
        </w:rPr>
        <w:t>de</w:t>
      </w:r>
      <w:r w:rsidRPr="00092723">
        <w:rPr>
          <w:lang w:val="fr-FR"/>
        </w:rPr>
        <w:t xml:space="preserve"> remplissage (en kg </w:t>
      </w:r>
      <w:proofErr w:type="spellStart"/>
      <w:r w:rsidRPr="00092723">
        <w:rPr>
          <w:b/>
          <w:bCs/>
          <w:lang w:val="fr-FR"/>
        </w:rPr>
        <w:t>gas</w:t>
      </w:r>
      <w:proofErr w:type="spellEnd"/>
      <w:r w:rsidRPr="00092723">
        <w:rPr>
          <w:b/>
          <w:bCs/>
          <w:lang w:val="fr-FR"/>
        </w:rPr>
        <w:t xml:space="preserve">/kg </w:t>
      </w:r>
      <w:r>
        <w:rPr>
          <w:b/>
          <w:bCs/>
          <w:lang w:val="fr-FR"/>
        </w:rPr>
        <w:t>eau</w:t>
      </w:r>
      <w:r w:rsidRPr="00092723">
        <w:rPr>
          <w:lang w:val="fr-FR"/>
        </w:rPr>
        <w:t>)</w:t>
      </w:r>
      <w:proofErr w:type="gramStart"/>
      <w:r w:rsidRPr="00092723">
        <w:rPr>
          <w:vertAlign w:val="superscript"/>
          <w:lang w:val="fr-FR"/>
        </w:rPr>
        <w:t>3</w:t>
      </w:r>
      <w:r w:rsidRPr="00092723">
        <w:rPr>
          <w:lang w:val="fr-FR"/>
        </w:rPr>
        <w:t>;</w:t>
      </w:r>
      <w:proofErr w:type="gramEnd"/>
      <w:r>
        <w:rPr>
          <w:lang w:val="fr-FR"/>
        </w:rPr>
        <w:t> »</w:t>
      </w:r>
    </w:p>
    <w:p w14:paraId="7ED95550" w14:textId="02418E34" w:rsidR="00E45185" w:rsidRDefault="00E45185" w:rsidP="00586C0C">
      <w:pPr>
        <w:pStyle w:val="SingleTxtG"/>
      </w:pPr>
      <w:r>
        <w:t>43.</w:t>
      </w:r>
      <w:r>
        <w:tab/>
        <w:t xml:space="preserve">Similarly, Figure 6.7.4.15.1 in its last column under “TEMPS DE RETENUE” the unit </w:t>
      </w:r>
      <w:proofErr w:type="gramStart"/>
      <w:r>
        <w:t>has to</w:t>
      </w:r>
      <w:proofErr w:type="gramEnd"/>
      <w:r>
        <w:t xml:space="preserve"> be amended as follows:</w:t>
      </w:r>
    </w:p>
    <w:p w14:paraId="72AAE1C9" w14:textId="77777777" w:rsidR="00E45185" w:rsidRPr="00092723" w:rsidRDefault="00E45185" w:rsidP="003E5EB4">
      <w:pPr>
        <w:pStyle w:val="SingleTxtG"/>
        <w:ind w:left="1701"/>
        <w:rPr>
          <w:b/>
          <w:bCs/>
          <w:lang w:val="fr-FR"/>
        </w:rPr>
      </w:pPr>
      <w:r>
        <w:rPr>
          <w:lang w:val="fr-FR"/>
        </w:rPr>
        <w:t>« </w:t>
      </w:r>
      <w:r w:rsidRPr="00092723">
        <w:rPr>
          <w:lang w:val="fr-FR"/>
        </w:rPr>
        <w:t xml:space="preserve">Taux de </w:t>
      </w:r>
      <w:r w:rsidRPr="003E5EB4">
        <w:rPr>
          <w:rFonts w:ascii="TimesNewRomanPSMT" w:hAnsi="TimesNewRomanPSMT" w:cs="TimesNewRomanPSMT"/>
          <w:lang w:val="fr-FR"/>
        </w:rPr>
        <w:t>remplissage</w:t>
      </w:r>
      <w:r>
        <w:rPr>
          <w:lang w:val="fr-FR"/>
        </w:rPr>
        <w:t> »</w:t>
      </w:r>
    </w:p>
    <w:p w14:paraId="20A4C273" w14:textId="77777777" w:rsidR="00E45185" w:rsidRPr="00092723" w:rsidRDefault="00E45185" w:rsidP="003E5EB4">
      <w:pPr>
        <w:pStyle w:val="SingleTxtG"/>
        <w:ind w:left="1701"/>
        <w:rPr>
          <w:lang w:val="fr-FR"/>
        </w:rPr>
      </w:pPr>
      <w:r>
        <w:rPr>
          <w:b/>
          <w:bCs/>
          <w:lang w:val="fr-FR"/>
        </w:rPr>
        <w:t>« </w:t>
      </w:r>
      <w:proofErr w:type="gramStart"/>
      <w:r w:rsidRPr="00092723">
        <w:rPr>
          <w:lang w:val="fr-FR"/>
        </w:rPr>
        <w:t>kg</w:t>
      </w:r>
      <w:proofErr w:type="gramEnd"/>
      <w:r w:rsidRPr="00092723">
        <w:rPr>
          <w:lang w:val="fr-FR"/>
        </w:rPr>
        <w:t xml:space="preserve"> </w:t>
      </w:r>
      <w:proofErr w:type="spellStart"/>
      <w:r w:rsidRPr="00092723">
        <w:rPr>
          <w:b/>
          <w:bCs/>
          <w:lang w:val="fr-FR"/>
        </w:rPr>
        <w:t>gas</w:t>
      </w:r>
      <w:proofErr w:type="spellEnd"/>
      <w:r w:rsidRPr="00092723">
        <w:rPr>
          <w:b/>
          <w:bCs/>
          <w:lang w:val="fr-FR"/>
        </w:rPr>
        <w:t>/kg eau</w:t>
      </w:r>
      <w:r>
        <w:rPr>
          <w:lang w:val="fr-FR"/>
        </w:rPr>
        <w:t> »</w:t>
      </w:r>
    </w:p>
    <w:p w14:paraId="6AC7201C" w14:textId="7960ED09" w:rsidR="00E45185" w:rsidRDefault="00586C0C" w:rsidP="00586C0C">
      <w:pPr>
        <w:pStyle w:val="HChG"/>
      </w:pPr>
      <w:r>
        <w:tab/>
      </w:r>
      <w:r>
        <w:tab/>
      </w:r>
      <w:r w:rsidR="00E45185" w:rsidRPr="006E69EE">
        <w:t xml:space="preserve">Proposals for </w:t>
      </w:r>
      <w:r w:rsidR="00E45185">
        <w:t xml:space="preserve">amending </w:t>
      </w:r>
      <w:r w:rsidR="00E45185" w:rsidRPr="006E69EE">
        <w:t>the Spanish language version</w:t>
      </w:r>
    </w:p>
    <w:p w14:paraId="7427B500" w14:textId="7B5FA427" w:rsidR="00E45185" w:rsidRDefault="00E45185" w:rsidP="00E45185">
      <w:pPr>
        <w:pStyle w:val="SingleTxtG"/>
      </w:pPr>
      <w:r>
        <w:t>44</w:t>
      </w:r>
      <w:r w:rsidRPr="007F6BBF">
        <w:t>.</w:t>
      </w:r>
      <w:r w:rsidRPr="007F6BBF">
        <w:tab/>
      </w:r>
      <w:r w:rsidR="00DE0423">
        <w:t>I</w:t>
      </w:r>
      <w:r w:rsidR="00DE0423" w:rsidRPr="007F6BBF">
        <w:t xml:space="preserve">n 1.2.1 </w:t>
      </w:r>
      <w:r w:rsidR="00DE0423">
        <w:t>a</w:t>
      </w:r>
      <w:r w:rsidRPr="007F6BBF">
        <w:t>mend the definition</w:t>
      </w:r>
      <w:r>
        <w:t>s</w:t>
      </w:r>
      <w:r w:rsidRPr="007F6BBF">
        <w:t xml:space="preserve"> </w:t>
      </w:r>
      <w:r>
        <w:t>for “</w:t>
      </w:r>
      <w:proofErr w:type="spellStart"/>
      <w:r>
        <w:t>razón</w:t>
      </w:r>
      <w:proofErr w:type="spellEnd"/>
      <w:r>
        <w:t xml:space="preserve"> de </w:t>
      </w:r>
      <w:proofErr w:type="spellStart"/>
      <w:r>
        <w:t>llenado</w:t>
      </w:r>
      <w:proofErr w:type="spellEnd"/>
      <w:r>
        <w:t>” and “</w:t>
      </w:r>
      <w:proofErr w:type="spellStart"/>
      <w:r>
        <w:t>tasa</w:t>
      </w:r>
      <w:proofErr w:type="spellEnd"/>
      <w:r>
        <w:t xml:space="preserve"> de </w:t>
      </w:r>
      <w:proofErr w:type="spellStart"/>
      <w:r>
        <w:t>llenado</w:t>
      </w:r>
      <w:proofErr w:type="spellEnd"/>
      <w:r>
        <w:t xml:space="preserve">” </w:t>
      </w:r>
      <w:r w:rsidRPr="007F6BBF">
        <w:t>to read as follows:</w:t>
      </w:r>
    </w:p>
    <w:p w14:paraId="3257B152" w14:textId="4B0A2A4E" w:rsidR="00E45185" w:rsidRDefault="00E45185" w:rsidP="003E5EB4">
      <w:pPr>
        <w:pStyle w:val="SingleTxtG"/>
        <w:ind w:left="1701"/>
        <w:rPr>
          <w:lang w:val="es-ES"/>
        </w:rPr>
      </w:pPr>
      <w:r w:rsidRPr="00886148">
        <w:rPr>
          <w:lang w:val="es-ES"/>
        </w:rPr>
        <w:t>“</w:t>
      </w:r>
      <w:r w:rsidRPr="004C045E">
        <w:rPr>
          <w:lang w:val="es-ES"/>
        </w:rPr>
        <w:t>Por</w:t>
      </w:r>
      <w:r w:rsidRPr="00981D3B">
        <w:rPr>
          <w:i/>
          <w:iCs/>
          <w:lang w:val="es-ES"/>
        </w:rPr>
        <w:t xml:space="preserve"> razón </w:t>
      </w:r>
      <w:r w:rsidRPr="00981D3B">
        <w:rPr>
          <w:i/>
          <w:iCs/>
          <w:strike/>
          <w:lang w:val="es-ES"/>
        </w:rPr>
        <w:t>(tasa)</w:t>
      </w:r>
      <w:r w:rsidRPr="00981D3B">
        <w:rPr>
          <w:i/>
          <w:iCs/>
          <w:lang w:val="es-ES"/>
        </w:rPr>
        <w:t xml:space="preserve"> de llenado</w:t>
      </w:r>
      <w:r w:rsidRPr="007F6BBF">
        <w:rPr>
          <w:lang w:val="es-ES"/>
        </w:rPr>
        <w:t>, la relaci</w:t>
      </w:r>
      <w:r>
        <w:rPr>
          <w:lang w:val="es-ES"/>
        </w:rPr>
        <w:t>ón entre la masa de gas y la masa de agua a 15</w:t>
      </w:r>
      <w:r w:rsidR="00DE0423">
        <w:rPr>
          <w:lang w:val="es-ES"/>
        </w:rPr>
        <w:t> </w:t>
      </w:r>
      <w:proofErr w:type="spellStart"/>
      <w:r>
        <w:rPr>
          <w:lang w:val="es-ES"/>
        </w:rPr>
        <w:t>ºC</w:t>
      </w:r>
      <w:proofErr w:type="spellEnd"/>
      <w:r>
        <w:rPr>
          <w:lang w:val="es-ES"/>
        </w:rPr>
        <w:t xml:space="preserve"> que llenaría totalmente un recipiente a presión listo para su uso.</w:t>
      </w:r>
    </w:p>
    <w:p w14:paraId="693A550D" w14:textId="77777777" w:rsidR="00E45185" w:rsidRPr="007F6BBF" w:rsidRDefault="00E45185" w:rsidP="00724955">
      <w:pPr>
        <w:pStyle w:val="SingleTxtG"/>
        <w:ind w:firstLine="567"/>
        <w:rPr>
          <w:strike/>
          <w:lang w:val="es-ES"/>
        </w:rPr>
      </w:pPr>
      <w:r w:rsidRPr="007F6BBF">
        <w:rPr>
          <w:strike/>
          <w:lang w:val="es-ES"/>
        </w:rPr>
        <w:t xml:space="preserve">Por </w:t>
      </w:r>
      <w:r w:rsidRPr="00981D3B">
        <w:rPr>
          <w:i/>
          <w:iCs/>
          <w:strike/>
          <w:lang w:val="es-ES"/>
        </w:rPr>
        <w:t>tasa de llenado</w:t>
      </w:r>
      <w:r w:rsidRPr="007F6BBF">
        <w:rPr>
          <w:strike/>
          <w:lang w:val="es-ES"/>
        </w:rPr>
        <w:t>, véase “</w:t>
      </w:r>
      <w:r w:rsidRPr="00981D3B">
        <w:rPr>
          <w:i/>
          <w:iCs/>
          <w:strike/>
          <w:lang w:val="es-ES"/>
        </w:rPr>
        <w:t>Razón de llenado</w:t>
      </w:r>
      <w:r w:rsidRPr="007F6BBF">
        <w:rPr>
          <w:strike/>
          <w:lang w:val="es-ES"/>
        </w:rPr>
        <w:t>”</w:t>
      </w:r>
      <w:r>
        <w:rPr>
          <w:strike/>
          <w:lang w:val="es-ES"/>
        </w:rPr>
        <w:t>;</w:t>
      </w:r>
      <w:r w:rsidRPr="009431B6">
        <w:rPr>
          <w:lang w:val="es-ES"/>
        </w:rPr>
        <w:t>”</w:t>
      </w:r>
    </w:p>
    <w:p w14:paraId="7DDDD1C0" w14:textId="7E1C2413" w:rsidR="00E45185" w:rsidRPr="006E69EE" w:rsidRDefault="00E45185" w:rsidP="00E45185">
      <w:pPr>
        <w:pStyle w:val="SingleTxtG"/>
      </w:pPr>
      <w:r>
        <w:t>45</w:t>
      </w:r>
      <w:r w:rsidRPr="006E69EE">
        <w:t>.</w:t>
      </w:r>
      <w:r w:rsidRPr="006E69EE">
        <w:tab/>
        <w:t xml:space="preserve">Amend </w:t>
      </w:r>
      <w:r w:rsidR="00406FE2">
        <w:t xml:space="preserve">in 3.3.1 </w:t>
      </w:r>
      <w:r w:rsidR="00724955">
        <w:t>special provision</w:t>
      </w:r>
      <w:r w:rsidRPr="006E69EE">
        <w:t xml:space="preserve"> 392 </w:t>
      </w:r>
      <w:r w:rsidR="003D529A">
        <w:t>(</w:t>
      </w:r>
      <w:r w:rsidRPr="006E69EE">
        <w:t>f) to</w:t>
      </w:r>
      <w:r>
        <w:t xml:space="preserve"> </w:t>
      </w:r>
      <w:r w:rsidRPr="006E69EE">
        <w:t>read as follows:</w:t>
      </w:r>
    </w:p>
    <w:p w14:paraId="41C4A085" w14:textId="77777777" w:rsidR="00E45185" w:rsidRDefault="00E45185" w:rsidP="003E5EB4">
      <w:pPr>
        <w:pStyle w:val="SingleTxtG"/>
        <w:ind w:left="1701"/>
        <w:rPr>
          <w:lang w:val="es-ES"/>
        </w:rPr>
      </w:pPr>
      <w:r>
        <w:rPr>
          <w:lang w:val="es-ES"/>
        </w:rPr>
        <w:t>“</w:t>
      </w:r>
      <w:r w:rsidRPr="00322462">
        <w:rPr>
          <w:lang w:val="es-ES"/>
        </w:rPr>
        <w:t>Excepto en el caso de los sistemas de contenci</w:t>
      </w:r>
      <w:r>
        <w:rPr>
          <w:lang w:val="es-ES"/>
        </w:rPr>
        <w:t xml:space="preserve">ón de gas combustible retirados para su eliminación, reciclado, reparación, inspección o mantenimiento, dicho sistemas se llenarán con no más del 20% de </w:t>
      </w:r>
      <w:r w:rsidRPr="00322462">
        <w:rPr>
          <w:strike/>
          <w:lang w:val="es-ES"/>
        </w:rPr>
        <w:t>volumen nominal</w:t>
      </w:r>
      <w:r>
        <w:rPr>
          <w:lang w:val="es-ES"/>
        </w:rPr>
        <w:t xml:space="preserve"> </w:t>
      </w:r>
      <w:r>
        <w:rPr>
          <w:b/>
          <w:lang w:val="es-ES"/>
        </w:rPr>
        <w:t>la razón</w:t>
      </w:r>
      <w:r>
        <w:rPr>
          <w:lang w:val="es-ES"/>
        </w:rPr>
        <w:t xml:space="preserve"> de llenado o presión nominal de servicio, según proceda;”</w:t>
      </w:r>
    </w:p>
    <w:p w14:paraId="2F4EEC34" w14:textId="77FE5ED8" w:rsidR="00E45185" w:rsidRPr="006E69EE" w:rsidRDefault="00E45185" w:rsidP="00E45185">
      <w:pPr>
        <w:pStyle w:val="SingleTxtG"/>
      </w:pPr>
      <w:r>
        <w:t>46</w:t>
      </w:r>
      <w:r w:rsidRPr="006E69EE">
        <w:t>.</w:t>
      </w:r>
      <w:r w:rsidRPr="006E69EE">
        <w:tab/>
        <w:t xml:space="preserve">Amend 4.1.1.10 </w:t>
      </w:r>
      <w:r w:rsidR="0066029D">
        <w:t>(</w:t>
      </w:r>
      <w:r w:rsidRPr="006E69EE">
        <w:t>a) to</w:t>
      </w:r>
      <w:r>
        <w:t xml:space="preserve"> </w:t>
      </w:r>
      <w:r w:rsidRPr="006E69EE">
        <w:t>read as follows:</w:t>
      </w:r>
    </w:p>
    <w:p w14:paraId="01C85139" w14:textId="77777777" w:rsidR="00E45185" w:rsidRDefault="00E45185" w:rsidP="003E5EB4">
      <w:pPr>
        <w:pStyle w:val="SingleTxtG"/>
        <w:ind w:left="1701"/>
        <w:rPr>
          <w:lang w:val="es-ES"/>
        </w:rPr>
      </w:pPr>
      <w:r>
        <w:rPr>
          <w:lang w:val="es-ES"/>
        </w:rPr>
        <w:t xml:space="preserve">“La presión manométrica total dentro del embalaje/envase o del RIG (es decir, la suma de la presión de vapor de </w:t>
      </w:r>
      <w:r w:rsidRPr="003E5EB4">
        <w:rPr>
          <w:rFonts w:ascii="TimesNewRomanPSMT" w:hAnsi="TimesNewRomanPSMT" w:cs="TimesNewRomanPSMT"/>
          <w:lang w:val="fr-FR"/>
        </w:rPr>
        <w:t>la</w:t>
      </w:r>
      <w:r>
        <w:rPr>
          <w:lang w:val="es-ES"/>
        </w:rPr>
        <w:t xml:space="preserve"> sustancia contenida y de la presión parcial del aire o de otros gases inertes, menos 100 kPa) a 55º C, determinada con arreglo </w:t>
      </w:r>
      <w:proofErr w:type="spellStart"/>
      <w:proofErr w:type="gramStart"/>
      <w:r>
        <w:rPr>
          <w:lang w:val="es-ES"/>
        </w:rPr>
        <w:t>a</w:t>
      </w:r>
      <w:r w:rsidRPr="00EE5197">
        <w:rPr>
          <w:b/>
          <w:lang w:val="es-ES"/>
        </w:rPr>
        <w:t>l</w:t>
      </w:r>
      <w:proofErr w:type="spellEnd"/>
      <w:r>
        <w:rPr>
          <w:lang w:val="es-ES"/>
        </w:rPr>
        <w:t xml:space="preserve"> </w:t>
      </w:r>
      <w:r w:rsidRPr="003E7A0D">
        <w:rPr>
          <w:strike/>
          <w:lang w:val="es-ES"/>
        </w:rPr>
        <w:t>la razón</w:t>
      </w:r>
      <w:proofErr w:type="gramEnd"/>
      <w:r>
        <w:rPr>
          <w:lang w:val="es-ES"/>
        </w:rPr>
        <w:t xml:space="preserve"> </w:t>
      </w:r>
      <w:r w:rsidRPr="003E7A0D">
        <w:rPr>
          <w:b/>
          <w:lang w:val="es-ES"/>
        </w:rPr>
        <w:t>grado</w:t>
      </w:r>
      <w:r>
        <w:rPr>
          <w:lang w:val="es-ES"/>
        </w:rPr>
        <w:t xml:space="preserve"> </w:t>
      </w:r>
      <w:proofErr w:type="spellStart"/>
      <w:r>
        <w:rPr>
          <w:lang w:val="es-ES"/>
        </w:rPr>
        <w:t>máxim</w:t>
      </w:r>
      <w:r w:rsidRPr="003E7A0D">
        <w:rPr>
          <w:strike/>
          <w:lang w:val="es-ES"/>
        </w:rPr>
        <w:t>a</w:t>
      </w:r>
      <w:r w:rsidRPr="003E7A0D">
        <w:rPr>
          <w:b/>
          <w:lang w:val="es-ES"/>
        </w:rPr>
        <w:t>o</w:t>
      </w:r>
      <w:proofErr w:type="spellEnd"/>
      <w:r>
        <w:rPr>
          <w:lang w:val="es-ES"/>
        </w:rPr>
        <w:t xml:space="preserve"> de llenado conforme al 4.1.1.4, a una temperatura de llenado de 15º C, no exceda de dos tercios de la presión de ensayo marcada; o”</w:t>
      </w:r>
    </w:p>
    <w:p w14:paraId="7CE0B25F" w14:textId="4E8DDED4" w:rsidR="00E45185" w:rsidRPr="00C6499F" w:rsidRDefault="00E45185" w:rsidP="00E45185">
      <w:pPr>
        <w:pStyle w:val="SingleTxtG"/>
      </w:pPr>
      <w:r w:rsidRPr="00C6499F">
        <w:t>47.</w:t>
      </w:r>
      <w:r w:rsidRPr="00C6499F">
        <w:tab/>
        <w:t xml:space="preserve">Amend 4.1.7.0.1 </w:t>
      </w:r>
      <w:r w:rsidR="0066029D" w:rsidRPr="006E69EE">
        <w:t>to</w:t>
      </w:r>
      <w:r w:rsidR="0066029D">
        <w:t xml:space="preserve"> </w:t>
      </w:r>
      <w:r w:rsidR="0066029D" w:rsidRPr="006E69EE">
        <w:t xml:space="preserve">read </w:t>
      </w:r>
      <w:r w:rsidRPr="00C6499F">
        <w:t>as follows:</w:t>
      </w:r>
    </w:p>
    <w:p w14:paraId="5327EF55" w14:textId="77777777" w:rsidR="00E45185" w:rsidRDefault="00E45185" w:rsidP="003E5EB4">
      <w:pPr>
        <w:pStyle w:val="SingleTxtG"/>
        <w:ind w:left="1701"/>
        <w:rPr>
          <w:lang w:val="es-ES"/>
        </w:rPr>
      </w:pPr>
      <w:r>
        <w:rPr>
          <w:lang w:val="es-ES"/>
        </w:rPr>
        <w:t xml:space="preserve">“Todos los recipientes destinados a los peróxidos orgánicos deberán ser cerrados “de forma efectiva”. Cuando a causa de la evolución del gas puedan originarse presiones internas significativas en el bulto, se podrá instalar un dispositivo de purga siempre que el gas emitido no cause ningún peligro, pues en ese caso se habrá de limitar </w:t>
      </w:r>
      <w:r w:rsidRPr="00B52831">
        <w:rPr>
          <w:strike/>
          <w:lang w:val="es-ES"/>
        </w:rPr>
        <w:t>la razón</w:t>
      </w:r>
      <w:r>
        <w:rPr>
          <w:lang w:val="es-ES"/>
        </w:rPr>
        <w:t xml:space="preserve"> </w:t>
      </w:r>
      <w:r w:rsidRPr="00B52831">
        <w:rPr>
          <w:b/>
          <w:lang w:val="es-ES"/>
        </w:rPr>
        <w:t>el</w:t>
      </w:r>
      <w:r>
        <w:rPr>
          <w:lang w:val="es-ES"/>
        </w:rPr>
        <w:t xml:space="preserve"> </w:t>
      </w:r>
      <w:r w:rsidRPr="00B52831">
        <w:rPr>
          <w:b/>
          <w:lang w:val="es-ES"/>
        </w:rPr>
        <w:t>grado</w:t>
      </w:r>
      <w:r>
        <w:rPr>
          <w:lang w:val="es-ES"/>
        </w:rPr>
        <w:t xml:space="preserve"> de llenado. El dispositivo de purga </w:t>
      </w:r>
      <w:proofErr w:type="spellStart"/>
      <w:r w:rsidRPr="003E5EB4">
        <w:rPr>
          <w:rFonts w:ascii="TimesNewRomanPSMT" w:hAnsi="TimesNewRomanPSMT" w:cs="TimesNewRomanPSMT"/>
          <w:lang w:val="fr-FR"/>
        </w:rPr>
        <w:t>deberá</w:t>
      </w:r>
      <w:proofErr w:type="spellEnd"/>
      <w:r>
        <w:rPr>
          <w:lang w:val="es-ES"/>
        </w:rPr>
        <w:t xml:space="preserve"> estar construido de forma que el líquido no pueda salir del bulto cuando éste se encuentre en posición vertical y habrá de poder evitar la entrada de impurezas. El embalaje/envase exterior, si existe, deberá estar diseñado de forma que no interfiera en el funcionamiento del dispositivo de purga.” </w:t>
      </w:r>
    </w:p>
    <w:p w14:paraId="3E15745C" w14:textId="019F7948" w:rsidR="00E45185" w:rsidRPr="0066029D" w:rsidRDefault="00E45185" w:rsidP="00E45185">
      <w:pPr>
        <w:pStyle w:val="SingleTxtG"/>
      </w:pPr>
      <w:r w:rsidRPr="0066029D">
        <w:t>48.</w:t>
      </w:r>
      <w:r w:rsidRPr="0066029D">
        <w:tab/>
        <w:t xml:space="preserve">Amend 4.2.3.6.2 </w:t>
      </w:r>
      <w:r w:rsidR="0066029D" w:rsidRPr="0066029D">
        <w:t xml:space="preserve">to read </w:t>
      </w:r>
      <w:r w:rsidRPr="0066029D">
        <w:t>as follows:</w:t>
      </w:r>
    </w:p>
    <w:p w14:paraId="581DB726" w14:textId="77777777" w:rsidR="00E45185" w:rsidRDefault="00E45185" w:rsidP="003E5EB4">
      <w:pPr>
        <w:pStyle w:val="SingleTxtG"/>
        <w:ind w:left="1701"/>
        <w:rPr>
          <w:lang w:val="es-ES"/>
        </w:rPr>
      </w:pPr>
      <w:r>
        <w:rPr>
          <w:lang w:val="es-ES"/>
        </w:rPr>
        <w:t xml:space="preserve">“Al determinar </w:t>
      </w:r>
      <w:r w:rsidRPr="002A5F1B">
        <w:rPr>
          <w:strike/>
          <w:lang w:val="es-ES"/>
        </w:rPr>
        <w:t>el grado</w:t>
      </w:r>
      <w:r>
        <w:rPr>
          <w:lang w:val="es-ES"/>
        </w:rPr>
        <w:t xml:space="preserve"> </w:t>
      </w:r>
      <w:r w:rsidRPr="002A5F1B">
        <w:rPr>
          <w:b/>
          <w:lang w:val="es-ES"/>
        </w:rPr>
        <w:t>la razón</w:t>
      </w:r>
      <w:r>
        <w:rPr>
          <w:lang w:val="es-ES"/>
        </w:rPr>
        <w:t xml:space="preserve"> inicial de llenado debe tenerse en cuenta el tiempo de retención necesario para el viaje previsto, así como todos los retrasos que podrían producirse. Con la excepción de lo previsto en 4.2.3.6.3 y 4.2.3.6.4, </w:t>
      </w:r>
      <w:r w:rsidRPr="002A5F1B">
        <w:rPr>
          <w:strike/>
          <w:lang w:val="es-ES"/>
        </w:rPr>
        <w:t>el grado</w:t>
      </w:r>
      <w:r>
        <w:rPr>
          <w:lang w:val="es-ES"/>
        </w:rPr>
        <w:t xml:space="preserve"> </w:t>
      </w:r>
      <w:r w:rsidRPr="002A5F1B">
        <w:rPr>
          <w:b/>
          <w:lang w:val="es-ES"/>
        </w:rPr>
        <w:t>la razón</w:t>
      </w:r>
      <w:r>
        <w:rPr>
          <w:lang w:val="es-ES"/>
        </w:rPr>
        <w:t xml:space="preserve"> inicial de llenado del depósito debe ser tal que, excepto en el caso del helio, si se eleva la temperatura del contenido a un grado en que la presión de vapor sea igual a la presión de servicio máxima autorizada (PSMA), el volumen ocupado por el líquido no exceda del 98%.”</w:t>
      </w:r>
    </w:p>
    <w:p w14:paraId="070822D2" w14:textId="798FA913" w:rsidR="00E45185" w:rsidRPr="00C6499F" w:rsidRDefault="00E45185" w:rsidP="00E45185">
      <w:pPr>
        <w:pStyle w:val="SingleTxtG"/>
      </w:pPr>
      <w:r w:rsidRPr="00C6499F">
        <w:t>49.</w:t>
      </w:r>
      <w:r w:rsidRPr="00C6499F">
        <w:tab/>
        <w:t xml:space="preserve">Amend 4.2.3.6.4 </w:t>
      </w:r>
      <w:r w:rsidR="0066029D" w:rsidRPr="006E69EE">
        <w:t>to</w:t>
      </w:r>
      <w:r w:rsidR="0066029D">
        <w:t xml:space="preserve"> </w:t>
      </w:r>
      <w:r w:rsidR="0066029D" w:rsidRPr="006E69EE">
        <w:t xml:space="preserve">read </w:t>
      </w:r>
      <w:r w:rsidRPr="00C6499F">
        <w:t>as follows:</w:t>
      </w:r>
    </w:p>
    <w:p w14:paraId="5E2C88FC" w14:textId="44393DC7" w:rsidR="00E45185" w:rsidRDefault="00E45185" w:rsidP="003E5EB4">
      <w:pPr>
        <w:pStyle w:val="SingleTxtG"/>
        <w:ind w:left="1701"/>
        <w:rPr>
          <w:lang w:val="es-ES"/>
        </w:rPr>
      </w:pPr>
      <w:r>
        <w:rPr>
          <w:lang w:val="es-ES"/>
        </w:rPr>
        <w:t xml:space="preserve">“Si las autoridades competentes lo autorizan, se podrá permitir </w:t>
      </w:r>
      <w:proofErr w:type="gramStart"/>
      <w:r>
        <w:rPr>
          <w:lang w:val="es-ES"/>
        </w:rPr>
        <w:t>un</w:t>
      </w:r>
      <w:r w:rsidRPr="004058BC">
        <w:rPr>
          <w:b/>
          <w:lang w:val="es-ES"/>
        </w:rPr>
        <w:t>a</w:t>
      </w:r>
      <w:r>
        <w:rPr>
          <w:lang w:val="es-ES"/>
        </w:rPr>
        <w:t xml:space="preserve"> </w:t>
      </w:r>
      <w:r w:rsidRPr="004058BC">
        <w:rPr>
          <w:strike/>
          <w:lang w:val="es-ES"/>
        </w:rPr>
        <w:t>grado</w:t>
      </w:r>
      <w:proofErr w:type="gramEnd"/>
      <w:r w:rsidRPr="004058BC">
        <w:rPr>
          <w:strike/>
          <w:lang w:val="es-ES"/>
        </w:rPr>
        <w:t xml:space="preserve"> </w:t>
      </w:r>
      <w:r>
        <w:rPr>
          <w:b/>
          <w:lang w:val="es-ES"/>
        </w:rPr>
        <w:t>r</w:t>
      </w:r>
      <w:r w:rsidRPr="004058BC">
        <w:rPr>
          <w:b/>
          <w:lang w:val="es-ES"/>
        </w:rPr>
        <w:t>azón</w:t>
      </w:r>
      <w:r>
        <w:rPr>
          <w:lang w:val="es-ES"/>
        </w:rPr>
        <w:t xml:space="preserve"> inicial de llenado más elevado </w:t>
      </w:r>
      <w:proofErr w:type="spellStart"/>
      <w:r w:rsidRPr="003E5EB4">
        <w:rPr>
          <w:rFonts w:ascii="TimesNewRomanPSMT" w:hAnsi="TimesNewRomanPSMT" w:cs="TimesNewRomanPSMT"/>
          <w:lang w:val="fr-FR"/>
        </w:rPr>
        <w:t>cuando</w:t>
      </w:r>
      <w:proofErr w:type="spellEnd"/>
      <w:r>
        <w:rPr>
          <w:lang w:val="es-ES"/>
        </w:rPr>
        <w:t xml:space="preserve"> la duración prevista del transporte sea considerablemente más corta que el tiempo de retención.”</w:t>
      </w:r>
    </w:p>
    <w:p w14:paraId="6D901C50" w14:textId="4568F376" w:rsidR="00E45185" w:rsidRPr="00C6499F" w:rsidRDefault="00E45185" w:rsidP="00E45185">
      <w:pPr>
        <w:pStyle w:val="SingleTxtG"/>
      </w:pPr>
      <w:r w:rsidRPr="00C6499F">
        <w:t>50.</w:t>
      </w:r>
      <w:r w:rsidR="00586C0C" w:rsidRPr="00C6499F">
        <w:tab/>
      </w:r>
      <w:r w:rsidRPr="00C6499F">
        <w:t xml:space="preserve">Amend 4.2.5.2.3 </w:t>
      </w:r>
      <w:r w:rsidR="0066029D" w:rsidRPr="006E69EE">
        <w:t>to</w:t>
      </w:r>
      <w:r w:rsidR="0066029D">
        <w:t xml:space="preserve"> </w:t>
      </w:r>
      <w:r w:rsidR="0066029D" w:rsidRPr="006E69EE">
        <w:t xml:space="preserve">read </w:t>
      </w:r>
      <w:r w:rsidRPr="00C6499F">
        <w:t>as follows:</w:t>
      </w:r>
    </w:p>
    <w:p w14:paraId="4C9B1110" w14:textId="77777777" w:rsidR="00E45185" w:rsidRDefault="00E45185" w:rsidP="003E5EB4">
      <w:pPr>
        <w:pStyle w:val="SingleTxtG"/>
        <w:ind w:left="1701"/>
        <w:rPr>
          <w:lang w:val="es-ES"/>
        </w:rPr>
      </w:pPr>
      <w:r>
        <w:rPr>
          <w:lang w:val="es-ES"/>
        </w:rPr>
        <w:t>“</w:t>
      </w:r>
      <w:r w:rsidRPr="00552CAB">
        <w:rPr>
          <w:lang w:val="es-ES"/>
        </w:rPr>
        <w:t>Los g</w:t>
      </w:r>
      <w:r w:rsidRPr="00046120">
        <w:rPr>
          <w:lang w:val="es-ES"/>
        </w:rPr>
        <w:t>ases licuados no r</w:t>
      </w:r>
      <w:r>
        <w:rPr>
          <w:lang w:val="es-ES"/>
        </w:rPr>
        <w:t xml:space="preserve">efrigerados se asignan a la instrucción de transporte en cisternas T50. En ésta se prevén las presiones de servicio máximas autorizadas y los requisitos en materia de orificios en la parte baja, de dispositivos de descomprensión y de </w:t>
      </w:r>
      <w:r w:rsidRPr="00996E60">
        <w:rPr>
          <w:strike/>
          <w:lang w:val="es-ES"/>
        </w:rPr>
        <w:t>grado</w:t>
      </w:r>
      <w:r>
        <w:rPr>
          <w:lang w:val="es-ES"/>
        </w:rPr>
        <w:t xml:space="preserve"> </w:t>
      </w:r>
      <w:r w:rsidRPr="001B6B18">
        <w:rPr>
          <w:b/>
          <w:bCs/>
          <w:lang w:val="es-ES"/>
        </w:rPr>
        <w:t>razón</w:t>
      </w:r>
      <w:r>
        <w:rPr>
          <w:lang w:val="es-ES"/>
        </w:rPr>
        <w:t xml:space="preserve"> de llenado en el caso de los gases licuados no refrigerados cuyo transporte en cisternas portátiles está permitido.”</w:t>
      </w:r>
    </w:p>
    <w:p w14:paraId="73EA7125" w14:textId="4BFF4ACD" w:rsidR="00E45185" w:rsidRPr="00D16361" w:rsidRDefault="00E45185" w:rsidP="00E45185">
      <w:pPr>
        <w:pStyle w:val="SingleTxtG"/>
      </w:pPr>
      <w:r w:rsidRPr="00D16361">
        <w:t>51.</w:t>
      </w:r>
      <w:r w:rsidR="00586C0C">
        <w:tab/>
      </w:r>
      <w:r w:rsidRPr="00D16361">
        <w:t>Amend</w:t>
      </w:r>
      <w:r w:rsidR="00893101" w:rsidRPr="00893101">
        <w:t xml:space="preserve"> </w:t>
      </w:r>
      <w:r w:rsidR="00893101">
        <w:t>portable tank special provision</w:t>
      </w:r>
      <w:r w:rsidRPr="00D16361">
        <w:t xml:space="preserve"> TP5 in 4.2.5.2.3 to read as follows:</w:t>
      </w:r>
    </w:p>
    <w:p w14:paraId="04038C96" w14:textId="77777777" w:rsidR="00E45185" w:rsidRPr="00E9742A" w:rsidRDefault="00E45185" w:rsidP="003E5EB4">
      <w:pPr>
        <w:pStyle w:val="SingleTxtG"/>
        <w:ind w:left="1701"/>
        <w:rPr>
          <w:lang w:val="es-ES"/>
        </w:rPr>
      </w:pPr>
      <w:r>
        <w:rPr>
          <w:lang w:val="es-ES"/>
        </w:rPr>
        <w:t>“</w:t>
      </w:r>
      <w:r w:rsidRPr="00046120">
        <w:rPr>
          <w:lang w:val="es-ES"/>
        </w:rPr>
        <w:t xml:space="preserve">Se respetará </w:t>
      </w:r>
      <w:r w:rsidRPr="00046120">
        <w:rPr>
          <w:strike/>
          <w:lang w:val="es-ES"/>
        </w:rPr>
        <w:t>el grado</w:t>
      </w:r>
      <w:r w:rsidRPr="00046120">
        <w:rPr>
          <w:lang w:val="es-ES"/>
        </w:rPr>
        <w:t xml:space="preserve"> </w:t>
      </w:r>
      <w:r w:rsidRPr="00046120">
        <w:rPr>
          <w:b/>
          <w:bCs/>
          <w:lang w:val="es-ES"/>
        </w:rPr>
        <w:t>la razón</w:t>
      </w:r>
      <w:r>
        <w:rPr>
          <w:lang w:val="es-ES"/>
        </w:rPr>
        <w:t xml:space="preserve"> </w:t>
      </w:r>
      <w:r w:rsidRPr="00046120">
        <w:rPr>
          <w:lang w:val="es-ES"/>
        </w:rPr>
        <w:t>d</w:t>
      </w:r>
      <w:r>
        <w:rPr>
          <w:lang w:val="es-ES"/>
        </w:rPr>
        <w:t xml:space="preserve">e llenado </w:t>
      </w:r>
      <w:proofErr w:type="spellStart"/>
      <w:r w:rsidRPr="007E204D">
        <w:rPr>
          <w:lang w:val="es-ES"/>
        </w:rPr>
        <w:t>prescrit</w:t>
      </w:r>
      <w:r w:rsidRPr="007F286F">
        <w:rPr>
          <w:strike/>
          <w:lang w:val="es-ES"/>
        </w:rPr>
        <w:t>o</w:t>
      </w:r>
      <w:r w:rsidRPr="007E204D">
        <w:rPr>
          <w:b/>
          <w:lang w:val="es-ES"/>
        </w:rPr>
        <w:t>a</w:t>
      </w:r>
      <w:proofErr w:type="spellEnd"/>
      <w:r>
        <w:rPr>
          <w:lang w:val="es-ES"/>
        </w:rPr>
        <w:t xml:space="preserve"> en 4.2.3.6.”</w:t>
      </w:r>
    </w:p>
    <w:p w14:paraId="1734F896" w14:textId="030314B7" w:rsidR="00E45185" w:rsidRDefault="00E45185" w:rsidP="00E45185">
      <w:pPr>
        <w:pStyle w:val="SingleTxtG"/>
      </w:pPr>
      <w:r>
        <w:t>52</w:t>
      </w:r>
      <w:r w:rsidRPr="00046120">
        <w:t>.</w:t>
      </w:r>
      <w:r w:rsidR="00586C0C">
        <w:tab/>
      </w:r>
      <w:r>
        <w:t>In 6.7.4.15.1 (</w:t>
      </w:r>
      <w:proofErr w:type="spellStart"/>
      <w:r>
        <w:t>i</w:t>
      </w:r>
      <w:proofErr w:type="spellEnd"/>
      <w:r>
        <w:t xml:space="preserve">)(iv), the concept of filling ratio </w:t>
      </w:r>
      <w:r w:rsidR="00893101">
        <w:t>shall</w:t>
      </w:r>
      <w:r>
        <w:t xml:space="preserve"> be used. As additionally the unit of measurement </w:t>
      </w:r>
      <w:r w:rsidR="00DB4AB3">
        <w:t>shall</w:t>
      </w:r>
      <w:r>
        <w:t xml:space="preserve"> be also mentioned, and the filling ratio is defined as the ratio of the mass of gas to the mass of water, also the unit </w:t>
      </w:r>
      <w:proofErr w:type="gramStart"/>
      <w:r>
        <w:t>has to</w:t>
      </w:r>
      <w:proofErr w:type="gramEnd"/>
      <w:r>
        <w:t xml:space="preserve"> be modified, and therefor this paragraph has to be amended as follows</w:t>
      </w:r>
      <w:r w:rsidRPr="00046120">
        <w:t>:</w:t>
      </w:r>
    </w:p>
    <w:p w14:paraId="66315EC4" w14:textId="77777777" w:rsidR="00E45185" w:rsidRPr="009B0041" w:rsidRDefault="00E45185" w:rsidP="003E5EB4">
      <w:pPr>
        <w:pStyle w:val="SingleTxtG"/>
        <w:ind w:left="1701"/>
        <w:rPr>
          <w:lang w:val="es-ES"/>
        </w:rPr>
      </w:pPr>
      <w:r>
        <w:rPr>
          <w:lang w:val="es-ES"/>
        </w:rPr>
        <w:t>“(</w:t>
      </w:r>
      <w:proofErr w:type="spellStart"/>
      <w:r w:rsidRPr="00046120">
        <w:rPr>
          <w:lang w:val="es-ES"/>
        </w:rPr>
        <w:t>iv</w:t>
      </w:r>
      <w:proofErr w:type="spellEnd"/>
      <w:r w:rsidRPr="00046120">
        <w:rPr>
          <w:lang w:val="es-ES"/>
        </w:rPr>
        <w:t xml:space="preserve">) </w:t>
      </w:r>
      <w:r w:rsidRPr="00046120">
        <w:rPr>
          <w:strike/>
          <w:lang w:val="es-ES"/>
        </w:rPr>
        <w:t>Grado</w:t>
      </w:r>
      <w:r w:rsidRPr="00046120">
        <w:rPr>
          <w:lang w:val="es-ES"/>
        </w:rPr>
        <w:t xml:space="preserve"> </w:t>
      </w:r>
      <w:r w:rsidRPr="00046120">
        <w:rPr>
          <w:b/>
          <w:bCs/>
          <w:lang w:val="es-ES"/>
        </w:rPr>
        <w:t xml:space="preserve">Razón </w:t>
      </w:r>
      <w:r w:rsidRPr="00046120">
        <w:rPr>
          <w:lang w:val="es-ES"/>
        </w:rPr>
        <w:t xml:space="preserve">de llenado </w:t>
      </w:r>
      <w:r>
        <w:rPr>
          <w:lang w:val="es-ES"/>
        </w:rPr>
        <w:t xml:space="preserve">(en kg </w:t>
      </w:r>
      <w:r w:rsidRPr="001B6B18">
        <w:rPr>
          <w:b/>
          <w:bCs/>
          <w:lang w:val="es-ES"/>
        </w:rPr>
        <w:t>gas/kg agua</w:t>
      </w:r>
      <w:r>
        <w:rPr>
          <w:lang w:val="es-ES"/>
        </w:rPr>
        <w:t>)</w:t>
      </w:r>
      <w:r>
        <w:rPr>
          <w:vertAlign w:val="superscript"/>
          <w:lang w:val="es-ES"/>
        </w:rPr>
        <w:t>3</w:t>
      </w:r>
    </w:p>
    <w:p w14:paraId="0F0D81F6" w14:textId="6C3DABBB" w:rsidR="00E45185" w:rsidRPr="00046120" w:rsidRDefault="00E45185" w:rsidP="00E45185">
      <w:pPr>
        <w:pStyle w:val="SingleTxtG"/>
      </w:pPr>
      <w:r>
        <w:t>53</w:t>
      </w:r>
      <w:r w:rsidRPr="00046120">
        <w:t>.</w:t>
      </w:r>
      <w:r w:rsidR="00586C0C">
        <w:tab/>
      </w:r>
      <w:r>
        <w:t xml:space="preserve">Similarly, Figure 6.7.4.15.1 in its last column under </w:t>
      </w:r>
      <w:r w:rsidRPr="00046120">
        <w:t>“</w:t>
      </w:r>
      <w:proofErr w:type="spellStart"/>
      <w:r w:rsidRPr="00046120">
        <w:t>Tiempos</w:t>
      </w:r>
      <w:proofErr w:type="spellEnd"/>
      <w:r w:rsidRPr="00046120">
        <w:t xml:space="preserve"> de </w:t>
      </w:r>
      <w:proofErr w:type="spellStart"/>
      <w:r w:rsidRPr="00046120">
        <w:t>retención</w:t>
      </w:r>
      <w:proofErr w:type="spellEnd"/>
      <w:r w:rsidRPr="00046120">
        <w:t xml:space="preserve">” </w:t>
      </w:r>
      <w:proofErr w:type="gramStart"/>
      <w:r>
        <w:t>has to</w:t>
      </w:r>
      <w:proofErr w:type="gramEnd"/>
      <w:r>
        <w:t xml:space="preserve"> be amended as follows</w:t>
      </w:r>
      <w:r w:rsidRPr="00046120">
        <w:t>:</w:t>
      </w:r>
    </w:p>
    <w:p w14:paraId="143F7E68" w14:textId="77777777" w:rsidR="00E45185" w:rsidRPr="00092723" w:rsidRDefault="00E45185" w:rsidP="003E5EB4">
      <w:pPr>
        <w:pStyle w:val="SingleTxtG"/>
        <w:ind w:left="1701"/>
        <w:rPr>
          <w:lang w:val="es-ES"/>
        </w:rPr>
      </w:pPr>
      <w:r w:rsidRPr="00092723">
        <w:rPr>
          <w:strike/>
          <w:lang w:val="es-ES"/>
        </w:rPr>
        <w:t xml:space="preserve">“Grado </w:t>
      </w:r>
      <w:proofErr w:type="spellStart"/>
      <w:r w:rsidRPr="003E5EB4">
        <w:rPr>
          <w:rFonts w:ascii="TimesNewRomanPSMT" w:hAnsi="TimesNewRomanPSMT" w:cs="TimesNewRomanPSMT"/>
          <w:lang w:val="fr-FR"/>
        </w:rPr>
        <w:t>Razón</w:t>
      </w:r>
      <w:proofErr w:type="spellEnd"/>
      <w:r w:rsidRPr="00092723">
        <w:rPr>
          <w:b/>
          <w:bCs/>
          <w:lang w:val="es-ES"/>
        </w:rPr>
        <w:t xml:space="preserve"> </w:t>
      </w:r>
      <w:r w:rsidRPr="00092723">
        <w:rPr>
          <w:lang w:val="es-ES"/>
        </w:rPr>
        <w:t>de llenado”</w:t>
      </w:r>
    </w:p>
    <w:p w14:paraId="62E10C8F" w14:textId="77777777" w:rsidR="00E45185" w:rsidRPr="00092723" w:rsidRDefault="00E45185" w:rsidP="003E5EB4">
      <w:pPr>
        <w:pStyle w:val="SingleTxtG"/>
        <w:ind w:left="1701"/>
        <w:rPr>
          <w:lang w:val="es-ES"/>
        </w:rPr>
      </w:pPr>
      <w:r w:rsidRPr="00092723">
        <w:rPr>
          <w:lang w:val="es-ES"/>
        </w:rPr>
        <w:t xml:space="preserve">“kg </w:t>
      </w:r>
      <w:r w:rsidRPr="003D5FD7">
        <w:rPr>
          <w:b/>
          <w:bCs/>
          <w:lang w:val="es-ES"/>
        </w:rPr>
        <w:t>gas/</w:t>
      </w:r>
      <w:r w:rsidRPr="003E5EB4">
        <w:rPr>
          <w:rFonts w:ascii="TimesNewRomanPSMT" w:hAnsi="TimesNewRomanPSMT" w:cs="TimesNewRomanPSMT"/>
          <w:lang w:val="fr-FR"/>
        </w:rPr>
        <w:t>kg</w:t>
      </w:r>
      <w:r w:rsidRPr="003D5FD7">
        <w:rPr>
          <w:b/>
          <w:bCs/>
          <w:lang w:val="es-ES"/>
        </w:rPr>
        <w:t xml:space="preserve"> agua</w:t>
      </w:r>
      <w:r w:rsidRPr="001B6B18">
        <w:rPr>
          <w:lang w:val="es-ES"/>
        </w:rPr>
        <w:t>”</w:t>
      </w:r>
    </w:p>
    <w:p w14:paraId="6EABAD4D" w14:textId="2490CF31" w:rsidR="00E45185" w:rsidRPr="006E69EE" w:rsidRDefault="00586C0C" w:rsidP="00586C0C">
      <w:pPr>
        <w:pStyle w:val="HChG"/>
      </w:pPr>
      <w:r>
        <w:tab/>
      </w:r>
      <w:r>
        <w:tab/>
      </w:r>
      <w:r w:rsidR="00E45185" w:rsidRPr="000D609A">
        <w:t xml:space="preserve">Proposals for </w:t>
      </w:r>
      <w:r w:rsidR="00E45185">
        <w:t>adding a definition for degree of filling</w:t>
      </w:r>
    </w:p>
    <w:p w14:paraId="329408A7" w14:textId="38E9D0F2" w:rsidR="00586C0C" w:rsidRDefault="00E45185" w:rsidP="00586C0C">
      <w:pPr>
        <w:pStyle w:val="SingleTxtG"/>
        <w:spacing w:before="240"/>
        <w:rPr>
          <w:lang w:val="en-US"/>
        </w:rPr>
      </w:pPr>
      <w:r>
        <w:t>54</w:t>
      </w:r>
      <w:r w:rsidRPr="00A9456E">
        <w:t>.</w:t>
      </w:r>
      <w:r w:rsidRPr="00A9456E">
        <w:tab/>
      </w:r>
      <w:r>
        <w:rPr>
          <w:lang w:val="en-US"/>
        </w:rPr>
        <w:t>It is proposed</w:t>
      </w:r>
      <w:r w:rsidRPr="00A9456E">
        <w:rPr>
          <w:lang w:val="en-US"/>
        </w:rPr>
        <w:t xml:space="preserve"> to add </w:t>
      </w:r>
      <w:r w:rsidR="00247CF8">
        <w:rPr>
          <w:lang w:val="en-US"/>
        </w:rPr>
        <w:t>in</w:t>
      </w:r>
      <w:r w:rsidR="00247CF8" w:rsidRPr="00A9456E">
        <w:rPr>
          <w:lang w:val="en-US"/>
        </w:rPr>
        <w:t xml:space="preserve"> 1.2</w:t>
      </w:r>
      <w:r w:rsidR="00247CF8">
        <w:rPr>
          <w:lang w:val="en-US"/>
        </w:rPr>
        <w:t xml:space="preserve">.1 </w:t>
      </w:r>
      <w:r>
        <w:rPr>
          <w:lang w:val="en-US"/>
        </w:rPr>
        <w:t>a</w:t>
      </w:r>
      <w:r w:rsidRPr="00A9456E">
        <w:rPr>
          <w:lang w:val="en-US"/>
        </w:rPr>
        <w:t xml:space="preserve"> definition of “degree of filling” to </w:t>
      </w:r>
      <w:r>
        <w:rPr>
          <w:lang w:val="en-US"/>
        </w:rPr>
        <w:t xml:space="preserve">as </w:t>
      </w:r>
      <w:r w:rsidRPr="00586C0C">
        <w:t>follows</w:t>
      </w:r>
      <w:r w:rsidRPr="00A9456E">
        <w:rPr>
          <w:lang w:val="en-US"/>
        </w:rPr>
        <w:t xml:space="preserve">: </w:t>
      </w:r>
    </w:p>
    <w:p w14:paraId="25E65719" w14:textId="75FE91B9" w:rsidR="00187A0A" w:rsidRPr="00586C0C" w:rsidRDefault="00E45185" w:rsidP="00586C0C">
      <w:pPr>
        <w:pStyle w:val="SingleTxtG"/>
        <w:spacing w:before="240" w:after="360"/>
        <w:ind w:left="1701"/>
        <w:rPr>
          <w:b/>
          <w:bCs/>
        </w:rPr>
      </w:pPr>
      <w:r w:rsidRPr="00586C0C">
        <w:rPr>
          <w:b/>
          <w:bCs/>
          <w:lang w:val="en-US"/>
        </w:rPr>
        <w:tab/>
        <w:t>“</w:t>
      </w:r>
      <w:r w:rsidRPr="00586C0C">
        <w:rPr>
          <w:b/>
          <w:bCs/>
          <w:i/>
          <w:iCs/>
          <w:lang w:val="en-US"/>
        </w:rPr>
        <w:t>Degree of filling</w:t>
      </w:r>
      <w:r w:rsidRPr="00586C0C">
        <w:rPr>
          <w:b/>
          <w:bCs/>
          <w:lang w:val="en-US"/>
        </w:rPr>
        <w:t xml:space="preserve"> means the ratio, expressed in %, of the </w:t>
      </w:r>
      <w:r w:rsidRPr="00586C0C">
        <w:rPr>
          <w:b/>
          <w:bCs/>
        </w:rPr>
        <w:t>volume</w:t>
      </w:r>
      <w:r w:rsidRPr="00586C0C">
        <w:rPr>
          <w:b/>
          <w:bCs/>
          <w:lang w:val="en-US"/>
        </w:rPr>
        <w:t xml:space="preserve"> of liquid or solid introduced at 15</w:t>
      </w:r>
      <w:r w:rsidR="00060474">
        <w:rPr>
          <w:b/>
          <w:bCs/>
          <w:lang w:val="en-US"/>
        </w:rPr>
        <w:t xml:space="preserve"> </w:t>
      </w:r>
      <w:r w:rsidRPr="00586C0C">
        <w:rPr>
          <w:b/>
          <w:bCs/>
          <w:lang w:val="en-US"/>
        </w:rPr>
        <w:t>ºC into the receptacle and the volume of the receptacle ready for use.”</w:t>
      </w:r>
    </w:p>
    <w:p w14:paraId="461E1CBE" w14:textId="7337FA2C" w:rsidR="00586C0C" w:rsidRDefault="00586C0C">
      <w:pPr>
        <w:suppressAutoHyphens w:val="0"/>
        <w:kinsoku/>
        <w:overflowPunct/>
        <w:autoSpaceDE/>
        <w:autoSpaceDN/>
        <w:adjustRightInd/>
        <w:snapToGrid/>
        <w:spacing w:after="200" w:line="276" w:lineRule="auto"/>
      </w:pPr>
      <w:r>
        <w:br w:type="page"/>
      </w:r>
    </w:p>
    <w:p w14:paraId="3E5BB923" w14:textId="0A1BF256" w:rsidR="001E405F" w:rsidRDefault="001E405F" w:rsidP="001E405F">
      <w:pPr>
        <w:pStyle w:val="HChG"/>
      </w:pPr>
      <w:r w:rsidRPr="006E69EE">
        <w:t>A</w:t>
      </w:r>
      <w:r>
        <w:t>nnex</w:t>
      </w:r>
      <w:r w:rsidRPr="006E69EE">
        <w:t xml:space="preserve"> </w:t>
      </w:r>
    </w:p>
    <w:p w14:paraId="458565B1" w14:textId="679F2307" w:rsidR="00187A0A" w:rsidRDefault="001E405F" w:rsidP="001E405F">
      <w:pPr>
        <w:pStyle w:val="HChG"/>
      </w:pPr>
      <w:r>
        <w:tab/>
      </w:r>
      <w:r>
        <w:tab/>
        <w:t xml:space="preserve">Use of </w:t>
      </w:r>
      <w:r w:rsidR="00CE5AB9">
        <w:t>the terms “</w:t>
      </w:r>
      <w:r>
        <w:t>filling ratio/degree of filling</w:t>
      </w:r>
      <w:r w:rsidR="00CE5AB9">
        <w:t>”</w:t>
      </w:r>
      <w:r>
        <w:t xml:space="preserve"> in English, </w:t>
      </w:r>
      <w:proofErr w:type="gramStart"/>
      <w:r>
        <w:t>French</w:t>
      </w:r>
      <w:proofErr w:type="gramEnd"/>
      <w:r>
        <w:t xml:space="preserve"> and Spanish language versions</w:t>
      </w:r>
    </w:p>
    <w:tbl>
      <w:tblPr>
        <w:tblStyle w:val="TableGrid"/>
        <w:tblW w:w="9776" w:type="dxa"/>
        <w:tblLook w:val="04A0" w:firstRow="1" w:lastRow="0" w:firstColumn="1" w:lastColumn="0" w:noHBand="0" w:noVBand="1"/>
      </w:tblPr>
      <w:tblGrid>
        <w:gridCol w:w="1540"/>
        <w:gridCol w:w="1218"/>
        <w:gridCol w:w="1557"/>
        <w:gridCol w:w="1172"/>
        <w:gridCol w:w="1070"/>
        <w:gridCol w:w="1667"/>
        <w:gridCol w:w="1552"/>
      </w:tblGrid>
      <w:tr w:rsidR="009E3E90" w:rsidRPr="009E3E90" w14:paraId="7935E08F" w14:textId="77777777" w:rsidTr="00903537">
        <w:trPr>
          <w:tblHeader/>
        </w:trPr>
        <w:tc>
          <w:tcPr>
            <w:tcW w:w="1540" w:type="dxa"/>
          </w:tcPr>
          <w:p w14:paraId="180BB756" w14:textId="77777777"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REFERENCE</w:t>
            </w:r>
          </w:p>
        </w:tc>
        <w:tc>
          <w:tcPr>
            <w:tcW w:w="1218" w:type="dxa"/>
          </w:tcPr>
          <w:p w14:paraId="14851FF5" w14:textId="77777777"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ENGLISH</w:t>
            </w:r>
          </w:p>
        </w:tc>
        <w:tc>
          <w:tcPr>
            <w:tcW w:w="1557" w:type="dxa"/>
          </w:tcPr>
          <w:p w14:paraId="5227B8F1" w14:textId="77777777"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 xml:space="preserve">FRENCH </w:t>
            </w:r>
          </w:p>
        </w:tc>
        <w:tc>
          <w:tcPr>
            <w:tcW w:w="1172" w:type="dxa"/>
          </w:tcPr>
          <w:p w14:paraId="58EEE591" w14:textId="77777777"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SPANISH</w:t>
            </w:r>
          </w:p>
        </w:tc>
        <w:tc>
          <w:tcPr>
            <w:tcW w:w="1070" w:type="dxa"/>
          </w:tcPr>
          <w:p w14:paraId="5FE9DAB8" w14:textId="77FE9004"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Required changes</w:t>
            </w:r>
            <w:r w:rsidR="00DF5AE7">
              <w:rPr>
                <w:rFonts w:asciiTheme="majorBidi" w:hAnsiTheme="majorBidi" w:cstheme="majorBidi"/>
                <w:b/>
                <w:sz w:val="18"/>
                <w:szCs w:val="18"/>
              </w:rPr>
              <w:t xml:space="preserve"> for </w:t>
            </w:r>
            <w:r w:rsidRPr="009E3E90">
              <w:rPr>
                <w:rFonts w:asciiTheme="majorBidi" w:hAnsiTheme="majorBidi" w:cstheme="majorBidi"/>
                <w:b/>
                <w:sz w:val="18"/>
                <w:szCs w:val="18"/>
              </w:rPr>
              <w:t>English</w:t>
            </w:r>
          </w:p>
        </w:tc>
        <w:tc>
          <w:tcPr>
            <w:tcW w:w="1667" w:type="dxa"/>
          </w:tcPr>
          <w:p w14:paraId="2978A607" w14:textId="7F860AE7"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 xml:space="preserve">Required changes </w:t>
            </w:r>
            <w:r w:rsidR="00DF5AE7">
              <w:rPr>
                <w:rFonts w:asciiTheme="majorBidi" w:hAnsiTheme="majorBidi" w:cstheme="majorBidi"/>
                <w:b/>
                <w:sz w:val="18"/>
                <w:szCs w:val="18"/>
              </w:rPr>
              <w:t xml:space="preserve">for </w:t>
            </w:r>
            <w:r w:rsidRPr="009E3E90">
              <w:rPr>
                <w:rFonts w:asciiTheme="majorBidi" w:hAnsiTheme="majorBidi" w:cstheme="majorBidi"/>
                <w:b/>
                <w:sz w:val="18"/>
                <w:szCs w:val="18"/>
              </w:rPr>
              <w:t>French</w:t>
            </w:r>
          </w:p>
        </w:tc>
        <w:tc>
          <w:tcPr>
            <w:tcW w:w="1552" w:type="dxa"/>
          </w:tcPr>
          <w:p w14:paraId="14862493" w14:textId="0C39A162" w:rsidR="009E3E90" w:rsidRPr="009E3E90" w:rsidRDefault="009E3E90" w:rsidP="00645268">
            <w:pPr>
              <w:rPr>
                <w:rFonts w:asciiTheme="majorBidi" w:hAnsiTheme="majorBidi" w:cstheme="majorBidi"/>
                <w:b/>
                <w:sz w:val="18"/>
                <w:szCs w:val="18"/>
              </w:rPr>
            </w:pPr>
            <w:r w:rsidRPr="009E3E90">
              <w:rPr>
                <w:rFonts w:asciiTheme="majorBidi" w:hAnsiTheme="majorBidi" w:cstheme="majorBidi"/>
                <w:b/>
                <w:sz w:val="18"/>
                <w:szCs w:val="18"/>
              </w:rPr>
              <w:t xml:space="preserve">Required changes </w:t>
            </w:r>
            <w:r w:rsidR="00DF5AE7">
              <w:rPr>
                <w:rFonts w:asciiTheme="majorBidi" w:hAnsiTheme="majorBidi" w:cstheme="majorBidi"/>
                <w:b/>
                <w:sz w:val="18"/>
                <w:szCs w:val="18"/>
              </w:rPr>
              <w:t xml:space="preserve">for </w:t>
            </w:r>
            <w:r w:rsidRPr="009E3E90">
              <w:rPr>
                <w:rFonts w:asciiTheme="majorBidi" w:hAnsiTheme="majorBidi" w:cstheme="majorBidi"/>
                <w:b/>
                <w:sz w:val="18"/>
                <w:szCs w:val="18"/>
              </w:rPr>
              <w:t>Spanish</w:t>
            </w:r>
          </w:p>
        </w:tc>
      </w:tr>
      <w:tr w:rsidR="009E3E90" w:rsidRPr="009E3E90" w14:paraId="27BC912B" w14:textId="77777777" w:rsidTr="00645268">
        <w:tc>
          <w:tcPr>
            <w:tcW w:w="1540" w:type="dxa"/>
          </w:tcPr>
          <w:p w14:paraId="22F4C0E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Data sheet</w:t>
            </w:r>
          </w:p>
          <w:p w14:paraId="2298B6E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Section 9.6</w:t>
            </w:r>
          </w:p>
        </w:tc>
        <w:tc>
          <w:tcPr>
            <w:tcW w:w="1218" w:type="dxa"/>
          </w:tcPr>
          <w:p w14:paraId="57ACBD9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18F21A42"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1AE605A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Tasa/</w:t>
            </w: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0572DF6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22F18488" w14:textId="6F9C9012"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sz w:val="18"/>
                <w:szCs w:val="18"/>
              </w:rPr>
              <w:t>13</w:t>
            </w:r>
          </w:p>
        </w:tc>
        <w:tc>
          <w:tcPr>
            <w:tcW w:w="1667" w:type="dxa"/>
          </w:tcPr>
          <w:p w14:paraId="2676108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1A64CA9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0D3E5388" w14:textId="77777777" w:rsidTr="00645268">
        <w:tc>
          <w:tcPr>
            <w:tcW w:w="1540" w:type="dxa"/>
          </w:tcPr>
          <w:p w14:paraId="0819ECB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SP 392 (f)</w:t>
            </w:r>
          </w:p>
        </w:tc>
        <w:tc>
          <w:tcPr>
            <w:tcW w:w="1218" w:type="dxa"/>
          </w:tcPr>
          <w:p w14:paraId="659A4CD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6B82CEB0"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14401613"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Volumen</w:t>
            </w:r>
            <w:proofErr w:type="spellEnd"/>
            <w:r w:rsidRPr="009E3E90">
              <w:rPr>
                <w:rFonts w:asciiTheme="majorBidi" w:hAnsiTheme="majorBidi" w:cstheme="majorBidi"/>
                <w:sz w:val="18"/>
                <w:szCs w:val="18"/>
              </w:rPr>
              <w:t xml:space="preserve"> nominal de </w:t>
            </w:r>
            <w:proofErr w:type="spellStart"/>
            <w:r w:rsidRPr="009E3E90">
              <w:rPr>
                <w:rFonts w:asciiTheme="majorBidi" w:hAnsiTheme="majorBidi" w:cstheme="majorBidi"/>
                <w:sz w:val="18"/>
                <w:szCs w:val="18"/>
              </w:rPr>
              <w:t>llenado</w:t>
            </w:r>
            <w:proofErr w:type="spellEnd"/>
          </w:p>
        </w:tc>
        <w:tc>
          <w:tcPr>
            <w:tcW w:w="1070" w:type="dxa"/>
          </w:tcPr>
          <w:p w14:paraId="799B8C2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5F5D79C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2016BD90"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2372FC1B" w14:textId="64500044"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sz w:val="18"/>
                <w:szCs w:val="18"/>
              </w:rPr>
              <w:t>45</w:t>
            </w:r>
          </w:p>
        </w:tc>
      </w:tr>
      <w:tr w:rsidR="009E3E90" w:rsidRPr="009E3E90" w14:paraId="270EB575" w14:textId="77777777" w:rsidTr="00645268">
        <w:tc>
          <w:tcPr>
            <w:tcW w:w="1540" w:type="dxa"/>
          </w:tcPr>
          <w:p w14:paraId="2B1732F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4.1.1.10 a)</w:t>
            </w:r>
          </w:p>
        </w:tc>
        <w:tc>
          <w:tcPr>
            <w:tcW w:w="1218" w:type="dxa"/>
          </w:tcPr>
          <w:p w14:paraId="340B0E2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272B3255"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maximale</w:t>
            </w:r>
            <w:proofErr w:type="spellEnd"/>
          </w:p>
        </w:tc>
        <w:tc>
          <w:tcPr>
            <w:tcW w:w="1172" w:type="dxa"/>
          </w:tcPr>
          <w:p w14:paraId="3F36AEE3"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máxima</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2FE0034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FEB435D" w14:textId="0A23F45F"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Degré maximal de remplissage</w:t>
            </w:r>
          </w:p>
          <w:p w14:paraId="3F842EF0" w14:textId="6C27291C" w:rsidR="009E3E90" w:rsidRPr="009E3E90" w:rsidRDefault="009E3E90" w:rsidP="00645268">
            <w:pPr>
              <w:rPr>
                <w:rFonts w:asciiTheme="majorBidi" w:hAnsiTheme="majorBidi" w:cstheme="majorBidi"/>
                <w:b/>
                <w:bCs/>
                <w:sz w:val="18"/>
                <w:szCs w:val="18"/>
                <w:lang w:val="fr-FR"/>
              </w:rPr>
            </w:pPr>
            <w:r w:rsidRPr="009E3E90">
              <w:rPr>
                <w:rFonts w:asciiTheme="majorBidi" w:hAnsiTheme="majorBidi" w:cstheme="majorBidi"/>
                <w:b/>
                <w:bCs/>
                <w:sz w:val="18"/>
                <w:szCs w:val="18"/>
                <w:lang w:val="fr-FR"/>
              </w:rPr>
              <w:t>Par</w:t>
            </w:r>
            <w:r w:rsidR="0060047A">
              <w:rPr>
                <w:rFonts w:asciiTheme="majorBidi" w:hAnsiTheme="majorBidi" w:cstheme="majorBidi"/>
                <w:b/>
                <w:bCs/>
                <w:sz w:val="18"/>
                <w:szCs w:val="18"/>
                <w:lang w:val="fr-FR"/>
              </w:rPr>
              <w:t>a</w:t>
            </w:r>
            <w:r w:rsidRPr="009E3E90">
              <w:rPr>
                <w:rFonts w:asciiTheme="majorBidi" w:hAnsiTheme="majorBidi" w:cstheme="majorBidi"/>
                <w:b/>
                <w:bCs/>
                <w:sz w:val="18"/>
                <w:szCs w:val="18"/>
                <w:lang w:val="fr-FR"/>
              </w:rPr>
              <w:t>.</w:t>
            </w:r>
            <w:r w:rsidR="0060047A">
              <w:rPr>
                <w:rFonts w:asciiTheme="majorBidi" w:hAnsiTheme="majorBidi" w:cstheme="majorBidi"/>
                <w:b/>
                <w:bCs/>
                <w:sz w:val="18"/>
                <w:szCs w:val="18"/>
                <w:lang w:val="fr-FR"/>
              </w:rPr>
              <w:t xml:space="preserve"> </w:t>
            </w:r>
            <w:r w:rsidRPr="009E3E90">
              <w:rPr>
                <w:rFonts w:asciiTheme="majorBidi" w:hAnsiTheme="majorBidi" w:cstheme="majorBidi"/>
                <w:b/>
                <w:bCs/>
                <w:color w:val="000000" w:themeColor="text1"/>
                <w:sz w:val="18"/>
                <w:szCs w:val="18"/>
                <w:lang w:val="fr-FR"/>
              </w:rPr>
              <w:t>21</w:t>
            </w:r>
          </w:p>
        </w:tc>
        <w:tc>
          <w:tcPr>
            <w:tcW w:w="1552" w:type="dxa"/>
          </w:tcPr>
          <w:p w14:paraId="4D09731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7E914B9D" w14:textId="35611367"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sz w:val="18"/>
                <w:szCs w:val="18"/>
              </w:rPr>
              <w:t>46</w:t>
            </w:r>
          </w:p>
        </w:tc>
      </w:tr>
      <w:tr w:rsidR="009E3E90" w:rsidRPr="009E3E90" w14:paraId="08DD82D1" w14:textId="77777777" w:rsidTr="00645268">
        <w:trPr>
          <w:trHeight w:val="87"/>
        </w:trPr>
        <w:tc>
          <w:tcPr>
            <w:tcW w:w="1540" w:type="dxa"/>
          </w:tcPr>
          <w:p w14:paraId="7A5400D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P200 Heading</w:t>
            </w:r>
          </w:p>
          <w:p w14:paraId="03B2742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Column 13</w:t>
            </w:r>
          </w:p>
        </w:tc>
        <w:tc>
          <w:tcPr>
            <w:tcW w:w="1218" w:type="dxa"/>
          </w:tcPr>
          <w:p w14:paraId="701DFF6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49DC4ECA"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w:t>
            </w:r>
          </w:p>
        </w:tc>
        <w:tc>
          <w:tcPr>
            <w:tcW w:w="1172" w:type="dxa"/>
          </w:tcPr>
          <w:p w14:paraId="23C767BD"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33E374A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7FF374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54F9A93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4B4D4A59" w14:textId="77777777" w:rsidTr="00645268">
        <w:trPr>
          <w:trHeight w:val="87"/>
        </w:trPr>
        <w:tc>
          <w:tcPr>
            <w:tcW w:w="1540" w:type="dxa"/>
          </w:tcPr>
          <w:p w14:paraId="34F04B9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(2) f</w:t>
            </w:r>
          </w:p>
        </w:tc>
        <w:tc>
          <w:tcPr>
            <w:tcW w:w="1218" w:type="dxa"/>
          </w:tcPr>
          <w:p w14:paraId="0191AF0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4CF3CBEC"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Taux maximum(s) de remplissage</w:t>
            </w:r>
          </w:p>
        </w:tc>
        <w:tc>
          <w:tcPr>
            <w:tcW w:w="1172" w:type="dxa"/>
          </w:tcPr>
          <w:p w14:paraId="3FE301AA"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razones</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máxima</w:t>
            </w:r>
            <w:proofErr w:type="spellEnd"/>
            <w:r w:rsidRPr="009E3E90">
              <w:rPr>
                <w:rFonts w:asciiTheme="majorBidi" w:hAnsiTheme="majorBidi" w:cstheme="majorBidi"/>
                <w:sz w:val="18"/>
                <w:szCs w:val="18"/>
              </w:rPr>
              <w:t xml:space="preserve">(s) de </w:t>
            </w:r>
            <w:proofErr w:type="spellStart"/>
            <w:r w:rsidRPr="009E3E90">
              <w:rPr>
                <w:rFonts w:asciiTheme="majorBidi" w:hAnsiTheme="majorBidi" w:cstheme="majorBidi"/>
                <w:sz w:val="18"/>
                <w:szCs w:val="18"/>
              </w:rPr>
              <w:t>llenado</w:t>
            </w:r>
            <w:proofErr w:type="spellEnd"/>
          </w:p>
        </w:tc>
        <w:tc>
          <w:tcPr>
            <w:tcW w:w="1070" w:type="dxa"/>
          </w:tcPr>
          <w:p w14:paraId="02C3AF6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282CB15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559B8BC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42B8F5FB" w14:textId="77777777" w:rsidTr="00645268">
        <w:tc>
          <w:tcPr>
            <w:tcW w:w="1540" w:type="dxa"/>
          </w:tcPr>
          <w:p w14:paraId="6F2A0D0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(3) b</w:t>
            </w:r>
          </w:p>
        </w:tc>
        <w:tc>
          <w:tcPr>
            <w:tcW w:w="1218" w:type="dxa"/>
          </w:tcPr>
          <w:p w14:paraId="3B419C9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 (6)</w:t>
            </w:r>
          </w:p>
        </w:tc>
        <w:tc>
          <w:tcPr>
            <w:tcW w:w="1557" w:type="dxa"/>
          </w:tcPr>
          <w:p w14:paraId="5F20C30A"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 xml:space="preserve">Taux </w:t>
            </w:r>
            <w:proofErr w:type="gramStart"/>
            <w:r w:rsidRPr="009E3E90">
              <w:rPr>
                <w:rFonts w:asciiTheme="majorBidi" w:hAnsiTheme="majorBidi" w:cstheme="majorBidi"/>
                <w:sz w:val="18"/>
                <w:szCs w:val="18"/>
                <w:lang w:val="fr-FR"/>
              </w:rPr>
              <w:t>remplissage  (</w:t>
            </w:r>
            <w:proofErr w:type="gramEnd"/>
            <w:r w:rsidRPr="009E3E90">
              <w:rPr>
                <w:rFonts w:asciiTheme="majorBidi" w:hAnsiTheme="majorBidi" w:cstheme="majorBidi"/>
                <w:sz w:val="18"/>
                <w:szCs w:val="18"/>
                <w:lang w:val="fr-FR"/>
              </w:rPr>
              <w:t>6)</w:t>
            </w:r>
          </w:p>
          <w:p w14:paraId="06E73858" w14:textId="77777777" w:rsidR="009E3E90" w:rsidRPr="009E3E90" w:rsidRDefault="009E3E90" w:rsidP="00645268">
            <w:pPr>
              <w:rPr>
                <w:rFonts w:asciiTheme="majorBidi" w:hAnsiTheme="majorBidi" w:cstheme="majorBidi"/>
                <w:sz w:val="18"/>
                <w:szCs w:val="18"/>
                <w:lang w:val="fr-FR"/>
              </w:rPr>
            </w:pPr>
          </w:p>
        </w:tc>
        <w:tc>
          <w:tcPr>
            <w:tcW w:w="1172" w:type="dxa"/>
          </w:tcPr>
          <w:p w14:paraId="6F69360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(6)</w:t>
            </w:r>
          </w:p>
        </w:tc>
        <w:tc>
          <w:tcPr>
            <w:tcW w:w="1070" w:type="dxa"/>
          </w:tcPr>
          <w:p w14:paraId="324B5F6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10979B6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2331A5F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603207E7" w14:textId="77777777" w:rsidTr="00645268">
        <w:tc>
          <w:tcPr>
            <w:tcW w:w="1540" w:type="dxa"/>
          </w:tcPr>
          <w:p w14:paraId="4CC184A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(3) c</w:t>
            </w:r>
          </w:p>
        </w:tc>
        <w:tc>
          <w:tcPr>
            <w:tcW w:w="1218" w:type="dxa"/>
          </w:tcPr>
          <w:p w14:paraId="370C19F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 (2)</w:t>
            </w:r>
          </w:p>
        </w:tc>
        <w:tc>
          <w:tcPr>
            <w:tcW w:w="1557" w:type="dxa"/>
          </w:tcPr>
          <w:p w14:paraId="664E1F1B"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maximal (2)</w:t>
            </w:r>
          </w:p>
        </w:tc>
        <w:tc>
          <w:tcPr>
            <w:tcW w:w="1172" w:type="dxa"/>
          </w:tcPr>
          <w:p w14:paraId="5E0C35F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máxima</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(2)</w:t>
            </w:r>
          </w:p>
        </w:tc>
        <w:tc>
          <w:tcPr>
            <w:tcW w:w="1070" w:type="dxa"/>
          </w:tcPr>
          <w:p w14:paraId="157FE2F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6632A5B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400D7AE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20A41CA0" w14:textId="77777777" w:rsidTr="00645268">
        <w:tc>
          <w:tcPr>
            <w:tcW w:w="1540" w:type="dxa"/>
          </w:tcPr>
          <w:p w14:paraId="7A66040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GAS SP o</w:t>
            </w:r>
          </w:p>
        </w:tc>
        <w:tc>
          <w:tcPr>
            <w:tcW w:w="1218" w:type="dxa"/>
          </w:tcPr>
          <w:p w14:paraId="36B57BF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6B60F968"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remplissage</w:t>
            </w:r>
            <w:proofErr w:type="spellEnd"/>
          </w:p>
        </w:tc>
        <w:tc>
          <w:tcPr>
            <w:tcW w:w="1172" w:type="dxa"/>
          </w:tcPr>
          <w:p w14:paraId="024D0CB6"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60ED546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0BCB7BF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185F71F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10361B33" w14:textId="77777777" w:rsidTr="00645268">
        <w:tc>
          <w:tcPr>
            <w:tcW w:w="1540" w:type="dxa"/>
          </w:tcPr>
          <w:p w14:paraId="52EADE5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GAS SP r</w:t>
            </w:r>
          </w:p>
        </w:tc>
        <w:tc>
          <w:tcPr>
            <w:tcW w:w="1218" w:type="dxa"/>
          </w:tcPr>
          <w:p w14:paraId="175FD27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521A27E6"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remplissage</w:t>
            </w:r>
            <w:proofErr w:type="spellEnd"/>
          </w:p>
        </w:tc>
        <w:tc>
          <w:tcPr>
            <w:tcW w:w="1172" w:type="dxa"/>
          </w:tcPr>
          <w:p w14:paraId="50798862"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6171EBA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6A6AF7A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24ACB20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62B45640" w14:textId="77777777" w:rsidTr="00645268">
        <w:tc>
          <w:tcPr>
            <w:tcW w:w="1540" w:type="dxa"/>
          </w:tcPr>
          <w:p w14:paraId="06BE1B8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P200 GAS SP z</w:t>
            </w:r>
          </w:p>
        </w:tc>
        <w:tc>
          <w:tcPr>
            <w:tcW w:w="1218" w:type="dxa"/>
          </w:tcPr>
          <w:p w14:paraId="463356D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3A96A063"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remplissage</w:t>
            </w:r>
            <w:proofErr w:type="spellEnd"/>
          </w:p>
        </w:tc>
        <w:tc>
          <w:tcPr>
            <w:tcW w:w="1172" w:type="dxa"/>
          </w:tcPr>
          <w:p w14:paraId="3F93D799"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25C2D60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E9AD03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5433CFB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24A32C99" w14:textId="77777777" w:rsidTr="00645268">
        <w:tc>
          <w:tcPr>
            <w:tcW w:w="1540" w:type="dxa"/>
          </w:tcPr>
          <w:p w14:paraId="3B5DCCF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P203 (5</w:t>
            </w:r>
            <w:proofErr w:type="gramStart"/>
            <w:r w:rsidRPr="009E3E90">
              <w:rPr>
                <w:rFonts w:asciiTheme="majorBidi" w:hAnsiTheme="majorBidi" w:cstheme="majorBidi"/>
                <w:sz w:val="18"/>
                <w:szCs w:val="18"/>
              </w:rPr>
              <w:t>)  (</w:t>
            </w:r>
            <w:proofErr w:type="gramEnd"/>
            <w:r w:rsidRPr="009E3E90">
              <w:rPr>
                <w:rFonts w:asciiTheme="majorBidi" w:hAnsiTheme="majorBidi" w:cstheme="majorBidi"/>
                <w:sz w:val="18"/>
                <w:szCs w:val="18"/>
              </w:rPr>
              <w:t>2) Heading</w:t>
            </w:r>
          </w:p>
        </w:tc>
        <w:tc>
          <w:tcPr>
            <w:tcW w:w="1218" w:type="dxa"/>
          </w:tcPr>
          <w:p w14:paraId="188DC36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118F0B4F"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37B19FF4"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34522DB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4FB038F8" w14:textId="69639AC8"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sz w:val="18"/>
                <w:szCs w:val="18"/>
              </w:rPr>
              <w:t>14</w:t>
            </w:r>
          </w:p>
        </w:tc>
        <w:tc>
          <w:tcPr>
            <w:tcW w:w="1667" w:type="dxa"/>
          </w:tcPr>
          <w:p w14:paraId="36864F1F"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5996279C" w14:textId="084C0DED"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22</w:t>
            </w:r>
          </w:p>
        </w:tc>
        <w:tc>
          <w:tcPr>
            <w:tcW w:w="1552" w:type="dxa"/>
          </w:tcPr>
          <w:p w14:paraId="707A733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5D378590" w14:textId="77777777" w:rsidTr="00645268">
        <w:tc>
          <w:tcPr>
            <w:tcW w:w="1540" w:type="dxa"/>
          </w:tcPr>
          <w:p w14:paraId="22F2A9C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PI P907</w:t>
            </w:r>
          </w:p>
        </w:tc>
        <w:tc>
          <w:tcPr>
            <w:tcW w:w="1218" w:type="dxa"/>
          </w:tcPr>
          <w:p w14:paraId="5268C42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tc>
        <w:tc>
          <w:tcPr>
            <w:tcW w:w="1557" w:type="dxa"/>
          </w:tcPr>
          <w:p w14:paraId="18394211"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67A8475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3DC695A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0668CDF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7DB328F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090A5223" w14:textId="77777777" w:rsidTr="00645268">
        <w:trPr>
          <w:trHeight w:val="193"/>
        </w:trPr>
        <w:tc>
          <w:tcPr>
            <w:tcW w:w="1540" w:type="dxa"/>
          </w:tcPr>
          <w:p w14:paraId="360BCCA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4.1.6.1.6</w:t>
            </w:r>
          </w:p>
        </w:tc>
        <w:tc>
          <w:tcPr>
            <w:tcW w:w="1218" w:type="dxa"/>
          </w:tcPr>
          <w:p w14:paraId="7DB6758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ratios</w:t>
            </w:r>
          </w:p>
        </w:tc>
        <w:tc>
          <w:tcPr>
            <w:tcW w:w="1557" w:type="dxa"/>
          </w:tcPr>
          <w:p w14:paraId="5BC8E1D0"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448BD3EF"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Razones</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434E5CD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04C052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6F6ECF0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1ACC7E4D" w14:textId="77777777" w:rsidTr="00645268">
        <w:tc>
          <w:tcPr>
            <w:tcW w:w="1540" w:type="dxa"/>
          </w:tcPr>
          <w:p w14:paraId="6BFDBA8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4.1.7.0.1</w:t>
            </w:r>
          </w:p>
        </w:tc>
        <w:tc>
          <w:tcPr>
            <w:tcW w:w="1218" w:type="dxa"/>
          </w:tcPr>
          <w:p w14:paraId="7FEA385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577F62C0"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4CFC4C2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0603077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D41D451"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217B05D6" w14:textId="7FAD0E3E"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23</w:t>
            </w:r>
          </w:p>
        </w:tc>
        <w:tc>
          <w:tcPr>
            <w:tcW w:w="1552" w:type="dxa"/>
          </w:tcPr>
          <w:p w14:paraId="079BB77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p w14:paraId="7BDAFA97" w14:textId="37173E70"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sz w:val="18"/>
                <w:szCs w:val="18"/>
              </w:rPr>
              <w:t>47</w:t>
            </w:r>
          </w:p>
        </w:tc>
      </w:tr>
      <w:tr w:rsidR="009E3E90" w:rsidRPr="009E3E90" w14:paraId="67DD1F0C" w14:textId="77777777" w:rsidTr="00645268">
        <w:tc>
          <w:tcPr>
            <w:tcW w:w="1540" w:type="dxa"/>
          </w:tcPr>
          <w:p w14:paraId="321604C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4.2.1.9.2</w:t>
            </w:r>
          </w:p>
        </w:tc>
        <w:tc>
          <w:tcPr>
            <w:tcW w:w="1218" w:type="dxa"/>
          </w:tcPr>
          <w:p w14:paraId="11C2E22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7C699B32"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7A73C87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proofErr w:type="gram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w:t>
            </w:r>
            <w:proofErr w:type="gramEnd"/>
            <w:r w:rsidRPr="009E3E90">
              <w:rPr>
                <w:rFonts w:asciiTheme="majorBidi" w:hAnsiTheme="majorBidi" w:cstheme="majorBidi"/>
                <w:sz w:val="18"/>
                <w:szCs w:val="18"/>
              </w:rPr>
              <w:t>2)</w:t>
            </w:r>
          </w:p>
        </w:tc>
        <w:tc>
          <w:tcPr>
            <w:tcW w:w="1070" w:type="dxa"/>
          </w:tcPr>
          <w:p w14:paraId="46DF896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08A60E9B"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658B04E8" w14:textId="040296BB"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24</w:t>
            </w:r>
          </w:p>
        </w:tc>
        <w:tc>
          <w:tcPr>
            <w:tcW w:w="1552" w:type="dxa"/>
          </w:tcPr>
          <w:p w14:paraId="214825C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765B3E28" w14:textId="77777777" w:rsidTr="00645268">
        <w:tc>
          <w:tcPr>
            <w:tcW w:w="1540" w:type="dxa"/>
          </w:tcPr>
          <w:p w14:paraId="28FD099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4.2.1.9.3</w:t>
            </w:r>
          </w:p>
        </w:tc>
        <w:tc>
          <w:tcPr>
            <w:tcW w:w="1218" w:type="dxa"/>
          </w:tcPr>
          <w:p w14:paraId="0E64E35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4F71FDAF"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631DF93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proofErr w:type="gram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w:t>
            </w:r>
            <w:proofErr w:type="gramEnd"/>
            <w:r w:rsidRPr="009E3E90">
              <w:rPr>
                <w:rFonts w:asciiTheme="majorBidi" w:hAnsiTheme="majorBidi" w:cstheme="majorBidi"/>
                <w:sz w:val="18"/>
                <w:szCs w:val="18"/>
              </w:rPr>
              <w:t>2)</w:t>
            </w:r>
          </w:p>
        </w:tc>
        <w:tc>
          <w:tcPr>
            <w:tcW w:w="1070" w:type="dxa"/>
          </w:tcPr>
          <w:p w14:paraId="0FEDA5B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2AFC34CE"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288280F4" w14:textId="7E8518E8"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25</w:t>
            </w:r>
          </w:p>
        </w:tc>
        <w:tc>
          <w:tcPr>
            <w:tcW w:w="1552" w:type="dxa"/>
          </w:tcPr>
          <w:p w14:paraId="3199DA5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1E5ED1D1" w14:textId="77777777" w:rsidTr="00645268">
        <w:tc>
          <w:tcPr>
            <w:tcW w:w="1540" w:type="dxa"/>
          </w:tcPr>
          <w:p w14:paraId="256C87F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4.2.1.9.5</w:t>
            </w:r>
          </w:p>
        </w:tc>
        <w:tc>
          <w:tcPr>
            <w:tcW w:w="1218" w:type="dxa"/>
          </w:tcPr>
          <w:p w14:paraId="4FA88C8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10251987"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Que la citerne ne soit jamais pleine</w:t>
            </w:r>
          </w:p>
        </w:tc>
        <w:tc>
          <w:tcPr>
            <w:tcW w:w="1172" w:type="dxa"/>
          </w:tcPr>
          <w:p w14:paraId="7A50FFC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10711D7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5E83D2C4"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Optional change, see</w:t>
            </w:r>
          </w:p>
          <w:p w14:paraId="02398B10" w14:textId="1281C18A"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b/>
                <w:bCs/>
                <w:sz w:val="18"/>
                <w:szCs w:val="18"/>
                <w:lang w:val="en-GB"/>
              </w:rPr>
              <w:t>Par</w:t>
            </w:r>
            <w:r w:rsidR="0060047A">
              <w:rPr>
                <w:rFonts w:asciiTheme="majorBidi" w:hAnsiTheme="majorBidi" w:cstheme="majorBidi"/>
                <w:b/>
                <w:bCs/>
                <w:sz w:val="18"/>
                <w:szCs w:val="18"/>
                <w:lang w:val="en-GB"/>
              </w:rPr>
              <w:t>a</w:t>
            </w:r>
            <w:r w:rsidRPr="009E3E90">
              <w:rPr>
                <w:rFonts w:asciiTheme="majorBidi" w:hAnsiTheme="majorBidi" w:cstheme="majorBidi"/>
                <w:b/>
                <w:bCs/>
                <w:sz w:val="18"/>
                <w:szCs w:val="18"/>
                <w:lang w:val="en-GB"/>
              </w:rPr>
              <w:t>.</w:t>
            </w:r>
            <w:r w:rsidR="0060047A">
              <w:rPr>
                <w:rFonts w:asciiTheme="majorBidi" w:hAnsiTheme="majorBidi" w:cstheme="majorBidi"/>
                <w:b/>
                <w:bCs/>
                <w:sz w:val="18"/>
                <w:szCs w:val="18"/>
                <w:lang w:val="en-GB"/>
              </w:rPr>
              <w:t xml:space="preserve"> </w:t>
            </w:r>
            <w:r w:rsidRPr="009E3E90">
              <w:rPr>
                <w:rFonts w:asciiTheme="majorBidi" w:hAnsiTheme="majorBidi" w:cstheme="majorBidi"/>
                <w:b/>
                <w:bCs/>
                <w:color w:val="000000" w:themeColor="text1"/>
                <w:sz w:val="18"/>
                <w:szCs w:val="18"/>
                <w:lang w:val="en-GB"/>
              </w:rPr>
              <w:t>26</w:t>
            </w:r>
          </w:p>
        </w:tc>
        <w:tc>
          <w:tcPr>
            <w:tcW w:w="1552" w:type="dxa"/>
          </w:tcPr>
          <w:p w14:paraId="7498A0D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1E5A1B9F" w14:textId="77777777" w:rsidTr="00645268">
        <w:tc>
          <w:tcPr>
            <w:tcW w:w="1540" w:type="dxa"/>
          </w:tcPr>
          <w:p w14:paraId="36A3FF9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4.2.1.9.5.1</w:t>
            </w:r>
          </w:p>
        </w:tc>
        <w:tc>
          <w:tcPr>
            <w:tcW w:w="1218" w:type="dxa"/>
          </w:tcPr>
          <w:p w14:paraId="4C91145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74C5B780" w14:textId="77777777" w:rsidR="009E3E90" w:rsidRPr="009E3E90" w:rsidRDefault="009E3E90" w:rsidP="00645268">
            <w:pPr>
              <w:rPr>
                <w:rFonts w:asciiTheme="majorBidi" w:hAnsiTheme="majorBidi" w:cstheme="majorBidi"/>
                <w:sz w:val="18"/>
                <w:szCs w:val="18"/>
                <w:lang w:val="fr-FR"/>
              </w:rPr>
            </w:pPr>
            <w:proofErr w:type="gramStart"/>
            <w:r w:rsidRPr="009E3E90">
              <w:rPr>
                <w:rFonts w:asciiTheme="majorBidi" w:hAnsiTheme="majorBidi" w:cstheme="majorBidi"/>
                <w:sz w:val="18"/>
                <w:szCs w:val="18"/>
                <w:lang w:val="fr-FR"/>
              </w:rPr>
              <w:t>Taux  de</w:t>
            </w:r>
            <w:proofErr w:type="gramEnd"/>
            <w:r w:rsidRPr="009E3E90">
              <w:rPr>
                <w:rFonts w:asciiTheme="majorBidi" w:hAnsiTheme="majorBidi" w:cstheme="majorBidi"/>
                <w:sz w:val="18"/>
                <w:szCs w:val="18"/>
                <w:lang w:val="fr-FR"/>
              </w:rPr>
              <w:t xml:space="preserve"> remplissage (2)</w:t>
            </w:r>
          </w:p>
        </w:tc>
        <w:tc>
          <w:tcPr>
            <w:tcW w:w="1172" w:type="dxa"/>
          </w:tcPr>
          <w:p w14:paraId="601D934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Grado de </w:t>
            </w:r>
            <w:proofErr w:type="spellStart"/>
            <w:r w:rsidRPr="009E3E90">
              <w:rPr>
                <w:rFonts w:asciiTheme="majorBidi" w:hAnsiTheme="majorBidi" w:cstheme="majorBidi"/>
                <w:sz w:val="18"/>
                <w:szCs w:val="18"/>
              </w:rPr>
              <w:t>llenado</w:t>
            </w:r>
            <w:proofErr w:type="spellEnd"/>
          </w:p>
        </w:tc>
        <w:tc>
          <w:tcPr>
            <w:tcW w:w="1070" w:type="dxa"/>
          </w:tcPr>
          <w:p w14:paraId="69A8B6B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087701E6"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58907F7D" w14:textId="3F6C3CCC"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27</w:t>
            </w:r>
          </w:p>
        </w:tc>
        <w:tc>
          <w:tcPr>
            <w:tcW w:w="1552" w:type="dxa"/>
          </w:tcPr>
          <w:p w14:paraId="3A77BB5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3ECA6AD2" w14:textId="77777777" w:rsidTr="00645268">
        <w:tc>
          <w:tcPr>
            <w:tcW w:w="1540" w:type="dxa"/>
          </w:tcPr>
          <w:p w14:paraId="01E26CA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4.2.1.9.6 a)</w:t>
            </w:r>
          </w:p>
        </w:tc>
        <w:tc>
          <w:tcPr>
            <w:tcW w:w="1218" w:type="dxa"/>
          </w:tcPr>
          <w:p w14:paraId="666EAD2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Degree of filling </w:t>
            </w:r>
          </w:p>
        </w:tc>
        <w:tc>
          <w:tcPr>
            <w:tcW w:w="1557" w:type="dxa"/>
          </w:tcPr>
          <w:p w14:paraId="3EF5F914"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w:t>
            </w:r>
          </w:p>
        </w:tc>
        <w:tc>
          <w:tcPr>
            <w:tcW w:w="1172" w:type="dxa"/>
          </w:tcPr>
          <w:p w14:paraId="7D61566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1A3D452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B91B903"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60738081" w14:textId="308B6680"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28</w:t>
            </w:r>
          </w:p>
        </w:tc>
        <w:tc>
          <w:tcPr>
            <w:tcW w:w="1552" w:type="dxa"/>
          </w:tcPr>
          <w:p w14:paraId="4A15BB9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034F55D2" w14:textId="77777777" w:rsidTr="00645268">
        <w:tc>
          <w:tcPr>
            <w:tcW w:w="1540" w:type="dxa"/>
          </w:tcPr>
          <w:p w14:paraId="7670C16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4.2.1.13.13</w:t>
            </w:r>
          </w:p>
        </w:tc>
        <w:tc>
          <w:tcPr>
            <w:tcW w:w="1218" w:type="dxa"/>
          </w:tcPr>
          <w:p w14:paraId="5EB827F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59E30F1E"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76C7D58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6B58726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B293D05"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3816C8CD" w14:textId="564C74B2"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sz w:val="18"/>
                <w:szCs w:val="18"/>
              </w:rPr>
              <w:t>.</w:t>
            </w:r>
            <w:r w:rsidR="0060047A">
              <w:rPr>
                <w:rFonts w:asciiTheme="majorBidi" w:hAnsiTheme="majorBidi" w:cstheme="majorBidi"/>
                <w:b/>
                <w:bCs/>
                <w:sz w:val="18"/>
                <w:szCs w:val="18"/>
              </w:rPr>
              <w:t xml:space="preserve"> </w:t>
            </w:r>
            <w:r w:rsidRPr="009E3E90">
              <w:rPr>
                <w:rFonts w:asciiTheme="majorBidi" w:hAnsiTheme="majorBidi" w:cstheme="majorBidi"/>
                <w:b/>
                <w:bCs/>
                <w:color w:val="000000" w:themeColor="text1"/>
                <w:sz w:val="18"/>
                <w:szCs w:val="18"/>
              </w:rPr>
              <w:t>29</w:t>
            </w:r>
          </w:p>
        </w:tc>
        <w:tc>
          <w:tcPr>
            <w:tcW w:w="1552" w:type="dxa"/>
          </w:tcPr>
          <w:p w14:paraId="5D222E1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00B7E912" w14:textId="77777777" w:rsidTr="00645268">
        <w:tc>
          <w:tcPr>
            <w:tcW w:w="1540" w:type="dxa"/>
          </w:tcPr>
          <w:p w14:paraId="159BF98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4.2.1.16.2</w:t>
            </w:r>
          </w:p>
        </w:tc>
        <w:tc>
          <w:tcPr>
            <w:tcW w:w="1218" w:type="dxa"/>
          </w:tcPr>
          <w:p w14:paraId="1BBFCE1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28530FDE"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15948F9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7F565D5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2F46B9C1"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4750E5F9" w14:textId="14B1F80F"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b/>
                <w:bCs/>
                <w:sz w:val="18"/>
                <w:szCs w:val="18"/>
              </w:rPr>
              <w:t>Par</w:t>
            </w:r>
            <w:r w:rsidR="0060047A">
              <w:rPr>
                <w:rFonts w:asciiTheme="majorBidi" w:hAnsiTheme="majorBidi" w:cstheme="majorBidi"/>
                <w:b/>
                <w:bCs/>
                <w:sz w:val="18"/>
                <w:szCs w:val="18"/>
              </w:rPr>
              <w:t>a</w:t>
            </w:r>
            <w:r w:rsidRPr="009E3E90">
              <w:rPr>
                <w:rFonts w:asciiTheme="majorBidi" w:hAnsiTheme="majorBidi" w:cstheme="majorBidi"/>
                <w:b/>
                <w:bCs/>
                <w:color w:val="000000" w:themeColor="text1"/>
                <w:sz w:val="18"/>
                <w:szCs w:val="18"/>
              </w:rPr>
              <w:t>.</w:t>
            </w:r>
            <w:r w:rsidR="0060047A">
              <w:rPr>
                <w:rFonts w:asciiTheme="majorBidi" w:hAnsiTheme="majorBidi" w:cstheme="majorBidi"/>
                <w:b/>
                <w:bCs/>
                <w:color w:val="000000" w:themeColor="text1"/>
                <w:sz w:val="18"/>
                <w:szCs w:val="18"/>
              </w:rPr>
              <w:t xml:space="preserve"> </w:t>
            </w:r>
            <w:r w:rsidRPr="009E3E90">
              <w:rPr>
                <w:rFonts w:asciiTheme="majorBidi" w:hAnsiTheme="majorBidi" w:cstheme="majorBidi"/>
                <w:b/>
                <w:bCs/>
                <w:color w:val="000000" w:themeColor="text1"/>
                <w:sz w:val="18"/>
                <w:szCs w:val="18"/>
              </w:rPr>
              <w:t>30</w:t>
            </w:r>
          </w:p>
        </w:tc>
        <w:tc>
          <w:tcPr>
            <w:tcW w:w="1552" w:type="dxa"/>
          </w:tcPr>
          <w:p w14:paraId="0593588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0D2F1A0A" w14:textId="77777777" w:rsidTr="00645268">
        <w:tc>
          <w:tcPr>
            <w:tcW w:w="1540" w:type="dxa"/>
          </w:tcPr>
          <w:p w14:paraId="2A75099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4.2.1.19.2</w:t>
            </w:r>
          </w:p>
        </w:tc>
        <w:tc>
          <w:tcPr>
            <w:tcW w:w="1218" w:type="dxa"/>
          </w:tcPr>
          <w:p w14:paraId="66FDCC9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319E5698"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w:t>
            </w:r>
          </w:p>
        </w:tc>
        <w:tc>
          <w:tcPr>
            <w:tcW w:w="1172" w:type="dxa"/>
          </w:tcPr>
          <w:p w14:paraId="226CDAF0" w14:textId="77777777" w:rsidR="009E3E90" w:rsidRPr="009E3E90" w:rsidRDefault="009E3E90" w:rsidP="00645268">
            <w:pPr>
              <w:rPr>
                <w:rFonts w:asciiTheme="majorBidi" w:hAnsiTheme="majorBidi" w:cstheme="majorBidi"/>
                <w:sz w:val="18"/>
                <w:szCs w:val="18"/>
              </w:rPr>
            </w:pPr>
            <w:proofErr w:type="gramStart"/>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proofErr w:type="gram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4517FB3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440E02AA"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688913BD" w14:textId="52ABBFC9"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31</w:t>
            </w:r>
          </w:p>
        </w:tc>
        <w:tc>
          <w:tcPr>
            <w:tcW w:w="1552" w:type="dxa"/>
          </w:tcPr>
          <w:p w14:paraId="6DC72DA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780793E6" w14:textId="77777777" w:rsidTr="00645268">
        <w:tc>
          <w:tcPr>
            <w:tcW w:w="1540" w:type="dxa"/>
          </w:tcPr>
          <w:p w14:paraId="6306B84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4.2.3.6.2</w:t>
            </w:r>
          </w:p>
        </w:tc>
        <w:tc>
          <w:tcPr>
            <w:tcW w:w="1218" w:type="dxa"/>
          </w:tcPr>
          <w:p w14:paraId="13D8D3B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003FBFDF" w14:textId="77777777" w:rsidR="009E3E90" w:rsidRPr="009E3E90" w:rsidRDefault="009E3E90" w:rsidP="00645268">
            <w:pPr>
              <w:rPr>
                <w:rFonts w:asciiTheme="majorBidi" w:hAnsiTheme="majorBidi" w:cstheme="majorBidi"/>
                <w:sz w:val="18"/>
                <w:szCs w:val="18"/>
              </w:rPr>
            </w:pPr>
            <w:proofErr w:type="spellStart"/>
            <w:proofErr w:type="gram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initial</w:t>
            </w:r>
            <w:proofErr w:type="gram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28B0890F" w14:textId="77777777" w:rsidR="009E3E90" w:rsidRPr="009E3E90" w:rsidRDefault="009E3E90" w:rsidP="00645268">
            <w:pPr>
              <w:rPr>
                <w:rFonts w:asciiTheme="majorBidi" w:hAnsiTheme="majorBidi" w:cstheme="majorBidi"/>
                <w:sz w:val="18"/>
                <w:szCs w:val="18"/>
              </w:rPr>
            </w:pPr>
            <w:proofErr w:type="gramStart"/>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inicial</w:t>
            </w:r>
            <w:proofErr w:type="spellEnd"/>
            <w:proofErr w:type="gram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(2)</w:t>
            </w:r>
          </w:p>
        </w:tc>
        <w:tc>
          <w:tcPr>
            <w:tcW w:w="1070" w:type="dxa"/>
          </w:tcPr>
          <w:p w14:paraId="1786BD0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270E565D" w14:textId="14302DA9"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15</w:t>
            </w:r>
          </w:p>
        </w:tc>
        <w:tc>
          <w:tcPr>
            <w:tcW w:w="1667" w:type="dxa"/>
          </w:tcPr>
          <w:p w14:paraId="6C13F6B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54EBB406"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71662E35" w14:textId="1CCBEA38"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48</w:t>
            </w:r>
          </w:p>
        </w:tc>
      </w:tr>
      <w:tr w:rsidR="009E3E90" w:rsidRPr="009E3E90" w14:paraId="317A9CE7" w14:textId="77777777" w:rsidTr="00645268">
        <w:tc>
          <w:tcPr>
            <w:tcW w:w="1540" w:type="dxa"/>
          </w:tcPr>
          <w:p w14:paraId="55C1C71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4.2.3.6.4</w:t>
            </w:r>
          </w:p>
        </w:tc>
        <w:tc>
          <w:tcPr>
            <w:tcW w:w="1218" w:type="dxa"/>
          </w:tcPr>
          <w:p w14:paraId="05FF331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Degree of filling </w:t>
            </w:r>
          </w:p>
        </w:tc>
        <w:tc>
          <w:tcPr>
            <w:tcW w:w="1557" w:type="dxa"/>
          </w:tcPr>
          <w:p w14:paraId="2A57D79E"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initial de </w:t>
            </w:r>
            <w:proofErr w:type="spellStart"/>
            <w:r w:rsidRPr="009E3E90">
              <w:rPr>
                <w:rFonts w:asciiTheme="majorBidi" w:hAnsiTheme="majorBidi" w:cstheme="majorBidi"/>
                <w:sz w:val="18"/>
                <w:szCs w:val="18"/>
              </w:rPr>
              <w:t>remplissage</w:t>
            </w:r>
            <w:proofErr w:type="spellEnd"/>
          </w:p>
        </w:tc>
        <w:tc>
          <w:tcPr>
            <w:tcW w:w="1172" w:type="dxa"/>
          </w:tcPr>
          <w:p w14:paraId="06F78F3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inicial</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623DB0A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73AFE789" w14:textId="5202549D"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16</w:t>
            </w:r>
          </w:p>
        </w:tc>
        <w:tc>
          <w:tcPr>
            <w:tcW w:w="1667" w:type="dxa"/>
          </w:tcPr>
          <w:p w14:paraId="3E527B4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7D509DE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inicial</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18C750FC" w14:textId="27C1DCED"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49</w:t>
            </w:r>
          </w:p>
        </w:tc>
      </w:tr>
      <w:tr w:rsidR="009E3E90" w:rsidRPr="009E3E90" w14:paraId="6312DC29" w14:textId="77777777" w:rsidTr="00645268">
        <w:tc>
          <w:tcPr>
            <w:tcW w:w="1540" w:type="dxa"/>
          </w:tcPr>
          <w:p w14:paraId="47E21D1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4.2.4.5.2</w:t>
            </w:r>
          </w:p>
        </w:tc>
        <w:tc>
          <w:tcPr>
            <w:tcW w:w="1218" w:type="dxa"/>
          </w:tcPr>
          <w:p w14:paraId="4882C6A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ratios</w:t>
            </w:r>
          </w:p>
        </w:tc>
        <w:tc>
          <w:tcPr>
            <w:tcW w:w="1557" w:type="dxa"/>
          </w:tcPr>
          <w:p w14:paraId="5C0C09E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54E59C58"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Razones</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07ABAE3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604844E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4F89587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794C69AD" w14:textId="77777777" w:rsidTr="00645268">
        <w:tc>
          <w:tcPr>
            <w:tcW w:w="1540" w:type="dxa"/>
          </w:tcPr>
          <w:p w14:paraId="65950D6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4.2.5.2.3</w:t>
            </w:r>
          </w:p>
        </w:tc>
        <w:tc>
          <w:tcPr>
            <w:tcW w:w="1218" w:type="dxa"/>
          </w:tcPr>
          <w:p w14:paraId="2230E41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48AB29D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Densité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maximale</w:t>
            </w:r>
            <w:proofErr w:type="spellEnd"/>
          </w:p>
        </w:tc>
        <w:tc>
          <w:tcPr>
            <w:tcW w:w="1172" w:type="dxa"/>
          </w:tcPr>
          <w:p w14:paraId="6971BF2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4BBF1A0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7D5656BB" w14:textId="201BFCF0"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17</w:t>
            </w:r>
          </w:p>
        </w:tc>
        <w:tc>
          <w:tcPr>
            <w:tcW w:w="1667" w:type="dxa"/>
          </w:tcPr>
          <w:p w14:paraId="744A3C1E"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 xml:space="preserve">Taux de </w:t>
            </w:r>
            <w:proofErr w:type="gramStart"/>
            <w:r w:rsidRPr="009E3E90">
              <w:rPr>
                <w:rFonts w:asciiTheme="majorBidi" w:hAnsiTheme="majorBidi" w:cstheme="majorBidi"/>
                <w:sz w:val="18"/>
                <w:szCs w:val="18"/>
                <w:lang w:val="fr-FR"/>
              </w:rPr>
              <w:t>remplissage maximale</w:t>
            </w:r>
            <w:proofErr w:type="gramEnd"/>
          </w:p>
          <w:p w14:paraId="5EF13239" w14:textId="1899237C" w:rsidR="009E3E90" w:rsidRPr="009E3E90" w:rsidRDefault="0060047A" w:rsidP="00645268">
            <w:pPr>
              <w:rPr>
                <w:rFonts w:asciiTheme="majorBidi" w:hAnsiTheme="majorBidi" w:cstheme="majorBidi"/>
                <w:b/>
                <w:bCs/>
                <w:sz w:val="18"/>
                <w:szCs w:val="18"/>
                <w:lang w:val="fr-FR"/>
              </w:rPr>
            </w:pPr>
            <w:r>
              <w:rPr>
                <w:rFonts w:asciiTheme="majorBidi" w:hAnsiTheme="majorBidi" w:cstheme="majorBidi"/>
                <w:b/>
                <w:bCs/>
                <w:sz w:val="18"/>
                <w:szCs w:val="18"/>
                <w:lang w:val="fr-FR"/>
              </w:rPr>
              <w:t xml:space="preserve">Para. </w:t>
            </w:r>
            <w:r w:rsidR="009E3E90" w:rsidRPr="009E3E90">
              <w:rPr>
                <w:rFonts w:asciiTheme="majorBidi" w:hAnsiTheme="majorBidi" w:cstheme="majorBidi"/>
                <w:b/>
                <w:bCs/>
                <w:color w:val="000000" w:themeColor="text1"/>
                <w:sz w:val="18"/>
                <w:szCs w:val="18"/>
                <w:lang w:val="fr-FR"/>
              </w:rPr>
              <w:t>32</w:t>
            </w:r>
          </w:p>
        </w:tc>
        <w:tc>
          <w:tcPr>
            <w:tcW w:w="1552" w:type="dxa"/>
          </w:tcPr>
          <w:p w14:paraId="6620A120"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0CD24276" w14:textId="16868640"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50</w:t>
            </w:r>
          </w:p>
        </w:tc>
      </w:tr>
      <w:tr w:rsidR="009E3E90" w:rsidRPr="009E3E90" w14:paraId="43D83E9E" w14:textId="77777777" w:rsidTr="00645268">
        <w:tc>
          <w:tcPr>
            <w:tcW w:w="1540" w:type="dxa"/>
          </w:tcPr>
          <w:p w14:paraId="037F16A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4.2.5.2.6</w:t>
            </w:r>
          </w:p>
          <w:p w14:paraId="3D93A68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 T23 Portable</w:t>
            </w:r>
          </w:p>
          <w:p w14:paraId="64678D6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Tank instruction</w:t>
            </w:r>
          </w:p>
        </w:tc>
        <w:tc>
          <w:tcPr>
            <w:tcW w:w="1218" w:type="dxa"/>
          </w:tcPr>
          <w:p w14:paraId="73A8DA3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2FC897D2"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Taux de remplissage</w:t>
            </w:r>
          </w:p>
        </w:tc>
        <w:tc>
          <w:tcPr>
            <w:tcW w:w="1172" w:type="dxa"/>
          </w:tcPr>
          <w:p w14:paraId="3D75285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529924F0" w14:textId="77777777"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color w:val="000000" w:themeColor="text1"/>
                <w:sz w:val="18"/>
                <w:szCs w:val="18"/>
              </w:rPr>
              <w:t>NO</w:t>
            </w:r>
          </w:p>
        </w:tc>
        <w:tc>
          <w:tcPr>
            <w:tcW w:w="1667" w:type="dxa"/>
          </w:tcPr>
          <w:p w14:paraId="582ADFC8" w14:textId="77777777" w:rsidR="009E3E90" w:rsidRPr="009E3E90" w:rsidRDefault="009E3E90" w:rsidP="00645268">
            <w:pPr>
              <w:rPr>
                <w:rFonts w:asciiTheme="majorBidi" w:hAnsiTheme="majorBidi" w:cstheme="majorBidi"/>
                <w:bCs/>
                <w:color w:val="000000" w:themeColor="text1"/>
                <w:sz w:val="18"/>
                <w:szCs w:val="18"/>
              </w:rPr>
            </w:pPr>
            <w:proofErr w:type="spellStart"/>
            <w:r w:rsidRPr="009E3E90">
              <w:rPr>
                <w:rFonts w:asciiTheme="majorBidi" w:hAnsiTheme="majorBidi" w:cstheme="majorBidi"/>
                <w:bCs/>
                <w:color w:val="000000" w:themeColor="text1"/>
                <w:sz w:val="18"/>
                <w:szCs w:val="18"/>
              </w:rPr>
              <w:t>Degré</w:t>
            </w:r>
            <w:proofErr w:type="spellEnd"/>
            <w:r w:rsidRPr="009E3E90">
              <w:rPr>
                <w:rFonts w:asciiTheme="majorBidi" w:hAnsiTheme="majorBidi" w:cstheme="majorBidi"/>
                <w:bCs/>
                <w:color w:val="000000" w:themeColor="text1"/>
                <w:sz w:val="18"/>
                <w:szCs w:val="18"/>
              </w:rPr>
              <w:t xml:space="preserve"> de </w:t>
            </w:r>
            <w:proofErr w:type="spellStart"/>
            <w:r w:rsidRPr="009E3E90">
              <w:rPr>
                <w:rFonts w:asciiTheme="majorBidi" w:hAnsiTheme="majorBidi" w:cstheme="majorBidi"/>
                <w:bCs/>
                <w:color w:val="000000" w:themeColor="text1"/>
                <w:sz w:val="18"/>
                <w:szCs w:val="18"/>
              </w:rPr>
              <w:t>remplissage</w:t>
            </w:r>
            <w:proofErr w:type="spellEnd"/>
          </w:p>
          <w:p w14:paraId="7FD7D844" w14:textId="3E266E16" w:rsidR="009E3E90" w:rsidRPr="009E3E90" w:rsidRDefault="0060047A" w:rsidP="00645268">
            <w:pPr>
              <w:rPr>
                <w:rFonts w:asciiTheme="majorBidi" w:hAnsiTheme="majorBidi" w:cstheme="majorBidi"/>
                <w:b/>
                <w:bCs/>
                <w:sz w:val="18"/>
                <w:szCs w:val="18"/>
              </w:rPr>
            </w:pPr>
            <w:r>
              <w:rPr>
                <w:rFonts w:asciiTheme="majorBidi" w:hAnsiTheme="majorBidi" w:cstheme="majorBidi"/>
                <w:b/>
                <w:bCs/>
                <w:color w:val="000000" w:themeColor="text1"/>
                <w:sz w:val="18"/>
                <w:szCs w:val="18"/>
              </w:rPr>
              <w:t xml:space="preserve">Para. </w:t>
            </w:r>
            <w:r w:rsidR="009E3E90" w:rsidRPr="009E3E90">
              <w:rPr>
                <w:rFonts w:asciiTheme="majorBidi" w:hAnsiTheme="majorBidi" w:cstheme="majorBidi"/>
                <w:b/>
                <w:bCs/>
                <w:color w:val="000000" w:themeColor="text1"/>
                <w:sz w:val="18"/>
                <w:szCs w:val="18"/>
              </w:rPr>
              <w:t>33</w:t>
            </w:r>
          </w:p>
        </w:tc>
        <w:tc>
          <w:tcPr>
            <w:tcW w:w="1552" w:type="dxa"/>
          </w:tcPr>
          <w:p w14:paraId="16909607" w14:textId="77777777" w:rsidR="009E3E90" w:rsidRPr="009E3E90" w:rsidRDefault="009E3E90" w:rsidP="00645268">
            <w:pPr>
              <w:rPr>
                <w:rFonts w:asciiTheme="majorBidi" w:hAnsiTheme="majorBidi" w:cstheme="majorBidi"/>
                <w:b/>
                <w:bCs/>
                <w:sz w:val="18"/>
                <w:szCs w:val="18"/>
              </w:rPr>
            </w:pPr>
            <w:r w:rsidRPr="009E3E90">
              <w:rPr>
                <w:rFonts w:asciiTheme="majorBidi" w:hAnsiTheme="majorBidi" w:cstheme="majorBidi"/>
                <w:color w:val="000000" w:themeColor="text1"/>
                <w:sz w:val="18"/>
                <w:szCs w:val="18"/>
              </w:rPr>
              <w:t>NO</w:t>
            </w:r>
          </w:p>
        </w:tc>
      </w:tr>
      <w:tr w:rsidR="009E3E90" w:rsidRPr="009E3E90" w14:paraId="2007F0AD" w14:textId="77777777" w:rsidTr="00645268">
        <w:tc>
          <w:tcPr>
            <w:tcW w:w="1540" w:type="dxa"/>
          </w:tcPr>
          <w:p w14:paraId="59E71674" w14:textId="34B756CD"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4.2.5.2.</w:t>
            </w:r>
            <w:r w:rsidR="0060047A">
              <w:rPr>
                <w:rFonts w:asciiTheme="majorBidi" w:hAnsiTheme="majorBidi" w:cstheme="majorBidi"/>
                <w:sz w:val="18"/>
                <w:szCs w:val="18"/>
              </w:rPr>
              <w:t>6</w:t>
            </w:r>
            <w:r w:rsidRPr="009E3E90">
              <w:rPr>
                <w:rFonts w:asciiTheme="majorBidi" w:hAnsiTheme="majorBidi" w:cstheme="majorBidi"/>
                <w:sz w:val="18"/>
                <w:szCs w:val="18"/>
              </w:rPr>
              <w:t xml:space="preserve"> T50 Note c</w:t>
            </w:r>
          </w:p>
        </w:tc>
        <w:tc>
          <w:tcPr>
            <w:tcW w:w="1218" w:type="dxa"/>
          </w:tcPr>
          <w:p w14:paraId="11553EEE"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Degree of filling</w:t>
            </w:r>
          </w:p>
          <w:p w14:paraId="0E5BDB53"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Instead of filling ratio</w:t>
            </w:r>
          </w:p>
        </w:tc>
        <w:tc>
          <w:tcPr>
            <w:tcW w:w="1557" w:type="dxa"/>
          </w:tcPr>
          <w:p w14:paraId="74F9AEBB"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Degré de remplissage au lieu de la densité de remplissage maximale</w:t>
            </w:r>
          </w:p>
        </w:tc>
        <w:tc>
          <w:tcPr>
            <w:tcW w:w="1172" w:type="dxa"/>
          </w:tcPr>
          <w:p w14:paraId="29B122E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en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lugar</w:t>
            </w:r>
            <w:proofErr w:type="spellEnd"/>
            <w:r w:rsidRPr="009E3E90">
              <w:rPr>
                <w:rFonts w:asciiTheme="majorBidi" w:hAnsiTheme="majorBidi" w:cstheme="majorBidi"/>
                <w:sz w:val="18"/>
                <w:szCs w:val="18"/>
              </w:rPr>
              <w:t xml:space="preserve"> de la </w:t>
            </w: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máxima</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0B94281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4DD3F5F1"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Le degré de remplissage au lieu du taux de remplissage maximale</w:t>
            </w:r>
          </w:p>
          <w:p w14:paraId="578EFFBB" w14:textId="0FA331D1" w:rsidR="009E3E90" w:rsidRPr="009E3E90" w:rsidRDefault="0060047A" w:rsidP="00645268">
            <w:pPr>
              <w:rPr>
                <w:rFonts w:asciiTheme="majorBidi" w:hAnsiTheme="majorBidi" w:cstheme="majorBidi"/>
                <w:b/>
                <w:bCs/>
                <w:sz w:val="18"/>
                <w:szCs w:val="18"/>
                <w:lang w:val="fr-FR"/>
              </w:rPr>
            </w:pPr>
            <w:r>
              <w:rPr>
                <w:rFonts w:asciiTheme="majorBidi" w:hAnsiTheme="majorBidi" w:cstheme="majorBidi"/>
                <w:b/>
                <w:bCs/>
                <w:sz w:val="18"/>
                <w:szCs w:val="18"/>
                <w:lang w:val="fr-FR"/>
              </w:rPr>
              <w:t xml:space="preserve">Para. </w:t>
            </w:r>
            <w:r w:rsidR="009E3E90" w:rsidRPr="009E3E90">
              <w:rPr>
                <w:rFonts w:asciiTheme="majorBidi" w:hAnsiTheme="majorBidi" w:cstheme="majorBidi"/>
                <w:b/>
                <w:bCs/>
                <w:sz w:val="18"/>
                <w:szCs w:val="18"/>
                <w:lang w:val="fr-FR"/>
              </w:rPr>
              <w:t>34</w:t>
            </w:r>
          </w:p>
        </w:tc>
        <w:tc>
          <w:tcPr>
            <w:tcW w:w="1552" w:type="dxa"/>
          </w:tcPr>
          <w:p w14:paraId="23F59954"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NO</w:t>
            </w:r>
          </w:p>
        </w:tc>
      </w:tr>
      <w:tr w:rsidR="009E3E90" w:rsidRPr="009E3E90" w14:paraId="697F26EB" w14:textId="77777777" w:rsidTr="00645268">
        <w:tc>
          <w:tcPr>
            <w:tcW w:w="1540" w:type="dxa"/>
          </w:tcPr>
          <w:p w14:paraId="6BA8E96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4.2.5.3 TP1</w:t>
            </w:r>
          </w:p>
        </w:tc>
        <w:tc>
          <w:tcPr>
            <w:tcW w:w="1218" w:type="dxa"/>
          </w:tcPr>
          <w:p w14:paraId="4A0FC68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5A3EF67D"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3C82F90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(2)</w:t>
            </w:r>
          </w:p>
        </w:tc>
        <w:tc>
          <w:tcPr>
            <w:tcW w:w="1070" w:type="dxa"/>
          </w:tcPr>
          <w:p w14:paraId="079805F8"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6E29A3B4"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4E7A1B76" w14:textId="5631B38D"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35</w:t>
            </w:r>
          </w:p>
        </w:tc>
        <w:tc>
          <w:tcPr>
            <w:tcW w:w="1552" w:type="dxa"/>
          </w:tcPr>
          <w:p w14:paraId="3D7C6D7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5713BAA3" w14:textId="77777777" w:rsidTr="00645268">
        <w:tc>
          <w:tcPr>
            <w:tcW w:w="1540" w:type="dxa"/>
          </w:tcPr>
          <w:p w14:paraId="4E04FF4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4.2.5.3 TP2</w:t>
            </w:r>
          </w:p>
        </w:tc>
        <w:tc>
          <w:tcPr>
            <w:tcW w:w="1218" w:type="dxa"/>
          </w:tcPr>
          <w:p w14:paraId="30C234F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2575B57A"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2FBFDE7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(2)</w:t>
            </w:r>
          </w:p>
        </w:tc>
        <w:tc>
          <w:tcPr>
            <w:tcW w:w="1070" w:type="dxa"/>
          </w:tcPr>
          <w:p w14:paraId="6EC555B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23761DF5"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0567F6C8" w14:textId="6F59EB84"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36</w:t>
            </w:r>
          </w:p>
        </w:tc>
        <w:tc>
          <w:tcPr>
            <w:tcW w:w="1552" w:type="dxa"/>
          </w:tcPr>
          <w:p w14:paraId="007301A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1F54C87A" w14:textId="77777777" w:rsidTr="00645268">
        <w:tc>
          <w:tcPr>
            <w:tcW w:w="1540" w:type="dxa"/>
          </w:tcPr>
          <w:p w14:paraId="2AEBDDED"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4.2.5.3 TP3</w:t>
            </w:r>
          </w:p>
        </w:tc>
        <w:tc>
          <w:tcPr>
            <w:tcW w:w="1218" w:type="dxa"/>
          </w:tcPr>
          <w:p w14:paraId="35ADA2D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 (2)</w:t>
            </w:r>
          </w:p>
        </w:tc>
        <w:tc>
          <w:tcPr>
            <w:tcW w:w="1557" w:type="dxa"/>
          </w:tcPr>
          <w:p w14:paraId="614BFDF8"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(2)</w:t>
            </w:r>
          </w:p>
        </w:tc>
        <w:tc>
          <w:tcPr>
            <w:tcW w:w="1172" w:type="dxa"/>
          </w:tcPr>
          <w:p w14:paraId="3B5B0F5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(2)</w:t>
            </w:r>
          </w:p>
        </w:tc>
        <w:tc>
          <w:tcPr>
            <w:tcW w:w="1070" w:type="dxa"/>
          </w:tcPr>
          <w:p w14:paraId="2F67C32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3AB5E357"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6EDF6156" w14:textId="76FAEFC3"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37</w:t>
            </w:r>
          </w:p>
        </w:tc>
        <w:tc>
          <w:tcPr>
            <w:tcW w:w="1552" w:type="dxa"/>
          </w:tcPr>
          <w:p w14:paraId="0AA60D3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210EE557" w14:textId="77777777" w:rsidTr="00645268">
        <w:tc>
          <w:tcPr>
            <w:tcW w:w="1540" w:type="dxa"/>
          </w:tcPr>
          <w:p w14:paraId="129BA23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4.2.5.3 TP4</w:t>
            </w:r>
          </w:p>
        </w:tc>
        <w:tc>
          <w:tcPr>
            <w:tcW w:w="1218" w:type="dxa"/>
          </w:tcPr>
          <w:p w14:paraId="77AB3D7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7F631457"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17103A5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649A719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1403CBB4"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70AA6DD0" w14:textId="3CB86F4B"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38</w:t>
            </w:r>
          </w:p>
        </w:tc>
        <w:tc>
          <w:tcPr>
            <w:tcW w:w="1552" w:type="dxa"/>
          </w:tcPr>
          <w:p w14:paraId="5543B1F5"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78A1F4E9" w14:textId="77777777" w:rsidTr="00645268">
        <w:tc>
          <w:tcPr>
            <w:tcW w:w="1540" w:type="dxa"/>
          </w:tcPr>
          <w:p w14:paraId="5380EC35" w14:textId="77777777" w:rsidR="009E3E90" w:rsidRPr="009E3E90" w:rsidRDefault="009E3E90" w:rsidP="00645268">
            <w:pPr>
              <w:rPr>
                <w:rFonts w:asciiTheme="majorBidi" w:hAnsiTheme="majorBidi" w:cstheme="majorBidi"/>
                <w:sz w:val="18"/>
                <w:szCs w:val="18"/>
                <w:highlight w:val="yellow"/>
              </w:rPr>
            </w:pPr>
            <w:r w:rsidRPr="009E3E90">
              <w:rPr>
                <w:rFonts w:asciiTheme="majorBidi" w:hAnsiTheme="majorBidi" w:cstheme="majorBidi"/>
                <w:sz w:val="18"/>
                <w:szCs w:val="18"/>
              </w:rPr>
              <w:t>4.2.5.3 TP5</w:t>
            </w:r>
          </w:p>
        </w:tc>
        <w:tc>
          <w:tcPr>
            <w:tcW w:w="1218" w:type="dxa"/>
          </w:tcPr>
          <w:p w14:paraId="13F2908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5B9FA518"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tc>
        <w:tc>
          <w:tcPr>
            <w:tcW w:w="1172" w:type="dxa"/>
          </w:tcPr>
          <w:p w14:paraId="168D74F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tc>
        <w:tc>
          <w:tcPr>
            <w:tcW w:w="1070" w:type="dxa"/>
          </w:tcPr>
          <w:p w14:paraId="4BCC189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Filling ratio</w:t>
            </w:r>
          </w:p>
          <w:p w14:paraId="6FD941C8" w14:textId="2BA3DAB2"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1</w:t>
            </w:r>
            <w:r w:rsidR="009E3E90" w:rsidRPr="009E3E90">
              <w:rPr>
                <w:rFonts w:asciiTheme="majorBidi" w:hAnsiTheme="majorBidi" w:cstheme="majorBidi"/>
                <w:b/>
                <w:bCs/>
                <w:color w:val="000000" w:themeColor="text1"/>
                <w:sz w:val="18"/>
                <w:szCs w:val="18"/>
              </w:rPr>
              <w:t>8</w:t>
            </w:r>
          </w:p>
        </w:tc>
        <w:tc>
          <w:tcPr>
            <w:tcW w:w="1667" w:type="dxa"/>
          </w:tcPr>
          <w:p w14:paraId="7CBD946E"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552" w:type="dxa"/>
          </w:tcPr>
          <w:p w14:paraId="0FF44D0E"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p w14:paraId="2A3CC6C3" w14:textId="34BF03A7"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51</w:t>
            </w:r>
          </w:p>
        </w:tc>
      </w:tr>
      <w:tr w:rsidR="009E3E90" w:rsidRPr="009E3E90" w14:paraId="305DF70A" w14:textId="77777777" w:rsidTr="00645268">
        <w:tc>
          <w:tcPr>
            <w:tcW w:w="1540" w:type="dxa"/>
          </w:tcPr>
          <w:p w14:paraId="783D992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6.1.5.5.4 (a)</w:t>
            </w:r>
          </w:p>
        </w:tc>
        <w:tc>
          <w:tcPr>
            <w:tcW w:w="1218" w:type="dxa"/>
          </w:tcPr>
          <w:p w14:paraId="6E2A9ABB"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737EDF1B"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654213A8" w14:textId="77777777" w:rsidR="009E3E90" w:rsidRPr="009E3E90" w:rsidRDefault="009E3E90" w:rsidP="00645268">
            <w:pPr>
              <w:rPr>
                <w:rFonts w:asciiTheme="majorBidi" w:hAnsiTheme="majorBidi" w:cstheme="majorBidi"/>
                <w:sz w:val="18"/>
                <w:szCs w:val="18"/>
              </w:rPr>
            </w:pPr>
          </w:p>
        </w:tc>
        <w:tc>
          <w:tcPr>
            <w:tcW w:w="1172" w:type="dxa"/>
          </w:tcPr>
          <w:p w14:paraId="32F8EFD2"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1315125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2A6CB51F"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276D3E3B" w14:textId="4247B3ED"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39</w:t>
            </w:r>
          </w:p>
          <w:p w14:paraId="24F91A5A" w14:textId="77777777" w:rsidR="009E3E90" w:rsidRPr="009E3E90" w:rsidRDefault="009E3E90" w:rsidP="00645268">
            <w:pPr>
              <w:rPr>
                <w:rFonts w:asciiTheme="majorBidi" w:hAnsiTheme="majorBidi" w:cstheme="majorBidi"/>
                <w:b/>
                <w:bCs/>
                <w:sz w:val="18"/>
                <w:szCs w:val="18"/>
              </w:rPr>
            </w:pPr>
          </w:p>
        </w:tc>
        <w:tc>
          <w:tcPr>
            <w:tcW w:w="1552" w:type="dxa"/>
          </w:tcPr>
          <w:p w14:paraId="0374BC0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51B9EE5F" w14:textId="77777777" w:rsidTr="00645268">
        <w:tc>
          <w:tcPr>
            <w:tcW w:w="1540" w:type="dxa"/>
          </w:tcPr>
          <w:p w14:paraId="1FDB11B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6.5.5.1.7</w:t>
            </w:r>
          </w:p>
        </w:tc>
        <w:tc>
          <w:tcPr>
            <w:tcW w:w="1218" w:type="dxa"/>
          </w:tcPr>
          <w:p w14:paraId="3242DC6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4A0EA6E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r w:rsidRPr="009E3E90">
              <w:rPr>
                <w:rFonts w:asciiTheme="majorBidi" w:hAnsiTheme="majorBidi" w:cstheme="majorBidi"/>
                <w:sz w:val="18"/>
                <w:szCs w:val="18"/>
              </w:rPr>
              <w:t xml:space="preserve"> </w:t>
            </w:r>
          </w:p>
          <w:p w14:paraId="2F26927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maximal</w:t>
            </w:r>
          </w:p>
        </w:tc>
        <w:tc>
          <w:tcPr>
            <w:tcW w:w="1172" w:type="dxa"/>
          </w:tcPr>
          <w:p w14:paraId="75CD93D4" w14:textId="77777777" w:rsidR="009E3E90" w:rsidRPr="009E3E90" w:rsidRDefault="009E3E90" w:rsidP="00645268">
            <w:pPr>
              <w:rPr>
                <w:rFonts w:asciiTheme="majorBidi" w:hAnsiTheme="majorBidi" w:cstheme="majorBidi"/>
                <w:sz w:val="18"/>
                <w:szCs w:val="18"/>
              </w:rPr>
            </w:pPr>
            <w:proofErr w:type="gramStart"/>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proofErr w:type="gram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6AAD197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0DB7926D"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5679140C" w14:textId="2FE37E49"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40</w:t>
            </w:r>
          </w:p>
        </w:tc>
        <w:tc>
          <w:tcPr>
            <w:tcW w:w="1552" w:type="dxa"/>
          </w:tcPr>
          <w:p w14:paraId="7E02EFE4"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3CB1A2D0" w14:textId="77777777" w:rsidTr="00645268">
        <w:tc>
          <w:tcPr>
            <w:tcW w:w="1540" w:type="dxa"/>
          </w:tcPr>
          <w:p w14:paraId="64FA85C1"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6.5.6.8.4.2 (b) (</w:t>
            </w:r>
            <w:proofErr w:type="spellStart"/>
            <w:r w:rsidRPr="009E3E90">
              <w:rPr>
                <w:rFonts w:asciiTheme="majorBidi" w:hAnsiTheme="majorBidi" w:cstheme="majorBidi"/>
                <w:sz w:val="18"/>
                <w:szCs w:val="18"/>
              </w:rPr>
              <w:t>i</w:t>
            </w:r>
            <w:proofErr w:type="spellEnd"/>
            <w:r w:rsidRPr="009E3E90">
              <w:rPr>
                <w:rFonts w:asciiTheme="majorBidi" w:hAnsiTheme="majorBidi" w:cstheme="majorBidi"/>
                <w:sz w:val="18"/>
                <w:szCs w:val="18"/>
              </w:rPr>
              <w:t>)</w:t>
            </w:r>
          </w:p>
        </w:tc>
        <w:tc>
          <w:tcPr>
            <w:tcW w:w="1218" w:type="dxa"/>
          </w:tcPr>
          <w:p w14:paraId="79EA35BF"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Degree of filling</w:t>
            </w:r>
          </w:p>
        </w:tc>
        <w:tc>
          <w:tcPr>
            <w:tcW w:w="1557" w:type="dxa"/>
          </w:tcPr>
          <w:p w14:paraId="291CCB29"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50AAB797" w14:textId="77777777" w:rsidR="009E3E90" w:rsidRPr="009E3E90" w:rsidRDefault="009E3E90" w:rsidP="00645268">
            <w:pPr>
              <w:rPr>
                <w:rFonts w:asciiTheme="majorBidi" w:hAnsiTheme="majorBidi" w:cstheme="majorBidi"/>
                <w:sz w:val="18"/>
                <w:szCs w:val="18"/>
              </w:rPr>
            </w:pPr>
          </w:p>
        </w:tc>
        <w:tc>
          <w:tcPr>
            <w:tcW w:w="1172" w:type="dxa"/>
          </w:tcPr>
          <w:p w14:paraId="4051F193" w14:textId="77777777" w:rsidR="009E3E90" w:rsidRPr="009E3E90" w:rsidRDefault="009E3E90" w:rsidP="00645268">
            <w:pPr>
              <w:rPr>
                <w:rFonts w:asciiTheme="majorBidi" w:hAnsiTheme="majorBidi" w:cstheme="majorBidi"/>
                <w:sz w:val="18"/>
                <w:szCs w:val="18"/>
              </w:rPr>
            </w:pPr>
            <w:proofErr w:type="gramStart"/>
            <w:r w:rsidRPr="009E3E90">
              <w:rPr>
                <w:rFonts w:asciiTheme="majorBidi" w:hAnsiTheme="majorBidi" w:cstheme="majorBidi"/>
                <w:sz w:val="18"/>
                <w:szCs w:val="18"/>
              </w:rPr>
              <w:t xml:space="preserve">Grado  </w:t>
            </w:r>
            <w:proofErr w:type="spellStart"/>
            <w:r w:rsidRPr="009E3E90">
              <w:rPr>
                <w:rFonts w:asciiTheme="majorBidi" w:hAnsiTheme="majorBidi" w:cstheme="majorBidi"/>
                <w:sz w:val="18"/>
                <w:szCs w:val="18"/>
              </w:rPr>
              <w:t>máximo</w:t>
            </w:r>
            <w:proofErr w:type="spellEnd"/>
            <w:proofErr w:type="gram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p>
        </w:tc>
        <w:tc>
          <w:tcPr>
            <w:tcW w:w="1070" w:type="dxa"/>
          </w:tcPr>
          <w:p w14:paraId="22AD6673"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c>
          <w:tcPr>
            <w:tcW w:w="1667" w:type="dxa"/>
          </w:tcPr>
          <w:p w14:paraId="71401FA4"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Degré</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440ADCED" w14:textId="05994210"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41</w:t>
            </w:r>
          </w:p>
        </w:tc>
        <w:tc>
          <w:tcPr>
            <w:tcW w:w="1552" w:type="dxa"/>
          </w:tcPr>
          <w:p w14:paraId="6FCA3DCC"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NO</w:t>
            </w:r>
          </w:p>
        </w:tc>
      </w:tr>
      <w:tr w:rsidR="009E3E90" w:rsidRPr="009E3E90" w14:paraId="45693740" w14:textId="77777777" w:rsidTr="00645268">
        <w:trPr>
          <w:trHeight w:val="800"/>
        </w:trPr>
        <w:tc>
          <w:tcPr>
            <w:tcW w:w="1540" w:type="dxa"/>
          </w:tcPr>
          <w:p w14:paraId="05BFC80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6.7.4.15.1 (</w:t>
            </w:r>
            <w:proofErr w:type="spellStart"/>
            <w:r w:rsidRPr="009E3E90">
              <w:rPr>
                <w:rFonts w:asciiTheme="majorBidi" w:hAnsiTheme="majorBidi" w:cstheme="majorBidi"/>
                <w:sz w:val="18"/>
                <w:szCs w:val="18"/>
              </w:rPr>
              <w:t>i</w:t>
            </w:r>
            <w:proofErr w:type="spellEnd"/>
            <w:r w:rsidRPr="009E3E90">
              <w:rPr>
                <w:rFonts w:asciiTheme="majorBidi" w:hAnsiTheme="majorBidi" w:cstheme="majorBidi"/>
                <w:sz w:val="18"/>
                <w:szCs w:val="18"/>
              </w:rPr>
              <w:t>) (iv)</w:t>
            </w:r>
          </w:p>
        </w:tc>
        <w:tc>
          <w:tcPr>
            <w:tcW w:w="1218" w:type="dxa"/>
          </w:tcPr>
          <w:p w14:paraId="29696C71" w14:textId="77777777" w:rsidR="009E3E90" w:rsidRPr="009E3E90" w:rsidRDefault="009E3E90" w:rsidP="00645268">
            <w:pPr>
              <w:rPr>
                <w:rFonts w:asciiTheme="majorBidi" w:hAnsiTheme="majorBidi" w:cstheme="majorBidi"/>
                <w:sz w:val="18"/>
                <w:szCs w:val="18"/>
                <w:vertAlign w:val="superscript"/>
                <w:lang w:val="en-GB"/>
              </w:rPr>
            </w:pPr>
            <w:r w:rsidRPr="009E3E90">
              <w:rPr>
                <w:rFonts w:asciiTheme="majorBidi" w:hAnsiTheme="majorBidi" w:cstheme="majorBidi"/>
                <w:sz w:val="18"/>
                <w:szCs w:val="18"/>
                <w:lang w:val="en-GB"/>
              </w:rPr>
              <w:t>Degree of filling (in kg)</w:t>
            </w:r>
            <w:r w:rsidRPr="009E3E90">
              <w:rPr>
                <w:rFonts w:asciiTheme="majorBidi" w:hAnsiTheme="majorBidi" w:cstheme="majorBidi"/>
                <w:sz w:val="18"/>
                <w:szCs w:val="18"/>
                <w:vertAlign w:val="superscript"/>
                <w:lang w:val="en-GB"/>
              </w:rPr>
              <w:t>3</w:t>
            </w:r>
          </w:p>
        </w:tc>
        <w:tc>
          <w:tcPr>
            <w:tcW w:w="1557" w:type="dxa"/>
          </w:tcPr>
          <w:p w14:paraId="4C71F1DC" w14:textId="77777777" w:rsidR="009E3E90" w:rsidRPr="009E3E90" w:rsidRDefault="009E3E90" w:rsidP="00645268">
            <w:pPr>
              <w:rPr>
                <w:rFonts w:asciiTheme="majorBidi" w:hAnsiTheme="majorBidi" w:cstheme="majorBidi"/>
                <w:sz w:val="18"/>
                <w:szCs w:val="18"/>
                <w:lang w:val="fr-FR"/>
              </w:rPr>
            </w:pPr>
            <w:r w:rsidRPr="009E3E90">
              <w:rPr>
                <w:rFonts w:asciiTheme="majorBidi" w:hAnsiTheme="majorBidi" w:cstheme="majorBidi"/>
                <w:sz w:val="18"/>
                <w:szCs w:val="18"/>
                <w:lang w:val="fr-FR"/>
              </w:rPr>
              <w:t xml:space="preserve">Taux de remplissage </w:t>
            </w:r>
          </w:p>
          <w:p w14:paraId="4A585159" w14:textId="77777777" w:rsidR="009E3E90" w:rsidRPr="009E3E90" w:rsidRDefault="009E3E90" w:rsidP="00645268">
            <w:pPr>
              <w:rPr>
                <w:rFonts w:asciiTheme="majorBidi" w:hAnsiTheme="majorBidi" w:cstheme="majorBidi"/>
                <w:sz w:val="18"/>
                <w:szCs w:val="18"/>
                <w:vertAlign w:val="superscript"/>
                <w:lang w:val="fr-FR"/>
              </w:rPr>
            </w:pPr>
            <w:r w:rsidRPr="009E3E90">
              <w:rPr>
                <w:rFonts w:asciiTheme="majorBidi" w:hAnsiTheme="majorBidi" w:cstheme="majorBidi"/>
                <w:sz w:val="18"/>
                <w:szCs w:val="18"/>
                <w:lang w:val="fr-FR"/>
              </w:rPr>
              <w:t>(</w:t>
            </w:r>
            <w:proofErr w:type="gramStart"/>
            <w:r w:rsidRPr="009E3E90">
              <w:rPr>
                <w:rFonts w:asciiTheme="majorBidi" w:hAnsiTheme="majorBidi" w:cstheme="majorBidi"/>
                <w:sz w:val="18"/>
                <w:szCs w:val="18"/>
                <w:lang w:val="fr-FR"/>
              </w:rPr>
              <w:t>en</w:t>
            </w:r>
            <w:proofErr w:type="gramEnd"/>
            <w:r w:rsidRPr="009E3E90">
              <w:rPr>
                <w:rFonts w:asciiTheme="majorBidi" w:hAnsiTheme="majorBidi" w:cstheme="majorBidi"/>
                <w:sz w:val="18"/>
                <w:szCs w:val="18"/>
                <w:lang w:val="fr-FR"/>
              </w:rPr>
              <w:t xml:space="preserve"> kg)</w:t>
            </w:r>
            <w:r w:rsidRPr="009E3E90">
              <w:rPr>
                <w:rFonts w:asciiTheme="majorBidi" w:hAnsiTheme="majorBidi" w:cstheme="majorBidi"/>
                <w:sz w:val="18"/>
                <w:szCs w:val="18"/>
                <w:vertAlign w:val="superscript"/>
                <w:lang w:val="fr-FR"/>
              </w:rPr>
              <w:t>3</w:t>
            </w:r>
          </w:p>
        </w:tc>
        <w:tc>
          <w:tcPr>
            <w:tcW w:w="1172" w:type="dxa"/>
          </w:tcPr>
          <w:p w14:paraId="3935A7A9" w14:textId="77777777" w:rsidR="009E3E90" w:rsidRPr="009E3E90" w:rsidRDefault="009E3E90" w:rsidP="00645268">
            <w:pPr>
              <w:rPr>
                <w:rFonts w:asciiTheme="majorBidi" w:hAnsiTheme="majorBidi" w:cstheme="majorBidi"/>
                <w:sz w:val="18"/>
                <w:szCs w:val="18"/>
                <w:vertAlign w:val="superscript"/>
              </w:rPr>
            </w:pPr>
            <w:proofErr w:type="gramStart"/>
            <w:r w:rsidRPr="009E3E90">
              <w:rPr>
                <w:rFonts w:asciiTheme="majorBidi" w:hAnsiTheme="majorBidi" w:cstheme="majorBidi"/>
                <w:sz w:val="18"/>
                <w:szCs w:val="18"/>
              </w:rPr>
              <w:t>Grado  de</w:t>
            </w:r>
            <w:proofErr w:type="gramEnd"/>
            <w:r w:rsidRPr="009E3E90">
              <w:rPr>
                <w:rFonts w:asciiTheme="majorBidi" w:hAnsiTheme="majorBidi" w:cstheme="majorBidi"/>
                <w:sz w:val="18"/>
                <w:szCs w:val="18"/>
              </w:rPr>
              <w:t xml:space="preserv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w:t>
            </w:r>
            <w:proofErr w:type="spellStart"/>
            <w:r w:rsidRPr="009E3E90">
              <w:rPr>
                <w:rFonts w:asciiTheme="majorBidi" w:hAnsiTheme="majorBidi" w:cstheme="majorBidi"/>
                <w:sz w:val="18"/>
                <w:szCs w:val="18"/>
              </w:rPr>
              <w:t>en</w:t>
            </w:r>
            <w:proofErr w:type="spellEnd"/>
            <w:r w:rsidRPr="009E3E90">
              <w:rPr>
                <w:rFonts w:asciiTheme="majorBidi" w:hAnsiTheme="majorBidi" w:cstheme="majorBidi"/>
                <w:sz w:val="18"/>
                <w:szCs w:val="18"/>
              </w:rPr>
              <w:t xml:space="preserve"> kg)</w:t>
            </w:r>
            <w:r w:rsidRPr="009E3E90">
              <w:rPr>
                <w:rFonts w:asciiTheme="majorBidi" w:hAnsiTheme="majorBidi" w:cstheme="majorBidi"/>
                <w:sz w:val="18"/>
                <w:szCs w:val="18"/>
                <w:vertAlign w:val="superscript"/>
              </w:rPr>
              <w:t>3</w:t>
            </w:r>
          </w:p>
        </w:tc>
        <w:tc>
          <w:tcPr>
            <w:tcW w:w="1070" w:type="dxa"/>
          </w:tcPr>
          <w:p w14:paraId="5A6DE08D" w14:textId="77777777" w:rsidR="009E3E90" w:rsidRPr="009E3E90" w:rsidRDefault="009E3E90" w:rsidP="00645268">
            <w:pPr>
              <w:rPr>
                <w:rFonts w:asciiTheme="majorBidi" w:hAnsiTheme="majorBidi" w:cstheme="majorBidi"/>
                <w:sz w:val="18"/>
                <w:szCs w:val="18"/>
                <w:vertAlign w:val="superscript"/>
                <w:lang w:val="en-GB"/>
              </w:rPr>
            </w:pPr>
            <w:r w:rsidRPr="009E3E90">
              <w:rPr>
                <w:rFonts w:asciiTheme="majorBidi" w:hAnsiTheme="majorBidi" w:cstheme="majorBidi"/>
                <w:sz w:val="18"/>
                <w:szCs w:val="18"/>
                <w:lang w:val="en-GB"/>
              </w:rPr>
              <w:t>Filling ratio (in kg/gas/kg water)</w:t>
            </w:r>
            <w:r w:rsidRPr="009E3E90">
              <w:rPr>
                <w:rFonts w:asciiTheme="majorBidi" w:hAnsiTheme="majorBidi" w:cstheme="majorBidi"/>
                <w:sz w:val="18"/>
                <w:szCs w:val="18"/>
                <w:vertAlign w:val="superscript"/>
                <w:lang w:val="en-GB"/>
              </w:rPr>
              <w:t>3</w:t>
            </w:r>
          </w:p>
          <w:p w14:paraId="444C591D" w14:textId="744AC738"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19</w:t>
            </w:r>
          </w:p>
        </w:tc>
        <w:tc>
          <w:tcPr>
            <w:tcW w:w="1667" w:type="dxa"/>
          </w:tcPr>
          <w:p w14:paraId="400389D9" w14:textId="77777777" w:rsidR="009E3E90" w:rsidRPr="009E3E90" w:rsidRDefault="009E3E90" w:rsidP="00645268">
            <w:pPr>
              <w:rPr>
                <w:rFonts w:asciiTheme="majorBidi" w:hAnsiTheme="majorBidi" w:cstheme="majorBidi"/>
                <w:bCs/>
                <w:sz w:val="18"/>
                <w:szCs w:val="18"/>
                <w:vertAlign w:val="superscript"/>
                <w:lang w:val="de-DE"/>
              </w:rPr>
            </w:pPr>
            <w:r w:rsidRPr="009E3E90">
              <w:rPr>
                <w:rFonts w:asciiTheme="majorBidi" w:hAnsiTheme="majorBidi" w:cstheme="majorBidi"/>
                <w:b/>
                <w:bCs/>
                <w:sz w:val="18"/>
                <w:szCs w:val="18"/>
                <w:lang w:val="de-DE"/>
              </w:rPr>
              <w:t xml:space="preserve"> </w:t>
            </w:r>
            <w:r w:rsidRPr="009E3E90">
              <w:rPr>
                <w:rFonts w:asciiTheme="majorBidi" w:hAnsiTheme="majorBidi" w:cstheme="majorBidi"/>
                <w:bCs/>
                <w:sz w:val="18"/>
                <w:szCs w:val="18"/>
                <w:lang w:val="de-DE"/>
              </w:rPr>
              <w:t xml:space="preserve">(en kg/gas/kg </w:t>
            </w:r>
            <w:proofErr w:type="spellStart"/>
            <w:r w:rsidRPr="009E3E90">
              <w:rPr>
                <w:rFonts w:asciiTheme="majorBidi" w:hAnsiTheme="majorBidi" w:cstheme="majorBidi"/>
                <w:bCs/>
                <w:sz w:val="18"/>
                <w:szCs w:val="18"/>
                <w:lang w:val="de-DE"/>
              </w:rPr>
              <w:t>eau</w:t>
            </w:r>
            <w:proofErr w:type="spellEnd"/>
            <w:r w:rsidRPr="009E3E90">
              <w:rPr>
                <w:rFonts w:asciiTheme="majorBidi" w:hAnsiTheme="majorBidi" w:cstheme="majorBidi"/>
                <w:bCs/>
                <w:sz w:val="18"/>
                <w:szCs w:val="18"/>
                <w:lang w:val="de-DE"/>
              </w:rPr>
              <w:t>)</w:t>
            </w:r>
            <w:r w:rsidRPr="009E3E90">
              <w:rPr>
                <w:rFonts w:asciiTheme="majorBidi" w:hAnsiTheme="majorBidi" w:cstheme="majorBidi"/>
                <w:bCs/>
                <w:sz w:val="18"/>
                <w:szCs w:val="18"/>
                <w:vertAlign w:val="superscript"/>
                <w:lang w:val="de-DE"/>
              </w:rPr>
              <w:t>3</w:t>
            </w:r>
          </w:p>
          <w:p w14:paraId="62CC1B47" w14:textId="19581717" w:rsidR="009E3E90" w:rsidRPr="009E3E90" w:rsidRDefault="0060047A" w:rsidP="00645268">
            <w:pPr>
              <w:rPr>
                <w:rFonts w:asciiTheme="majorBidi" w:hAnsiTheme="majorBidi" w:cstheme="majorBidi"/>
                <w:b/>
                <w:bCs/>
                <w:sz w:val="18"/>
                <w:szCs w:val="18"/>
                <w:vertAlign w:val="superscript"/>
                <w:lang w:val="fr-FR"/>
              </w:rPr>
            </w:pPr>
            <w:r>
              <w:rPr>
                <w:rFonts w:asciiTheme="majorBidi" w:hAnsiTheme="majorBidi" w:cstheme="majorBidi"/>
                <w:b/>
                <w:bCs/>
                <w:sz w:val="18"/>
                <w:szCs w:val="18"/>
              </w:rPr>
              <w:t xml:space="preserve">Para. </w:t>
            </w:r>
            <w:r w:rsidR="009E3E90" w:rsidRPr="009E3E90">
              <w:rPr>
                <w:rFonts w:asciiTheme="majorBidi" w:hAnsiTheme="majorBidi" w:cstheme="majorBidi"/>
                <w:b/>
                <w:bCs/>
                <w:sz w:val="18"/>
                <w:szCs w:val="18"/>
              </w:rPr>
              <w:t>42</w:t>
            </w:r>
          </w:p>
        </w:tc>
        <w:tc>
          <w:tcPr>
            <w:tcW w:w="1552" w:type="dxa"/>
          </w:tcPr>
          <w:p w14:paraId="4B3F5DA4" w14:textId="77777777" w:rsidR="009E3E90" w:rsidRPr="009E3E90" w:rsidRDefault="009E3E90" w:rsidP="00645268">
            <w:pPr>
              <w:rPr>
                <w:rFonts w:asciiTheme="majorBidi" w:hAnsiTheme="majorBidi" w:cstheme="majorBidi"/>
                <w:sz w:val="18"/>
                <w:szCs w:val="18"/>
                <w:vertAlign w:val="superscript"/>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proofErr w:type="gram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 xml:space="preserve">  (</w:t>
            </w:r>
            <w:proofErr w:type="spellStart"/>
            <w:proofErr w:type="gramEnd"/>
            <w:r w:rsidRPr="009E3E90">
              <w:rPr>
                <w:rFonts w:asciiTheme="majorBidi" w:hAnsiTheme="majorBidi" w:cstheme="majorBidi"/>
                <w:sz w:val="18"/>
                <w:szCs w:val="18"/>
              </w:rPr>
              <w:t>en</w:t>
            </w:r>
            <w:proofErr w:type="spellEnd"/>
            <w:r w:rsidRPr="009E3E90">
              <w:rPr>
                <w:rFonts w:asciiTheme="majorBidi" w:hAnsiTheme="majorBidi" w:cstheme="majorBidi"/>
                <w:sz w:val="18"/>
                <w:szCs w:val="18"/>
              </w:rPr>
              <w:t xml:space="preserve"> kg/gas/kg/</w:t>
            </w:r>
            <w:proofErr w:type="spellStart"/>
            <w:r w:rsidRPr="009E3E90">
              <w:rPr>
                <w:rFonts w:asciiTheme="majorBidi" w:hAnsiTheme="majorBidi" w:cstheme="majorBidi"/>
                <w:sz w:val="18"/>
                <w:szCs w:val="18"/>
              </w:rPr>
              <w:t>agua</w:t>
            </w:r>
            <w:proofErr w:type="spellEnd"/>
            <w:r w:rsidRPr="009E3E90">
              <w:rPr>
                <w:rFonts w:asciiTheme="majorBidi" w:hAnsiTheme="majorBidi" w:cstheme="majorBidi"/>
                <w:sz w:val="18"/>
                <w:szCs w:val="18"/>
              </w:rPr>
              <w:t>)</w:t>
            </w:r>
            <w:r w:rsidRPr="009E3E90">
              <w:rPr>
                <w:rFonts w:asciiTheme="majorBidi" w:hAnsiTheme="majorBidi" w:cstheme="majorBidi"/>
                <w:sz w:val="18"/>
                <w:szCs w:val="18"/>
                <w:vertAlign w:val="superscript"/>
              </w:rPr>
              <w:t>3</w:t>
            </w:r>
          </w:p>
          <w:p w14:paraId="58F8372A" w14:textId="72420848"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52</w:t>
            </w:r>
          </w:p>
        </w:tc>
      </w:tr>
      <w:tr w:rsidR="009E3E90" w:rsidRPr="009E3E90" w14:paraId="44790D0D" w14:textId="77777777" w:rsidTr="00645268">
        <w:trPr>
          <w:trHeight w:val="800"/>
        </w:trPr>
        <w:tc>
          <w:tcPr>
            <w:tcW w:w="1540" w:type="dxa"/>
          </w:tcPr>
          <w:p w14:paraId="707968CA"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Figure 6.7.4.15.1 </w:t>
            </w:r>
          </w:p>
          <w:p w14:paraId="7CB605B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Holding Times</w:t>
            </w:r>
          </w:p>
        </w:tc>
        <w:tc>
          <w:tcPr>
            <w:tcW w:w="1218" w:type="dxa"/>
          </w:tcPr>
          <w:p w14:paraId="6E0632E4"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 xml:space="preserve">Degree of filling </w:t>
            </w:r>
          </w:p>
          <w:p w14:paraId="7EDB46F1"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kg</w:t>
            </w:r>
          </w:p>
        </w:tc>
        <w:tc>
          <w:tcPr>
            <w:tcW w:w="1557" w:type="dxa"/>
          </w:tcPr>
          <w:p w14:paraId="3D3D7DF7"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Taux</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remplissage</w:t>
            </w:r>
            <w:proofErr w:type="spellEnd"/>
          </w:p>
          <w:p w14:paraId="7B1654A7"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kg</w:t>
            </w:r>
          </w:p>
        </w:tc>
        <w:tc>
          <w:tcPr>
            <w:tcW w:w="1172" w:type="dxa"/>
          </w:tcPr>
          <w:p w14:paraId="22BA8866"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 xml:space="preserve">Grado de </w:t>
            </w:r>
            <w:proofErr w:type="spellStart"/>
            <w:r w:rsidRPr="009E3E90">
              <w:rPr>
                <w:rFonts w:asciiTheme="majorBidi" w:hAnsiTheme="majorBidi" w:cstheme="majorBidi"/>
                <w:sz w:val="18"/>
                <w:szCs w:val="18"/>
              </w:rPr>
              <w:t>llenado</w:t>
            </w:r>
            <w:proofErr w:type="spellEnd"/>
          </w:p>
          <w:p w14:paraId="690F8319"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kg</w:t>
            </w:r>
          </w:p>
        </w:tc>
        <w:tc>
          <w:tcPr>
            <w:tcW w:w="1070" w:type="dxa"/>
          </w:tcPr>
          <w:p w14:paraId="13255251"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Filling ratio.</w:t>
            </w:r>
          </w:p>
          <w:p w14:paraId="19D3A70C" w14:textId="77777777" w:rsidR="009E3E90" w:rsidRPr="009E3E90" w:rsidRDefault="009E3E90" w:rsidP="00645268">
            <w:pPr>
              <w:rPr>
                <w:rFonts w:asciiTheme="majorBidi" w:hAnsiTheme="majorBidi" w:cstheme="majorBidi"/>
                <w:sz w:val="18"/>
                <w:szCs w:val="18"/>
                <w:lang w:val="en-GB"/>
              </w:rPr>
            </w:pPr>
            <w:r w:rsidRPr="009E3E90">
              <w:rPr>
                <w:rFonts w:asciiTheme="majorBidi" w:hAnsiTheme="majorBidi" w:cstheme="majorBidi"/>
                <w:sz w:val="18"/>
                <w:szCs w:val="18"/>
                <w:lang w:val="en-GB"/>
              </w:rPr>
              <w:t>kg/gas/kg water</w:t>
            </w:r>
          </w:p>
          <w:p w14:paraId="67BC44FC" w14:textId="6966FA90"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20</w:t>
            </w:r>
          </w:p>
        </w:tc>
        <w:tc>
          <w:tcPr>
            <w:tcW w:w="1667" w:type="dxa"/>
          </w:tcPr>
          <w:p w14:paraId="3CAF5848" w14:textId="77777777" w:rsidR="009E3E90" w:rsidRPr="009E3E90" w:rsidRDefault="009E3E90" w:rsidP="00645268">
            <w:pPr>
              <w:rPr>
                <w:rFonts w:asciiTheme="majorBidi" w:hAnsiTheme="majorBidi" w:cstheme="majorBidi"/>
                <w:bCs/>
                <w:sz w:val="18"/>
                <w:szCs w:val="18"/>
                <w:lang w:val="fr-FR"/>
              </w:rPr>
            </w:pPr>
            <w:r w:rsidRPr="009E3E90">
              <w:rPr>
                <w:rFonts w:asciiTheme="majorBidi" w:hAnsiTheme="majorBidi" w:cstheme="majorBidi"/>
                <w:b/>
                <w:bCs/>
                <w:sz w:val="18"/>
                <w:szCs w:val="18"/>
                <w:lang w:val="fr-FR"/>
              </w:rPr>
              <w:t xml:space="preserve"> </w:t>
            </w:r>
            <w:proofErr w:type="gramStart"/>
            <w:r w:rsidRPr="009E3E90">
              <w:rPr>
                <w:rFonts w:asciiTheme="majorBidi" w:hAnsiTheme="majorBidi" w:cstheme="majorBidi"/>
                <w:bCs/>
                <w:sz w:val="18"/>
                <w:szCs w:val="18"/>
                <w:lang w:val="fr-FR"/>
              </w:rPr>
              <w:t>kg</w:t>
            </w:r>
            <w:proofErr w:type="gramEnd"/>
            <w:r w:rsidRPr="009E3E90">
              <w:rPr>
                <w:rFonts w:asciiTheme="majorBidi" w:hAnsiTheme="majorBidi" w:cstheme="majorBidi"/>
                <w:bCs/>
                <w:sz w:val="18"/>
                <w:szCs w:val="18"/>
                <w:lang w:val="fr-FR"/>
              </w:rPr>
              <w:t>/</w:t>
            </w:r>
            <w:proofErr w:type="spellStart"/>
            <w:r w:rsidRPr="009E3E90">
              <w:rPr>
                <w:rFonts w:asciiTheme="majorBidi" w:hAnsiTheme="majorBidi" w:cstheme="majorBidi"/>
                <w:bCs/>
                <w:sz w:val="18"/>
                <w:szCs w:val="18"/>
                <w:lang w:val="fr-FR"/>
              </w:rPr>
              <w:t>gas</w:t>
            </w:r>
            <w:proofErr w:type="spellEnd"/>
            <w:r w:rsidRPr="009E3E90">
              <w:rPr>
                <w:rFonts w:asciiTheme="majorBidi" w:hAnsiTheme="majorBidi" w:cstheme="majorBidi"/>
                <w:bCs/>
                <w:sz w:val="18"/>
                <w:szCs w:val="18"/>
                <w:lang w:val="fr-FR"/>
              </w:rPr>
              <w:t>/kg/eau</w:t>
            </w:r>
          </w:p>
          <w:p w14:paraId="2DDA88BD" w14:textId="6368B1EA" w:rsidR="009E3E90" w:rsidRPr="009E3E90" w:rsidRDefault="0060047A" w:rsidP="00645268">
            <w:pPr>
              <w:rPr>
                <w:rFonts w:asciiTheme="majorBidi" w:hAnsiTheme="majorBidi" w:cstheme="majorBidi"/>
                <w:b/>
                <w:bCs/>
                <w:sz w:val="18"/>
                <w:szCs w:val="18"/>
                <w:lang w:val="fr-FR"/>
              </w:rPr>
            </w:pPr>
            <w:r>
              <w:rPr>
                <w:rFonts w:asciiTheme="majorBidi" w:hAnsiTheme="majorBidi" w:cstheme="majorBidi"/>
                <w:b/>
                <w:bCs/>
                <w:sz w:val="18"/>
                <w:szCs w:val="18"/>
                <w:lang w:val="fr-FR"/>
              </w:rPr>
              <w:t xml:space="preserve">Para. </w:t>
            </w:r>
            <w:r w:rsidR="009E3E90" w:rsidRPr="009E3E90">
              <w:rPr>
                <w:rFonts w:asciiTheme="majorBidi" w:hAnsiTheme="majorBidi" w:cstheme="majorBidi"/>
                <w:b/>
                <w:bCs/>
                <w:sz w:val="18"/>
                <w:szCs w:val="18"/>
                <w:lang w:val="fr-FR"/>
              </w:rPr>
              <w:t>43</w:t>
            </w:r>
          </w:p>
        </w:tc>
        <w:tc>
          <w:tcPr>
            <w:tcW w:w="1552" w:type="dxa"/>
          </w:tcPr>
          <w:p w14:paraId="33BC988C" w14:textId="77777777" w:rsidR="009E3E90" w:rsidRPr="009E3E90" w:rsidRDefault="009E3E90" w:rsidP="00645268">
            <w:pPr>
              <w:rPr>
                <w:rFonts w:asciiTheme="majorBidi" w:hAnsiTheme="majorBidi" w:cstheme="majorBidi"/>
                <w:sz w:val="18"/>
                <w:szCs w:val="18"/>
              </w:rPr>
            </w:pPr>
            <w:proofErr w:type="spellStart"/>
            <w:r w:rsidRPr="009E3E90">
              <w:rPr>
                <w:rFonts w:asciiTheme="majorBidi" w:hAnsiTheme="majorBidi" w:cstheme="majorBidi"/>
                <w:sz w:val="18"/>
                <w:szCs w:val="18"/>
              </w:rPr>
              <w:t>Razón</w:t>
            </w:r>
            <w:proofErr w:type="spellEnd"/>
            <w:r w:rsidRPr="009E3E90">
              <w:rPr>
                <w:rFonts w:asciiTheme="majorBidi" w:hAnsiTheme="majorBidi" w:cstheme="majorBidi"/>
                <w:sz w:val="18"/>
                <w:szCs w:val="18"/>
              </w:rPr>
              <w:t xml:space="preserve"> de </w:t>
            </w:r>
            <w:proofErr w:type="spellStart"/>
            <w:r w:rsidRPr="009E3E90">
              <w:rPr>
                <w:rFonts w:asciiTheme="majorBidi" w:hAnsiTheme="majorBidi" w:cstheme="majorBidi"/>
                <w:sz w:val="18"/>
                <w:szCs w:val="18"/>
              </w:rPr>
              <w:t>llenado</w:t>
            </w:r>
            <w:proofErr w:type="spellEnd"/>
            <w:r w:rsidRPr="009E3E90">
              <w:rPr>
                <w:rFonts w:asciiTheme="majorBidi" w:hAnsiTheme="majorBidi" w:cstheme="majorBidi"/>
                <w:sz w:val="18"/>
                <w:szCs w:val="18"/>
              </w:rPr>
              <w:t>.</w:t>
            </w:r>
          </w:p>
          <w:p w14:paraId="6534FD30" w14:textId="77777777" w:rsidR="009E3E90" w:rsidRPr="009E3E90" w:rsidRDefault="009E3E90" w:rsidP="00645268">
            <w:pPr>
              <w:rPr>
                <w:rFonts w:asciiTheme="majorBidi" w:hAnsiTheme="majorBidi" w:cstheme="majorBidi"/>
                <w:sz w:val="18"/>
                <w:szCs w:val="18"/>
              </w:rPr>
            </w:pPr>
            <w:r w:rsidRPr="009E3E90">
              <w:rPr>
                <w:rFonts w:asciiTheme="majorBidi" w:hAnsiTheme="majorBidi" w:cstheme="majorBidi"/>
                <w:sz w:val="18"/>
                <w:szCs w:val="18"/>
              </w:rPr>
              <w:t>Kg/gas/kg/</w:t>
            </w:r>
            <w:proofErr w:type="spellStart"/>
            <w:r w:rsidRPr="009E3E90">
              <w:rPr>
                <w:rFonts w:asciiTheme="majorBidi" w:hAnsiTheme="majorBidi" w:cstheme="majorBidi"/>
                <w:sz w:val="18"/>
                <w:szCs w:val="18"/>
              </w:rPr>
              <w:t>agua</w:t>
            </w:r>
            <w:proofErr w:type="spellEnd"/>
          </w:p>
          <w:p w14:paraId="3CE1FB78" w14:textId="7FDAE9DF" w:rsidR="009E3E90" w:rsidRPr="009E3E90" w:rsidRDefault="0060047A" w:rsidP="00645268">
            <w:pPr>
              <w:rPr>
                <w:rFonts w:asciiTheme="majorBidi" w:hAnsiTheme="majorBidi" w:cstheme="majorBidi"/>
                <w:b/>
                <w:bCs/>
                <w:sz w:val="18"/>
                <w:szCs w:val="18"/>
              </w:rPr>
            </w:pPr>
            <w:r>
              <w:rPr>
                <w:rFonts w:asciiTheme="majorBidi" w:hAnsiTheme="majorBidi" w:cstheme="majorBidi"/>
                <w:b/>
                <w:bCs/>
                <w:sz w:val="18"/>
                <w:szCs w:val="18"/>
              </w:rPr>
              <w:t xml:space="preserve">Para. </w:t>
            </w:r>
            <w:r w:rsidR="009E3E90" w:rsidRPr="009E3E90">
              <w:rPr>
                <w:rFonts w:asciiTheme="majorBidi" w:hAnsiTheme="majorBidi" w:cstheme="majorBidi"/>
                <w:b/>
                <w:bCs/>
                <w:color w:val="000000" w:themeColor="text1"/>
                <w:sz w:val="18"/>
                <w:szCs w:val="18"/>
              </w:rPr>
              <w:t>53</w:t>
            </w:r>
          </w:p>
        </w:tc>
      </w:tr>
    </w:tbl>
    <w:p w14:paraId="72F6791F" w14:textId="20628B73" w:rsidR="009E3E90" w:rsidRPr="009E3E90" w:rsidRDefault="009E3E90" w:rsidP="009E3E90">
      <w:pPr>
        <w:spacing w:before="240"/>
        <w:jc w:val="center"/>
        <w:rPr>
          <w:u w:val="single"/>
        </w:rPr>
      </w:pPr>
      <w:r>
        <w:rPr>
          <w:u w:val="single"/>
        </w:rPr>
        <w:tab/>
      </w:r>
      <w:r>
        <w:rPr>
          <w:u w:val="single"/>
        </w:rPr>
        <w:tab/>
      </w:r>
      <w:r>
        <w:rPr>
          <w:u w:val="single"/>
        </w:rPr>
        <w:tab/>
      </w:r>
    </w:p>
    <w:p w14:paraId="359C18C0" w14:textId="77777777" w:rsidR="00187A0A" w:rsidRPr="00A4013A" w:rsidRDefault="00187A0A" w:rsidP="009E3E90"/>
    <w:sectPr w:rsidR="00187A0A" w:rsidRPr="00A4013A" w:rsidSect="00A4013A">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60DE" w14:textId="77777777" w:rsidR="00BA0919" w:rsidRPr="00C47B2E" w:rsidRDefault="00BA0919" w:rsidP="00C47B2E">
      <w:pPr>
        <w:pStyle w:val="Footer"/>
      </w:pPr>
    </w:p>
  </w:endnote>
  <w:endnote w:type="continuationSeparator" w:id="0">
    <w:p w14:paraId="0A0AB0C6" w14:textId="77777777" w:rsidR="00BA0919" w:rsidRPr="00C47B2E" w:rsidRDefault="00BA0919" w:rsidP="00C47B2E">
      <w:pPr>
        <w:pStyle w:val="Footer"/>
      </w:pPr>
    </w:p>
  </w:endnote>
  <w:endnote w:type="continuationNotice" w:id="1">
    <w:p w14:paraId="5B424B31" w14:textId="77777777" w:rsidR="00BA0919" w:rsidRPr="00C47B2E" w:rsidRDefault="00BA091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E2E" w14:textId="320FED08" w:rsidR="00D94B05" w:rsidRPr="00A4013A" w:rsidRDefault="00A4013A" w:rsidP="00A4013A">
    <w:pPr>
      <w:pStyle w:val="Footer"/>
      <w:tabs>
        <w:tab w:val="right" w:pos="9598"/>
        <w:tab w:val="right" w:pos="9638"/>
      </w:tabs>
      <w:rPr>
        <w:sz w:val="18"/>
      </w:rPr>
    </w:pPr>
    <w:r w:rsidRPr="00A4013A">
      <w:rPr>
        <w:b/>
        <w:sz w:val="18"/>
      </w:rPr>
      <w:fldChar w:fldCharType="begin"/>
    </w:r>
    <w:r w:rsidRPr="00A4013A">
      <w:rPr>
        <w:b/>
        <w:sz w:val="18"/>
      </w:rPr>
      <w:instrText xml:space="preserve"> PAGE  \* MERGEFORMAT </w:instrText>
    </w:r>
    <w:r w:rsidRPr="00A4013A">
      <w:rPr>
        <w:b/>
        <w:sz w:val="18"/>
      </w:rPr>
      <w:fldChar w:fldCharType="separate"/>
    </w:r>
    <w:r w:rsidRPr="00A4013A">
      <w:rPr>
        <w:b/>
        <w:noProof/>
        <w:sz w:val="18"/>
      </w:rPr>
      <w:t>2</w:t>
    </w:r>
    <w:r w:rsidRPr="00A401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45C" w14:textId="0ED74DB9" w:rsidR="00D94B05" w:rsidRPr="00A4013A" w:rsidRDefault="00A4013A" w:rsidP="009A5D65">
    <w:pPr>
      <w:pStyle w:val="Footer"/>
      <w:tabs>
        <w:tab w:val="left" w:pos="5775"/>
        <w:tab w:val="right" w:pos="9598"/>
        <w:tab w:val="right" w:pos="9638"/>
      </w:tabs>
      <w:jc w:val="right"/>
      <w:rPr>
        <w:sz w:val="18"/>
      </w:rPr>
    </w:pPr>
    <w:r>
      <w:rPr>
        <w:b/>
        <w:sz w:val="18"/>
      </w:rPr>
      <w:tab/>
    </w:r>
    <w:r w:rsidRPr="00A4013A">
      <w:rPr>
        <w:sz w:val="18"/>
      </w:rPr>
      <w:fldChar w:fldCharType="begin"/>
    </w:r>
    <w:r w:rsidRPr="00A4013A">
      <w:rPr>
        <w:sz w:val="18"/>
      </w:rPr>
      <w:instrText xml:space="preserve"> PAGE  \* MERGEFORMAT </w:instrText>
    </w:r>
    <w:r w:rsidRPr="00A4013A">
      <w:rPr>
        <w:sz w:val="18"/>
      </w:rPr>
      <w:fldChar w:fldCharType="separate"/>
    </w:r>
    <w:r w:rsidRPr="00A4013A">
      <w:rPr>
        <w:noProof/>
        <w:sz w:val="18"/>
      </w:rPr>
      <w:t>3</w:t>
    </w:r>
    <w:r w:rsidRPr="00A4013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507E" w14:textId="77777777" w:rsidR="00D94B05" w:rsidRPr="00A4013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597F6341" wp14:editId="070F9A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D237" w14:textId="77777777" w:rsidR="00BA0919" w:rsidRPr="00C47B2E" w:rsidRDefault="00BA0919" w:rsidP="00C47B2E">
      <w:pPr>
        <w:tabs>
          <w:tab w:val="right" w:pos="2155"/>
        </w:tabs>
        <w:spacing w:after="80" w:line="240" w:lineRule="auto"/>
        <w:ind w:left="680"/>
      </w:pPr>
      <w:r>
        <w:rPr>
          <w:u w:val="single"/>
        </w:rPr>
        <w:tab/>
      </w:r>
    </w:p>
  </w:footnote>
  <w:footnote w:type="continuationSeparator" w:id="0">
    <w:p w14:paraId="020F8C23" w14:textId="77777777" w:rsidR="00BA0919" w:rsidRPr="00C47B2E" w:rsidRDefault="00BA0919" w:rsidP="005E716E">
      <w:pPr>
        <w:tabs>
          <w:tab w:val="right" w:pos="2155"/>
        </w:tabs>
        <w:spacing w:after="80" w:line="240" w:lineRule="auto"/>
        <w:ind w:left="680"/>
      </w:pPr>
      <w:r>
        <w:rPr>
          <w:u w:val="single"/>
        </w:rPr>
        <w:tab/>
      </w:r>
    </w:p>
  </w:footnote>
  <w:footnote w:type="continuationNotice" w:id="1">
    <w:p w14:paraId="28BF6C56" w14:textId="77777777" w:rsidR="00BA0919" w:rsidRPr="00C47B2E" w:rsidRDefault="00BA0919" w:rsidP="00C47B2E">
      <w:pPr>
        <w:pStyle w:val="Footer"/>
      </w:pPr>
    </w:p>
  </w:footnote>
  <w:footnote w:id="2">
    <w:p w14:paraId="7A32581E" w14:textId="3814D612" w:rsidR="00E45185" w:rsidRPr="00E45185" w:rsidRDefault="00E45185" w:rsidP="00AB7FA6">
      <w:pPr>
        <w:pStyle w:val="FootnoteText"/>
        <w:ind w:firstLine="0"/>
        <w:rPr>
          <w:lang w:val="fr-CH"/>
        </w:rPr>
      </w:pPr>
      <w:r>
        <w:rPr>
          <w:rStyle w:val="FootnoteReference"/>
        </w:rPr>
        <w:footnoteRef/>
      </w:r>
      <w:r>
        <w:t xml:space="preserve"> </w:t>
      </w:r>
      <w:r w:rsidR="00AB7FA6">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DB3A" w14:textId="13211C39" w:rsidR="00A4013A" w:rsidRPr="00A4013A" w:rsidRDefault="00F972B5">
    <w:pPr>
      <w:pStyle w:val="Header"/>
    </w:pPr>
    <w:r>
      <w:fldChar w:fldCharType="begin"/>
    </w:r>
    <w:r>
      <w:instrText xml:space="preserve"> TITLE  \* MERGEFORMAT </w:instrText>
    </w:r>
    <w:r>
      <w:fldChar w:fldCharType="separate"/>
    </w:r>
    <w:r>
      <w:t>ST/SG/AC.10/C.3/2022/23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56C6" w14:textId="779B515A" w:rsidR="00D94B05" w:rsidRPr="00A4013A" w:rsidRDefault="00F972B5" w:rsidP="00A4013A">
    <w:pPr>
      <w:pStyle w:val="Header"/>
      <w:jc w:val="right"/>
    </w:pPr>
    <w:r>
      <w:fldChar w:fldCharType="begin"/>
    </w:r>
    <w:r>
      <w:instrText xml:space="preserve"> TITLE  \* MERGEFORMAT </w:instrText>
    </w:r>
    <w:r>
      <w:fldChar w:fldCharType="separate"/>
    </w:r>
    <w:r>
      <w:t>ST/SG/AC.10/C.3/2022/23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savePreviewPicture/>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3A"/>
    <w:rsid w:val="00042BBA"/>
    <w:rsid w:val="00046E92"/>
    <w:rsid w:val="00060474"/>
    <w:rsid w:val="00063C90"/>
    <w:rsid w:val="00072E42"/>
    <w:rsid w:val="00091034"/>
    <w:rsid w:val="00101B98"/>
    <w:rsid w:val="00135377"/>
    <w:rsid w:val="001514D1"/>
    <w:rsid w:val="00160C63"/>
    <w:rsid w:val="0017336E"/>
    <w:rsid w:val="00180A6E"/>
    <w:rsid w:val="00187A0A"/>
    <w:rsid w:val="001A6F48"/>
    <w:rsid w:val="001E405F"/>
    <w:rsid w:val="0021681F"/>
    <w:rsid w:val="00244490"/>
    <w:rsid w:val="002479B4"/>
    <w:rsid w:val="00247CF8"/>
    <w:rsid w:val="00247E2C"/>
    <w:rsid w:val="00252015"/>
    <w:rsid w:val="002A32CB"/>
    <w:rsid w:val="002A7CB6"/>
    <w:rsid w:val="002D5B2C"/>
    <w:rsid w:val="002D6C53"/>
    <w:rsid w:val="002F5595"/>
    <w:rsid w:val="003145DA"/>
    <w:rsid w:val="00334F6A"/>
    <w:rsid w:val="00342AC8"/>
    <w:rsid w:val="00343302"/>
    <w:rsid w:val="0034784F"/>
    <w:rsid w:val="00364959"/>
    <w:rsid w:val="0036607F"/>
    <w:rsid w:val="003979DE"/>
    <w:rsid w:val="003B4550"/>
    <w:rsid w:val="003D2A18"/>
    <w:rsid w:val="003D529A"/>
    <w:rsid w:val="003D79F7"/>
    <w:rsid w:val="003E5EB4"/>
    <w:rsid w:val="00406FE2"/>
    <w:rsid w:val="00413386"/>
    <w:rsid w:val="00461162"/>
    <w:rsid w:val="00461253"/>
    <w:rsid w:val="004858F5"/>
    <w:rsid w:val="004A2814"/>
    <w:rsid w:val="004C0622"/>
    <w:rsid w:val="005042C2"/>
    <w:rsid w:val="005130A2"/>
    <w:rsid w:val="0051415E"/>
    <w:rsid w:val="005811C4"/>
    <w:rsid w:val="00586C0C"/>
    <w:rsid w:val="00593019"/>
    <w:rsid w:val="005A5373"/>
    <w:rsid w:val="005B6C65"/>
    <w:rsid w:val="005C7B6F"/>
    <w:rsid w:val="005E716E"/>
    <w:rsid w:val="005F1AD1"/>
    <w:rsid w:val="0060047A"/>
    <w:rsid w:val="00635CDE"/>
    <w:rsid w:val="006476E1"/>
    <w:rsid w:val="0066029D"/>
    <w:rsid w:val="006604DF"/>
    <w:rsid w:val="006616B9"/>
    <w:rsid w:val="00671529"/>
    <w:rsid w:val="00693BCF"/>
    <w:rsid w:val="006E72EE"/>
    <w:rsid w:val="0070489D"/>
    <w:rsid w:val="00724955"/>
    <w:rsid w:val="007268F9"/>
    <w:rsid w:val="00750282"/>
    <w:rsid w:val="00764440"/>
    <w:rsid w:val="0077101B"/>
    <w:rsid w:val="00787232"/>
    <w:rsid w:val="007C52B0"/>
    <w:rsid w:val="007C6033"/>
    <w:rsid w:val="007F3103"/>
    <w:rsid w:val="008147C8"/>
    <w:rsid w:val="0081753A"/>
    <w:rsid w:val="0082652D"/>
    <w:rsid w:val="00835505"/>
    <w:rsid w:val="00850B3C"/>
    <w:rsid w:val="00857D23"/>
    <w:rsid w:val="008666F5"/>
    <w:rsid w:val="00880100"/>
    <w:rsid w:val="00893101"/>
    <w:rsid w:val="00903537"/>
    <w:rsid w:val="00905CAD"/>
    <w:rsid w:val="00906062"/>
    <w:rsid w:val="009402DE"/>
    <w:rsid w:val="009411B4"/>
    <w:rsid w:val="00946F1D"/>
    <w:rsid w:val="009538CC"/>
    <w:rsid w:val="0096681E"/>
    <w:rsid w:val="009A2BAD"/>
    <w:rsid w:val="009A5D65"/>
    <w:rsid w:val="009D0139"/>
    <w:rsid w:val="009D717D"/>
    <w:rsid w:val="009E3E90"/>
    <w:rsid w:val="009E4262"/>
    <w:rsid w:val="009E500A"/>
    <w:rsid w:val="009F5CDC"/>
    <w:rsid w:val="009F6EBA"/>
    <w:rsid w:val="00A072D7"/>
    <w:rsid w:val="00A15148"/>
    <w:rsid w:val="00A4013A"/>
    <w:rsid w:val="00A775CF"/>
    <w:rsid w:val="00AB7FA6"/>
    <w:rsid w:val="00AC41A7"/>
    <w:rsid w:val="00AC4A79"/>
    <w:rsid w:val="00AD1A9C"/>
    <w:rsid w:val="00AF4167"/>
    <w:rsid w:val="00AF5DE1"/>
    <w:rsid w:val="00B06045"/>
    <w:rsid w:val="00B206DD"/>
    <w:rsid w:val="00B34F0C"/>
    <w:rsid w:val="00B45F4B"/>
    <w:rsid w:val="00B52EF4"/>
    <w:rsid w:val="00B7455A"/>
    <w:rsid w:val="00B777AD"/>
    <w:rsid w:val="00BA0919"/>
    <w:rsid w:val="00BC0D93"/>
    <w:rsid w:val="00BC65CA"/>
    <w:rsid w:val="00BF3BE2"/>
    <w:rsid w:val="00BF3D93"/>
    <w:rsid w:val="00C03015"/>
    <w:rsid w:val="00C0358D"/>
    <w:rsid w:val="00C07C0F"/>
    <w:rsid w:val="00C35A27"/>
    <w:rsid w:val="00C47B2E"/>
    <w:rsid w:val="00C61F43"/>
    <w:rsid w:val="00C6499F"/>
    <w:rsid w:val="00CE5AB9"/>
    <w:rsid w:val="00D50157"/>
    <w:rsid w:val="00D55B64"/>
    <w:rsid w:val="00D62A58"/>
    <w:rsid w:val="00D63CD2"/>
    <w:rsid w:val="00D70EFE"/>
    <w:rsid w:val="00D76032"/>
    <w:rsid w:val="00D87DC2"/>
    <w:rsid w:val="00D94B05"/>
    <w:rsid w:val="00DB4AB3"/>
    <w:rsid w:val="00DD715C"/>
    <w:rsid w:val="00DE0423"/>
    <w:rsid w:val="00DF5AE7"/>
    <w:rsid w:val="00E02C2B"/>
    <w:rsid w:val="00E21C27"/>
    <w:rsid w:val="00E26BCF"/>
    <w:rsid w:val="00E45185"/>
    <w:rsid w:val="00E52109"/>
    <w:rsid w:val="00E75317"/>
    <w:rsid w:val="00E86A66"/>
    <w:rsid w:val="00EA17B2"/>
    <w:rsid w:val="00EC0CE6"/>
    <w:rsid w:val="00EC7C1D"/>
    <w:rsid w:val="00ED6C48"/>
    <w:rsid w:val="00EE1063"/>
    <w:rsid w:val="00EE3045"/>
    <w:rsid w:val="00F06282"/>
    <w:rsid w:val="00F21646"/>
    <w:rsid w:val="00F65F5D"/>
    <w:rsid w:val="00F86A3A"/>
    <w:rsid w:val="00F972B5"/>
    <w:rsid w:val="00FA32B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53875"/>
  <w15:docId w15:val="{CE5811DA-237C-4331-864E-230691B2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E45185"/>
    <w:rPr>
      <w:b/>
      <w:sz w:val="24"/>
    </w:rPr>
  </w:style>
  <w:style w:type="character" w:customStyle="1" w:styleId="HChGChar">
    <w:name w:val="_ H _Ch_G Char"/>
    <w:link w:val="HChG"/>
    <w:qFormat/>
    <w:rsid w:val="00E45185"/>
    <w:rPr>
      <w:b/>
      <w:sz w:val="28"/>
    </w:rPr>
  </w:style>
  <w:style w:type="character" w:customStyle="1" w:styleId="SingleTxtGChar">
    <w:name w:val="_ Single Txt_G Char"/>
    <w:link w:val="SingleTxtG"/>
    <w:qFormat/>
    <w:locked/>
    <w:rsid w:val="00E4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DC95B-DD29-47FE-AA21-7F787FAA2A54}">
  <ds:schemaRefs>
    <ds:schemaRef ds:uri="http://schemas.microsoft.com/sharepoint/v3/contenttype/forms"/>
  </ds:schemaRefs>
</ds:datastoreItem>
</file>

<file path=customXml/itemProps2.xml><?xml version="1.0" encoding="utf-8"?>
<ds:datastoreItem xmlns:ds="http://schemas.openxmlformats.org/officeDocument/2006/customXml" ds:itemID="{BA5B78AE-AD6F-4309-B3BC-DC2388F5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DCE69DB6-F403-49FC-8D20-5340F8A90F35}">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acccb6d4-dbe5-46d2-b4d3-5733603d8cc6"/>
    <ds:schemaRef ds:uri="4b4a1c0d-4a69-4996-a84a-fc699b9f49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SGAC10_E.dotm</Template>
  <TotalTime>117</TotalTime>
  <Pages>9</Pages>
  <Words>3868</Words>
  <Characters>22048</Characters>
  <Application>Microsoft Office Word</Application>
  <DocSecurity>0</DocSecurity>
  <Lines>183</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ST/SG/AC.10/C.3/2022/23</dc:title>
  <dc:subject/>
  <dc:creator>Laurence BERTHET</dc:creator>
  <cp:lastModifiedBy>Laurence Berthet</cp:lastModifiedBy>
  <cp:revision>93</cp:revision>
  <cp:lastPrinted>2022-04-07T09:10:00Z</cp:lastPrinted>
  <dcterms:created xsi:type="dcterms:W3CDTF">2022-03-31T11:39:00Z</dcterms:created>
  <dcterms:modified xsi:type="dcterms:W3CDTF">2022-04-07T09:10:00Z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