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1160CFF0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11C24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14E73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B3C30" w14:textId="0D2A3B60" w:rsidR="00796323" w:rsidRDefault="00796323" w:rsidP="00796323">
            <w:pPr>
              <w:suppressAutoHyphens w:val="0"/>
              <w:jc w:val="right"/>
            </w:pPr>
            <w:r w:rsidRPr="00796323">
              <w:rPr>
                <w:sz w:val="40"/>
              </w:rPr>
              <w:t>ST</w:t>
            </w:r>
            <w:r>
              <w:t>/SG/AC.10/C.3/2022/21−</w:t>
            </w:r>
            <w:r w:rsidRPr="00796323">
              <w:rPr>
                <w:sz w:val="40"/>
              </w:rPr>
              <w:t>ST</w:t>
            </w:r>
            <w:r>
              <w:t>/SG/AC.10/C.4/2022/3</w:t>
            </w:r>
          </w:p>
        </w:tc>
      </w:tr>
      <w:tr w:rsidR="00E52109" w14:paraId="71CF2E80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15DD2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B232F0B" wp14:editId="6FD08CC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D17556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C0D214" w14:textId="77777777" w:rsidR="00D94B05" w:rsidRDefault="00796323" w:rsidP="00796323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190967DD" w14:textId="53F9B0A1" w:rsidR="00796323" w:rsidRDefault="00C7409B" w:rsidP="00796323">
            <w:pPr>
              <w:suppressAutoHyphens w:val="0"/>
              <w:spacing w:line="240" w:lineRule="exact"/>
            </w:pPr>
            <w:r>
              <w:t>6</w:t>
            </w:r>
            <w:r w:rsidR="00796323">
              <w:t xml:space="preserve"> </w:t>
            </w:r>
            <w:r>
              <w:t>April</w:t>
            </w:r>
            <w:r w:rsidR="00796323">
              <w:t xml:space="preserve"> 2022</w:t>
            </w:r>
          </w:p>
          <w:p w14:paraId="3BB785B3" w14:textId="77777777" w:rsidR="00796323" w:rsidRDefault="00796323" w:rsidP="00796323">
            <w:pPr>
              <w:suppressAutoHyphens w:val="0"/>
              <w:spacing w:line="240" w:lineRule="exact"/>
            </w:pPr>
          </w:p>
          <w:p w14:paraId="558F341D" w14:textId="0A90FEC5" w:rsidR="00796323" w:rsidRDefault="00796323" w:rsidP="00796323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4FE6F99" w14:textId="77777777" w:rsidR="00EE58E5" w:rsidRPr="006500BA" w:rsidRDefault="00EE58E5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EE58E5" w:rsidRPr="00302456" w14:paraId="61F5ACF2" w14:textId="77777777" w:rsidTr="00DB456D">
        <w:tc>
          <w:tcPr>
            <w:tcW w:w="4593" w:type="dxa"/>
            <w:shd w:val="clear" w:color="auto" w:fill="auto"/>
          </w:tcPr>
          <w:p w14:paraId="500C0E95" w14:textId="77777777" w:rsidR="00EE58E5" w:rsidRPr="00302456" w:rsidRDefault="00EE58E5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79984756" w14:textId="77777777" w:rsidR="00EE58E5" w:rsidRPr="00302456" w:rsidRDefault="00EE58E5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2A79DD" w:rsidRPr="00302456" w14:paraId="7C88D9A9" w14:textId="77777777" w:rsidTr="00DB456D">
        <w:tc>
          <w:tcPr>
            <w:tcW w:w="4593" w:type="dxa"/>
            <w:shd w:val="clear" w:color="auto" w:fill="auto"/>
          </w:tcPr>
          <w:p w14:paraId="28F89FC0" w14:textId="7D5918D6" w:rsidR="002A79DD" w:rsidRPr="00302456" w:rsidRDefault="002A79DD" w:rsidP="002A79D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Sixtieth </w:t>
            </w:r>
            <w:r w:rsidRPr="00302456">
              <w:rPr>
                <w:b/>
              </w:rPr>
              <w:t>session</w:t>
            </w:r>
          </w:p>
        </w:tc>
        <w:tc>
          <w:tcPr>
            <w:tcW w:w="5046" w:type="dxa"/>
            <w:shd w:val="clear" w:color="auto" w:fill="auto"/>
          </w:tcPr>
          <w:p w14:paraId="65154870" w14:textId="7C81C1DA" w:rsidR="002A79DD" w:rsidRPr="00302456" w:rsidRDefault="002A79DD" w:rsidP="002A79DD">
            <w:pPr>
              <w:spacing w:before="120"/>
              <w:rPr>
                <w:b/>
              </w:rPr>
            </w:pPr>
            <w:r w:rsidRPr="00DA19E5">
              <w:rPr>
                <w:rStyle w:val="normaltextrun"/>
                <w:b/>
                <w:bCs/>
              </w:rPr>
              <w:t>Forty-</w:t>
            </w:r>
            <w:r>
              <w:rPr>
                <w:rStyle w:val="normaltextrun"/>
                <w:b/>
                <w:bCs/>
              </w:rPr>
              <w:t>second</w:t>
            </w:r>
            <w:r w:rsidRPr="00DA19E5">
              <w:rPr>
                <w:rStyle w:val="normaltextrun"/>
                <w:b/>
                <w:bCs/>
              </w:rPr>
              <w:t xml:space="preserve"> session</w:t>
            </w:r>
          </w:p>
        </w:tc>
      </w:tr>
      <w:tr w:rsidR="002A79DD" w:rsidRPr="00302456" w14:paraId="7E8EF131" w14:textId="77777777" w:rsidTr="00DB456D">
        <w:tc>
          <w:tcPr>
            <w:tcW w:w="4593" w:type="dxa"/>
            <w:shd w:val="clear" w:color="auto" w:fill="auto"/>
          </w:tcPr>
          <w:p w14:paraId="29131498" w14:textId="42D690B3" w:rsidR="002A79DD" w:rsidRPr="00302456" w:rsidRDefault="002A79DD" w:rsidP="002A79DD">
            <w:pPr>
              <w:rPr>
                <w:b/>
              </w:rPr>
            </w:pPr>
            <w:r w:rsidRPr="006500BA">
              <w:t xml:space="preserve">Geneva, </w:t>
            </w:r>
            <w:r>
              <w:t>27 June-6 July 2022</w:t>
            </w:r>
          </w:p>
        </w:tc>
        <w:tc>
          <w:tcPr>
            <w:tcW w:w="5046" w:type="dxa"/>
            <w:shd w:val="clear" w:color="auto" w:fill="auto"/>
          </w:tcPr>
          <w:p w14:paraId="5C09C9C8" w14:textId="4C05DEBC" w:rsidR="002A79DD" w:rsidRPr="00302456" w:rsidRDefault="002A79DD" w:rsidP="002A79DD">
            <w:pPr>
              <w:rPr>
                <w:b/>
              </w:rPr>
            </w:pPr>
            <w:r w:rsidRPr="009B4D10">
              <w:t>Geneva, 6-8 July 2022</w:t>
            </w:r>
          </w:p>
        </w:tc>
      </w:tr>
      <w:tr w:rsidR="00EE58E5" w:rsidRPr="00302456" w14:paraId="6441FE80" w14:textId="77777777" w:rsidTr="00DB456D">
        <w:tc>
          <w:tcPr>
            <w:tcW w:w="4593" w:type="dxa"/>
            <w:shd w:val="clear" w:color="auto" w:fill="auto"/>
          </w:tcPr>
          <w:p w14:paraId="4CC7E873" w14:textId="7E15A7A6" w:rsidR="00EE58E5" w:rsidRDefault="00EE58E5" w:rsidP="00846F7F">
            <w:r w:rsidRPr="006500BA">
              <w:t xml:space="preserve">Item </w:t>
            </w:r>
            <w:r w:rsidR="00A63EC8">
              <w:t xml:space="preserve">10 (c) </w:t>
            </w:r>
            <w:r w:rsidRPr="006500BA">
              <w:t>of the provisional agenda</w:t>
            </w:r>
          </w:p>
        </w:tc>
        <w:tc>
          <w:tcPr>
            <w:tcW w:w="5046" w:type="dxa"/>
            <w:shd w:val="clear" w:color="auto" w:fill="auto"/>
          </w:tcPr>
          <w:p w14:paraId="2C2D632A" w14:textId="7C7AA440" w:rsidR="00EE58E5" w:rsidRDefault="00EE58E5" w:rsidP="00846F7F">
            <w:r w:rsidRPr="006500BA">
              <w:t xml:space="preserve">Item </w:t>
            </w:r>
            <w:r w:rsidR="00A63EC8">
              <w:t>2 (f)</w:t>
            </w:r>
            <w:r w:rsidRPr="006500BA">
              <w:t xml:space="preserve"> of the provisional agenda</w:t>
            </w:r>
          </w:p>
        </w:tc>
      </w:tr>
      <w:tr w:rsidR="00EE58E5" w:rsidRPr="00E66746" w14:paraId="2F468FFF" w14:textId="77777777" w:rsidTr="00DB456D">
        <w:tc>
          <w:tcPr>
            <w:tcW w:w="4593" w:type="dxa"/>
            <w:shd w:val="clear" w:color="auto" w:fill="auto"/>
          </w:tcPr>
          <w:p w14:paraId="52CD4FD6" w14:textId="4BDBBD4B" w:rsidR="00EE58E5" w:rsidRPr="009E66EB" w:rsidRDefault="00232681" w:rsidP="00846F7F">
            <w:pPr>
              <w:rPr>
                <w:b/>
                <w:bCs/>
              </w:rPr>
            </w:pPr>
            <w:r w:rsidRPr="009E66EB">
              <w:rPr>
                <w:b/>
                <w:bCs/>
              </w:rPr>
              <w:t xml:space="preserve">Issues relating to the Globally Harmonized </w:t>
            </w:r>
            <w:r w:rsidR="00B67047">
              <w:rPr>
                <w:b/>
                <w:bCs/>
              </w:rPr>
              <w:br/>
            </w:r>
            <w:r w:rsidRPr="009E66EB">
              <w:rPr>
                <w:b/>
                <w:bCs/>
              </w:rPr>
              <w:t xml:space="preserve">System of Classification and Labelling </w:t>
            </w:r>
            <w:r w:rsidR="00B67047">
              <w:rPr>
                <w:b/>
                <w:bCs/>
              </w:rPr>
              <w:br/>
            </w:r>
            <w:r w:rsidRPr="009E66EB">
              <w:rPr>
                <w:b/>
                <w:bCs/>
              </w:rPr>
              <w:t xml:space="preserve">of Chemicals: </w:t>
            </w:r>
            <w:r w:rsidR="009E66EB" w:rsidRPr="009E66EB">
              <w:rPr>
                <w:b/>
                <w:bCs/>
              </w:rPr>
              <w:t>miscellaneous</w:t>
            </w:r>
          </w:p>
        </w:tc>
        <w:tc>
          <w:tcPr>
            <w:tcW w:w="5046" w:type="dxa"/>
            <w:shd w:val="clear" w:color="auto" w:fill="auto"/>
          </w:tcPr>
          <w:p w14:paraId="297CAEB1" w14:textId="163B17BC" w:rsidR="00EE58E5" w:rsidRPr="00B67047" w:rsidRDefault="00D22399" w:rsidP="00846F7F">
            <w:pPr>
              <w:rPr>
                <w:b/>
                <w:bCs/>
              </w:rPr>
            </w:pPr>
            <w:r w:rsidRPr="00B67047">
              <w:rPr>
                <w:b/>
                <w:bCs/>
              </w:rPr>
              <w:t xml:space="preserve">Work on the Globally Harmonized System of Classification and Labelling of Chemicals: </w:t>
            </w:r>
            <w:r w:rsidR="00B67047" w:rsidRPr="00B67047">
              <w:rPr>
                <w:b/>
                <w:bCs/>
              </w:rPr>
              <w:t>practical classification issues (proposed amendments to the Globally Harmonized System of Classification and Labelling of Chemicals)</w:t>
            </w:r>
          </w:p>
        </w:tc>
      </w:tr>
    </w:tbl>
    <w:p w14:paraId="23A00A57" w14:textId="77777777" w:rsidR="00EB23D4" w:rsidRDefault="00EB23D4" w:rsidP="00EB23D4">
      <w:pPr>
        <w:pStyle w:val="HCh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  <w:t>P</w:t>
      </w:r>
      <w:proofErr w:type="spellStart"/>
      <w:r>
        <w:t>roposal</w:t>
      </w:r>
      <w:proofErr w:type="spellEnd"/>
      <w:r>
        <w:t xml:space="preserve"> to address </w:t>
      </w:r>
      <w:r>
        <w:rPr>
          <w:rFonts w:eastAsia="MS Mincho"/>
        </w:rPr>
        <w:t>issues from the programme of work for the practical classification issues informal correspondence group</w:t>
      </w:r>
    </w:p>
    <w:p w14:paraId="4DB960CE" w14:textId="39D45C66" w:rsidR="00EB23D4" w:rsidRPr="0064778D" w:rsidRDefault="00EB23D4" w:rsidP="00EB23D4">
      <w:pPr>
        <w:pStyle w:val="H1G"/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rFonts w:eastAsia="MS Mincho"/>
        </w:rPr>
        <w:t>Transmitted by the expert from the United States of America on behalf of the practical classification issues informal correspondence group</w:t>
      </w:r>
      <w:r w:rsidR="004F0E0F">
        <w:rPr>
          <w:rStyle w:val="FootnoteReference"/>
          <w:rFonts w:eastAsia="MS Mincho"/>
        </w:rPr>
        <w:footnoteReference w:id="2"/>
      </w:r>
    </w:p>
    <w:p w14:paraId="5BC39753" w14:textId="36142C0E" w:rsidR="00EB23D4" w:rsidRDefault="00EB23D4" w:rsidP="00EB23D4">
      <w:pPr>
        <w:pStyle w:val="HChG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Purpose</w:t>
      </w:r>
    </w:p>
    <w:p w14:paraId="799138D8" w14:textId="7BC26431" w:rsidR="00EB23D4" w:rsidRDefault="00EB23D4" w:rsidP="00EB23D4">
      <w:pPr>
        <w:pStyle w:val="SingleTxtG"/>
      </w:pPr>
      <w:r>
        <w:tab/>
        <w:t>1.</w:t>
      </w:r>
      <w:r>
        <w:tab/>
        <w:t xml:space="preserve">This working document is the outcome of discussions on work item (c) from the </w:t>
      </w:r>
      <w:r w:rsidR="002841A8">
        <w:rPr>
          <w:rFonts w:eastAsia="MS Mincho"/>
        </w:rPr>
        <w:t xml:space="preserve">practical classification issues </w:t>
      </w:r>
      <w:r w:rsidR="00436064">
        <w:rPr>
          <w:rFonts w:eastAsia="MS Mincho"/>
        </w:rPr>
        <w:t>(</w:t>
      </w:r>
      <w:r>
        <w:t>PCI</w:t>
      </w:r>
      <w:r w:rsidR="00436064">
        <w:t>)</w:t>
      </w:r>
      <w:r>
        <w:t xml:space="preserve"> </w:t>
      </w:r>
      <w:r w:rsidR="00892AFB">
        <w:rPr>
          <w:rFonts w:eastAsia="MS Mincho"/>
        </w:rPr>
        <w:t xml:space="preserve">informal </w:t>
      </w:r>
      <w:r>
        <w:t>program of work (</w:t>
      </w:r>
      <w:r w:rsidR="00D7711E">
        <w:t xml:space="preserve">informal document </w:t>
      </w:r>
      <w:r>
        <w:rPr>
          <w:bCs/>
          <w:color w:val="333333"/>
        </w:rPr>
        <w:t>INF.31</w:t>
      </w:r>
      <w:r w:rsidR="00D7711E">
        <w:rPr>
          <w:bCs/>
          <w:color w:val="333333"/>
        </w:rPr>
        <w:t xml:space="preserve"> (39</w:t>
      </w:r>
      <w:r w:rsidR="00D7711E" w:rsidRPr="00D7711E">
        <w:rPr>
          <w:bCs/>
          <w:color w:val="333333"/>
          <w:vertAlign w:val="superscript"/>
        </w:rPr>
        <w:t>th</w:t>
      </w:r>
      <w:r w:rsidR="00D7711E">
        <w:rPr>
          <w:bCs/>
          <w:color w:val="333333"/>
        </w:rPr>
        <w:t xml:space="preserve"> session)</w:t>
      </w:r>
      <w:r>
        <w:rPr>
          <w:bCs/>
          <w:color w:val="333333"/>
        </w:rPr>
        <w:t xml:space="preserve">), which addresses the need for additional guidance </w:t>
      </w:r>
      <w:r>
        <w:t>in Chapter 3.1 to convert acute inhalation toxicity values for exposure times other than 1</w:t>
      </w:r>
      <w:r w:rsidR="00C7409B">
        <w:t xml:space="preserve"> </w:t>
      </w:r>
      <w:r>
        <w:t>hour.</w:t>
      </w:r>
    </w:p>
    <w:p w14:paraId="533EB3AC" w14:textId="4143A9FD" w:rsidR="00EB23D4" w:rsidRDefault="00EB23D4" w:rsidP="00EB23D4">
      <w:pPr>
        <w:pStyle w:val="HChG"/>
      </w:pPr>
      <w:r>
        <w:tab/>
      </w:r>
      <w:r>
        <w:tab/>
        <w:t xml:space="preserve">Background </w:t>
      </w:r>
    </w:p>
    <w:p w14:paraId="6A454A2A" w14:textId="15323C68" w:rsidR="00EB23D4" w:rsidRPr="00EB23D4" w:rsidRDefault="00EB23D4" w:rsidP="00EB23D4">
      <w:pPr>
        <w:pStyle w:val="SingleTxtG"/>
      </w:pPr>
      <w:r>
        <w:tab/>
        <w:t>2.</w:t>
      </w:r>
      <w:r>
        <w:tab/>
      </w:r>
      <w:r w:rsidRPr="00EB23D4">
        <w:t xml:space="preserve">GHS </w:t>
      </w:r>
      <w:r w:rsidR="00E475F6">
        <w:t>p</w:t>
      </w:r>
      <w:r w:rsidRPr="00EB23D4">
        <w:t xml:space="preserve">aragraph 3.1.2.6.1 provides guidance on how to convert experimental inhalation toxicity values for tests using a </w:t>
      </w:r>
      <w:proofErr w:type="gramStart"/>
      <w:r w:rsidRPr="00EB23D4">
        <w:t>1</w:t>
      </w:r>
      <w:r w:rsidR="00C7409B">
        <w:t xml:space="preserve"> </w:t>
      </w:r>
      <w:r w:rsidRPr="00EB23D4">
        <w:t>hour</w:t>
      </w:r>
      <w:proofErr w:type="gramEnd"/>
      <w:r w:rsidRPr="00EB23D4">
        <w:t xml:space="preserve"> exposure to a 4</w:t>
      </w:r>
      <w:r w:rsidR="00C7409B">
        <w:t xml:space="preserve"> </w:t>
      </w:r>
      <w:r w:rsidRPr="00EB23D4">
        <w:t xml:space="preserve">hour equivalent for gases, vapours, dusts and mists. However, there is no guidance for tests using other exposure times, such as studies with </w:t>
      </w:r>
      <w:proofErr w:type="gramStart"/>
      <w:r w:rsidRPr="00EB23D4">
        <w:t>3 or 6</w:t>
      </w:r>
      <w:r w:rsidR="00C7409B">
        <w:t xml:space="preserve"> </w:t>
      </w:r>
      <w:r w:rsidRPr="00EB23D4">
        <w:t>hour</w:t>
      </w:r>
      <w:r w:rsidR="00D169CC">
        <w:t>s</w:t>
      </w:r>
      <w:proofErr w:type="gramEnd"/>
      <w:r w:rsidRPr="00EB23D4">
        <w:t xml:space="preserve"> exposure times.</w:t>
      </w:r>
    </w:p>
    <w:p w14:paraId="7F3B0EBC" w14:textId="46769037" w:rsidR="00EB23D4" w:rsidRPr="00EB23D4" w:rsidRDefault="00EB23D4" w:rsidP="00EB23D4">
      <w:pPr>
        <w:pStyle w:val="SingleTxtG"/>
      </w:pPr>
      <w:r>
        <w:tab/>
        <w:t>3.</w:t>
      </w:r>
      <w:r>
        <w:tab/>
      </w:r>
      <w:r w:rsidRPr="00EB23D4">
        <w:t xml:space="preserve">During the forty-first session, the PCI </w:t>
      </w:r>
      <w:r w:rsidR="00D2259C">
        <w:rPr>
          <w:rFonts w:eastAsia="MS Mincho"/>
        </w:rPr>
        <w:t>informal correspondence group</w:t>
      </w:r>
      <w:r w:rsidR="00D2259C" w:rsidRPr="00EB23D4">
        <w:t xml:space="preserve"> </w:t>
      </w:r>
      <w:r w:rsidRPr="00EB23D4">
        <w:t>submitted an informal document (</w:t>
      </w:r>
      <w:r w:rsidR="00516C96">
        <w:t xml:space="preserve">informal document </w:t>
      </w:r>
      <w:r w:rsidRPr="00EB23D4">
        <w:t>INF.15</w:t>
      </w:r>
      <w:r w:rsidR="00516C96">
        <w:t xml:space="preserve"> (41</w:t>
      </w:r>
      <w:r w:rsidR="00516C96" w:rsidRPr="00516C96">
        <w:rPr>
          <w:vertAlign w:val="superscript"/>
        </w:rPr>
        <w:t>st</w:t>
      </w:r>
      <w:r w:rsidR="00516C96">
        <w:t xml:space="preserve"> session)</w:t>
      </w:r>
      <w:r w:rsidRPr="00EB23D4">
        <w:t>) to the GHS Sub-Committee, presenting editorial amendments to Chapter 3.1 to address the conversion of inhalation toxicity values for test data with exposure times other than 1</w:t>
      </w:r>
      <w:r w:rsidR="00C7409B">
        <w:t xml:space="preserve"> </w:t>
      </w:r>
      <w:r w:rsidRPr="00EB23D4">
        <w:t xml:space="preserve">hour. The working group further discussed this issue via web conference on </w:t>
      </w:r>
      <w:r w:rsidR="00002142" w:rsidRPr="00EB23D4">
        <w:t>22</w:t>
      </w:r>
      <w:r w:rsidR="00002142">
        <w:t xml:space="preserve"> </w:t>
      </w:r>
      <w:r w:rsidRPr="00EB23D4">
        <w:t xml:space="preserve">February 2022 and has reached agreement on the final proposal as presented in the </w:t>
      </w:r>
      <w:r w:rsidR="00002142">
        <w:t>a</w:t>
      </w:r>
      <w:r w:rsidRPr="00EB23D4">
        <w:t>nnex of this document.</w:t>
      </w:r>
    </w:p>
    <w:p w14:paraId="081FC55B" w14:textId="5FA96952" w:rsidR="00EB23D4" w:rsidRDefault="00516C96" w:rsidP="00516C96">
      <w:pPr>
        <w:pStyle w:val="SingleTxtG"/>
      </w:pPr>
      <w:r>
        <w:lastRenderedPageBreak/>
        <w:tab/>
        <w:t>4.</w:t>
      </w:r>
      <w:r>
        <w:tab/>
      </w:r>
      <w:r w:rsidR="00EB23D4">
        <w:t xml:space="preserve">The proposed text provides editorial amendments to </w:t>
      </w:r>
      <w:r w:rsidR="00996DD2">
        <w:t xml:space="preserve">GHS </w:t>
      </w:r>
      <w:r w:rsidR="00EB23D4">
        <w:t xml:space="preserve">Chapter 3.1 by including an additional sentence at the end of </w:t>
      </w:r>
      <w:r w:rsidR="00FF3823">
        <w:t xml:space="preserve">paragraph </w:t>
      </w:r>
      <w:r w:rsidR="00EB23D4">
        <w:t xml:space="preserve">3.1.2.6.1 to indicate that guidance on the conversion of experimental values for times other than a </w:t>
      </w:r>
      <w:proofErr w:type="gramStart"/>
      <w:r w:rsidR="00EB23D4">
        <w:t>1</w:t>
      </w:r>
      <w:r w:rsidR="00C7409B">
        <w:t xml:space="preserve"> </w:t>
      </w:r>
      <w:r w:rsidR="00EB23D4">
        <w:t>hour</w:t>
      </w:r>
      <w:proofErr w:type="gramEnd"/>
      <w:r w:rsidR="00EB23D4">
        <w:t xml:space="preserve"> exposure is provided in paragraph 3.1.5.3. The new guidance is provided in </w:t>
      </w:r>
      <w:r w:rsidR="00FF3823">
        <w:t>p</w:t>
      </w:r>
      <w:r w:rsidR="00EB23D4">
        <w:t>aragraph 3.1.5.3, following the decision logics.</w:t>
      </w:r>
    </w:p>
    <w:p w14:paraId="45E2DBC5" w14:textId="706C9CF6" w:rsidR="00EB23D4" w:rsidRPr="0094221F" w:rsidRDefault="00516C96" w:rsidP="00516C96">
      <w:pPr>
        <w:pStyle w:val="HChG"/>
      </w:pPr>
      <w:r>
        <w:tab/>
      </w:r>
      <w:r>
        <w:tab/>
      </w:r>
      <w:r w:rsidR="00EB23D4" w:rsidRPr="0094221F">
        <w:t>Proposal</w:t>
      </w:r>
    </w:p>
    <w:p w14:paraId="0679C079" w14:textId="698B7DAE" w:rsidR="00E95CDE" w:rsidRDefault="00516C96" w:rsidP="00516C96">
      <w:pPr>
        <w:pStyle w:val="SingleTxtG"/>
      </w:pPr>
      <w:r>
        <w:tab/>
        <w:t>5.</w:t>
      </w:r>
      <w:r>
        <w:tab/>
      </w:r>
      <w:r w:rsidR="00EB23D4">
        <w:t xml:space="preserve">The PCI </w:t>
      </w:r>
      <w:r w:rsidR="00CF4E22">
        <w:rPr>
          <w:rFonts w:eastAsia="MS Mincho"/>
        </w:rPr>
        <w:t>informal correspondence group</w:t>
      </w:r>
      <w:r w:rsidR="00CF4E22" w:rsidRPr="00EB23D4">
        <w:t xml:space="preserve"> </w:t>
      </w:r>
      <w:r w:rsidR="00EB23D4">
        <w:t xml:space="preserve">invites the Sub-Committee to consider the recommended editorial amendments to the GHS as set forth in the </w:t>
      </w:r>
      <w:r w:rsidR="000366FC">
        <w:t>a</w:t>
      </w:r>
      <w:r w:rsidR="00EB23D4">
        <w:t>nnex of this document.</w:t>
      </w:r>
    </w:p>
    <w:p w14:paraId="40D39A2B" w14:textId="77777777" w:rsidR="00E95CDE" w:rsidRPr="0077101B" w:rsidRDefault="00E95CDE" w:rsidP="00E26BCF"/>
    <w:p w14:paraId="649B596D" w14:textId="34102F00" w:rsidR="00D97404" w:rsidRDefault="00D97404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388A6767" w14:textId="77777777" w:rsidR="00D97404" w:rsidRDefault="00D97404" w:rsidP="00544718">
      <w:pPr>
        <w:pStyle w:val="HChG"/>
      </w:pPr>
      <w:r>
        <w:lastRenderedPageBreak/>
        <w:t>Annex</w:t>
      </w:r>
    </w:p>
    <w:p w14:paraId="30ADB143" w14:textId="377E77DC" w:rsidR="00D97404" w:rsidRDefault="00D97404" w:rsidP="00544718">
      <w:pPr>
        <w:pStyle w:val="HChG"/>
      </w:pPr>
      <w:r>
        <w:tab/>
      </w:r>
      <w:r>
        <w:tab/>
        <w:t xml:space="preserve">Work </w:t>
      </w:r>
      <w:r w:rsidRPr="00544718">
        <w:t>item</w:t>
      </w:r>
      <w:r>
        <w:t xml:space="preserve"> (c) from the PCI Programme of work (</w:t>
      </w:r>
      <w:r w:rsidR="00E8424E">
        <w:t>i</w:t>
      </w:r>
      <w:r w:rsidR="007F2E6C">
        <w:t xml:space="preserve">nformal document </w:t>
      </w:r>
      <w:r>
        <w:t>INF.31, 39</w:t>
      </w:r>
      <w:r>
        <w:rPr>
          <w:vertAlign w:val="superscript"/>
        </w:rPr>
        <w:t>th</w:t>
      </w:r>
      <w:r>
        <w:t xml:space="preserve"> session)</w:t>
      </w:r>
    </w:p>
    <w:p w14:paraId="12761ED3" w14:textId="7B4CC21C" w:rsidR="00D97404" w:rsidRDefault="00D97404" w:rsidP="00D97404">
      <w:pPr>
        <w:pStyle w:val="SingleTxtG"/>
      </w:pPr>
      <w:r>
        <w:t xml:space="preserve">GHS paragraph 3.1.2.6.1 provides guidance on how to convert experimental inhalation toxicity values for tests using a </w:t>
      </w:r>
      <w:proofErr w:type="gramStart"/>
      <w:r>
        <w:t>1</w:t>
      </w:r>
      <w:r w:rsidR="00E1199A">
        <w:t xml:space="preserve"> </w:t>
      </w:r>
      <w:r>
        <w:t>hour</w:t>
      </w:r>
      <w:proofErr w:type="gramEnd"/>
      <w:r>
        <w:t xml:space="preserve"> exposure to a 4</w:t>
      </w:r>
      <w:r w:rsidR="00E1199A">
        <w:t xml:space="preserve"> </w:t>
      </w:r>
      <w:r>
        <w:t>hour equivalent for gases, vapours, dusts and mists. However, there is no guidance for tests using other exposure times (</w:t>
      </w:r>
      <w:proofErr w:type="gramStart"/>
      <w:r>
        <w:t>e.g.</w:t>
      </w:r>
      <w:proofErr w:type="gramEnd"/>
      <w:r>
        <w:t> studies with 3 or 6</w:t>
      </w:r>
      <w:r w:rsidR="00E1199A">
        <w:t xml:space="preserve"> </w:t>
      </w:r>
      <w:r>
        <w:t>hour exposure times). Consider providing guidance to paragraph 3.1.2.6.1 to address the conversion of inhalation toxicity values for tests using exposure times other than 1 hour.</w:t>
      </w:r>
    </w:p>
    <w:p w14:paraId="58894311" w14:textId="77777777" w:rsidR="00D97404" w:rsidRDefault="00D97404" w:rsidP="00D97404">
      <w:pPr>
        <w:pStyle w:val="H1G"/>
      </w:pPr>
      <w:r>
        <w:tab/>
      </w:r>
      <w:r>
        <w:tab/>
        <w:t>Proposal</w:t>
      </w:r>
    </w:p>
    <w:p w14:paraId="24DEC8C8" w14:textId="30AB48B2" w:rsidR="00D97404" w:rsidRDefault="00D97404" w:rsidP="00D97404">
      <w:pPr>
        <w:pStyle w:val="H23G"/>
      </w:pPr>
      <w:r>
        <w:tab/>
      </w:r>
      <w:r>
        <w:tab/>
        <w:t>Update to Chapter 3.1</w:t>
      </w:r>
      <w:r w:rsidR="002A199C">
        <w:t xml:space="preserve"> (</w:t>
      </w:r>
      <w:r w:rsidR="00BF50D3">
        <w:t>new text is underlined)</w:t>
      </w:r>
    </w:p>
    <w:p w14:paraId="11C95FD3" w14:textId="71EC09CB" w:rsidR="00D97404" w:rsidRDefault="002044F3" w:rsidP="00D97404">
      <w:pPr>
        <w:pStyle w:val="SingleTxtG"/>
        <w:rPr>
          <w:b/>
          <w:bCs/>
          <w:color w:val="000000"/>
          <w:szCs w:val="22"/>
        </w:rPr>
      </w:pPr>
      <w:r>
        <w:rPr>
          <w:b/>
          <w:bCs/>
        </w:rPr>
        <w:t>“</w:t>
      </w:r>
      <w:r w:rsidR="00D97404">
        <w:rPr>
          <w:b/>
          <w:bCs/>
        </w:rPr>
        <w:t>3.1.2.6</w:t>
      </w:r>
      <w:r w:rsidR="00D97404">
        <w:rPr>
          <w:b/>
          <w:bCs/>
        </w:rPr>
        <w:tab/>
      </w:r>
      <w:r w:rsidR="00D97404">
        <w:rPr>
          <w:b/>
          <w:bCs/>
          <w:i/>
          <w:iCs/>
        </w:rPr>
        <w:t>Specific considerations for inhalation toxicity</w:t>
      </w:r>
    </w:p>
    <w:p w14:paraId="756DD9D8" w14:textId="5D16295E" w:rsidR="00D97404" w:rsidRDefault="00D97404" w:rsidP="00D97404">
      <w:pPr>
        <w:pStyle w:val="SingleTxtG"/>
        <w:rPr>
          <w:bCs/>
          <w:u w:val="single"/>
        </w:rPr>
      </w:pPr>
      <w:r>
        <w:t>3.1.2.6.1</w:t>
      </w:r>
      <w:r>
        <w:tab/>
        <w:t xml:space="preserve">Values for inhalation toxicity are based on 4 hours tests in laboratory animals. When experimental values are taken from tests using a </w:t>
      </w:r>
      <w:proofErr w:type="gramStart"/>
      <w:r>
        <w:t>1</w:t>
      </w:r>
      <w:r w:rsidR="004C36F6">
        <w:t xml:space="preserve"> </w:t>
      </w:r>
      <w:r>
        <w:t>hour</w:t>
      </w:r>
      <w:proofErr w:type="gramEnd"/>
      <w:r>
        <w:t xml:space="preserve"> exposure, they can be converted to a 4</w:t>
      </w:r>
      <w:r w:rsidR="00D154C9">
        <w:t xml:space="preserve"> </w:t>
      </w:r>
      <w:r>
        <w:t>hour equivalent by dividing the 1</w:t>
      </w:r>
      <w:r w:rsidR="00D154C9">
        <w:t xml:space="preserve"> </w:t>
      </w:r>
      <w:r>
        <w:t xml:space="preserve">hour value by a factor of 2 for gases and vapours and 4 for dusts and mists. </w:t>
      </w:r>
      <w:r>
        <w:rPr>
          <w:u w:val="single"/>
        </w:rPr>
        <w:t xml:space="preserve">Guidance on the conversion of experimental values for times other than a </w:t>
      </w:r>
      <w:proofErr w:type="gramStart"/>
      <w:r>
        <w:rPr>
          <w:u w:val="single"/>
        </w:rPr>
        <w:t>1</w:t>
      </w:r>
      <w:r w:rsidR="00BB4D15">
        <w:rPr>
          <w:u w:val="single"/>
        </w:rPr>
        <w:t xml:space="preserve"> </w:t>
      </w:r>
      <w:r>
        <w:rPr>
          <w:u w:val="single"/>
        </w:rPr>
        <w:t>hour</w:t>
      </w:r>
      <w:proofErr w:type="gramEnd"/>
      <w:r>
        <w:rPr>
          <w:u w:val="single"/>
        </w:rPr>
        <w:t xml:space="preserve"> exposure is provided in 3.1.5.3</w:t>
      </w:r>
      <w:r w:rsidRPr="002044F3">
        <w:t>.</w:t>
      </w:r>
      <w:r w:rsidR="002044F3" w:rsidRPr="002044F3">
        <w:t>”</w:t>
      </w:r>
    </w:p>
    <w:p w14:paraId="124B3C84" w14:textId="77777777" w:rsidR="00D97404" w:rsidRDefault="00D97404" w:rsidP="00D97404">
      <w:pPr>
        <w:pStyle w:val="H23G"/>
      </w:pPr>
      <w:r>
        <w:tab/>
      </w:r>
      <w:r>
        <w:tab/>
        <w:t>New guidance text to be placed after the decision logics</w:t>
      </w:r>
    </w:p>
    <w:p w14:paraId="6B5D4FF8" w14:textId="0F2589F6" w:rsidR="00D97404" w:rsidRDefault="002044F3" w:rsidP="00D97404">
      <w:pPr>
        <w:pStyle w:val="SingleTxtG"/>
      </w:pPr>
      <w:r>
        <w:rPr>
          <w:b/>
          <w:bCs/>
        </w:rPr>
        <w:t>“</w:t>
      </w:r>
      <w:r w:rsidR="00D97404">
        <w:rPr>
          <w:b/>
          <w:bCs/>
        </w:rPr>
        <w:t>3.1.5.3</w:t>
      </w:r>
      <w:r w:rsidR="00D97404">
        <w:rPr>
          <w:b/>
          <w:bCs/>
        </w:rPr>
        <w:tab/>
      </w:r>
      <w:r w:rsidR="00D97404">
        <w:rPr>
          <w:b/>
          <w:bCs/>
          <w:i/>
          <w:iCs/>
        </w:rPr>
        <w:t>Guidance</w:t>
      </w:r>
    </w:p>
    <w:p w14:paraId="75D1C9E3" w14:textId="363DD224" w:rsidR="00D97404" w:rsidRDefault="00FE1D89" w:rsidP="00D97404">
      <w:pPr>
        <w:pStyle w:val="SingleTxtG"/>
        <w:rPr>
          <w:u w:val="single"/>
        </w:rPr>
      </w:pPr>
      <w:r w:rsidRPr="00FE1D89">
        <w:t>3.1.5.3</w:t>
      </w:r>
      <w:r>
        <w:t>.1</w:t>
      </w:r>
      <w:r>
        <w:tab/>
      </w:r>
      <w:r w:rsidR="00D97404">
        <w:t xml:space="preserve">The ATE values used for inhalation toxicity classification in Table 3.1.1 are based on a </w:t>
      </w:r>
      <w:proofErr w:type="gramStart"/>
      <w:r w:rsidR="00D97404">
        <w:t>4</w:t>
      </w:r>
      <w:r w:rsidR="00BB4D15">
        <w:t xml:space="preserve"> </w:t>
      </w:r>
      <w:r w:rsidR="00D97404">
        <w:t>hour</w:t>
      </w:r>
      <w:proofErr w:type="gramEnd"/>
      <w:r w:rsidR="00D97404">
        <w:t xml:space="preserve"> experimental exposure in laboratory animals (3.1.2.6.1). Existing inhalation LC</w:t>
      </w:r>
      <w:r w:rsidR="00D97404">
        <w:rPr>
          <w:vertAlign w:val="subscript"/>
        </w:rPr>
        <w:t>50</w:t>
      </w:r>
      <w:r w:rsidR="00D97404">
        <w:t xml:space="preserve"> values obtained in studies using exposure times other than 1 hour (3.1.2.6.1) can be adjusted to a </w:t>
      </w:r>
      <w:proofErr w:type="gramStart"/>
      <w:r w:rsidR="00D97404">
        <w:t>4</w:t>
      </w:r>
      <w:r w:rsidR="00BB4D15">
        <w:t xml:space="preserve"> </w:t>
      </w:r>
      <w:r w:rsidR="00D97404">
        <w:t>hour</w:t>
      </w:r>
      <w:proofErr w:type="gramEnd"/>
      <w:r w:rsidR="00D97404">
        <w:t xml:space="preserve"> exposure using the ten Berge equation (C</w:t>
      </w:r>
      <w:r w:rsidR="00D97404">
        <w:rPr>
          <w:vertAlign w:val="superscript"/>
        </w:rPr>
        <w:t xml:space="preserve">n </w:t>
      </w:r>
      <w:r w:rsidR="00D97404">
        <w:t>x t = k) for gases and vapo</w:t>
      </w:r>
      <w:r w:rsidR="00D154C9">
        <w:t>u</w:t>
      </w:r>
      <w:r w:rsidR="00D97404">
        <w:t>rs and Haber’s rule (C x t =k) for dusts and mists, as follows:</w:t>
      </w:r>
    </w:p>
    <w:p w14:paraId="0C3AFFC8" w14:textId="77777777" w:rsidR="00D97404" w:rsidRDefault="00D97404" w:rsidP="00D97404">
      <w:pPr>
        <w:pStyle w:val="SingleTxtG"/>
        <w:rPr>
          <w:u w:val="single"/>
        </w:rPr>
      </w:pPr>
      <w:r>
        <w:rPr>
          <w:u w:val="single"/>
        </w:rPr>
        <w:t>Formula for gases and vapours</w:t>
      </w:r>
    </w:p>
    <w:p w14:paraId="4E7347F0" w14:textId="77777777" w:rsidR="00D97404" w:rsidRDefault="006A01C8" w:rsidP="00D97404">
      <w:pPr>
        <w:tabs>
          <w:tab w:val="left" w:pos="1418"/>
          <w:tab w:val="center" w:pos="4819"/>
        </w:tabs>
        <w:spacing w:after="480"/>
        <w:ind w:left="630"/>
        <w:rPr>
          <w:u w:val="single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(4 hours)</m:t>
          </m:r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 xml:space="preserve"> x 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1/n</m:t>
              </m:r>
            </m:sup>
          </m:sSup>
        </m:oMath>
      </m:oMathPara>
    </w:p>
    <w:p w14:paraId="379BA971" w14:textId="77777777" w:rsidR="00D97404" w:rsidRDefault="00D97404" w:rsidP="00D97404">
      <w:pPr>
        <w:pStyle w:val="BodyText3"/>
        <w:widowControl/>
        <w:tabs>
          <w:tab w:val="left" w:pos="1418"/>
        </w:tabs>
        <w:spacing w:before="120"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where:</w:t>
      </w:r>
    </w:p>
    <w:p w14:paraId="69C01310" w14:textId="77777777" w:rsidR="00D97404" w:rsidRDefault="00D97404" w:rsidP="00D97404">
      <w:pP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75"/>
        </w:tabs>
        <w:ind w:firstLine="1418"/>
      </w:pPr>
      <w:r>
        <w:t>C</w:t>
      </w:r>
      <w:r>
        <w:tab/>
        <w:t>=</w:t>
      </w:r>
      <w:r>
        <w:tab/>
        <w:t>LC</w:t>
      </w:r>
      <w:r>
        <w:rPr>
          <w:vertAlign w:val="subscript"/>
        </w:rPr>
        <w:t>50</w:t>
      </w:r>
      <w:r>
        <w:t xml:space="preserve"> concentration for exposure duration t</w:t>
      </w:r>
    </w:p>
    <w:p w14:paraId="08A843CD" w14:textId="77777777" w:rsidR="00D97404" w:rsidRDefault="00D97404" w:rsidP="00D97404">
      <w:pPr>
        <w:tabs>
          <w:tab w:val="left" w:pos="1985"/>
          <w:tab w:val="left" w:pos="2552"/>
          <w:tab w:val="left" w:pos="3119"/>
          <w:tab w:val="left" w:pos="3686"/>
          <w:tab w:val="left" w:pos="4275"/>
        </w:tabs>
        <w:ind w:left="2552" w:hanging="1134"/>
      </w:pPr>
      <w:r>
        <w:t>n</w:t>
      </w:r>
      <w:r>
        <w:tab/>
        <w:t>=</w:t>
      </w:r>
      <w:r>
        <w:tab/>
        <w:t>chemical-specific exponent</w:t>
      </w:r>
    </w:p>
    <w:p w14:paraId="3A3DD408" w14:textId="77777777" w:rsidR="00D97404" w:rsidRDefault="00D97404" w:rsidP="00D97404">
      <w:pP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75"/>
        </w:tabs>
        <w:ind w:firstLine="1418"/>
      </w:pPr>
      <w:r>
        <w:t>t</w:t>
      </w:r>
      <w:r>
        <w:tab/>
        <w:t>=</w:t>
      </w:r>
      <w:r>
        <w:tab/>
        <w:t>exposure duration for C</w:t>
      </w:r>
    </w:p>
    <w:p w14:paraId="70FC1876" w14:textId="77777777" w:rsidR="00D97404" w:rsidRDefault="00D97404" w:rsidP="00D97404">
      <w:pPr>
        <w:pStyle w:val="SingleTxtG"/>
        <w:spacing w:before="240"/>
        <w:rPr>
          <w:u w:val="single"/>
        </w:rPr>
      </w:pPr>
      <w:r>
        <w:rPr>
          <w:u w:val="single"/>
        </w:rPr>
        <w:t>Formula for dusts and mists</w:t>
      </w:r>
    </w:p>
    <w:p w14:paraId="124353BE" w14:textId="77777777" w:rsidR="00D97404" w:rsidRDefault="006A01C8" w:rsidP="00D97404">
      <w:pPr>
        <w:tabs>
          <w:tab w:val="left" w:pos="1418"/>
          <w:tab w:val="center" w:pos="4819"/>
        </w:tabs>
        <w:spacing w:after="480"/>
        <w:ind w:left="630"/>
        <w:rPr>
          <w:u w:val="single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(4 hours)</m:t>
          </m:r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C x  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14:paraId="3BF050A7" w14:textId="77777777" w:rsidR="00D97404" w:rsidRDefault="00D97404" w:rsidP="00D97404">
      <w:pPr>
        <w:pStyle w:val="BodyText3"/>
        <w:widowControl/>
        <w:tabs>
          <w:tab w:val="left" w:pos="1418"/>
        </w:tabs>
        <w:spacing w:before="120"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where:</w:t>
      </w:r>
    </w:p>
    <w:p w14:paraId="0D52EC17" w14:textId="77777777" w:rsidR="00D97404" w:rsidRDefault="00D97404" w:rsidP="00D97404">
      <w:pP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75"/>
        </w:tabs>
        <w:ind w:firstLine="1418"/>
      </w:pPr>
      <w:r>
        <w:t>C</w:t>
      </w:r>
      <w:r>
        <w:tab/>
        <w:t>=</w:t>
      </w:r>
      <w:r>
        <w:tab/>
        <w:t>LC</w:t>
      </w:r>
      <w:r>
        <w:rPr>
          <w:vertAlign w:val="subscript"/>
        </w:rPr>
        <w:t>50</w:t>
      </w:r>
      <w:r>
        <w:t xml:space="preserve"> concentration for exposure duration t</w:t>
      </w:r>
    </w:p>
    <w:p w14:paraId="4137E487" w14:textId="77777777" w:rsidR="00D97404" w:rsidRDefault="00D97404" w:rsidP="00D97404">
      <w:pP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75"/>
        </w:tabs>
        <w:ind w:firstLine="1418"/>
      </w:pPr>
      <w:r>
        <w:t>t</w:t>
      </w:r>
      <w:r>
        <w:tab/>
        <w:t>=</w:t>
      </w:r>
      <w:r>
        <w:tab/>
        <w:t>exposure duration for C</w:t>
      </w:r>
    </w:p>
    <w:p w14:paraId="7541022C" w14:textId="31266CB3" w:rsidR="00D97404" w:rsidRPr="006657FD" w:rsidRDefault="00FE1D89" w:rsidP="00544718">
      <w:pPr>
        <w:pStyle w:val="SingleTxtG"/>
        <w:spacing w:before="240"/>
      </w:pPr>
      <w:r w:rsidRPr="00FE1D89">
        <w:t>3.1.5.3</w:t>
      </w:r>
      <w:r>
        <w:t>.2</w:t>
      </w:r>
      <w:r>
        <w:tab/>
      </w:r>
      <w:r w:rsidR="00D97404" w:rsidRPr="006657FD">
        <w:rPr>
          <w:rFonts w:eastAsia="Times New Roman"/>
        </w:rPr>
        <w:t xml:space="preserve">A default value of 2 is used for n unless additional conclusive information is available to indicate that a different value is more appropriate. The accepted exposure times for conversion are from 30 minutes to </w:t>
      </w:r>
      <w:proofErr w:type="gramStart"/>
      <w:r w:rsidR="00D97404" w:rsidRPr="006657FD">
        <w:rPr>
          <w:rFonts w:eastAsia="Times New Roman"/>
        </w:rPr>
        <w:t>8</w:t>
      </w:r>
      <w:r w:rsidR="008F5D13">
        <w:rPr>
          <w:rFonts w:eastAsia="Times New Roman"/>
        </w:rPr>
        <w:t xml:space="preserve"> </w:t>
      </w:r>
      <w:r w:rsidR="00D97404" w:rsidRPr="006657FD">
        <w:rPr>
          <w:rFonts w:eastAsia="Times New Roman"/>
        </w:rPr>
        <w:t>hour</w:t>
      </w:r>
      <w:proofErr w:type="gramEnd"/>
      <w:r w:rsidR="00D97404" w:rsidRPr="006657FD">
        <w:rPr>
          <w:rFonts w:eastAsia="Times New Roman"/>
        </w:rPr>
        <w:t xml:space="preserve"> exposures. A competent authority may decide whether other exposure times are acceptable for conversion. Data from a long-term exposure should not be converted because this hazard class addresses Acute </w:t>
      </w:r>
      <w:r w:rsidR="00D97404">
        <w:rPr>
          <w:rFonts w:eastAsia="Times New Roman"/>
        </w:rPr>
        <w:t>T</w:t>
      </w:r>
      <w:r w:rsidR="00D97404" w:rsidRPr="006657FD">
        <w:rPr>
          <w:rFonts w:eastAsia="Times New Roman"/>
        </w:rPr>
        <w:t xml:space="preserve">oxicity. Guidance on the </w:t>
      </w:r>
      <w:r w:rsidR="00D97404" w:rsidRPr="006657FD">
        <w:rPr>
          <w:rFonts w:eastAsia="Times New Roman"/>
        </w:rPr>
        <w:lastRenderedPageBreak/>
        <w:t>duration of short-term (i.e.</w:t>
      </w:r>
      <w:r w:rsidR="00D97404">
        <w:rPr>
          <w:rFonts w:eastAsia="Times New Roman"/>
        </w:rPr>
        <w:t>,</w:t>
      </w:r>
      <w:r w:rsidR="00D97404" w:rsidRPr="006657FD">
        <w:rPr>
          <w:rFonts w:eastAsia="Times New Roman"/>
        </w:rPr>
        <w:t xml:space="preserve"> acute) inhalation toxicity exposures can be found in OECD Guidance Document 39 (section 4.1: Outline of the exposure methodology)</w:t>
      </w:r>
      <w:r w:rsidR="00D97404">
        <w:rPr>
          <w:rFonts w:eastAsia="Times New Roman"/>
        </w:rPr>
        <w:t>.</w:t>
      </w:r>
      <w:r w:rsidR="002044F3">
        <w:rPr>
          <w:rFonts w:eastAsia="Times New Roman"/>
        </w:rPr>
        <w:t>”</w:t>
      </w:r>
    </w:p>
    <w:p w14:paraId="59FD540F" w14:textId="77777777" w:rsidR="00D97404" w:rsidRDefault="00D97404" w:rsidP="00D97404">
      <w:pPr>
        <w:pStyle w:val="H1G"/>
      </w:pPr>
      <w:r>
        <w:tab/>
      </w:r>
      <w:r>
        <w:tab/>
        <w:t>Examples: classification using calculated 4-hour LC</w:t>
      </w:r>
      <w:r>
        <w:rPr>
          <w:vertAlign w:val="subscript"/>
        </w:rPr>
        <w:t>50</w:t>
      </w:r>
      <w:r>
        <w:t xml:space="preserve"> values</w:t>
      </w:r>
    </w:p>
    <w:p w14:paraId="668EA9E0" w14:textId="77777777" w:rsidR="00D97404" w:rsidRPr="007C2A82" w:rsidRDefault="00D97404" w:rsidP="00D97404">
      <w:pPr>
        <w:pStyle w:val="SingleTxtG"/>
        <w:rPr>
          <w:b/>
          <w:bCs/>
          <w:u w:val="single"/>
        </w:rPr>
      </w:pPr>
      <w:r w:rsidRPr="007C2A82">
        <w:rPr>
          <w:b/>
          <w:bCs/>
          <w:u w:val="single"/>
        </w:rPr>
        <w:t>Example 1</w:t>
      </w:r>
    </w:p>
    <w:p w14:paraId="0A17DBD5" w14:textId="6B35C21E" w:rsidR="00D97404" w:rsidRDefault="00D97404" w:rsidP="00D97404">
      <w:pPr>
        <w:pStyle w:val="SingleTxtG"/>
        <w:rPr>
          <w:b/>
          <w:bCs/>
          <w:u w:val="single"/>
        </w:rPr>
      </w:pPr>
      <w:r>
        <w:rPr>
          <w:b/>
          <w:bCs/>
          <w:u w:val="single"/>
        </w:rPr>
        <w:t>Substance (liquid)</w:t>
      </w:r>
    </w:p>
    <w:p w14:paraId="50592B9B" w14:textId="617A072F" w:rsidR="00D97404" w:rsidRDefault="00D97404" w:rsidP="00D97404">
      <w:pPr>
        <w:pStyle w:val="SingleTxtG"/>
        <w:ind w:left="1560" w:hanging="426"/>
      </w:pPr>
      <w:r>
        <w:rPr>
          <w:rFonts w:eastAsiaTheme="minorHAnsi"/>
          <w:szCs w:val="24"/>
          <w:lang w:val="en-US"/>
        </w:rPr>
        <w:t>1.</w:t>
      </w:r>
      <w:r>
        <w:rPr>
          <w:rFonts w:eastAsiaTheme="minorHAnsi"/>
          <w:szCs w:val="24"/>
          <w:lang w:val="en-US"/>
        </w:rPr>
        <w:tab/>
      </w:r>
      <w:r>
        <w:t xml:space="preserve">For the purpose of this example the substance has an experimental </w:t>
      </w:r>
      <w:proofErr w:type="gramStart"/>
      <w:r>
        <w:t>6</w:t>
      </w:r>
      <w:r w:rsidR="008F5D13">
        <w:t xml:space="preserve"> </w:t>
      </w:r>
      <w:r>
        <w:t>hour</w:t>
      </w:r>
      <w:proofErr w:type="gramEnd"/>
      <w:r>
        <w:t xml:space="preserve"> vapour </w:t>
      </w:r>
      <w:r>
        <w:br/>
        <w:t>LC</w:t>
      </w:r>
      <w:r>
        <w:rPr>
          <w:vertAlign w:val="subscript"/>
        </w:rPr>
        <w:t>50</w:t>
      </w:r>
      <w:r>
        <w:t xml:space="preserve"> = 13.6 mg/l</w:t>
      </w:r>
    </w:p>
    <w:p w14:paraId="07EAC01D" w14:textId="77777777" w:rsidR="00D97404" w:rsidRDefault="00D97404" w:rsidP="00D97404">
      <w:pPr>
        <w:pStyle w:val="SingleTxtG"/>
        <w:ind w:left="1560" w:hanging="426"/>
      </w:pPr>
      <w:r>
        <w:rPr>
          <w:rFonts w:eastAsiaTheme="minorHAnsi"/>
          <w:szCs w:val="24"/>
          <w:lang w:val="en-US"/>
        </w:rPr>
        <w:t>2.</w:t>
      </w:r>
      <w:r>
        <w:rPr>
          <w:rFonts w:eastAsiaTheme="minorHAnsi"/>
          <w:szCs w:val="24"/>
          <w:lang w:val="en-US"/>
        </w:rPr>
        <w:tab/>
      </w:r>
      <w:r>
        <w:t>No additional information on n is available so the default value (n = 2) will be used.</w:t>
      </w:r>
    </w:p>
    <w:p w14:paraId="53D8D41A" w14:textId="3C751194" w:rsidR="00D97404" w:rsidRDefault="00D97404" w:rsidP="00D97404">
      <w:pPr>
        <w:pStyle w:val="SingleTxtG"/>
        <w:spacing w:before="240"/>
        <w:rPr>
          <w:u w:val="single"/>
        </w:rPr>
      </w:pPr>
      <w:r>
        <w:rPr>
          <w:u w:val="single"/>
        </w:rPr>
        <w:t>Criterion:</w:t>
      </w:r>
    </w:p>
    <w:p w14:paraId="404DD2CB" w14:textId="77777777" w:rsidR="00D97404" w:rsidRDefault="006A01C8" w:rsidP="00D9740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</w:tabs>
        <w:spacing w:after="240"/>
        <w:rPr>
          <w:u w:val="single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(4 hours)</m:t>
          </m:r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 xml:space="preserve"> x 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1/n</m:t>
              </m:r>
            </m:sup>
          </m:sSup>
        </m:oMath>
      </m:oMathPara>
    </w:p>
    <w:p w14:paraId="049C9E6D" w14:textId="77777777" w:rsidR="00D97404" w:rsidRDefault="00D97404" w:rsidP="00D97404">
      <w:pPr>
        <w:pStyle w:val="SingleTxtG"/>
        <w:rPr>
          <w:u w:val="single"/>
        </w:rPr>
      </w:pPr>
      <w:r>
        <w:rPr>
          <w:u w:val="single"/>
        </w:rPr>
        <w:t>Calculation</w:t>
      </w:r>
    </w:p>
    <w:p w14:paraId="07766590" w14:textId="77777777" w:rsidR="00D97404" w:rsidRDefault="006A01C8" w:rsidP="00D97404">
      <w:pPr>
        <w:tabs>
          <w:tab w:val="left" w:pos="567"/>
        </w:tabs>
        <w:spacing w:after="200"/>
        <w:ind w:left="920" w:hanging="560"/>
        <w:contextualSpacing/>
        <w:jc w:val="both"/>
        <w:rPr>
          <w:rFonts w:ascii="Cambria Math" w:hAnsi="Cambria Math"/>
          <w:b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d>
            <m:dPr>
              <m:ctrlPr>
                <w:rPr>
                  <w:rFonts w:ascii="Cambria Math" w:eastAsia="Times New Roman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 hours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 xml:space="preserve"> x 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4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=  </m:t>
          </m:r>
          <m:sSup>
            <m:sSupPr>
              <m:ctrlPr>
                <w:rPr>
                  <w:rFonts w:ascii="Cambria Math" w:eastAsia="Times New Roman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13.6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 xml:space="preserve"> x 6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4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2 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/>
            </w:rPr>
            <m:t>=16.7</m:t>
          </m:r>
        </m:oMath>
      </m:oMathPara>
    </w:p>
    <w:p w14:paraId="6422EDFF" w14:textId="3D45DE42" w:rsidR="00D97404" w:rsidRDefault="004C36F6" w:rsidP="00D01FAC">
      <w:pPr>
        <w:pStyle w:val="NormalWeb"/>
        <w:ind w:left="1170" w:right="1134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3.</w:t>
      </w:r>
      <w:r>
        <w:rPr>
          <w:rFonts w:asciiTheme="majorBidi" w:hAnsiTheme="majorBidi" w:cstheme="majorBidi"/>
          <w:sz w:val="20"/>
          <w:szCs w:val="20"/>
        </w:rPr>
        <w:tab/>
      </w:r>
      <w:r w:rsidR="00D97404">
        <w:rPr>
          <w:rFonts w:asciiTheme="majorBidi" w:hAnsiTheme="majorBidi" w:cstheme="majorBidi"/>
          <w:sz w:val="20"/>
          <w:szCs w:val="20"/>
        </w:rPr>
        <w:t xml:space="preserve">Therefore, the substance is classified into Category 4 based on the </w:t>
      </w:r>
      <w:proofErr w:type="spellStart"/>
      <w:r w:rsidR="00D97404">
        <w:rPr>
          <w:rFonts w:asciiTheme="majorBidi" w:hAnsiTheme="majorBidi" w:cstheme="majorBidi"/>
          <w:sz w:val="20"/>
          <w:szCs w:val="20"/>
        </w:rPr>
        <w:t>vapours</w:t>
      </w:r>
      <w:proofErr w:type="spellEnd"/>
      <w:r w:rsidR="00D97404">
        <w:rPr>
          <w:rFonts w:asciiTheme="majorBidi" w:hAnsiTheme="majorBidi" w:cstheme="majorBidi"/>
          <w:sz w:val="20"/>
          <w:szCs w:val="20"/>
        </w:rPr>
        <w:t xml:space="preserve"> Category 4 criteria (10.0 &lt; ATE ≤ 20.0) from Table 3.1.1.</w:t>
      </w:r>
    </w:p>
    <w:p w14:paraId="2B1141AE" w14:textId="77777777" w:rsidR="00D97404" w:rsidRDefault="00D97404" w:rsidP="00D97404">
      <w:pPr>
        <w:pStyle w:val="SingleTxtG"/>
        <w:rPr>
          <w:b/>
          <w:bCs/>
          <w:u w:val="single"/>
        </w:rPr>
      </w:pPr>
      <w:r>
        <w:rPr>
          <w:b/>
          <w:bCs/>
          <w:u w:val="single"/>
        </w:rPr>
        <w:t>Example 2</w:t>
      </w:r>
    </w:p>
    <w:p w14:paraId="50117538" w14:textId="77777777" w:rsidR="00D97404" w:rsidRDefault="00D97404" w:rsidP="00D97404">
      <w:pPr>
        <w:pStyle w:val="SingleTxtG"/>
        <w:rPr>
          <w:b/>
          <w:bCs/>
          <w:u w:val="single"/>
        </w:rPr>
      </w:pPr>
      <w:r>
        <w:rPr>
          <w:b/>
          <w:bCs/>
          <w:u w:val="single"/>
        </w:rPr>
        <w:t xml:space="preserve">Substance (solid) </w:t>
      </w:r>
    </w:p>
    <w:p w14:paraId="48CACA59" w14:textId="68B9412A" w:rsidR="00D97404" w:rsidRDefault="004C36F6" w:rsidP="00D97404">
      <w:pPr>
        <w:pStyle w:val="SingleTxtG"/>
      </w:pPr>
      <w:r>
        <w:t>4.</w:t>
      </w:r>
      <w:r>
        <w:tab/>
      </w:r>
      <w:r w:rsidR="00D97404">
        <w:t xml:space="preserve">For this </w:t>
      </w:r>
      <w:proofErr w:type="gramStart"/>
      <w:r w:rsidR="00D97404">
        <w:t>example</w:t>
      </w:r>
      <w:proofErr w:type="gramEnd"/>
      <w:r w:rsidR="00D97404">
        <w:t xml:space="preserve"> the substance has an experimental 2-hour dust LC</w:t>
      </w:r>
      <w:r w:rsidR="00D97404">
        <w:rPr>
          <w:vertAlign w:val="subscript"/>
        </w:rPr>
        <w:t>50</w:t>
      </w:r>
      <w:r w:rsidR="00D97404">
        <w:t xml:space="preserve"> = .26 mg/l</w:t>
      </w:r>
    </w:p>
    <w:p w14:paraId="26C18C7A" w14:textId="2554ACC7" w:rsidR="00D97404" w:rsidRDefault="00D97404" w:rsidP="00D97404">
      <w:pPr>
        <w:pStyle w:val="SingleTxtG"/>
        <w:spacing w:before="240"/>
        <w:rPr>
          <w:u w:val="single"/>
        </w:rPr>
      </w:pPr>
      <w:r>
        <w:rPr>
          <w:u w:val="single"/>
        </w:rPr>
        <w:t>Criterion:</w:t>
      </w:r>
    </w:p>
    <w:p w14:paraId="6A36FD7C" w14:textId="77777777" w:rsidR="00D97404" w:rsidRDefault="006A01C8" w:rsidP="00D9740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</w:tabs>
        <w:spacing w:after="240"/>
        <w:rPr>
          <w:u w:val="single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(4 hours)</m:t>
          </m:r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C x  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14:paraId="5AA75DBB" w14:textId="77777777" w:rsidR="00D97404" w:rsidRDefault="00D97404" w:rsidP="00D97404">
      <w:pPr>
        <w:pStyle w:val="SingleTxtG"/>
        <w:rPr>
          <w:u w:val="single"/>
        </w:rPr>
      </w:pPr>
      <w:r>
        <w:rPr>
          <w:u w:val="single"/>
        </w:rPr>
        <w:t>Calculation</w:t>
      </w:r>
    </w:p>
    <w:p w14:paraId="61C3A70C" w14:textId="77777777" w:rsidR="00D97404" w:rsidRDefault="006A01C8" w:rsidP="00D97404">
      <w:pPr>
        <w:tabs>
          <w:tab w:val="left" w:pos="567"/>
        </w:tabs>
        <w:spacing w:after="200"/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</m:sub>
          </m:sSub>
          <m:d>
            <m:dPr>
              <m:ctrlPr>
                <w:rPr>
                  <w:rFonts w:ascii="Cambria Math" w:eastAsia="Times New Roman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 hours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C x  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.26 x  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=0.13 </m:t>
          </m:r>
        </m:oMath>
      </m:oMathPara>
    </w:p>
    <w:p w14:paraId="29EC6894" w14:textId="66F8CB7C" w:rsidR="00D97404" w:rsidRDefault="004C36F6" w:rsidP="00D01FAC">
      <w:pPr>
        <w:pStyle w:val="NormalWeb"/>
        <w:ind w:left="1170" w:right="1134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="00D97404">
        <w:rPr>
          <w:sz w:val="20"/>
        </w:rPr>
        <w:t>Therefore, the substance is classified into Category 2 based on the dusts and mists Category 2 criteria (0.05 &lt; ATE ≤ 0.5) from Table 3.1.1.</w:t>
      </w:r>
    </w:p>
    <w:p w14:paraId="6D74BAD9" w14:textId="77777777" w:rsidR="00D97404" w:rsidRDefault="00D97404" w:rsidP="00D9740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E7D95B" w14:textId="77777777" w:rsidR="00AF5DE1" w:rsidRPr="00796323" w:rsidRDefault="00AF5DE1" w:rsidP="004858F5"/>
    <w:sectPr w:rsidR="00AF5DE1" w:rsidRPr="00796323" w:rsidSect="0079632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18DC" w14:textId="77777777" w:rsidR="00796323" w:rsidRPr="00C47B2E" w:rsidRDefault="00796323" w:rsidP="00C47B2E">
      <w:pPr>
        <w:pStyle w:val="Footer"/>
      </w:pPr>
    </w:p>
  </w:endnote>
  <w:endnote w:type="continuationSeparator" w:id="0">
    <w:p w14:paraId="304DF8E6" w14:textId="77777777" w:rsidR="00796323" w:rsidRPr="00C47B2E" w:rsidRDefault="00796323" w:rsidP="00C47B2E">
      <w:pPr>
        <w:pStyle w:val="Footer"/>
      </w:pPr>
    </w:p>
  </w:endnote>
  <w:endnote w:type="continuationNotice" w:id="1">
    <w:p w14:paraId="02F90387" w14:textId="77777777" w:rsidR="00796323" w:rsidRPr="00C47B2E" w:rsidRDefault="00796323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F84D" w14:textId="6EAFDEB9" w:rsidR="00D94B05" w:rsidRPr="00796323" w:rsidRDefault="00796323" w:rsidP="00796323">
    <w:pPr>
      <w:pStyle w:val="Footer"/>
      <w:tabs>
        <w:tab w:val="right" w:pos="9598"/>
        <w:tab w:val="right" w:pos="9638"/>
      </w:tabs>
      <w:rPr>
        <w:sz w:val="18"/>
      </w:rPr>
    </w:pPr>
    <w:r w:rsidRPr="00796323">
      <w:rPr>
        <w:b/>
        <w:sz w:val="18"/>
      </w:rPr>
      <w:fldChar w:fldCharType="begin"/>
    </w:r>
    <w:r w:rsidRPr="00796323">
      <w:rPr>
        <w:b/>
        <w:sz w:val="18"/>
      </w:rPr>
      <w:instrText xml:space="preserve"> PAGE  \* MERGEFORMAT </w:instrText>
    </w:r>
    <w:r w:rsidRPr="00796323">
      <w:rPr>
        <w:b/>
        <w:sz w:val="18"/>
      </w:rPr>
      <w:fldChar w:fldCharType="separate"/>
    </w:r>
    <w:r w:rsidRPr="00796323">
      <w:rPr>
        <w:b/>
        <w:noProof/>
        <w:sz w:val="18"/>
      </w:rPr>
      <w:t>2</w:t>
    </w:r>
    <w:r w:rsidRPr="0079632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F728" w14:textId="0385B767" w:rsidR="00D94B05" w:rsidRPr="00796323" w:rsidRDefault="00796323" w:rsidP="00796323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796323">
      <w:rPr>
        <w:sz w:val="18"/>
      </w:rPr>
      <w:fldChar w:fldCharType="begin"/>
    </w:r>
    <w:r w:rsidRPr="00796323">
      <w:rPr>
        <w:sz w:val="18"/>
      </w:rPr>
      <w:instrText xml:space="preserve"> PAGE  \* MERGEFORMAT </w:instrText>
    </w:r>
    <w:r w:rsidRPr="00796323">
      <w:rPr>
        <w:sz w:val="18"/>
      </w:rPr>
      <w:fldChar w:fldCharType="separate"/>
    </w:r>
    <w:r w:rsidRPr="00796323">
      <w:rPr>
        <w:noProof/>
        <w:sz w:val="18"/>
      </w:rPr>
      <w:t>3</w:t>
    </w:r>
    <w:r w:rsidRPr="0079632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7012" w14:textId="77777777" w:rsidR="00D94B05" w:rsidRPr="00796323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33D3B50D" wp14:editId="5BD57A4E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17E4" w14:textId="77777777" w:rsidR="00796323" w:rsidRPr="00C47B2E" w:rsidRDefault="00796323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B36C939" w14:textId="77777777" w:rsidR="00796323" w:rsidRPr="00C47B2E" w:rsidRDefault="00796323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4BAE31FA" w14:textId="77777777" w:rsidR="00796323" w:rsidRPr="00C47B2E" w:rsidRDefault="00796323" w:rsidP="00C47B2E">
      <w:pPr>
        <w:pStyle w:val="Footer"/>
      </w:pPr>
    </w:p>
  </w:footnote>
  <w:footnote w:id="2">
    <w:p w14:paraId="22E98E85" w14:textId="7556FFE5" w:rsidR="004F0E0F" w:rsidRPr="004F0E0F" w:rsidRDefault="004F0E0F" w:rsidP="00EA2544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EA2544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29F6" w14:textId="4C607D3B" w:rsidR="00796323" w:rsidRPr="00796323" w:rsidRDefault="006A01C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ST/SG/AC.10/C.3/2022/21</w:t>
    </w:r>
    <w:r>
      <w:fldChar w:fldCharType="end"/>
    </w:r>
    <w:r w:rsidR="00796323">
      <w:br/>
    </w:r>
    <w:r>
      <w:fldChar w:fldCharType="begin"/>
    </w:r>
    <w:r>
      <w:instrText xml:space="preserve"> KEYWORDS  \* MERGEFORMAT </w:instrText>
    </w:r>
    <w:r>
      <w:fldChar w:fldCharType="separate"/>
    </w:r>
    <w:r>
      <w:t>ST/SG/AC.10/C.4/2022/3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1079" w14:textId="06682EFD" w:rsidR="00D94B05" w:rsidRPr="00796323" w:rsidRDefault="006A01C8" w:rsidP="0079632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ST/SG/AC.10/C.3/2022/21</w:t>
    </w:r>
    <w:r>
      <w:fldChar w:fldCharType="end"/>
    </w:r>
    <w:r w:rsidR="00796323">
      <w:br/>
    </w:r>
    <w:r>
      <w:fldChar w:fldCharType="begin"/>
    </w:r>
    <w:r>
      <w:instrText xml:space="preserve"> KEYWORDS  \* MERGEFORMAT </w:instrText>
    </w:r>
    <w:r>
      <w:fldChar w:fldCharType="separate"/>
    </w:r>
    <w:r>
      <w:t>ST/SG/AC.10/C.4/2022/3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2187B63"/>
    <w:multiLevelType w:val="hybridMultilevel"/>
    <w:tmpl w:val="7292B766"/>
    <w:lvl w:ilvl="0" w:tplc="A116603C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23"/>
    <w:rsid w:val="00002142"/>
    <w:rsid w:val="000366FC"/>
    <w:rsid w:val="00046E92"/>
    <w:rsid w:val="00063C90"/>
    <w:rsid w:val="000A606E"/>
    <w:rsid w:val="00101B98"/>
    <w:rsid w:val="001514D1"/>
    <w:rsid w:val="002044F3"/>
    <w:rsid w:val="00232681"/>
    <w:rsid w:val="00247E2C"/>
    <w:rsid w:val="002841A8"/>
    <w:rsid w:val="002A199C"/>
    <w:rsid w:val="002A32CB"/>
    <w:rsid w:val="002A79DD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413386"/>
    <w:rsid w:val="0043219E"/>
    <w:rsid w:val="00436064"/>
    <w:rsid w:val="00461253"/>
    <w:rsid w:val="004858F5"/>
    <w:rsid w:val="004A2814"/>
    <w:rsid w:val="004C0622"/>
    <w:rsid w:val="004C36F6"/>
    <w:rsid w:val="004F0E0F"/>
    <w:rsid w:val="005042C2"/>
    <w:rsid w:val="00516C96"/>
    <w:rsid w:val="00544718"/>
    <w:rsid w:val="005E716E"/>
    <w:rsid w:val="006476E1"/>
    <w:rsid w:val="006604DF"/>
    <w:rsid w:val="00671529"/>
    <w:rsid w:val="006A01C8"/>
    <w:rsid w:val="0070489D"/>
    <w:rsid w:val="007268F9"/>
    <w:rsid w:val="00734DAA"/>
    <w:rsid w:val="00750282"/>
    <w:rsid w:val="00764440"/>
    <w:rsid w:val="0077101B"/>
    <w:rsid w:val="00775AF5"/>
    <w:rsid w:val="00796323"/>
    <w:rsid w:val="007C2D51"/>
    <w:rsid w:val="007C52B0"/>
    <w:rsid w:val="007C6033"/>
    <w:rsid w:val="007F2E6C"/>
    <w:rsid w:val="008009B9"/>
    <w:rsid w:val="008147C8"/>
    <w:rsid w:val="0081753A"/>
    <w:rsid w:val="00857D23"/>
    <w:rsid w:val="00892AFB"/>
    <w:rsid w:val="008F5D13"/>
    <w:rsid w:val="009411B4"/>
    <w:rsid w:val="00946F1D"/>
    <w:rsid w:val="00973A74"/>
    <w:rsid w:val="00996DD2"/>
    <w:rsid w:val="009D0139"/>
    <w:rsid w:val="009D717D"/>
    <w:rsid w:val="009E66EB"/>
    <w:rsid w:val="009F5CDC"/>
    <w:rsid w:val="00A072D7"/>
    <w:rsid w:val="00A63EC8"/>
    <w:rsid w:val="00A775CF"/>
    <w:rsid w:val="00AA7930"/>
    <w:rsid w:val="00AD1A9C"/>
    <w:rsid w:val="00AF5DE1"/>
    <w:rsid w:val="00B06045"/>
    <w:rsid w:val="00B206DD"/>
    <w:rsid w:val="00B52EF4"/>
    <w:rsid w:val="00B67047"/>
    <w:rsid w:val="00B777AD"/>
    <w:rsid w:val="00BB4D15"/>
    <w:rsid w:val="00BF50D3"/>
    <w:rsid w:val="00C03015"/>
    <w:rsid w:val="00C0358D"/>
    <w:rsid w:val="00C35A27"/>
    <w:rsid w:val="00C47B2E"/>
    <w:rsid w:val="00C7409B"/>
    <w:rsid w:val="00C869B5"/>
    <w:rsid w:val="00CC6373"/>
    <w:rsid w:val="00CF4E22"/>
    <w:rsid w:val="00D01FAC"/>
    <w:rsid w:val="00D03CB4"/>
    <w:rsid w:val="00D154C9"/>
    <w:rsid w:val="00D169CC"/>
    <w:rsid w:val="00D22399"/>
    <w:rsid w:val="00D2259C"/>
    <w:rsid w:val="00D63CD2"/>
    <w:rsid w:val="00D7711E"/>
    <w:rsid w:val="00D87DC2"/>
    <w:rsid w:val="00D94B05"/>
    <w:rsid w:val="00D97404"/>
    <w:rsid w:val="00DB456D"/>
    <w:rsid w:val="00E02C2B"/>
    <w:rsid w:val="00E1199A"/>
    <w:rsid w:val="00E21C27"/>
    <w:rsid w:val="00E26BCF"/>
    <w:rsid w:val="00E375A2"/>
    <w:rsid w:val="00E475F6"/>
    <w:rsid w:val="00E52109"/>
    <w:rsid w:val="00E75317"/>
    <w:rsid w:val="00E83E35"/>
    <w:rsid w:val="00E8424E"/>
    <w:rsid w:val="00E95CDE"/>
    <w:rsid w:val="00EA2544"/>
    <w:rsid w:val="00EB23D4"/>
    <w:rsid w:val="00EC0CE6"/>
    <w:rsid w:val="00EC7C1D"/>
    <w:rsid w:val="00ED6C48"/>
    <w:rsid w:val="00EE3045"/>
    <w:rsid w:val="00EE58E5"/>
    <w:rsid w:val="00F65F5D"/>
    <w:rsid w:val="00F86A3A"/>
    <w:rsid w:val="00FE1D89"/>
    <w:rsid w:val="00FF382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C3B509"/>
  <w15:docId w15:val="{BB7D4E77-BD99-4AD7-BD0E-68B49BB3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uiPriority w:val="99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2A79DD"/>
  </w:style>
  <w:style w:type="character" w:customStyle="1" w:styleId="HChGChar">
    <w:name w:val="_ H _Ch_G Char"/>
    <w:link w:val="HChG"/>
    <w:locked/>
    <w:rsid w:val="00EB23D4"/>
    <w:rPr>
      <w:b/>
      <w:sz w:val="28"/>
    </w:rPr>
  </w:style>
  <w:style w:type="character" w:customStyle="1" w:styleId="H1GChar">
    <w:name w:val="_ H_1_G Char"/>
    <w:link w:val="H1G"/>
    <w:locked/>
    <w:rsid w:val="00EB23D4"/>
    <w:rPr>
      <w:b/>
      <w:sz w:val="24"/>
    </w:rPr>
  </w:style>
  <w:style w:type="character" w:customStyle="1" w:styleId="SingleTxtGChar">
    <w:name w:val="_ Single Txt_G Char"/>
    <w:link w:val="SingleTxtG"/>
    <w:qFormat/>
    <w:rsid w:val="00EB23D4"/>
  </w:style>
  <w:style w:type="paragraph" w:styleId="NormalWeb">
    <w:name w:val="Normal (Web)"/>
    <w:basedOn w:val="Normal"/>
    <w:uiPriority w:val="99"/>
    <w:semiHidden/>
    <w:unhideWhenUsed/>
    <w:rsid w:val="00D97404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97404"/>
    <w:pPr>
      <w:widowControl w:val="0"/>
      <w:tabs>
        <w:tab w:val="left" w:pos="900"/>
        <w:tab w:val="left" w:pos="1134"/>
        <w:tab w:val="left" w:pos="1701"/>
        <w:tab w:val="left" w:pos="2268"/>
        <w:tab w:val="left" w:pos="2835"/>
        <w:tab w:val="left" w:pos="3402"/>
      </w:tabs>
      <w:suppressAutoHyphens w:val="0"/>
      <w:kinsoku/>
      <w:overflowPunct/>
      <w:snapToGrid/>
      <w:spacing w:line="240" w:lineRule="auto"/>
      <w:jc w:val="both"/>
    </w:pPr>
    <w:rPr>
      <w:rFonts w:eastAsia="Times New Roman"/>
      <w:color w:val="000000"/>
      <w:sz w:val="22"/>
      <w:lang w:eastAsia="fr-F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7404"/>
    <w:rPr>
      <w:rFonts w:eastAsia="Times New Roman"/>
      <w:color w:val="000000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2DFF-66A8-41EB-B9E4-5432CB551E96}">
  <ds:schemaRefs>
    <ds:schemaRef ds:uri="http://purl.org/dc/elements/1.1/"/>
    <ds:schemaRef ds:uri="http://schemas.microsoft.com/office/2006/metadata/properties"/>
    <ds:schemaRef ds:uri="4b4a1c0d-4a69-4996-a84a-fc699b9f49d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96CD25-00D0-4B1B-B533-BC7E0645A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F2623-7BC3-4439-8C80-B71B06526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55</TotalTime>
  <Pages>4</Pages>
  <Words>990</Words>
  <Characters>5257</Characters>
  <Application>Microsoft Office Word</Application>
  <DocSecurity>0</DocSecurity>
  <Lines>125</Lines>
  <Paragraphs>67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ST/SG/AC.10/C.3/2022/21</dc:title>
  <dc:subject/>
  <dc:creator>Laurence BERTHET</dc:creator>
  <cp:keywords>ST/SG/AC.10/C.4/2022/3</cp:keywords>
  <cp:lastModifiedBy>Laurence Berthet</cp:lastModifiedBy>
  <cp:revision>55</cp:revision>
  <cp:lastPrinted>2022-04-06T11:18:00Z</cp:lastPrinted>
  <dcterms:created xsi:type="dcterms:W3CDTF">2022-03-31T09:52:00Z</dcterms:created>
  <dcterms:modified xsi:type="dcterms:W3CDTF">2022-04-06T11:18:00Z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