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6276142" w14:textId="77777777" w:rsidTr="006476E1">
        <w:trPr>
          <w:trHeight w:val="851"/>
        </w:trPr>
        <w:tc>
          <w:tcPr>
            <w:tcW w:w="1259" w:type="dxa"/>
            <w:tcBorders>
              <w:top w:val="nil"/>
              <w:left w:val="nil"/>
              <w:bottom w:val="single" w:sz="4" w:space="0" w:color="auto"/>
              <w:right w:val="nil"/>
            </w:tcBorders>
          </w:tcPr>
          <w:p w14:paraId="2975E288" w14:textId="77777777" w:rsidR="00E52109" w:rsidRPr="002A32CB" w:rsidRDefault="00E52109" w:rsidP="004858F5"/>
        </w:tc>
        <w:tc>
          <w:tcPr>
            <w:tcW w:w="2236" w:type="dxa"/>
            <w:tcBorders>
              <w:top w:val="nil"/>
              <w:left w:val="nil"/>
              <w:bottom w:val="single" w:sz="4" w:space="0" w:color="auto"/>
              <w:right w:val="nil"/>
            </w:tcBorders>
            <w:vAlign w:val="bottom"/>
          </w:tcPr>
          <w:p w14:paraId="2A8051E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7D1C962" w14:textId="5F3B76BF" w:rsidR="00E52109" w:rsidRDefault="000F4812" w:rsidP="000F4812">
            <w:pPr>
              <w:suppressAutoHyphens w:val="0"/>
              <w:jc w:val="right"/>
            </w:pPr>
            <w:r w:rsidRPr="000F4812">
              <w:rPr>
                <w:sz w:val="40"/>
              </w:rPr>
              <w:t>ST</w:t>
            </w:r>
            <w:r>
              <w:t>/SG/AC.10/C.3/2022/15</w:t>
            </w:r>
          </w:p>
        </w:tc>
      </w:tr>
      <w:tr w:rsidR="00E52109" w14:paraId="72B3C485" w14:textId="77777777" w:rsidTr="006476E1">
        <w:trPr>
          <w:trHeight w:val="2835"/>
        </w:trPr>
        <w:tc>
          <w:tcPr>
            <w:tcW w:w="1259" w:type="dxa"/>
            <w:tcBorders>
              <w:top w:val="single" w:sz="4" w:space="0" w:color="auto"/>
              <w:left w:val="nil"/>
              <w:bottom w:val="single" w:sz="12" w:space="0" w:color="auto"/>
              <w:right w:val="nil"/>
            </w:tcBorders>
          </w:tcPr>
          <w:p w14:paraId="0FCB04B6" w14:textId="77777777" w:rsidR="00E52109" w:rsidRDefault="00E52109" w:rsidP="006476E1">
            <w:pPr>
              <w:spacing w:before="120"/>
              <w:jc w:val="center"/>
            </w:pPr>
            <w:r>
              <w:rPr>
                <w:noProof/>
                <w:lang w:val="fr-CH" w:eastAsia="fr-CH"/>
              </w:rPr>
              <w:drawing>
                <wp:inline distT="0" distB="0" distL="0" distR="0" wp14:anchorId="5A868E08" wp14:editId="7703BB5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A80648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5C0D193" w14:textId="77777777" w:rsidR="00D94B05" w:rsidRDefault="000F4812" w:rsidP="000F4812">
            <w:pPr>
              <w:suppressAutoHyphens w:val="0"/>
              <w:spacing w:before="240" w:line="240" w:lineRule="exact"/>
            </w:pPr>
            <w:r>
              <w:t>Distr.: General</w:t>
            </w:r>
          </w:p>
          <w:p w14:paraId="30F09A60" w14:textId="506A72CC" w:rsidR="000F4812" w:rsidRDefault="00DA0E28" w:rsidP="000F4812">
            <w:pPr>
              <w:suppressAutoHyphens w:val="0"/>
              <w:spacing w:line="240" w:lineRule="exact"/>
            </w:pPr>
            <w:r>
              <w:t>1</w:t>
            </w:r>
            <w:r w:rsidR="000F4812">
              <w:t xml:space="preserve"> </w:t>
            </w:r>
            <w:r>
              <w:t>April</w:t>
            </w:r>
            <w:r w:rsidR="000F4812">
              <w:t xml:space="preserve"> 2022</w:t>
            </w:r>
          </w:p>
          <w:p w14:paraId="719EAA86" w14:textId="77777777" w:rsidR="000F4812" w:rsidRDefault="000F4812" w:rsidP="000F4812">
            <w:pPr>
              <w:suppressAutoHyphens w:val="0"/>
              <w:spacing w:line="240" w:lineRule="exact"/>
            </w:pPr>
          </w:p>
          <w:p w14:paraId="2A9D618A" w14:textId="6F00C678" w:rsidR="000F4812" w:rsidRDefault="000F4812" w:rsidP="000F4812">
            <w:pPr>
              <w:suppressAutoHyphens w:val="0"/>
              <w:spacing w:line="240" w:lineRule="exact"/>
            </w:pPr>
            <w:r>
              <w:t>Original: English</w:t>
            </w:r>
          </w:p>
        </w:tc>
      </w:tr>
    </w:tbl>
    <w:p w14:paraId="62689AAF" w14:textId="77777777" w:rsidR="008F0BA5" w:rsidRPr="006500BA" w:rsidRDefault="008F0BA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20305B6" w14:textId="77777777" w:rsidR="008F0BA5" w:rsidRPr="006500BA" w:rsidRDefault="008F0BA5" w:rsidP="004858F5">
      <w:pPr>
        <w:spacing w:before="120"/>
        <w:rPr>
          <w:rFonts w:ascii="Helv" w:hAnsi="Helv" w:cs="Helv"/>
          <w:b/>
          <w:color w:val="000000"/>
        </w:rPr>
      </w:pPr>
      <w:r w:rsidRPr="006500BA">
        <w:rPr>
          <w:b/>
        </w:rPr>
        <w:t xml:space="preserve">Sub-Committee of Experts on the </w:t>
      </w:r>
      <w:r>
        <w:rPr>
          <w:b/>
        </w:rPr>
        <w:t>Transport of Dangerous Goods</w:t>
      </w:r>
    </w:p>
    <w:p w14:paraId="193CB8E7" w14:textId="77777777" w:rsidR="00453DF2" w:rsidRPr="006500BA" w:rsidRDefault="00453DF2" w:rsidP="00453DF2">
      <w:pPr>
        <w:spacing w:before="120"/>
        <w:rPr>
          <w:b/>
        </w:rPr>
      </w:pPr>
      <w:r>
        <w:rPr>
          <w:b/>
        </w:rPr>
        <w:t xml:space="preserve">Sixtieth </w:t>
      </w:r>
      <w:r w:rsidRPr="006500BA">
        <w:rPr>
          <w:b/>
        </w:rPr>
        <w:t>session</w:t>
      </w:r>
    </w:p>
    <w:p w14:paraId="5A62B6A9" w14:textId="498E3AED" w:rsidR="008F0BA5" w:rsidRPr="006500BA" w:rsidRDefault="00453DF2" w:rsidP="00453DF2">
      <w:r w:rsidRPr="006500BA">
        <w:t xml:space="preserve">Geneva, </w:t>
      </w:r>
      <w:r>
        <w:t>27 June-6 July 2022</w:t>
      </w:r>
    </w:p>
    <w:p w14:paraId="1806677C" w14:textId="7FB04A4A" w:rsidR="008F0BA5" w:rsidRPr="006500BA" w:rsidRDefault="008F0BA5" w:rsidP="004858F5">
      <w:r w:rsidRPr="006500BA">
        <w:t xml:space="preserve">Item </w:t>
      </w:r>
      <w:r w:rsidR="00026A93">
        <w:t>6 (b)</w:t>
      </w:r>
      <w:r w:rsidRPr="006500BA">
        <w:t xml:space="preserve"> of the provisional agenda</w:t>
      </w:r>
    </w:p>
    <w:p w14:paraId="3F22874F" w14:textId="48C70443" w:rsidR="00AF5DE1" w:rsidRDefault="004732DE" w:rsidP="004858F5">
      <w:pPr>
        <w:rPr>
          <w:b/>
          <w:bCs/>
        </w:rPr>
      </w:pPr>
      <w:r w:rsidRPr="00D037BB">
        <w:rPr>
          <w:b/>
          <w:bCs/>
        </w:rPr>
        <w:t xml:space="preserve">Miscellaneous proposals for amendments to the Model Regulations </w:t>
      </w:r>
      <w:r w:rsidR="00EB0762" w:rsidRPr="00D037BB">
        <w:rPr>
          <w:b/>
          <w:bCs/>
        </w:rPr>
        <w:br/>
      </w:r>
      <w:r w:rsidRPr="00D037BB">
        <w:rPr>
          <w:b/>
          <w:bCs/>
        </w:rPr>
        <w:t>on the Transport of Dangerous Goods</w:t>
      </w:r>
      <w:r w:rsidR="00EB0762" w:rsidRPr="00D037BB">
        <w:rPr>
          <w:b/>
          <w:bCs/>
        </w:rPr>
        <w:t xml:space="preserve">: </w:t>
      </w:r>
      <w:proofErr w:type="spellStart"/>
      <w:r w:rsidR="00D037BB" w:rsidRPr="00D037BB">
        <w:rPr>
          <w:b/>
          <w:bCs/>
        </w:rPr>
        <w:t>packagings</w:t>
      </w:r>
      <w:proofErr w:type="spellEnd"/>
      <w:r w:rsidR="00D037BB" w:rsidRPr="00D037BB">
        <w:rPr>
          <w:b/>
          <w:bCs/>
        </w:rPr>
        <w:t>, including the use of recycled plastics material</w:t>
      </w:r>
    </w:p>
    <w:p w14:paraId="5E70A5DD" w14:textId="77777777" w:rsidR="001A5887" w:rsidRPr="00AD2261" w:rsidRDefault="001A5887" w:rsidP="00B866B4">
      <w:pPr>
        <w:pStyle w:val="HChG"/>
        <w:keepNext w:val="0"/>
        <w:keepLines w:val="0"/>
      </w:pPr>
      <w:r>
        <w:rPr>
          <w:lang w:val="en-US"/>
        </w:rPr>
        <w:tab/>
      </w:r>
      <w:r>
        <w:rPr>
          <w:lang w:val="en-US"/>
        </w:rPr>
        <w:tab/>
      </w:r>
      <w:r w:rsidRPr="00CD4EF4">
        <w:rPr>
          <w:lang w:val="en-US"/>
        </w:rPr>
        <w:t>Problems with the practical implementation of P650</w:t>
      </w:r>
    </w:p>
    <w:p w14:paraId="2297E588" w14:textId="7C7A6A38" w:rsidR="001A5887" w:rsidRPr="00372A88" w:rsidRDefault="001A5887" w:rsidP="00B866B4">
      <w:pPr>
        <w:pStyle w:val="H1G"/>
        <w:keepNext w:val="0"/>
        <w:keepLines w:val="0"/>
        <w:rPr>
          <w:rFonts w:eastAsia="Arial Unicode MS"/>
          <w:lang w:val="en-US"/>
        </w:rPr>
      </w:pPr>
      <w:r w:rsidRPr="00372A88">
        <w:rPr>
          <w:rFonts w:eastAsia="Arial Unicode MS" w:cs="Arial Unicode MS"/>
          <w:lang w:val="en-US"/>
        </w:rPr>
        <w:tab/>
      </w:r>
      <w:r w:rsidRPr="00372A88">
        <w:rPr>
          <w:rFonts w:eastAsia="Arial Unicode MS" w:cs="Arial Unicode MS"/>
          <w:lang w:val="en-US"/>
        </w:rPr>
        <w:tab/>
      </w:r>
      <w:r w:rsidRPr="004E2CEA">
        <w:rPr>
          <w:rFonts w:eastAsia="Arial Unicode MS"/>
        </w:rPr>
        <w:t>Transmitted</w:t>
      </w:r>
      <w:r w:rsidRPr="00372A88">
        <w:rPr>
          <w:rFonts w:eastAsia="Arial Unicode MS"/>
          <w:lang w:val="en-US"/>
        </w:rPr>
        <w:t xml:space="preserve"> by the expert from </w:t>
      </w:r>
      <w:r>
        <w:rPr>
          <w:rFonts w:eastAsia="Arial Unicode MS"/>
          <w:lang w:val="en-US"/>
        </w:rPr>
        <w:t>Spain</w:t>
      </w:r>
      <w:r w:rsidR="00720856">
        <w:rPr>
          <w:rStyle w:val="FootnoteReference"/>
          <w:rFonts w:eastAsia="Arial Unicode MS"/>
          <w:lang w:val="en-US"/>
        </w:rPr>
        <w:footnoteReference w:id="2"/>
      </w:r>
    </w:p>
    <w:p w14:paraId="384D4881" w14:textId="77777777" w:rsidR="001A5887" w:rsidRPr="00372A88" w:rsidRDefault="001A5887" w:rsidP="00B866B4">
      <w:pPr>
        <w:pStyle w:val="HChG"/>
        <w:keepNext w:val="0"/>
        <w:keepLines w:val="0"/>
        <w:rPr>
          <w:lang w:val="en-US"/>
        </w:rPr>
      </w:pPr>
      <w:r w:rsidRPr="00372A88">
        <w:rPr>
          <w:sz w:val="24"/>
          <w:szCs w:val="24"/>
          <w:lang w:val="en-US"/>
        </w:rPr>
        <w:tab/>
      </w:r>
      <w:r w:rsidRPr="00372A88">
        <w:rPr>
          <w:sz w:val="24"/>
          <w:szCs w:val="24"/>
          <w:lang w:val="en-US"/>
        </w:rPr>
        <w:tab/>
      </w:r>
      <w:r w:rsidRPr="004E2CEA">
        <w:t>Introduction</w:t>
      </w:r>
    </w:p>
    <w:p w14:paraId="07E35C40" w14:textId="72558324" w:rsidR="001A5887" w:rsidRPr="00CE143E" w:rsidRDefault="0033281D" w:rsidP="0033281D">
      <w:pPr>
        <w:pStyle w:val="SingleTxtG"/>
      </w:pPr>
      <w:r>
        <w:t>1.</w:t>
      </w:r>
      <w:r>
        <w:tab/>
      </w:r>
      <w:r w:rsidR="001A5887">
        <w:t xml:space="preserve">During the </w:t>
      </w:r>
      <w:r w:rsidR="00720856">
        <w:t>fifty-ninth</w:t>
      </w:r>
      <w:r w:rsidR="001A5887">
        <w:t xml:space="preserve"> session of the </w:t>
      </w:r>
      <w:r w:rsidR="001A5887" w:rsidRPr="00CE143E">
        <w:t xml:space="preserve">Sub-Committee of Experts on the Transport of Dangerous Goods </w:t>
      </w:r>
      <w:r w:rsidR="001A5887">
        <w:t>held in December 2021, document ST</w:t>
      </w:r>
      <w:r w:rsidR="001A5887" w:rsidRPr="00CE143E">
        <w:t>/</w:t>
      </w:r>
      <w:r w:rsidR="001A5887">
        <w:t>SG</w:t>
      </w:r>
      <w:r w:rsidR="001A5887" w:rsidRPr="00CE143E">
        <w:t>/</w:t>
      </w:r>
      <w:r w:rsidR="001A5887">
        <w:t>AC.10</w:t>
      </w:r>
      <w:r w:rsidR="001A5887" w:rsidRPr="00CE143E">
        <w:t>/</w:t>
      </w:r>
      <w:r w:rsidR="001A5887">
        <w:t>C.3</w:t>
      </w:r>
      <w:r w:rsidR="001A5887" w:rsidRPr="00CE143E">
        <w:t>/</w:t>
      </w:r>
      <w:r w:rsidR="001A5887">
        <w:t>2021</w:t>
      </w:r>
      <w:r w:rsidR="001A5887" w:rsidRPr="00CE143E">
        <w:t>/</w:t>
      </w:r>
      <w:r w:rsidR="001A5887">
        <w:t>49 from Spain was introduced to the plenary, and further discussed in a lunch time working group</w:t>
      </w:r>
      <w:r w:rsidR="00094615">
        <w:t xml:space="preserve"> meeting</w:t>
      </w:r>
      <w:r w:rsidR="001A5887">
        <w:t>.</w:t>
      </w:r>
    </w:p>
    <w:p w14:paraId="3856BF7E" w14:textId="6196343B" w:rsidR="001A5887" w:rsidRPr="00161138" w:rsidRDefault="0033281D" w:rsidP="0033281D">
      <w:pPr>
        <w:pStyle w:val="SingleTxtG"/>
        <w:rPr>
          <w:lang w:val="en-US"/>
        </w:rPr>
      </w:pPr>
      <w:r>
        <w:tab/>
        <w:t>2.</w:t>
      </w:r>
      <w:r>
        <w:tab/>
      </w:r>
      <w:r w:rsidR="001A5887">
        <w:t xml:space="preserve">Some interesting comments and paths forward were suggested </w:t>
      </w:r>
      <w:r w:rsidR="00722492">
        <w:t>dur</w:t>
      </w:r>
      <w:r w:rsidR="001A5887">
        <w:t>in</w:t>
      </w:r>
      <w:r w:rsidR="00722492">
        <w:t>g</w:t>
      </w:r>
      <w:r w:rsidR="001A5887">
        <w:t xml:space="preserve"> the lunch time working group</w:t>
      </w:r>
      <w:r w:rsidR="00722492">
        <w:t xml:space="preserve"> meeting</w:t>
      </w:r>
      <w:r w:rsidR="001A5887">
        <w:t>, and Spain agreed to prepare some draft amendments based on these</w:t>
      </w:r>
      <w:r w:rsidR="00D75C7B">
        <w:t xml:space="preserve"> suggestions</w:t>
      </w:r>
      <w:r w:rsidR="001A5887">
        <w:t xml:space="preserve"> that were </w:t>
      </w:r>
      <w:r w:rsidR="00941528">
        <w:t xml:space="preserve">further </w:t>
      </w:r>
      <w:r w:rsidR="001A5887">
        <w:t xml:space="preserve">discussed among interested parties </w:t>
      </w:r>
      <w:r w:rsidR="00941528">
        <w:t>dur</w:t>
      </w:r>
      <w:r w:rsidR="001A5887">
        <w:t>in</w:t>
      </w:r>
      <w:r w:rsidR="00941528">
        <w:t>g</w:t>
      </w:r>
      <w:r w:rsidR="001A5887">
        <w:t xml:space="preserve"> an online session of the working group </w:t>
      </w:r>
      <w:r w:rsidR="00941528">
        <w:t>on</w:t>
      </w:r>
      <w:r w:rsidR="001A5887">
        <w:t xml:space="preserve"> 22 February 2022, with additional written exchange of comments.</w:t>
      </w:r>
    </w:p>
    <w:p w14:paraId="72FD201C" w14:textId="6FC794BE" w:rsidR="001A5887" w:rsidRPr="00CE143E" w:rsidRDefault="0033281D" w:rsidP="0033281D">
      <w:pPr>
        <w:pStyle w:val="SingleTxtG"/>
      </w:pPr>
      <w:r>
        <w:tab/>
        <w:t>3.</w:t>
      </w:r>
      <w:r>
        <w:tab/>
      </w:r>
      <w:r w:rsidR="001A5887">
        <w:t>Spain is very grateful for the valuable comments, suggestions and interesting discussions and background knowledge received from the different experts in th</w:t>
      </w:r>
      <w:r w:rsidR="004A737F">
        <w:t>at</w:t>
      </w:r>
      <w:r w:rsidR="001A5887">
        <w:t xml:space="preserve"> process.</w:t>
      </w:r>
    </w:p>
    <w:p w14:paraId="73C5BC1E" w14:textId="77777777" w:rsidR="001A5887" w:rsidRDefault="001A5887" w:rsidP="001A5887">
      <w:pPr>
        <w:pStyle w:val="HChG"/>
        <w:ind w:firstLine="0"/>
        <w:rPr>
          <w:szCs w:val="28"/>
          <w:lang w:val="en-US"/>
        </w:rPr>
      </w:pPr>
      <w:r w:rsidRPr="003E12C3">
        <w:rPr>
          <w:szCs w:val="28"/>
          <w:lang w:val="en-US"/>
        </w:rPr>
        <w:t>Analysis</w:t>
      </w:r>
    </w:p>
    <w:p w14:paraId="03CEC51C" w14:textId="59B1D56B" w:rsidR="001A5887" w:rsidRDefault="001A5887" w:rsidP="0033281D">
      <w:pPr>
        <w:pStyle w:val="SingleTxtG"/>
      </w:pPr>
      <w:r>
        <w:t>4.</w:t>
      </w:r>
      <w:r>
        <w:tab/>
      </w:r>
      <w:r w:rsidRPr="00873BB3">
        <w:t xml:space="preserve">For Spain, the objective of the revision </w:t>
      </w:r>
      <w:r>
        <w:t xml:space="preserve">of </w:t>
      </w:r>
      <w:r w:rsidR="007B1E33">
        <w:t xml:space="preserve">packing </w:t>
      </w:r>
      <w:r w:rsidR="003F08C2">
        <w:t xml:space="preserve">instruction </w:t>
      </w:r>
      <w:r>
        <w:t>P650 is to not change</w:t>
      </w:r>
      <w:r w:rsidRPr="00873BB3">
        <w:t xml:space="preserve"> the requirements, specifically those related to testing, but to clarify them, and </w:t>
      </w:r>
      <w:r w:rsidR="00AE5C17">
        <w:t>is the purpose of</w:t>
      </w:r>
      <w:r w:rsidRPr="00873BB3">
        <w:t xml:space="preserve"> this document.</w:t>
      </w:r>
      <w:r>
        <w:t xml:space="preserve"> Nevertheless, this</w:t>
      </w:r>
      <w:r w:rsidRPr="00873BB3">
        <w:t xml:space="preserve"> document further explores some </w:t>
      </w:r>
      <w:r>
        <w:t xml:space="preserve">changes in </w:t>
      </w:r>
      <w:r w:rsidR="006D1E0F">
        <w:t xml:space="preserve">the </w:t>
      </w:r>
      <w:r>
        <w:t>requirements</w:t>
      </w:r>
      <w:r w:rsidRPr="00873BB3">
        <w:t xml:space="preserve"> that were </w:t>
      </w:r>
      <w:r>
        <w:t>suggest</w:t>
      </w:r>
      <w:r w:rsidRPr="00873BB3">
        <w:t xml:space="preserve">ed </w:t>
      </w:r>
      <w:r>
        <w:t xml:space="preserve">by the different members of the working </w:t>
      </w:r>
      <w:r w:rsidRPr="00EE6DCE">
        <w:t>group (see paragraph 17</w:t>
      </w:r>
      <w:r w:rsidR="00850BD0">
        <w:t xml:space="preserve"> below</w:t>
      </w:r>
      <w:r w:rsidRPr="00EE6DCE">
        <w:t>).</w:t>
      </w:r>
    </w:p>
    <w:p w14:paraId="138BFEE9" w14:textId="1AD41107" w:rsidR="001A5887" w:rsidRDefault="0033281D" w:rsidP="0033281D">
      <w:pPr>
        <w:pStyle w:val="H23G"/>
      </w:pPr>
      <w:r>
        <w:tab/>
      </w:r>
      <w:r>
        <w:tab/>
      </w:r>
      <w:r w:rsidR="001A5887">
        <w:t>Capability requirements</w:t>
      </w:r>
    </w:p>
    <w:p w14:paraId="7CBEDCC6" w14:textId="5A3CAD76" w:rsidR="001A5887" w:rsidRDefault="001A5887" w:rsidP="0033281D">
      <w:pPr>
        <w:pStyle w:val="SingleTxtG"/>
      </w:pPr>
      <w:r>
        <w:t>5.</w:t>
      </w:r>
      <w:r>
        <w:tab/>
      </w:r>
      <w:r w:rsidRPr="00DC0D77">
        <w:t>The working group</w:t>
      </w:r>
      <w:r>
        <w:t xml:space="preserve"> discussed the implications the capability requirements in (6) and (7)</w:t>
      </w:r>
      <w:r w:rsidR="00D84B2B">
        <w:t>(</w:t>
      </w:r>
      <w:r>
        <w:t>e</w:t>
      </w:r>
      <w:r w:rsidR="00D84B2B">
        <w:t>)</w:t>
      </w:r>
      <w:r>
        <w:t xml:space="preserve"> ha</w:t>
      </w:r>
      <w:r w:rsidR="005F08A2">
        <w:t>ve</w:t>
      </w:r>
      <w:r>
        <w:t>, specifically if these capability requirements implied the need to regularly and mandatorily carry out the tests to demonstrate th</w:t>
      </w:r>
      <w:r w:rsidR="00DD0192">
        <w:t>at</w:t>
      </w:r>
      <w:r>
        <w:t xml:space="preserve"> capability.</w:t>
      </w:r>
    </w:p>
    <w:p w14:paraId="4128979C" w14:textId="15B61217" w:rsidR="001A5887" w:rsidRDefault="001A5887" w:rsidP="0033281D">
      <w:pPr>
        <w:pStyle w:val="SingleTxtG"/>
      </w:pPr>
      <w:r>
        <w:lastRenderedPageBreak/>
        <w:t>6.</w:t>
      </w:r>
      <w:r>
        <w:tab/>
      </w:r>
      <w:r w:rsidR="00EF5383">
        <w:t>The group reached the a</w:t>
      </w:r>
      <w:r>
        <w:t xml:space="preserve">greement that the capability to pass the tests mentioned could be demonstrated easiest by direct testing, or alternatively by </w:t>
      </w:r>
      <w:r w:rsidRPr="006A6086">
        <w:t>means such as engineering analysis, testing with an article of similar mass and size, or other equivalent means.</w:t>
      </w:r>
    </w:p>
    <w:p w14:paraId="4D4D02EE" w14:textId="77777777" w:rsidR="001A5887" w:rsidRPr="00DC0D77" w:rsidRDefault="001A5887" w:rsidP="0033281D">
      <w:pPr>
        <w:pStyle w:val="SingleTxtG"/>
      </w:pPr>
      <w:r>
        <w:t>7.</w:t>
      </w:r>
      <w:r>
        <w:tab/>
        <w:t xml:space="preserve">Clarification of this aspect can be done by including a note to the corresponding paragraphs referring to capability </w:t>
      </w:r>
      <w:r w:rsidRPr="00EE6DCE">
        <w:t>requirements (see proposal 1).</w:t>
      </w:r>
    </w:p>
    <w:p w14:paraId="1E763456" w14:textId="4D3B20B7" w:rsidR="001A5887" w:rsidRPr="00DC3D87" w:rsidRDefault="0033281D" w:rsidP="0033281D">
      <w:pPr>
        <w:pStyle w:val="H23G"/>
      </w:pPr>
      <w:r>
        <w:tab/>
      </w:r>
      <w:r>
        <w:tab/>
      </w:r>
      <w:r w:rsidR="001A5887" w:rsidRPr="00DC3D87">
        <w:t>Complete package</w:t>
      </w:r>
    </w:p>
    <w:p w14:paraId="37C292D8" w14:textId="259DBF24" w:rsidR="001A5887" w:rsidRDefault="001A5887" w:rsidP="0033281D">
      <w:pPr>
        <w:pStyle w:val="SingleTxtG"/>
      </w:pPr>
      <w:r>
        <w:t>8.</w:t>
      </w:r>
      <w:r>
        <w:tab/>
      </w:r>
      <w:r w:rsidR="003F08C2">
        <w:t xml:space="preserve">Packing instruction </w:t>
      </w:r>
      <w:r>
        <w:t xml:space="preserve">P650 is applicable for the completed package, considering that the three components of the </w:t>
      </w:r>
      <w:proofErr w:type="spellStart"/>
      <w:r>
        <w:t>packa</w:t>
      </w:r>
      <w:r w:rsidRPr="00AF1E0C">
        <w:t>gings</w:t>
      </w:r>
      <w:proofErr w:type="spellEnd"/>
      <w:r w:rsidRPr="00AF1E0C">
        <w:t xml:space="preserve"> will be available not only for packing and marking, but already for the capacity assessment.</w:t>
      </w:r>
    </w:p>
    <w:p w14:paraId="3E884CE0" w14:textId="32611489" w:rsidR="001A5887" w:rsidRDefault="001A5887" w:rsidP="0033281D">
      <w:pPr>
        <w:pStyle w:val="SingleTxtG"/>
      </w:pPr>
      <w:r>
        <w:t>9.</w:t>
      </w:r>
      <w:r>
        <w:tab/>
        <w:t>This specific aspect is relevant for paragraphs (6) and (7)</w:t>
      </w:r>
      <w:r w:rsidR="00681411">
        <w:t>(</w:t>
      </w:r>
      <w:r>
        <w:t>e</w:t>
      </w:r>
      <w:r w:rsidR="00681411">
        <w:t>)</w:t>
      </w:r>
      <w:r>
        <w:t xml:space="preserve"> of P650.</w:t>
      </w:r>
    </w:p>
    <w:p w14:paraId="0DF9F024" w14:textId="0912D42A" w:rsidR="001A5887" w:rsidRDefault="001A5887" w:rsidP="0033281D">
      <w:pPr>
        <w:pStyle w:val="SingleTxtG"/>
        <w:rPr>
          <w:lang w:val="en-US"/>
        </w:rPr>
      </w:pPr>
      <w:r>
        <w:rPr>
          <w:lang w:val="en-US"/>
        </w:rPr>
        <w:t>10.</w:t>
      </w:r>
      <w:r>
        <w:rPr>
          <w:lang w:val="en-US"/>
        </w:rPr>
        <w:tab/>
        <w:t>For (6) it is essential to have all three components there to be able to carry out the test, or to demonstrate by other means the completed package has the capability to pass the test.</w:t>
      </w:r>
    </w:p>
    <w:p w14:paraId="487E427C" w14:textId="619B7F3A" w:rsidR="001A5887" w:rsidRDefault="001A5887" w:rsidP="0033281D">
      <w:pPr>
        <w:pStyle w:val="SingleTxtG"/>
      </w:pPr>
      <w:r>
        <w:rPr>
          <w:lang w:val="en-US"/>
        </w:rPr>
        <w:t>11.</w:t>
      </w:r>
      <w:r>
        <w:rPr>
          <w:lang w:val="en-US"/>
        </w:rPr>
        <w:tab/>
        <w:t xml:space="preserve">For </w:t>
      </w:r>
      <w:r>
        <w:t>(7)</w:t>
      </w:r>
      <w:r w:rsidR="00293CF7">
        <w:t>(</w:t>
      </w:r>
      <w:r>
        <w:t>e</w:t>
      </w:r>
      <w:r w:rsidR="00293CF7">
        <w:t>)</w:t>
      </w:r>
      <w:r>
        <w:t xml:space="preserve"> all three components are not needed for testing, but it is essential to pass on the information about which of the component fulfils this requirement.</w:t>
      </w:r>
    </w:p>
    <w:p w14:paraId="2EC96BBC" w14:textId="2FB882FC" w:rsidR="001A5887" w:rsidRDefault="001A5887" w:rsidP="0033281D">
      <w:pPr>
        <w:pStyle w:val="SingleTxtG"/>
      </w:pPr>
      <w:r>
        <w:t>12.</w:t>
      </w:r>
      <w:r>
        <w:tab/>
        <w:t>Even if the capability clauses included in (6) and (7)</w:t>
      </w:r>
      <w:r w:rsidR="00B94C84">
        <w:t>(e)</w:t>
      </w:r>
      <w:r>
        <w:t xml:space="preserve"> are written in such a way that they apply to the complete package, the usual practice seems to be to use components coming from different manufacturers, searching both for the best quality and the best prices for the different components.</w:t>
      </w:r>
    </w:p>
    <w:p w14:paraId="0036D93A" w14:textId="230F16BD" w:rsidR="001A5887" w:rsidRDefault="001A5887" w:rsidP="0033281D">
      <w:pPr>
        <w:pStyle w:val="SingleTxtG"/>
      </w:pPr>
      <w:r>
        <w:t>13.</w:t>
      </w:r>
      <w:r>
        <w:tab/>
        <w:t xml:space="preserve">The capability to pass the mentioned tests </w:t>
      </w:r>
      <w:r w:rsidR="00AE2FFB">
        <w:t>must</w:t>
      </w:r>
      <w:r>
        <w:t xml:space="preserve"> be ensured by the manufacturer of the packaging</w:t>
      </w:r>
      <w:r w:rsidR="00AE2FFB">
        <w:t>.</w:t>
      </w:r>
      <w:r>
        <w:t xml:space="preserve"> </w:t>
      </w:r>
      <w:r w:rsidR="00AE2FFB">
        <w:t>N</w:t>
      </w:r>
      <w:r>
        <w:t xml:space="preserve">evertheless, if the consignor chooses to mix components not tested together, he </w:t>
      </w:r>
      <w:proofErr w:type="gramStart"/>
      <w:r>
        <w:t>has to</w:t>
      </w:r>
      <w:proofErr w:type="gramEnd"/>
      <w:r>
        <w:t xml:space="preserve"> take responsibility for the combination of component</w:t>
      </w:r>
      <w:r w:rsidR="00094B86">
        <w:t>s</w:t>
      </w:r>
      <w:r>
        <w:t xml:space="preserve"> </w:t>
      </w:r>
      <w:r w:rsidRPr="00B71750">
        <w:t>used and be able</w:t>
      </w:r>
      <w:r>
        <w:t xml:space="preserve"> to show that the components have the necessary capabilities.</w:t>
      </w:r>
    </w:p>
    <w:p w14:paraId="533835F3" w14:textId="2E40A932" w:rsidR="001A5887" w:rsidRDefault="001A5887" w:rsidP="0033281D">
      <w:pPr>
        <w:pStyle w:val="SingleTxtG"/>
      </w:pPr>
      <w:r>
        <w:t>14.</w:t>
      </w:r>
      <w:r>
        <w:tab/>
        <w:t xml:space="preserve">Forming a complete package covering all requirements from P650 should not be a complicated task; the more possible safe combinations, the easier this packaging will be available </w:t>
      </w:r>
      <w:r w:rsidR="005A05F9">
        <w:t>for</w:t>
      </w:r>
      <w:r>
        <w:t xml:space="preserve"> all situations and in all countries. Nevertheless, if components are used that have not been evaluated together for the fulfilment of the drop test and pressure test, if needed, a technical evaluation will be necessary, to see if the combination of components used is </w:t>
      </w:r>
      <w:proofErr w:type="gramStart"/>
      <w:r>
        <w:t>really still</w:t>
      </w:r>
      <w:proofErr w:type="gramEnd"/>
      <w:r>
        <w:t xml:space="preserve"> capable to pass the mentioned tests.</w:t>
      </w:r>
    </w:p>
    <w:p w14:paraId="2E7A87BE" w14:textId="77777777" w:rsidR="001A5887" w:rsidRDefault="001A5887" w:rsidP="0033281D">
      <w:pPr>
        <w:pStyle w:val="SingleTxtG"/>
      </w:pPr>
      <w:r>
        <w:t>15.</w:t>
      </w:r>
      <w:r>
        <w:tab/>
        <w:t>The most usual variation of the package components is using a different primary receptacle than the one originally used in the capability demonstration. For this case, reference to 4.1.8.5 will help the consignor to be able to value the equivalency of the primary receptacle used.</w:t>
      </w:r>
    </w:p>
    <w:p w14:paraId="2DB64B6E" w14:textId="77777777" w:rsidR="001A5887" w:rsidRDefault="001A5887" w:rsidP="001A5887">
      <w:pPr>
        <w:tabs>
          <w:tab w:val="left" w:pos="1701"/>
        </w:tabs>
        <w:spacing w:after="120"/>
        <w:ind w:left="1134" w:right="1134"/>
        <w:jc w:val="both"/>
      </w:pPr>
      <w:r>
        <w:t>16.</w:t>
      </w:r>
      <w:r>
        <w:tab/>
        <w:t xml:space="preserve">The text of P650 should be adapted to consider these </w:t>
      </w:r>
      <w:r w:rsidRPr="0043123A">
        <w:t>aspects (see proposal 2).</w:t>
      </w:r>
    </w:p>
    <w:p w14:paraId="457898C5" w14:textId="1ED6F632" w:rsidR="001A5887" w:rsidRPr="008A2F5D" w:rsidRDefault="0033281D" w:rsidP="0033281D">
      <w:pPr>
        <w:pStyle w:val="H23G"/>
      </w:pPr>
      <w:r>
        <w:tab/>
      </w:r>
      <w:r>
        <w:tab/>
      </w:r>
      <w:r w:rsidR="001A5887" w:rsidRPr="008A2F5D">
        <w:t>Conditioning prior to testing</w:t>
      </w:r>
    </w:p>
    <w:p w14:paraId="3E89A74A" w14:textId="77777777" w:rsidR="001A5887" w:rsidRDefault="001A5887" w:rsidP="0033281D">
      <w:pPr>
        <w:pStyle w:val="SingleTxtG"/>
      </w:pPr>
      <w:r>
        <w:t>17.</w:t>
      </w:r>
      <w:r>
        <w:tab/>
        <w:t>According to different members of the working group, it was never the intention to include conditioning requirements for the tests that could be done to demonstrate the capability to pass the drop test. Removal of this conditioning requirements could be done by changing the paragraphs referenced in (6</w:t>
      </w:r>
      <w:r w:rsidRPr="0043123A">
        <w:t>) (see proposal 3</w:t>
      </w:r>
      <w:r>
        <w:t>)</w:t>
      </w:r>
      <w:r w:rsidRPr="0043123A">
        <w:t>.</w:t>
      </w:r>
    </w:p>
    <w:p w14:paraId="41E3A709" w14:textId="18E11984" w:rsidR="001A5887" w:rsidRPr="0033281D" w:rsidRDefault="0033281D" w:rsidP="0033281D">
      <w:pPr>
        <w:pStyle w:val="HChG"/>
      </w:pPr>
      <w:r>
        <w:tab/>
      </w:r>
      <w:r>
        <w:tab/>
      </w:r>
      <w:r w:rsidR="001A5887" w:rsidRPr="0033281D">
        <w:t>Proposals</w:t>
      </w:r>
    </w:p>
    <w:p w14:paraId="558BE65A" w14:textId="075FFA4F" w:rsidR="001A5887" w:rsidRDefault="001A5887" w:rsidP="0033281D">
      <w:pPr>
        <w:pStyle w:val="SingleTxtG"/>
      </w:pPr>
      <w:r>
        <w:t>18.</w:t>
      </w:r>
      <w:r>
        <w:tab/>
        <w:t>In the following proposals</w:t>
      </w:r>
      <w:r w:rsidR="003523EE" w:rsidRPr="003523EE">
        <w:t xml:space="preserve"> </w:t>
      </w:r>
      <w:r w:rsidR="003523EE">
        <w:t>to amend packing instruction P650</w:t>
      </w:r>
      <w:r>
        <w:t xml:space="preserve">, new text is shown </w:t>
      </w:r>
      <w:r w:rsidRPr="00B6025A">
        <w:rPr>
          <w:u w:val="single"/>
        </w:rPr>
        <w:t>underlined</w:t>
      </w:r>
      <w:r>
        <w:t xml:space="preserve"> and deleted text as </w:t>
      </w:r>
      <w:r w:rsidRPr="00161138">
        <w:rPr>
          <w:strike/>
        </w:rPr>
        <w:t>stricken through</w:t>
      </w:r>
      <w:r>
        <w:t>.</w:t>
      </w:r>
    </w:p>
    <w:p w14:paraId="7310DB9D" w14:textId="49138B96" w:rsidR="001A5887" w:rsidRDefault="001A5887" w:rsidP="001A5887">
      <w:pPr>
        <w:tabs>
          <w:tab w:val="left" w:pos="1701"/>
        </w:tabs>
        <w:spacing w:after="120"/>
        <w:ind w:left="1134" w:right="1134"/>
        <w:jc w:val="both"/>
      </w:pPr>
      <w:r>
        <w:t>19.</w:t>
      </w:r>
      <w:r>
        <w:tab/>
      </w:r>
      <w:r w:rsidRPr="000303A8">
        <w:rPr>
          <w:b/>
          <w:bCs/>
        </w:rPr>
        <w:t>Proposal 1</w:t>
      </w:r>
      <w:r>
        <w:t>:</w:t>
      </w:r>
      <w:r w:rsidR="00B20552">
        <w:t xml:space="preserve"> </w:t>
      </w:r>
      <w:r w:rsidR="003523EE">
        <w:t>A</w:t>
      </w:r>
      <w:r>
        <w:t>dd the following note under (6) and (7)</w:t>
      </w:r>
      <w:r w:rsidR="002E54DC">
        <w:t>(</w:t>
      </w:r>
      <w:r>
        <w:t>e</w:t>
      </w:r>
      <w:r w:rsidR="002E54DC">
        <w:t>)</w:t>
      </w:r>
      <w:r>
        <w:t>:</w:t>
      </w:r>
    </w:p>
    <w:p w14:paraId="68C61CD4" w14:textId="79CF6757" w:rsidR="001A5887" w:rsidRPr="00C65D98" w:rsidRDefault="00C65D98" w:rsidP="00017698">
      <w:pPr>
        <w:pStyle w:val="SingleTxtG"/>
        <w:ind w:left="1701"/>
        <w:rPr>
          <w:b/>
          <w:bCs/>
          <w:i/>
          <w:iCs/>
          <w:u w:val="single"/>
        </w:rPr>
      </w:pPr>
      <w:r w:rsidRPr="00C65D98">
        <w:rPr>
          <w:i/>
          <w:iCs/>
        </w:rPr>
        <w:t>“</w:t>
      </w:r>
      <w:r w:rsidR="001A5887" w:rsidRPr="00C65D98">
        <w:rPr>
          <w:b/>
          <w:bCs/>
          <w:i/>
          <w:iCs/>
          <w:u w:val="single"/>
        </w:rPr>
        <w:t xml:space="preserve">Note: </w:t>
      </w:r>
      <w:r w:rsidR="001A5887" w:rsidRPr="00C65D98">
        <w:rPr>
          <w:i/>
          <w:iCs/>
          <w:u w:val="single"/>
        </w:rPr>
        <w:t>Capability can be demonstrated by direct testing, or alternatively by means such as engineering analysis, testing with an item of similar mass and size, or other equivalent means.</w:t>
      </w:r>
      <w:r w:rsidRPr="00C65D98">
        <w:rPr>
          <w:i/>
          <w:iCs/>
        </w:rPr>
        <w:t>”</w:t>
      </w:r>
    </w:p>
    <w:p w14:paraId="08E221D5" w14:textId="77777777" w:rsidR="0033281D" w:rsidRDefault="0033281D">
      <w:pPr>
        <w:suppressAutoHyphens w:val="0"/>
        <w:kinsoku/>
        <w:overflowPunct/>
        <w:autoSpaceDE/>
        <w:autoSpaceDN/>
        <w:adjustRightInd/>
        <w:snapToGrid/>
        <w:spacing w:after="200" w:line="276" w:lineRule="auto"/>
        <w:rPr>
          <w:lang w:val="en-US"/>
        </w:rPr>
      </w:pPr>
      <w:r>
        <w:rPr>
          <w:lang w:val="en-US"/>
        </w:rPr>
        <w:br w:type="page"/>
      </w:r>
    </w:p>
    <w:p w14:paraId="134CE888" w14:textId="3AE1F0DD" w:rsidR="001A5887" w:rsidRDefault="001A5887" w:rsidP="00017698">
      <w:pPr>
        <w:pStyle w:val="SingleTxtG"/>
        <w:rPr>
          <w:lang w:val="en-US"/>
        </w:rPr>
      </w:pPr>
      <w:r>
        <w:rPr>
          <w:lang w:val="en-US"/>
        </w:rPr>
        <w:lastRenderedPageBreak/>
        <w:t>20.</w:t>
      </w:r>
      <w:r>
        <w:rPr>
          <w:lang w:val="en-US"/>
        </w:rPr>
        <w:tab/>
      </w:r>
      <w:r w:rsidRPr="000303A8">
        <w:rPr>
          <w:b/>
          <w:bCs/>
          <w:lang w:val="en-US"/>
        </w:rPr>
        <w:t>Proposal 2</w:t>
      </w:r>
      <w:r>
        <w:rPr>
          <w:lang w:val="en-US"/>
        </w:rPr>
        <w:t>: Add a second sentence at the end of (12) and include a new (13) to read as follows:</w:t>
      </w:r>
    </w:p>
    <w:p w14:paraId="08815205" w14:textId="4AB05F79" w:rsidR="001A5887" w:rsidRPr="00EC72A8" w:rsidRDefault="00F379AA" w:rsidP="00816112">
      <w:pPr>
        <w:pStyle w:val="TableParagraph"/>
        <w:tabs>
          <w:tab w:val="left" w:pos="690"/>
          <w:tab w:val="left" w:pos="2268"/>
        </w:tabs>
        <w:spacing w:before="161" w:line="235" w:lineRule="auto"/>
        <w:ind w:left="2268" w:right="1134" w:hanging="567"/>
        <w:jc w:val="both"/>
        <w:rPr>
          <w:sz w:val="20"/>
        </w:rPr>
      </w:pPr>
      <w:r>
        <w:rPr>
          <w:color w:val="231F20"/>
          <w:sz w:val="20"/>
        </w:rPr>
        <w:t>“(12)</w:t>
      </w:r>
      <w:r>
        <w:rPr>
          <w:color w:val="231F20"/>
          <w:sz w:val="20"/>
        </w:rPr>
        <w:tab/>
      </w:r>
      <w:r w:rsidR="001A5887">
        <w:rPr>
          <w:color w:val="231F20"/>
          <w:sz w:val="20"/>
        </w:rPr>
        <w:t>Clear instructions on filling and closing such packages shall be provided by packaging manufacturers and</w:t>
      </w:r>
      <w:r w:rsidR="001A5887">
        <w:rPr>
          <w:color w:val="231F20"/>
          <w:spacing w:val="1"/>
          <w:sz w:val="20"/>
        </w:rPr>
        <w:t xml:space="preserve"> </w:t>
      </w:r>
      <w:r w:rsidR="001A5887">
        <w:rPr>
          <w:color w:val="231F20"/>
          <w:sz w:val="20"/>
        </w:rPr>
        <w:t>subsequent distributors to the consignor or to the person who prepares the package (</w:t>
      </w:r>
      <w:proofErr w:type="gramStart"/>
      <w:r w:rsidR="001A5887">
        <w:rPr>
          <w:color w:val="231F20"/>
          <w:sz w:val="20"/>
        </w:rPr>
        <w:t>e.g.</w:t>
      </w:r>
      <w:proofErr w:type="gramEnd"/>
      <w:r w:rsidR="001A5887">
        <w:rPr>
          <w:color w:val="231F20"/>
          <w:sz w:val="20"/>
        </w:rPr>
        <w:t xml:space="preserve"> patient) to enable the</w:t>
      </w:r>
      <w:r w:rsidR="001A5887">
        <w:rPr>
          <w:color w:val="231F20"/>
          <w:spacing w:val="1"/>
          <w:sz w:val="20"/>
        </w:rPr>
        <w:t xml:space="preserve"> </w:t>
      </w:r>
      <w:r w:rsidR="001A5887">
        <w:rPr>
          <w:color w:val="231F20"/>
          <w:sz w:val="20"/>
        </w:rPr>
        <w:t>package</w:t>
      </w:r>
      <w:r w:rsidR="001A5887">
        <w:rPr>
          <w:color w:val="231F20"/>
          <w:spacing w:val="-1"/>
          <w:sz w:val="20"/>
        </w:rPr>
        <w:t xml:space="preserve"> </w:t>
      </w:r>
      <w:r w:rsidR="001A5887">
        <w:rPr>
          <w:color w:val="231F20"/>
          <w:sz w:val="20"/>
        </w:rPr>
        <w:t>to</w:t>
      </w:r>
      <w:r w:rsidR="001A5887">
        <w:rPr>
          <w:color w:val="231F20"/>
          <w:spacing w:val="-2"/>
          <w:sz w:val="20"/>
        </w:rPr>
        <w:t xml:space="preserve"> </w:t>
      </w:r>
      <w:r w:rsidR="001A5887">
        <w:rPr>
          <w:color w:val="231F20"/>
          <w:sz w:val="20"/>
        </w:rPr>
        <w:t>be correctly prepared</w:t>
      </w:r>
      <w:r w:rsidR="001A5887">
        <w:rPr>
          <w:color w:val="231F20"/>
          <w:spacing w:val="1"/>
          <w:sz w:val="20"/>
        </w:rPr>
        <w:t xml:space="preserve"> </w:t>
      </w:r>
      <w:r w:rsidR="001A5887">
        <w:rPr>
          <w:color w:val="231F20"/>
          <w:sz w:val="20"/>
        </w:rPr>
        <w:t xml:space="preserve">for transport. </w:t>
      </w:r>
      <w:r w:rsidR="001A5887" w:rsidRPr="00686F6F">
        <w:rPr>
          <w:sz w:val="20"/>
          <w:u w:val="single"/>
        </w:rPr>
        <w:t xml:space="preserve">This shall include </w:t>
      </w:r>
      <w:r w:rsidR="001A5887" w:rsidRPr="00686F6F">
        <w:rPr>
          <w:sz w:val="20"/>
          <w:szCs w:val="20"/>
          <w:u w:val="single"/>
        </w:rPr>
        <w:t xml:space="preserve">information on the capability of the package </w:t>
      </w:r>
      <w:r w:rsidR="001A5887" w:rsidRPr="00B71750">
        <w:rPr>
          <w:sz w:val="20"/>
          <w:szCs w:val="20"/>
          <w:u w:val="single"/>
        </w:rPr>
        <w:t>to</w:t>
      </w:r>
      <w:r w:rsidR="001A5887">
        <w:rPr>
          <w:sz w:val="20"/>
          <w:szCs w:val="20"/>
          <w:u w:val="single"/>
        </w:rPr>
        <w:t xml:space="preserve"> successfully</w:t>
      </w:r>
      <w:r w:rsidR="001A5887" w:rsidRPr="00686F6F">
        <w:rPr>
          <w:sz w:val="20"/>
          <w:szCs w:val="20"/>
          <w:u w:val="single"/>
        </w:rPr>
        <w:t xml:space="preserve"> pass the drop test specified in subparagraph (6), and information on the capability of primary receptacle or secondary packaging, as applicable, </w:t>
      </w:r>
      <w:r w:rsidR="001A5887" w:rsidRPr="00B71750">
        <w:rPr>
          <w:sz w:val="20"/>
          <w:szCs w:val="20"/>
          <w:u w:val="single"/>
        </w:rPr>
        <w:t>to</w:t>
      </w:r>
      <w:r w:rsidR="001A5887">
        <w:rPr>
          <w:sz w:val="20"/>
          <w:szCs w:val="20"/>
          <w:u w:val="single"/>
        </w:rPr>
        <w:t xml:space="preserve"> successfully </w:t>
      </w:r>
      <w:r w:rsidR="001A5887" w:rsidRPr="00686F6F">
        <w:rPr>
          <w:sz w:val="20"/>
          <w:szCs w:val="20"/>
          <w:u w:val="single"/>
        </w:rPr>
        <w:t>pass the pressure test specified in subparagraph (7)</w:t>
      </w:r>
      <w:r w:rsidR="000B3558">
        <w:rPr>
          <w:sz w:val="20"/>
          <w:szCs w:val="20"/>
          <w:u w:val="single"/>
        </w:rPr>
        <w:t>(</w:t>
      </w:r>
      <w:r w:rsidR="001A5887" w:rsidRPr="00686F6F">
        <w:rPr>
          <w:sz w:val="20"/>
          <w:szCs w:val="20"/>
          <w:u w:val="single"/>
        </w:rPr>
        <w:t>e</w:t>
      </w:r>
      <w:r w:rsidR="000B3558">
        <w:rPr>
          <w:sz w:val="20"/>
          <w:szCs w:val="20"/>
          <w:u w:val="single"/>
        </w:rPr>
        <w:t>)</w:t>
      </w:r>
      <w:r w:rsidR="001A5887" w:rsidRPr="00686F6F">
        <w:rPr>
          <w:sz w:val="20"/>
          <w:szCs w:val="20"/>
          <w:u w:val="single"/>
        </w:rPr>
        <w:t>, when required, to enable correct selection of the component parts of the packaging.</w:t>
      </w:r>
    </w:p>
    <w:p w14:paraId="64344E86" w14:textId="789D1C65" w:rsidR="001A5887" w:rsidRPr="00686F6F" w:rsidRDefault="00F379AA" w:rsidP="00816112">
      <w:pPr>
        <w:pStyle w:val="TableParagraph"/>
        <w:tabs>
          <w:tab w:val="left" w:pos="690"/>
          <w:tab w:val="left" w:pos="2268"/>
        </w:tabs>
        <w:spacing w:before="106"/>
        <w:ind w:left="2268" w:right="1134" w:hanging="567"/>
        <w:jc w:val="both"/>
        <w:rPr>
          <w:sz w:val="20"/>
          <w:u w:val="single"/>
        </w:rPr>
      </w:pPr>
      <w:r w:rsidRPr="00816112">
        <w:rPr>
          <w:sz w:val="20"/>
        </w:rPr>
        <w:t>(13)</w:t>
      </w:r>
      <w:r w:rsidRPr="00816112">
        <w:rPr>
          <w:sz w:val="20"/>
        </w:rPr>
        <w:tab/>
      </w:r>
      <w:r w:rsidR="001A5887" w:rsidRPr="00686F6F">
        <w:rPr>
          <w:sz w:val="20"/>
          <w:u w:val="single"/>
        </w:rPr>
        <w:t xml:space="preserve">If the consignor selects components </w:t>
      </w:r>
      <w:r w:rsidR="001A5887">
        <w:rPr>
          <w:sz w:val="20"/>
          <w:u w:val="single"/>
        </w:rPr>
        <w:t>whose capability</w:t>
      </w:r>
      <w:r w:rsidR="001A5887" w:rsidRPr="00686F6F">
        <w:rPr>
          <w:sz w:val="20"/>
          <w:u w:val="single"/>
        </w:rPr>
        <w:t xml:space="preserve"> </w:t>
      </w:r>
      <w:r w:rsidR="001A5887">
        <w:rPr>
          <w:sz w:val="20"/>
          <w:u w:val="single"/>
        </w:rPr>
        <w:t xml:space="preserve">has not been evaluated </w:t>
      </w:r>
      <w:r w:rsidR="001A5887" w:rsidRPr="00686F6F">
        <w:rPr>
          <w:sz w:val="20"/>
          <w:u w:val="single"/>
        </w:rPr>
        <w:t xml:space="preserve">together to form the complete package, </w:t>
      </w:r>
      <w:r w:rsidR="001A5887">
        <w:rPr>
          <w:sz w:val="20"/>
          <w:u w:val="single"/>
        </w:rPr>
        <w:t>he</w:t>
      </w:r>
      <w:r w:rsidR="001A5887" w:rsidRPr="00686F6F">
        <w:rPr>
          <w:sz w:val="20"/>
          <w:u w:val="single"/>
        </w:rPr>
        <w:t xml:space="preserve"> shall give evidence, at the request of the competent authority, that:</w:t>
      </w:r>
    </w:p>
    <w:p w14:paraId="45B55A2C" w14:textId="4CDA5A15" w:rsidR="001A5887" w:rsidRPr="00686F6F" w:rsidRDefault="001C5EA0" w:rsidP="001C5EA0">
      <w:pPr>
        <w:pStyle w:val="TableParagraph"/>
        <w:tabs>
          <w:tab w:val="left" w:pos="690"/>
          <w:tab w:val="left" w:pos="2694"/>
        </w:tabs>
        <w:spacing w:before="106"/>
        <w:ind w:left="2694" w:right="1134" w:hanging="426"/>
        <w:jc w:val="both"/>
        <w:rPr>
          <w:sz w:val="20"/>
          <w:u w:val="single"/>
        </w:rPr>
      </w:pPr>
      <w:r>
        <w:rPr>
          <w:sz w:val="20"/>
          <w:u w:val="single"/>
        </w:rPr>
        <w:t>(</w:t>
      </w:r>
      <w:r w:rsidR="001A5887" w:rsidRPr="00686F6F">
        <w:rPr>
          <w:sz w:val="20"/>
          <w:u w:val="single"/>
        </w:rPr>
        <w:t>a</w:t>
      </w:r>
      <w:r w:rsidR="000C5309">
        <w:rPr>
          <w:sz w:val="20"/>
          <w:u w:val="single"/>
        </w:rPr>
        <w:t>)</w:t>
      </w:r>
      <w:r w:rsidR="00E30357">
        <w:rPr>
          <w:sz w:val="20"/>
          <w:u w:val="single"/>
        </w:rPr>
        <w:tab/>
      </w:r>
      <w:r w:rsidR="001A5887">
        <w:rPr>
          <w:sz w:val="20"/>
          <w:u w:val="single"/>
        </w:rPr>
        <w:t>T</w:t>
      </w:r>
      <w:r w:rsidR="001A5887" w:rsidRPr="00686F6F">
        <w:rPr>
          <w:sz w:val="20"/>
          <w:u w:val="single"/>
        </w:rPr>
        <w:t xml:space="preserve">he different components used are capable of successfully passing the drop test specified in subparagraph (6) when assembled to form the completed package; </w:t>
      </w:r>
      <w:r w:rsidR="001A5887" w:rsidRPr="00720F4B">
        <w:rPr>
          <w:sz w:val="20"/>
          <w:u w:val="single"/>
        </w:rPr>
        <w:t>and</w:t>
      </w:r>
    </w:p>
    <w:p w14:paraId="59512E9D" w14:textId="43DC6383" w:rsidR="001A5887" w:rsidRPr="00686F6F" w:rsidRDefault="001C5EA0" w:rsidP="001C5EA0">
      <w:pPr>
        <w:pStyle w:val="TableParagraph"/>
        <w:tabs>
          <w:tab w:val="left" w:pos="690"/>
          <w:tab w:val="left" w:pos="2694"/>
        </w:tabs>
        <w:spacing w:before="106"/>
        <w:ind w:left="2694" w:right="1134" w:hanging="426"/>
        <w:jc w:val="both"/>
        <w:rPr>
          <w:sz w:val="20"/>
          <w:u w:val="single"/>
        </w:rPr>
      </w:pPr>
      <w:r>
        <w:rPr>
          <w:sz w:val="20"/>
          <w:u w:val="single"/>
        </w:rPr>
        <w:t>(</w:t>
      </w:r>
      <w:r w:rsidR="001A5887" w:rsidRPr="00686F6F">
        <w:rPr>
          <w:sz w:val="20"/>
          <w:u w:val="single"/>
        </w:rPr>
        <w:t>b</w:t>
      </w:r>
      <w:r w:rsidR="000C5309">
        <w:rPr>
          <w:sz w:val="20"/>
          <w:u w:val="single"/>
        </w:rPr>
        <w:t>)</w:t>
      </w:r>
      <w:r w:rsidR="00E30357">
        <w:rPr>
          <w:sz w:val="20"/>
          <w:u w:val="single"/>
        </w:rPr>
        <w:tab/>
      </w:r>
      <w:r w:rsidR="001A5887">
        <w:rPr>
          <w:sz w:val="20"/>
          <w:u w:val="single"/>
        </w:rPr>
        <w:t>W</w:t>
      </w:r>
      <w:r w:rsidR="001A5887" w:rsidRPr="00686F6F">
        <w:rPr>
          <w:sz w:val="20"/>
          <w:u w:val="single"/>
        </w:rPr>
        <w:t xml:space="preserve">hen required, the </w:t>
      </w:r>
      <w:r w:rsidR="001A5887" w:rsidRPr="00686F6F">
        <w:rPr>
          <w:sz w:val="20"/>
          <w:szCs w:val="20"/>
          <w:u w:val="single"/>
        </w:rPr>
        <w:t>primary receptacle or secondary packaging</w:t>
      </w:r>
      <w:r w:rsidR="001A5887" w:rsidRPr="00686F6F">
        <w:rPr>
          <w:sz w:val="20"/>
          <w:u w:val="single"/>
        </w:rPr>
        <w:t xml:space="preserve"> is capable of successfully passing the pressure test specified in subparagraph (7)</w:t>
      </w:r>
      <w:r>
        <w:rPr>
          <w:sz w:val="20"/>
          <w:u w:val="single"/>
        </w:rPr>
        <w:t>(</w:t>
      </w:r>
      <w:r w:rsidR="001A5887" w:rsidRPr="00686F6F">
        <w:rPr>
          <w:sz w:val="20"/>
          <w:u w:val="single"/>
        </w:rPr>
        <w:t>e</w:t>
      </w:r>
      <w:r>
        <w:rPr>
          <w:sz w:val="20"/>
          <w:u w:val="single"/>
        </w:rPr>
        <w:t>)</w:t>
      </w:r>
      <w:r w:rsidR="001A5887" w:rsidRPr="00686F6F">
        <w:rPr>
          <w:sz w:val="20"/>
          <w:u w:val="single"/>
        </w:rPr>
        <w:t>.</w:t>
      </w:r>
    </w:p>
    <w:p w14:paraId="1A7614B4" w14:textId="5E6C47F3" w:rsidR="001A5887" w:rsidRDefault="00290546" w:rsidP="00290546">
      <w:pPr>
        <w:pStyle w:val="TableParagraph"/>
        <w:tabs>
          <w:tab w:val="left" w:pos="690"/>
          <w:tab w:val="left" w:pos="2268"/>
        </w:tabs>
        <w:spacing w:before="106"/>
        <w:ind w:left="2268" w:right="1134" w:hanging="567"/>
        <w:jc w:val="both"/>
        <w:rPr>
          <w:sz w:val="20"/>
          <w:u w:val="single"/>
        </w:rPr>
      </w:pPr>
      <w:r w:rsidRPr="00290546">
        <w:rPr>
          <w:sz w:val="20"/>
        </w:rPr>
        <w:tab/>
      </w:r>
      <w:r w:rsidR="001A5887" w:rsidRPr="00686F6F">
        <w:rPr>
          <w:sz w:val="20"/>
          <w:u w:val="single"/>
        </w:rPr>
        <w:t xml:space="preserve">Variations of primary receptacles in accordance with 4.1.8.5, fulfilling </w:t>
      </w:r>
      <w:r w:rsidR="001A5887">
        <w:rPr>
          <w:sz w:val="20"/>
          <w:u w:val="single"/>
        </w:rPr>
        <w:t>sub</w:t>
      </w:r>
      <w:r w:rsidR="001A5887" w:rsidRPr="00686F6F">
        <w:rPr>
          <w:sz w:val="20"/>
          <w:u w:val="single"/>
        </w:rPr>
        <w:t>paragraph</w:t>
      </w:r>
      <w:r w:rsidR="00A56EAA">
        <w:rPr>
          <w:sz w:val="20"/>
          <w:u w:val="single"/>
        </w:rPr>
        <w:t> (</w:t>
      </w:r>
      <w:r w:rsidR="001A5887" w:rsidRPr="00686F6F">
        <w:rPr>
          <w:sz w:val="20"/>
          <w:u w:val="single"/>
        </w:rPr>
        <w:t>b</w:t>
      </w:r>
      <w:r w:rsidR="00A56EAA">
        <w:rPr>
          <w:sz w:val="20"/>
          <w:u w:val="single"/>
        </w:rPr>
        <w:t>)</w:t>
      </w:r>
      <w:r w:rsidR="001A5887" w:rsidRPr="00686F6F">
        <w:rPr>
          <w:sz w:val="20"/>
          <w:u w:val="single"/>
        </w:rPr>
        <w:t>, if needed, are considered equivalent to the original primary receptacle.</w:t>
      </w:r>
      <w:r w:rsidR="00F379AA" w:rsidRPr="00F379AA">
        <w:rPr>
          <w:sz w:val="20"/>
        </w:rPr>
        <w:t>”</w:t>
      </w:r>
    </w:p>
    <w:p w14:paraId="3E95E3EC" w14:textId="35EC3140" w:rsidR="001A5887" w:rsidRDefault="001A5887" w:rsidP="00E30357">
      <w:pPr>
        <w:pStyle w:val="SingleTxtG"/>
        <w:spacing w:before="240"/>
        <w:rPr>
          <w:lang w:val="en-US"/>
        </w:rPr>
      </w:pPr>
      <w:r>
        <w:rPr>
          <w:lang w:val="en-US"/>
        </w:rPr>
        <w:t>21.</w:t>
      </w:r>
      <w:r>
        <w:rPr>
          <w:lang w:val="en-US"/>
        </w:rPr>
        <w:tab/>
        <w:t xml:space="preserve">Renumber </w:t>
      </w:r>
      <w:r w:rsidR="00C56232">
        <w:rPr>
          <w:lang w:val="en-US"/>
        </w:rPr>
        <w:t xml:space="preserve">current </w:t>
      </w:r>
      <w:r>
        <w:rPr>
          <w:lang w:val="en-US"/>
        </w:rPr>
        <w:t>(13) as (14).</w:t>
      </w:r>
    </w:p>
    <w:p w14:paraId="17559819" w14:textId="412A3C4A" w:rsidR="001A5887" w:rsidRDefault="001A5887" w:rsidP="00E30357">
      <w:pPr>
        <w:pStyle w:val="SingleTxtG"/>
        <w:rPr>
          <w:lang w:val="en-US"/>
        </w:rPr>
      </w:pPr>
      <w:r>
        <w:rPr>
          <w:lang w:val="en-US"/>
        </w:rPr>
        <w:t>22.</w:t>
      </w:r>
      <w:r>
        <w:rPr>
          <w:lang w:val="en-US"/>
        </w:rPr>
        <w:tab/>
      </w:r>
      <w:r w:rsidRPr="000303A8">
        <w:rPr>
          <w:b/>
          <w:bCs/>
          <w:lang w:val="en-US"/>
        </w:rPr>
        <w:t>Proposal 3</w:t>
      </w:r>
      <w:r>
        <w:rPr>
          <w:lang w:val="en-US"/>
        </w:rPr>
        <w:t>: Modify the first sentence of (6) and delete the second sentence of this paragraph to read as follows:</w:t>
      </w:r>
    </w:p>
    <w:p w14:paraId="49B8B5DF" w14:textId="5159120A" w:rsidR="001A5887" w:rsidRPr="00686F6F" w:rsidRDefault="00774B02" w:rsidP="00774B02">
      <w:pPr>
        <w:pStyle w:val="TableParagraph"/>
        <w:tabs>
          <w:tab w:val="left" w:pos="625"/>
          <w:tab w:val="left" w:pos="2268"/>
        </w:tabs>
        <w:spacing w:before="51"/>
        <w:ind w:left="2268" w:right="992" w:hanging="567"/>
        <w:jc w:val="both"/>
        <w:rPr>
          <w:sz w:val="20"/>
        </w:rPr>
      </w:pPr>
      <w:r>
        <w:rPr>
          <w:color w:val="231F20"/>
          <w:sz w:val="20"/>
        </w:rPr>
        <w:t>“(6)</w:t>
      </w:r>
      <w:r>
        <w:rPr>
          <w:color w:val="231F20"/>
          <w:sz w:val="20"/>
        </w:rPr>
        <w:tab/>
      </w:r>
      <w:r w:rsidR="001A5887">
        <w:rPr>
          <w:color w:val="231F20"/>
          <w:sz w:val="20"/>
        </w:rPr>
        <w:t>The</w:t>
      </w:r>
      <w:r w:rsidR="001A5887" w:rsidRPr="00E512D8">
        <w:rPr>
          <w:color w:val="231F20"/>
          <w:sz w:val="20"/>
        </w:rPr>
        <w:t xml:space="preserve"> </w:t>
      </w:r>
      <w:r w:rsidR="001A5887">
        <w:rPr>
          <w:color w:val="231F20"/>
          <w:sz w:val="20"/>
        </w:rPr>
        <w:t>completed</w:t>
      </w:r>
      <w:r w:rsidR="001A5887" w:rsidRPr="00E512D8">
        <w:rPr>
          <w:color w:val="231F20"/>
          <w:sz w:val="20"/>
        </w:rPr>
        <w:t xml:space="preserve"> </w:t>
      </w:r>
      <w:r w:rsidR="001A5887">
        <w:rPr>
          <w:color w:val="231F20"/>
          <w:sz w:val="20"/>
        </w:rPr>
        <w:t>package</w:t>
      </w:r>
      <w:r w:rsidR="001A5887" w:rsidRPr="00E512D8">
        <w:rPr>
          <w:color w:val="231F20"/>
          <w:sz w:val="20"/>
        </w:rPr>
        <w:t xml:space="preserve"> </w:t>
      </w:r>
      <w:r w:rsidR="001A5887">
        <w:rPr>
          <w:color w:val="231F20"/>
          <w:sz w:val="20"/>
        </w:rPr>
        <w:t>shall</w:t>
      </w:r>
      <w:r w:rsidR="001A5887" w:rsidRPr="00E512D8">
        <w:rPr>
          <w:color w:val="231F20"/>
          <w:sz w:val="20"/>
        </w:rPr>
        <w:t xml:space="preserve"> </w:t>
      </w:r>
      <w:r w:rsidR="001A5887">
        <w:rPr>
          <w:color w:val="231F20"/>
          <w:sz w:val="20"/>
        </w:rPr>
        <w:t>be</w:t>
      </w:r>
      <w:r w:rsidR="001A5887" w:rsidRPr="00E512D8">
        <w:rPr>
          <w:color w:val="231F20"/>
          <w:sz w:val="20"/>
        </w:rPr>
        <w:t xml:space="preserve"> </w:t>
      </w:r>
      <w:r w:rsidR="001A5887">
        <w:rPr>
          <w:color w:val="231F20"/>
          <w:sz w:val="20"/>
        </w:rPr>
        <w:t>capable</w:t>
      </w:r>
      <w:r w:rsidR="001A5887" w:rsidRPr="00E512D8">
        <w:rPr>
          <w:color w:val="231F20"/>
          <w:sz w:val="20"/>
        </w:rPr>
        <w:t xml:space="preserve"> </w:t>
      </w:r>
      <w:r w:rsidR="001A5887">
        <w:rPr>
          <w:color w:val="231F20"/>
          <w:sz w:val="20"/>
        </w:rPr>
        <w:t>of</w:t>
      </w:r>
      <w:r w:rsidR="001A5887" w:rsidRPr="00E512D8">
        <w:rPr>
          <w:color w:val="231F20"/>
          <w:sz w:val="20"/>
        </w:rPr>
        <w:t xml:space="preserve"> </w:t>
      </w:r>
      <w:r w:rsidR="001A5887">
        <w:rPr>
          <w:color w:val="231F20"/>
          <w:sz w:val="20"/>
        </w:rPr>
        <w:t>successfully</w:t>
      </w:r>
      <w:r w:rsidR="001A5887" w:rsidRPr="00E512D8">
        <w:rPr>
          <w:color w:val="231F20"/>
          <w:sz w:val="20"/>
        </w:rPr>
        <w:t xml:space="preserve"> </w:t>
      </w:r>
      <w:r w:rsidR="001A5887">
        <w:rPr>
          <w:color w:val="231F20"/>
          <w:sz w:val="20"/>
        </w:rPr>
        <w:t>passing</w:t>
      </w:r>
      <w:r w:rsidR="001A5887" w:rsidRPr="00E512D8">
        <w:rPr>
          <w:color w:val="231F20"/>
          <w:sz w:val="20"/>
        </w:rPr>
        <w:t xml:space="preserve"> </w:t>
      </w:r>
      <w:r w:rsidR="001A5887">
        <w:rPr>
          <w:color w:val="231F20"/>
          <w:sz w:val="20"/>
        </w:rPr>
        <w:t>the</w:t>
      </w:r>
      <w:r w:rsidR="001A5887" w:rsidRPr="00E512D8">
        <w:rPr>
          <w:color w:val="231F20"/>
          <w:sz w:val="20"/>
        </w:rPr>
        <w:t xml:space="preserve"> </w:t>
      </w:r>
      <w:r w:rsidR="001A5887">
        <w:rPr>
          <w:color w:val="231F20"/>
          <w:sz w:val="20"/>
        </w:rPr>
        <w:t>drop</w:t>
      </w:r>
      <w:r w:rsidR="001A5887" w:rsidRPr="00E512D8">
        <w:rPr>
          <w:color w:val="231F20"/>
          <w:sz w:val="20"/>
        </w:rPr>
        <w:t xml:space="preserve"> </w:t>
      </w:r>
      <w:r w:rsidR="001A5887">
        <w:rPr>
          <w:color w:val="231F20"/>
          <w:sz w:val="20"/>
        </w:rPr>
        <w:t>test</w:t>
      </w:r>
      <w:r w:rsidR="001A5887" w:rsidRPr="00E512D8">
        <w:rPr>
          <w:color w:val="231F20"/>
          <w:sz w:val="20"/>
        </w:rPr>
        <w:t xml:space="preserve"> </w:t>
      </w:r>
      <w:r w:rsidR="001A5887">
        <w:rPr>
          <w:color w:val="231F20"/>
          <w:sz w:val="20"/>
        </w:rPr>
        <w:t>in</w:t>
      </w:r>
      <w:r w:rsidR="001A5887" w:rsidRPr="00E512D8">
        <w:rPr>
          <w:color w:val="231F20"/>
          <w:sz w:val="20"/>
        </w:rPr>
        <w:t xml:space="preserve"> </w:t>
      </w:r>
      <w:r w:rsidR="001A5887">
        <w:rPr>
          <w:color w:val="231F20"/>
          <w:sz w:val="20"/>
        </w:rPr>
        <w:t>6.3.5.3.</w:t>
      </w:r>
      <w:r w:rsidR="001A5887" w:rsidRPr="00686F6F">
        <w:rPr>
          <w:sz w:val="20"/>
          <w:u w:val="single"/>
        </w:rPr>
        <w:t>1-4</w:t>
      </w:r>
      <w:r w:rsidR="001A5887" w:rsidRPr="00686F6F">
        <w:rPr>
          <w:sz w:val="20"/>
        </w:rPr>
        <w:t xml:space="preserve"> </w:t>
      </w:r>
      <w:r w:rsidR="001A5887" w:rsidRPr="00686F6F">
        <w:rPr>
          <w:strike/>
          <w:sz w:val="20"/>
        </w:rPr>
        <w:t>as specified in 6.3.5.2 of these Regulations</w:t>
      </w:r>
      <w:r w:rsidR="001A5887" w:rsidRPr="00686F6F">
        <w:rPr>
          <w:sz w:val="20"/>
        </w:rPr>
        <w:t xml:space="preserve"> </w:t>
      </w:r>
      <w:r w:rsidR="001A5887">
        <w:rPr>
          <w:color w:val="231F20"/>
          <w:sz w:val="20"/>
        </w:rPr>
        <w:t xml:space="preserve">at a height of 1.2 m. </w:t>
      </w:r>
      <w:proofErr w:type="gramStart"/>
      <w:r w:rsidR="001A5887" w:rsidRPr="00686F6F">
        <w:rPr>
          <w:strike/>
          <w:sz w:val="20"/>
        </w:rPr>
        <w:t>Following the appropriate drop sequence, there</w:t>
      </w:r>
      <w:proofErr w:type="gramEnd"/>
      <w:r w:rsidR="001A5887" w:rsidRPr="00686F6F">
        <w:rPr>
          <w:strike/>
          <w:sz w:val="20"/>
        </w:rPr>
        <w:t xml:space="preserve"> shall be no leakage from the primary receptacle(s) which shall remain protected by absorbent material, when required, in the secondary packaging</w:t>
      </w:r>
      <w:r w:rsidR="001A5887" w:rsidRPr="00686F6F">
        <w:rPr>
          <w:sz w:val="20"/>
        </w:rPr>
        <w:t>.</w:t>
      </w:r>
      <w:r>
        <w:rPr>
          <w:sz w:val="20"/>
        </w:rPr>
        <w:t>”</w:t>
      </w:r>
    </w:p>
    <w:p w14:paraId="24F77FA5" w14:textId="6E97A0F2" w:rsidR="001A5887" w:rsidRDefault="001A5887" w:rsidP="00E30357">
      <w:pPr>
        <w:tabs>
          <w:tab w:val="left" w:pos="1701"/>
        </w:tabs>
        <w:spacing w:before="240" w:after="120"/>
        <w:ind w:left="1134" w:right="1134"/>
        <w:jc w:val="both"/>
      </w:pPr>
      <w:r>
        <w:t>23.</w:t>
      </w:r>
      <w:r>
        <w:tab/>
      </w:r>
      <w:r w:rsidRPr="000303A8">
        <w:rPr>
          <w:b/>
          <w:bCs/>
        </w:rPr>
        <w:t>Proposal 4</w:t>
      </w:r>
      <w:r>
        <w:t xml:space="preserve">: </w:t>
      </w:r>
      <w:r w:rsidRPr="00CD6D39">
        <w:t xml:space="preserve">Following the </w:t>
      </w:r>
      <w:r w:rsidR="00CF5558">
        <w:t>s</w:t>
      </w:r>
      <w:r w:rsidRPr="00CD6D39">
        <w:t>ecretar</w:t>
      </w:r>
      <w:r w:rsidR="00CF5558">
        <w:t>iat’</w:t>
      </w:r>
      <w:r w:rsidRPr="00CD6D39">
        <w:t>s guidance, a minor editorial amendment has been made to paragraphs (7), (8) and (9) which include lists of criteria, by adding an "and" at the end of the paragraph before the last one.</w:t>
      </w:r>
    </w:p>
    <w:p w14:paraId="45E89703" w14:textId="6D9557DB" w:rsidR="001A5887" w:rsidRDefault="001A5887" w:rsidP="001A5887">
      <w:pPr>
        <w:tabs>
          <w:tab w:val="left" w:pos="1701"/>
        </w:tabs>
        <w:spacing w:after="120"/>
        <w:ind w:left="1134" w:right="1134"/>
        <w:jc w:val="both"/>
      </w:pPr>
      <w:r>
        <w:t>24.</w:t>
      </w:r>
      <w:r>
        <w:tab/>
      </w:r>
      <w:r w:rsidRPr="00C540CE">
        <w:t>The complete packing instruction including all proposals mentioned before would read as follows (</w:t>
      </w:r>
      <w:r w:rsidR="00E41CD7">
        <w:t>i</w:t>
      </w:r>
      <w:r w:rsidRPr="00C540CE">
        <w:t xml:space="preserve">n December 2021, </w:t>
      </w:r>
      <w:r w:rsidR="00A04A39">
        <w:t>at the fifty-ninth</w:t>
      </w:r>
      <w:r w:rsidRPr="00C540CE">
        <w:t xml:space="preserve"> session of the Sub-Committee,</w:t>
      </w:r>
      <w:r w:rsidRPr="00C540CE" w:rsidDel="00547161">
        <w:t xml:space="preserve"> </w:t>
      </w:r>
      <w:r w:rsidRPr="00C540CE">
        <w:t>it was already decided to delete the Note in packing instruction P650 under (4), following a proposal contained in informal document 4</w:t>
      </w:r>
      <w:r w:rsidR="005A10AD">
        <w:t xml:space="preserve"> of that session</w:t>
      </w:r>
      <w:r w:rsidRPr="00C540CE">
        <w:t>):</w:t>
      </w:r>
    </w:p>
    <w:p w14:paraId="682C947D" w14:textId="11497F8A" w:rsidR="00E30357" w:rsidRDefault="00E30357">
      <w:pPr>
        <w:suppressAutoHyphens w:val="0"/>
        <w:kinsoku/>
        <w:overflowPunct/>
        <w:autoSpaceDE/>
        <w:autoSpaceDN/>
        <w:adjustRightInd/>
        <w:snapToGrid/>
        <w:spacing w:after="200" w:line="276" w:lineRule="auto"/>
      </w:pPr>
      <w:r>
        <w:br w:type="page"/>
      </w:r>
    </w:p>
    <w:tbl>
      <w:tblPr>
        <w:tblStyle w:val="TableNormal2"/>
        <w:tblW w:w="9626" w:type="dxa"/>
        <w:tblInd w:w="14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9626"/>
      </w:tblGrid>
      <w:tr w:rsidR="001A5887" w:rsidRPr="000C5309" w14:paraId="2B165644" w14:textId="77777777" w:rsidTr="004E38C5">
        <w:trPr>
          <w:trHeight w:val="390"/>
        </w:trPr>
        <w:tc>
          <w:tcPr>
            <w:tcW w:w="9626" w:type="dxa"/>
          </w:tcPr>
          <w:p w14:paraId="06F61F2B" w14:textId="77777777" w:rsidR="001A5887" w:rsidRPr="000C5309" w:rsidRDefault="001A5887" w:rsidP="004E38C5">
            <w:pPr>
              <w:pStyle w:val="TableParagraph"/>
              <w:tabs>
                <w:tab w:val="left" w:pos="3701"/>
                <w:tab w:val="left" w:pos="9114"/>
              </w:tabs>
              <w:spacing w:before="82"/>
              <w:ind w:left="83"/>
              <w:rPr>
                <w:rFonts w:asciiTheme="majorBidi" w:hAnsiTheme="majorBidi" w:cstheme="majorBidi"/>
                <w:b/>
                <w:sz w:val="20"/>
                <w:szCs w:val="20"/>
              </w:rPr>
            </w:pPr>
            <w:r w:rsidRPr="000C5309">
              <w:rPr>
                <w:rFonts w:asciiTheme="majorBidi" w:hAnsiTheme="majorBidi" w:cstheme="majorBidi"/>
                <w:b/>
                <w:color w:val="231F20"/>
                <w:sz w:val="20"/>
                <w:szCs w:val="20"/>
              </w:rPr>
              <w:lastRenderedPageBreak/>
              <w:t>P650</w:t>
            </w:r>
            <w:r w:rsidRPr="000C5309">
              <w:rPr>
                <w:rFonts w:asciiTheme="majorBidi" w:hAnsiTheme="majorBidi" w:cstheme="majorBidi"/>
                <w:b/>
                <w:color w:val="231F20"/>
                <w:sz w:val="20"/>
                <w:szCs w:val="20"/>
              </w:rPr>
              <w:tab/>
              <w:t>PACKING</w:t>
            </w:r>
            <w:r w:rsidRPr="000C5309">
              <w:rPr>
                <w:rFonts w:asciiTheme="majorBidi" w:hAnsiTheme="majorBidi" w:cstheme="majorBidi"/>
                <w:b/>
                <w:color w:val="231F20"/>
                <w:spacing w:val="-2"/>
                <w:sz w:val="20"/>
                <w:szCs w:val="20"/>
              </w:rPr>
              <w:t xml:space="preserve"> </w:t>
            </w:r>
            <w:r w:rsidRPr="000C5309">
              <w:rPr>
                <w:rFonts w:asciiTheme="majorBidi" w:hAnsiTheme="majorBidi" w:cstheme="majorBidi"/>
                <w:b/>
                <w:color w:val="231F20"/>
                <w:sz w:val="20"/>
                <w:szCs w:val="20"/>
              </w:rPr>
              <w:t>INSTRUCTION</w:t>
            </w:r>
            <w:r w:rsidRPr="000C5309">
              <w:rPr>
                <w:rFonts w:asciiTheme="majorBidi" w:hAnsiTheme="majorBidi" w:cstheme="majorBidi"/>
                <w:b/>
                <w:color w:val="231F20"/>
                <w:sz w:val="20"/>
                <w:szCs w:val="20"/>
              </w:rPr>
              <w:tab/>
              <w:t>P650</w:t>
            </w:r>
          </w:p>
        </w:tc>
      </w:tr>
      <w:tr w:rsidR="001A5887" w:rsidRPr="000C5309" w14:paraId="57774B86" w14:textId="77777777" w:rsidTr="004E38C5">
        <w:trPr>
          <w:trHeight w:val="289"/>
        </w:trPr>
        <w:tc>
          <w:tcPr>
            <w:tcW w:w="9626" w:type="dxa"/>
          </w:tcPr>
          <w:p w14:paraId="12F83789" w14:textId="77777777" w:rsidR="001A5887" w:rsidRPr="000C5309" w:rsidRDefault="001A5887" w:rsidP="004E38C5">
            <w:pPr>
              <w:pStyle w:val="TableParagraph"/>
              <w:spacing w:before="31"/>
              <w:ind w:left="83"/>
              <w:rPr>
                <w:rFonts w:asciiTheme="majorBidi" w:hAnsiTheme="majorBidi" w:cstheme="majorBidi"/>
                <w:sz w:val="20"/>
                <w:szCs w:val="20"/>
              </w:rPr>
            </w:pPr>
            <w:r w:rsidRPr="000C5309">
              <w:rPr>
                <w:rFonts w:asciiTheme="majorBidi" w:hAnsiTheme="majorBidi" w:cstheme="majorBidi"/>
                <w:color w:val="231F20"/>
                <w:sz w:val="20"/>
                <w:szCs w:val="20"/>
              </w:rPr>
              <w:t>This</w:t>
            </w:r>
            <w:r w:rsidRPr="000C5309">
              <w:rPr>
                <w:rFonts w:asciiTheme="majorBidi" w:hAnsiTheme="majorBidi" w:cstheme="majorBidi"/>
                <w:color w:val="231F20"/>
                <w:spacing w:val="-4"/>
                <w:sz w:val="20"/>
                <w:szCs w:val="20"/>
              </w:rPr>
              <w:t xml:space="preserve"> </w:t>
            </w:r>
            <w:r w:rsidRPr="000C5309">
              <w:rPr>
                <w:rFonts w:asciiTheme="majorBidi" w:hAnsiTheme="majorBidi" w:cstheme="majorBidi"/>
                <w:color w:val="231F20"/>
                <w:sz w:val="20"/>
                <w:szCs w:val="20"/>
              </w:rPr>
              <w:t>packing</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instruction</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applies</w:t>
            </w:r>
            <w:r w:rsidRPr="000C5309">
              <w:rPr>
                <w:rFonts w:asciiTheme="majorBidi" w:hAnsiTheme="majorBidi" w:cstheme="majorBidi"/>
                <w:color w:val="231F20"/>
                <w:spacing w:val="-4"/>
                <w:sz w:val="20"/>
                <w:szCs w:val="20"/>
              </w:rPr>
              <w:t xml:space="preserve"> </w:t>
            </w:r>
            <w:r w:rsidRPr="000C5309">
              <w:rPr>
                <w:rFonts w:asciiTheme="majorBidi" w:hAnsiTheme="majorBidi" w:cstheme="majorBidi"/>
                <w:color w:val="231F20"/>
                <w:sz w:val="20"/>
                <w:szCs w:val="20"/>
              </w:rPr>
              <w:t>to</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UN</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3373.</w:t>
            </w:r>
          </w:p>
        </w:tc>
      </w:tr>
      <w:tr w:rsidR="001A5887" w:rsidRPr="000C5309" w14:paraId="004EF670" w14:textId="77777777" w:rsidTr="000C5309">
        <w:trPr>
          <w:trHeight w:val="8491"/>
        </w:trPr>
        <w:tc>
          <w:tcPr>
            <w:tcW w:w="9626" w:type="dxa"/>
          </w:tcPr>
          <w:p w14:paraId="16993BD5" w14:textId="77777777" w:rsidR="001A5887" w:rsidRPr="000C5309" w:rsidRDefault="001A5887" w:rsidP="00A433A8">
            <w:pPr>
              <w:pStyle w:val="TableParagraph"/>
              <w:numPr>
                <w:ilvl w:val="0"/>
                <w:numId w:val="17"/>
              </w:numPr>
              <w:spacing w:before="31" w:line="228" w:lineRule="auto"/>
              <w:ind w:left="544" w:right="71" w:hanging="410"/>
              <w:jc w:val="both"/>
              <w:rPr>
                <w:rFonts w:asciiTheme="majorBidi" w:hAnsiTheme="majorBidi" w:cstheme="majorBidi"/>
                <w:sz w:val="20"/>
                <w:szCs w:val="20"/>
              </w:rPr>
            </w:pPr>
            <w:r w:rsidRPr="000C5309">
              <w:rPr>
                <w:rFonts w:asciiTheme="majorBidi" w:hAnsiTheme="majorBidi" w:cstheme="majorBidi"/>
                <w:color w:val="231F20"/>
                <w:sz w:val="20"/>
                <w:szCs w:val="20"/>
              </w:rPr>
              <w:t>The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packaging</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shall</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be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of</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good</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quality,</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strong</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enough</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to</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withstand</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the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shocks</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and</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loadings</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normally</w:t>
            </w:r>
            <w:r w:rsidRPr="000C5309">
              <w:rPr>
                <w:rFonts w:asciiTheme="majorBidi" w:hAnsiTheme="majorBidi" w:cstheme="majorBidi"/>
                <w:color w:val="231F20"/>
                <w:spacing w:val="-47"/>
                <w:sz w:val="20"/>
                <w:szCs w:val="20"/>
              </w:rPr>
              <w:t xml:space="preserve"> </w:t>
            </w:r>
            <w:r w:rsidRPr="000C5309">
              <w:rPr>
                <w:rFonts w:asciiTheme="majorBidi" w:hAnsiTheme="majorBidi" w:cstheme="majorBidi"/>
                <w:color w:val="231F20"/>
                <w:sz w:val="20"/>
                <w:szCs w:val="20"/>
              </w:rPr>
              <w:t>encountered</w:t>
            </w:r>
            <w:r w:rsidRPr="000C5309">
              <w:rPr>
                <w:rFonts w:asciiTheme="majorBidi" w:hAnsiTheme="majorBidi" w:cstheme="majorBidi"/>
                <w:color w:val="231F20"/>
                <w:spacing w:val="-10"/>
                <w:sz w:val="20"/>
                <w:szCs w:val="20"/>
              </w:rPr>
              <w:t xml:space="preserve"> </w:t>
            </w:r>
            <w:r w:rsidRPr="000C5309">
              <w:rPr>
                <w:rFonts w:asciiTheme="majorBidi" w:hAnsiTheme="majorBidi" w:cstheme="majorBidi"/>
                <w:color w:val="231F20"/>
                <w:sz w:val="20"/>
                <w:szCs w:val="20"/>
              </w:rPr>
              <w:t>during</w:t>
            </w:r>
            <w:r w:rsidRPr="000C5309">
              <w:rPr>
                <w:rFonts w:asciiTheme="majorBidi" w:hAnsiTheme="majorBidi" w:cstheme="majorBidi"/>
                <w:color w:val="231F20"/>
                <w:spacing w:val="-8"/>
                <w:sz w:val="20"/>
                <w:szCs w:val="20"/>
              </w:rPr>
              <w:t xml:space="preserve"> </w:t>
            </w:r>
            <w:r w:rsidRPr="000C5309">
              <w:rPr>
                <w:rFonts w:asciiTheme="majorBidi" w:hAnsiTheme="majorBidi" w:cstheme="majorBidi"/>
                <w:color w:val="231F20"/>
                <w:sz w:val="20"/>
                <w:szCs w:val="20"/>
              </w:rPr>
              <w:t>transport,</w:t>
            </w:r>
            <w:r w:rsidRPr="000C5309">
              <w:rPr>
                <w:rFonts w:asciiTheme="majorBidi" w:hAnsiTheme="majorBidi" w:cstheme="majorBidi"/>
                <w:color w:val="231F20"/>
                <w:spacing w:val="-11"/>
                <w:sz w:val="20"/>
                <w:szCs w:val="20"/>
              </w:rPr>
              <w:t xml:space="preserve"> </w:t>
            </w:r>
            <w:r w:rsidRPr="000C5309">
              <w:rPr>
                <w:rFonts w:asciiTheme="majorBidi" w:hAnsiTheme="majorBidi" w:cstheme="majorBidi"/>
                <w:color w:val="231F20"/>
                <w:sz w:val="20"/>
                <w:szCs w:val="20"/>
              </w:rPr>
              <w:t>including</w:t>
            </w:r>
            <w:r w:rsidRPr="000C5309">
              <w:rPr>
                <w:rFonts w:asciiTheme="majorBidi" w:hAnsiTheme="majorBidi" w:cstheme="majorBidi"/>
                <w:color w:val="231F20"/>
                <w:spacing w:val="-10"/>
                <w:sz w:val="20"/>
                <w:szCs w:val="20"/>
              </w:rPr>
              <w:t xml:space="preserve"> </w:t>
            </w:r>
            <w:proofErr w:type="spellStart"/>
            <w:r w:rsidRPr="000C5309">
              <w:rPr>
                <w:rFonts w:asciiTheme="majorBidi" w:hAnsiTheme="majorBidi" w:cstheme="majorBidi"/>
                <w:color w:val="231F20"/>
                <w:sz w:val="20"/>
                <w:szCs w:val="20"/>
              </w:rPr>
              <w:t>transhipment</w:t>
            </w:r>
            <w:proofErr w:type="spellEnd"/>
            <w:r w:rsidRPr="000C5309">
              <w:rPr>
                <w:rFonts w:asciiTheme="majorBidi" w:hAnsiTheme="majorBidi" w:cstheme="majorBidi"/>
                <w:color w:val="231F20"/>
                <w:spacing w:val="-11"/>
                <w:sz w:val="20"/>
                <w:szCs w:val="20"/>
              </w:rPr>
              <w:t xml:space="preserve"> </w:t>
            </w:r>
            <w:r w:rsidRPr="000C5309">
              <w:rPr>
                <w:rFonts w:asciiTheme="majorBidi" w:hAnsiTheme="majorBidi" w:cstheme="majorBidi"/>
                <w:color w:val="231F20"/>
                <w:sz w:val="20"/>
                <w:szCs w:val="20"/>
              </w:rPr>
              <w:t>between</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cargo</w:t>
            </w:r>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transport</w:t>
            </w:r>
            <w:r w:rsidRPr="000C5309">
              <w:rPr>
                <w:rFonts w:asciiTheme="majorBidi" w:hAnsiTheme="majorBidi" w:cstheme="majorBidi"/>
                <w:color w:val="231F20"/>
                <w:spacing w:val="-10"/>
                <w:sz w:val="20"/>
                <w:szCs w:val="20"/>
              </w:rPr>
              <w:t xml:space="preserve"> </w:t>
            </w:r>
            <w:r w:rsidRPr="000C5309">
              <w:rPr>
                <w:rFonts w:asciiTheme="majorBidi" w:hAnsiTheme="majorBidi" w:cstheme="majorBidi"/>
                <w:color w:val="231F20"/>
                <w:sz w:val="20"/>
                <w:szCs w:val="20"/>
              </w:rPr>
              <w:t>units</w:t>
            </w:r>
            <w:r w:rsidRPr="000C5309">
              <w:rPr>
                <w:rFonts w:asciiTheme="majorBidi" w:hAnsiTheme="majorBidi" w:cstheme="majorBidi"/>
                <w:color w:val="231F20"/>
                <w:spacing w:val="-10"/>
                <w:sz w:val="20"/>
                <w:szCs w:val="20"/>
              </w:rPr>
              <w:t xml:space="preserve"> </w:t>
            </w:r>
            <w:r w:rsidRPr="000C5309">
              <w:rPr>
                <w:rFonts w:asciiTheme="majorBidi" w:hAnsiTheme="majorBidi" w:cstheme="majorBidi"/>
                <w:color w:val="231F20"/>
                <w:sz w:val="20"/>
                <w:szCs w:val="20"/>
              </w:rPr>
              <w:t>and</w:t>
            </w:r>
            <w:r w:rsidRPr="000C5309">
              <w:rPr>
                <w:rFonts w:asciiTheme="majorBidi" w:hAnsiTheme="majorBidi" w:cstheme="majorBidi"/>
                <w:color w:val="231F20"/>
                <w:spacing w:val="-8"/>
                <w:sz w:val="20"/>
                <w:szCs w:val="20"/>
              </w:rPr>
              <w:t xml:space="preserve"> </w:t>
            </w:r>
            <w:r w:rsidRPr="000C5309">
              <w:rPr>
                <w:rFonts w:asciiTheme="majorBidi" w:hAnsiTheme="majorBidi" w:cstheme="majorBidi"/>
                <w:color w:val="231F20"/>
                <w:sz w:val="20"/>
                <w:szCs w:val="20"/>
              </w:rPr>
              <w:t>between</w:t>
            </w:r>
            <w:r w:rsidRPr="000C5309">
              <w:rPr>
                <w:rFonts w:asciiTheme="majorBidi" w:hAnsiTheme="majorBidi" w:cstheme="majorBidi"/>
                <w:color w:val="231F20"/>
                <w:spacing w:val="-8"/>
                <w:sz w:val="20"/>
                <w:szCs w:val="20"/>
              </w:rPr>
              <w:t xml:space="preserve"> </w:t>
            </w:r>
            <w:r w:rsidRPr="000C5309">
              <w:rPr>
                <w:rFonts w:asciiTheme="majorBidi" w:hAnsiTheme="majorBidi" w:cstheme="majorBidi"/>
                <w:color w:val="231F20"/>
                <w:sz w:val="20"/>
                <w:szCs w:val="20"/>
              </w:rPr>
              <w:t>cargo</w:t>
            </w:r>
            <w:r w:rsidRPr="000C5309">
              <w:rPr>
                <w:rFonts w:asciiTheme="majorBidi" w:hAnsiTheme="majorBidi" w:cstheme="majorBidi"/>
                <w:color w:val="231F20"/>
                <w:spacing w:val="-8"/>
                <w:sz w:val="20"/>
                <w:szCs w:val="20"/>
              </w:rPr>
              <w:t xml:space="preserve"> </w:t>
            </w:r>
            <w:r w:rsidRPr="000C5309">
              <w:rPr>
                <w:rFonts w:asciiTheme="majorBidi" w:hAnsiTheme="majorBidi" w:cstheme="majorBidi"/>
                <w:color w:val="231F20"/>
                <w:sz w:val="20"/>
                <w:szCs w:val="20"/>
              </w:rPr>
              <w:t>transport</w:t>
            </w:r>
            <w:r w:rsidRPr="000C5309">
              <w:rPr>
                <w:rFonts w:asciiTheme="majorBidi" w:hAnsiTheme="majorBidi" w:cstheme="majorBidi"/>
                <w:color w:val="231F20"/>
                <w:spacing w:val="-48"/>
                <w:sz w:val="20"/>
                <w:szCs w:val="20"/>
              </w:rPr>
              <w:t xml:space="preserve"> </w:t>
            </w:r>
            <w:r w:rsidRPr="000C5309">
              <w:rPr>
                <w:rFonts w:asciiTheme="majorBidi" w:hAnsiTheme="majorBidi" w:cstheme="majorBidi"/>
                <w:color w:val="231F20"/>
                <w:sz w:val="20"/>
                <w:szCs w:val="20"/>
              </w:rPr>
              <w:t>units and warehouses as well as any removal from a pallet or overpack for subsequent manual or mechanical</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handling.</w:t>
            </w:r>
            <w:r w:rsidRPr="000C5309">
              <w:rPr>
                <w:rFonts w:asciiTheme="majorBidi" w:hAnsiTheme="majorBidi" w:cstheme="majorBidi"/>
                <w:color w:val="231F20"/>
                <w:spacing w:val="37"/>
                <w:sz w:val="20"/>
                <w:szCs w:val="20"/>
              </w:rPr>
              <w:t xml:space="preserve"> </w:t>
            </w:r>
            <w:proofErr w:type="spellStart"/>
            <w:r w:rsidRPr="000C5309">
              <w:rPr>
                <w:rFonts w:asciiTheme="majorBidi" w:hAnsiTheme="majorBidi" w:cstheme="majorBidi"/>
                <w:color w:val="231F20"/>
                <w:sz w:val="20"/>
                <w:szCs w:val="20"/>
              </w:rPr>
              <w:t>Packagings</w:t>
            </w:r>
            <w:proofErr w:type="spellEnd"/>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shall</w:t>
            </w:r>
            <w:r w:rsidRPr="000C5309">
              <w:rPr>
                <w:rFonts w:asciiTheme="majorBidi" w:hAnsiTheme="majorBidi" w:cstheme="majorBidi"/>
                <w:color w:val="231F20"/>
                <w:spacing w:val="-6"/>
                <w:sz w:val="20"/>
                <w:szCs w:val="20"/>
              </w:rPr>
              <w:t xml:space="preserve"> </w:t>
            </w:r>
            <w:r w:rsidRPr="000C5309">
              <w:rPr>
                <w:rFonts w:asciiTheme="majorBidi" w:hAnsiTheme="majorBidi" w:cstheme="majorBidi"/>
                <w:color w:val="231F20"/>
                <w:sz w:val="20"/>
                <w:szCs w:val="20"/>
              </w:rPr>
              <w:t>be</w:t>
            </w:r>
            <w:r w:rsidRPr="000C5309">
              <w:rPr>
                <w:rFonts w:asciiTheme="majorBidi" w:hAnsiTheme="majorBidi" w:cstheme="majorBidi"/>
                <w:color w:val="231F20"/>
                <w:spacing w:val="-9"/>
                <w:sz w:val="20"/>
                <w:szCs w:val="20"/>
              </w:rPr>
              <w:t xml:space="preserve"> </w:t>
            </w:r>
            <w:r w:rsidRPr="000C5309">
              <w:rPr>
                <w:rFonts w:asciiTheme="majorBidi" w:hAnsiTheme="majorBidi" w:cstheme="majorBidi"/>
                <w:color w:val="231F20"/>
                <w:sz w:val="20"/>
                <w:szCs w:val="20"/>
              </w:rPr>
              <w:t>constructed</w:t>
            </w:r>
            <w:r w:rsidRPr="000C5309">
              <w:rPr>
                <w:rFonts w:asciiTheme="majorBidi" w:hAnsiTheme="majorBidi" w:cstheme="majorBidi"/>
                <w:color w:val="231F20"/>
                <w:spacing w:val="-5"/>
                <w:sz w:val="20"/>
                <w:szCs w:val="20"/>
              </w:rPr>
              <w:t xml:space="preserve"> </w:t>
            </w:r>
            <w:r w:rsidRPr="000C5309">
              <w:rPr>
                <w:rFonts w:asciiTheme="majorBidi" w:hAnsiTheme="majorBidi" w:cstheme="majorBidi"/>
                <w:color w:val="231F20"/>
                <w:sz w:val="20"/>
                <w:szCs w:val="20"/>
              </w:rPr>
              <w:t>and</w:t>
            </w:r>
            <w:r w:rsidRPr="000C5309">
              <w:rPr>
                <w:rFonts w:asciiTheme="majorBidi" w:hAnsiTheme="majorBidi" w:cstheme="majorBidi"/>
                <w:color w:val="231F20"/>
                <w:spacing w:val="-6"/>
                <w:sz w:val="20"/>
                <w:szCs w:val="20"/>
              </w:rPr>
              <w:t xml:space="preserve"> </w:t>
            </w:r>
            <w:r w:rsidRPr="000C5309">
              <w:rPr>
                <w:rFonts w:asciiTheme="majorBidi" w:hAnsiTheme="majorBidi" w:cstheme="majorBidi"/>
                <w:color w:val="231F20"/>
                <w:sz w:val="20"/>
                <w:szCs w:val="20"/>
              </w:rPr>
              <w:t>closed</w:t>
            </w:r>
            <w:r w:rsidRPr="000C5309">
              <w:rPr>
                <w:rFonts w:asciiTheme="majorBidi" w:hAnsiTheme="majorBidi" w:cstheme="majorBidi"/>
                <w:color w:val="231F20"/>
                <w:spacing w:val="-5"/>
                <w:sz w:val="20"/>
                <w:szCs w:val="20"/>
              </w:rPr>
              <w:t xml:space="preserve"> </w:t>
            </w:r>
            <w:r w:rsidRPr="000C5309">
              <w:rPr>
                <w:rFonts w:asciiTheme="majorBidi" w:hAnsiTheme="majorBidi" w:cstheme="majorBidi"/>
                <w:color w:val="231F20"/>
                <w:sz w:val="20"/>
                <w:szCs w:val="20"/>
              </w:rPr>
              <w:t>to</w:t>
            </w:r>
            <w:r w:rsidRPr="000C5309">
              <w:rPr>
                <w:rFonts w:asciiTheme="majorBidi" w:hAnsiTheme="majorBidi" w:cstheme="majorBidi"/>
                <w:color w:val="231F20"/>
                <w:spacing w:val="-8"/>
                <w:sz w:val="20"/>
                <w:szCs w:val="20"/>
              </w:rPr>
              <w:t xml:space="preserve"> </w:t>
            </w:r>
            <w:r w:rsidRPr="000C5309">
              <w:rPr>
                <w:rFonts w:asciiTheme="majorBidi" w:hAnsiTheme="majorBidi" w:cstheme="majorBidi"/>
                <w:color w:val="231F20"/>
                <w:sz w:val="20"/>
                <w:szCs w:val="20"/>
              </w:rPr>
              <w:t>prevent</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any</w:t>
            </w:r>
            <w:r w:rsidRPr="000C5309">
              <w:rPr>
                <w:rFonts w:asciiTheme="majorBidi" w:hAnsiTheme="majorBidi" w:cstheme="majorBidi"/>
                <w:color w:val="231F20"/>
                <w:spacing w:val="-6"/>
                <w:sz w:val="20"/>
                <w:szCs w:val="20"/>
              </w:rPr>
              <w:t xml:space="preserve"> </w:t>
            </w:r>
            <w:r w:rsidRPr="000C5309">
              <w:rPr>
                <w:rFonts w:asciiTheme="majorBidi" w:hAnsiTheme="majorBidi" w:cstheme="majorBidi"/>
                <w:color w:val="231F20"/>
                <w:sz w:val="20"/>
                <w:szCs w:val="20"/>
              </w:rPr>
              <w:t>loss</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of</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contents</w:t>
            </w:r>
            <w:r w:rsidRPr="000C5309">
              <w:rPr>
                <w:rFonts w:asciiTheme="majorBidi" w:hAnsiTheme="majorBidi" w:cstheme="majorBidi"/>
                <w:color w:val="231F20"/>
                <w:spacing w:val="-6"/>
                <w:sz w:val="20"/>
                <w:szCs w:val="20"/>
              </w:rPr>
              <w:t xml:space="preserve"> </w:t>
            </w:r>
            <w:r w:rsidRPr="000C5309">
              <w:rPr>
                <w:rFonts w:asciiTheme="majorBidi" w:hAnsiTheme="majorBidi" w:cstheme="majorBidi"/>
                <w:color w:val="231F20"/>
                <w:sz w:val="20"/>
                <w:szCs w:val="20"/>
              </w:rPr>
              <w:t>that</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might</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be</w:t>
            </w:r>
            <w:r w:rsidRPr="000C5309">
              <w:rPr>
                <w:rFonts w:asciiTheme="majorBidi" w:hAnsiTheme="majorBidi" w:cstheme="majorBidi"/>
                <w:color w:val="231F20"/>
                <w:spacing w:val="-6"/>
                <w:sz w:val="20"/>
                <w:szCs w:val="20"/>
              </w:rPr>
              <w:t xml:space="preserve"> </w:t>
            </w:r>
            <w:r w:rsidRPr="000C5309">
              <w:rPr>
                <w:rFonts w:asciiTheme="majorBidi" w:hAnsiTheme="majorBidi" w:cstheme="majorBidi"/>
                <w:color w:val="231F20"/>
                <w:sz w:val="20"/>
                <w:szCs w:val="20"/>
              </w:rPr>
              <w:t>caused</w:t>
            </w:r>
            <w:r w:rsidRPr="000C5309">
              <w:rPr>
                <w:rFonts w:asciiTheme="majorBidi" w:hAnsiTheme="majorBidi" w:cstheme="majorBidi"/>
                <w:color w:val="231F20"/>
                <w:spacing w:val="4"/>
                <w:sz w:val="20"/>
                <w:szCs w:val="20"/>
              </w:rPr>
              <w:t xml:space="preserve"> </w:t>
            </w:r>
            <w:r w:rsidRPr="000C5309">
              <w:rPr>
                <w:rFonts w:asciiTheme="majorBidi" w:hAnsiTheme="majorBidi" w:cstheme="majorBidi"/>
                <w:color w:val="231F20"/>
                <w:sz w:val="20"/>
                <w:szCs w:val="20"/>
              </w:rPr>
              <w:t>under</w:t>
            </w:r>
            <w:r w:rsidRPr="000C5309">
              <w:rPr>
                <w:rFonts w:asciiTheme="majorBidi" w:hAnsiTheme="majorBidi" w:cstheme="majorBidi"/>
                <w:color w:val="231F20"/>
                <w:spacing w:val="-47"/>
                <w:sz w:val="20"/>
                <w:szCs w:val="20"/>
              </w:rPr>
              <w:t xml:space="preserve"> </w:t>
            </w:r>
            <w:r w:rsidRPr="000C5309">
              <w:rPr>
                <w:rFonts w:asciiTheme="majorBidi" w:hAnsiTheme="majorBidi" w:cstheme="majorBidi"/>
                <w:color w:val="231F20"/>
                <w:sz w:val="20"/>
                <w:szCs w:val="20"/>
              </w:rPr>
              <w:t>normal</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conditions</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of</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transport</w:t>
            </w:r>
            <w:r w:rsidRPr="000C5309">
              <w:rPr>
                <w:rFonts w:asciiTheme="majorBidi" w:hAnsiTheme="majorBidi" w:cstheme="majorBidi"/>
                <w:color w:val="231F20"/>
                <w:spacing w:val="-4"/>
                <w:sz w:val="20"/>
                <w:szCs w:val="20"/>
              </w:rPr>
              <w:t xml:space="preserve"> </w:t>
            </w:r>
            <w:r w:rsidRPr="000C5309">
              <w:rPr>
                <w:rFonts w:asciiTheme="majorBidi" w:hAnsiTheme="majorBidi" w:cstheme="majorBidi"/>
                <w:color w:val="231F20"/>
                <w:sz w:val="20"/>
                <w:szCs w:val="20"/>
              </w:rPr>
              <w:t>by</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vibration</w:t>
            </w:r>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or by changes</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in</w:t>
            </w:r>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temperature,</w:t>
            </w:r>
            <w:r w:rsidRPr="000C5309">
              <w:rPr>
                <w:rFonts w:asciiTheme="majorBidi" w:hAnsiTheme="majorBidi" w:cstheme="majorBidi"/>
                <w:color w:val="231F20"/>
                <w:spacing w:val="-3"/>
                <w:sz w:val="20"/>
                <w:szCs w:val="20"/>
              </w:rPr>
              <w:t xml:space="preserve"> </w:t>
            </w:r>
            <w:proofErr w:type="gramStart"/>
            <w:r w:rsidRPr="000C5309">
              <w:rPr>
                <w:rFonts w:asciiTheme="majorBidi" w:hAnsiTheme="majorBidi" w:cstheme="majorBidi"/>
                <w:color w:val="231F20"/>
                <w:sz w:val="20"/>
                <w:szCs w:val="20"/>
              </w:rPr>
              <w:t>humidity</w:t>
            </w:r>
            <w:proofErr w:type="gramEnd"/>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or</w:t>
            </w:r>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pressure.</w:t>
            </w:r>
          </w:p>
          <w:p w14:paraId="0F99204A" w14:textId="77777777" w:rsidR="001A5887" w:rsidRPr="000C5309" w:rsidRDefault="001A5887" w:rsidP="00A433A8">
            <w:pPr>
              <w:pStyle w:val="TableParagraph"/>
              <w:numPr>
                <w:ilvl w:val="0"/>
                <w:numId w:val="17"/>
              </w:numPr>
              <w:spacing w:before="62"/>
              <w:ind w:left="544" w:hanging="462"/>
              <w:jc w:val="both"/>
              <w:rPr>
                <w:rFonts w:asciiTheme="majorBidi" w:hAnsiTheme="majorBidi" w:cstheme="majorBidi"/>
                <w:sz w:val="20"/>
                <w:szCs w:val="20"/>
              </w:rPr>
            </w:pPr>
            <w:r w:rsidRPr="000C5309">
              <w:rPr>
                <w:rFonts w:asciiTheme="majorBidi" w:hAnsiTheme="majorBidi" w:cstheme="majorBidi"/>
                <w:color w:val="231F20"/>
                <w:sz w:val="20"/>
                <w:szCs w:val="20"/>
              </w:rPr>
              <w:t>The</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packaging</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shall</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consist</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of</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at</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least</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three</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components:</w:t>
            </w:r>
          </w:p>
          <w:p w14:paraId="00787C6C" w14:textId="254DA3DF" w:rsidR="001A5887" w:rsidRPr="000C5309" w:rsidRDefault="00BF31AF" w:rsidP="00EE57F8">
            <w:pPr>
              <w:pStyle w:val="TableParagraph"/>
              <w:spacing w:before="30"/>
              <w:ind w:left="544"/>
              <w:rPr>
                <w:rFonts w:asciiTheme="majorBidi" w:hAnsiTheme="majorBidi" w:cstheme="majorBidi"/>
                <w:sz w:val="20"/>
                <w:szCs w:val="20"/>
              </w:rPr>
            </w:pPr>
            <w:r>
              <w:rPr>
                <w:rFonts w:asciiTheme="majorBidi" w:hAnsiTheme="majorBidi" w:cstheme="majorBidi"/>
                <w:color w:val="231F20"/>
                <w:sz w:val="20"/>
                <w:szCs w:val="20"/>
              </w:rPr>
              <w:t>(a)</w:t>
            </w:r>
            <w:r>
              <w:rPr>
                <w:rFonts w:asciiTheme="majorBidi" w:hAnsiTheme="majorBidi" w:cstheme="majorBidi"/>
                <w:color w:val="231F20"/>
                <w:sz w:val="20"/>
                <w:szCs w:val="20"/>
              </w:rPr>
              <w:tab/>
            </w:r>
            <w:r w:rsidR="001A5887" w:rsidRPr="000C5309">
              <w:rPr>
                <w:rFonts w:asciiTheme="majorBidi" w:hAnsiTheme="majorBidi" w:cstheme="majorBidi"/>
                <w:color w:val="231F20"/>
                <w:sz w:val="20"/>
                <w:szCs w:val="20"/>
              </w:rPr>
              <w:t>a</w:t>
            </w:r>
            <w:r w:rsidR="001A5887" w:rsidRPr="000C5309">
              <w:rPr>
                <w:rFonts w:asciiTheme="majorBidi" w:hAnsiTheme="majorBidi" w:cstheme="majorBidi"/>
                <w:color w:val="231F20"/>
                <w:spacing w:val="-2"/>
                <w:sz w:val="20"/>
                <w:szCs w:val="20"/>
              </w:rPr>
              <w:t xml:space="preserve"> </w:t>
            </w:r>
            <w:r w:rsidR="001A5887" w:rsidRPr="000C5309">
              <w:rPr>
                <w:rFonts w:asciiTheme="majorBidi" w:hAnsiTheme="majorBidi" w:cstheme="majorBidi"/>
                <w:color w:val="231F20"/>
                <w:sz w:val="20"/>
                <w:szCs w:val="20"/>
              </w:rPr>
              <w:t>primary</w:t>
            </w:r>
            <w:r w:rsidR="001A5887" w:rsidRPr="000C5309">
              <w:rPr>
                <w:rFonts w:asciiTheme="majorBidi" w:hAnsiTheme="majorBidi" w:cstheme="majorBidi"/>
                <w:color w:val="231F20"/>
                <w:spacing w:val="-2"/>
                <w:sz w:val="20"/>
                <w:szCs w:val="20"/>
              </w:rPr>
              <w:t xml:space="preserve"> </w:t>
            </w:r>
            <w:proofErr w:type="gramStart"/>
            <w:r w:rsidR="001A5887" w:rsidRPr="000C5309">
              <w:rPr>
                <w:rFonts w:asciiTheme="majorBidi" w:hAnsiTheme="majorBidi" w:cstheme="majorBidi"/>
                <w:color w:val="231F20"/>
                <w:sz w:val="20"/>
                <w:szCs w:val="20"/>
              </w:rPr>
              <w:t>receptacle;</w:t>
            </w:r>
            <w:proofErr w:type="gramEnd"/>
          </w:p>
          <w:p w14:paraId="2949DDEE" w14:textId="4399446E" w:rsidR="001A5887" w:rsidRPr="000C5309" w:rsidRDefault="00024398" w:rsidP="00EE57F8">
            <w:pPr>
              <w:pStyle w:val="TableParagraph"/>
              <w:spacing w:before="30"/>
              <w:ind w:left="544"/>
              <w:rPr>
                <w:rFonts w:asciiTheme="majorBidi" w:hAnsiTheme="majorBidi" w:cstheme="majorBidi"/>
                <w:sz w:val="20"/>
                <w:szCs w:val="20"/>
              </w:rPr>
            </w:pPr>
            <w:r>
              <w:rPr>
                <w:rFonts w:asciiTheme="majorBidi" w:hAnsiTheme="majorBidi" w:cstheme="majorBidi"/>
                <w:color w:val="231F20"/>
                <w:sz w:val="20"/>
                <w:szCs w:val="20"/>
              </w:rPr>
              <w:t>(b)</w:t>
            </w:r>
            <w:r>
              <w:rPr>
                <w:rFonts w:asciiTheme="majorBidi" w:hAnsiTheme="majorBidi" w:cstheme="majorBidi"/>
                <w:color w:val="231F20"/>
                <w:sz w:val="20"/>
                <w:szCs w:val="20"/>
              </w:rPr>
              <w:tab/>
            </w:r>
            <w:r w:rsidR="001A5887" w:rsidRPr="000C5309">
              <w:rPr>
                <w:rFonts w:asciiTheme="majorBidi" w:hAnsiTheme="majorBidi" w:cstheme="majorBidi"/>
                <w:color w:val="231F20"/>
                <w:sz w:val="20"/>
                <w:szCs w:val="20"/>
              </w:rPr>
              <w:t>a</w:t>
            </w:r>
            <w:r w:rsidR="001A5887" w:rsidRPr="000C5309">
              <w:rPr>
                <w:rFonts w:asciiTheme="majorBidi" w:hAnsiTheme="majorBidi" w:cstheme="majorBidi"/>
                <w:color w:val="231F20"/>
                <w:spacing w:val="-2"/>
                <w:sz w:val="20"/>
                <w:szCs w:val="20"/>
              </w:rPr>
              <w:t xml:space="preserve"> </w:t>
            </w:r>
            <w:r w:rsidR="001A5887" w:rsidRPr="000C5309">
              <w:rPr>
                <w:rFonts w:asciiTheme="majorBidi" w:hAnsiTheme="majorBidi" w:cstheme="majorBidi"/>
                <w:color w:val="231F20"/>
                <w:sz w:val="20"/>
                <w:szCs w:val="20"/>
              </w:rPr>
              <w:t>secondary</w:t>
            </w:r>
            <w:r w:rsidR="001A5887" w:rsidRPr="000C5309">
              <w:rPr>
                <w:rFonts w:asciiTheme="majorBidi" w:hAnsiTheme="majorBidi" w:cstheme="majorBidi"/>
                <w:color w:val="231F20"/>
                <w:spacing w:val="-4"/>
                <w:sz w:val="20"/>
                <w:szCs w:val="20"/>
              </w:rPr>
              <w:t xml:space="preserve"> </w:t>
            </w:r>
            <w:r w:rsidR="001A5887" w:rsidRPr="000C5309">
              <w:rPr>
                <w:rFonts w:asciiTheme="majorBidi" w:hAnsiTheme="majorBidi" w:cstheme="majorBidi"/>
                <w:color w:val="231F20"/>
                <w:sz w:val="20"/>
                <w:szCs w:val="20"/>
              </w:rPr>
              <w:t>packaging;</w:t>
            </w:r>
            <w:r w:rsidR="001A5887" w:rsidRPr="000C5309">
              <w:rPr>
                <w:rFonts w:asciiTheme="majorBidi" w:hAnsiTheme="majorBidi" w:cstheme="majorBidi"/>
                <w:color w:val="231F20"/>
                <w:spacing w:val="-3"/>
                <w:sz w:val="20"/>
                <w:szCs w:val="20"/>
              </w:rPr>
              <w:t xml:space="preserve"> </w:t>
            </w:r>
            <w:r w:rsidR="001A5887" w:rsidRPr="000C5309">
              <w:rPr>
                <w:rFonts w:asciiTheme="majorBidi" w:hAnsiTheme="majorBidi" w:cstheme="majorBidi"/>
                <w:color w:val="231F20"/>
                <w:sz w:val="20"/>
                <w:szCs w:val="20"/>
              </w:rPr>
              <w:t>and</w:t>
            </w:r>
          </w:p>
          <w:p w14:paraId="11D3AAC3" w14:textId="7B397973" w:rsidR="001A5887" w:rsidRPr="000C5309" w:rsidRDefault="00024398" w:rsidP="00EE57F8">
            <w:pPr>
              <w:pStyle w:val="TableParagraph"/>
              <w:spacing w:before="30"/>
              <w:ind w:left="544"/>
              <w:rPr>
                <w:rFonts w:asciiTheme="majorBidi" w:hAnsiTheme="majorBidi" w:cstheme="majorBidi"/>
                <w:sz w:val="20"/>
                <w:szCs w:val="20"/>
              </w:rPr>
            </w:pPr>
            <w:r>
              <w:rPr>
                <w:rFonts w:asciiTheme="majorBidi" w:hAnsiTheme="majorBidi" w:cstheme="majorBidi"/>
                <w:color w:val="231F20"/>
                <w:sz w:val="20"/>
                <w:szCs w:val="20"/>
              </w:rPr>
              <w:t>(c)</w:t>
            </w:r>
            <w:r>
              <w:rPr>
                <w:rFonts w:asciiTheme="majorBidi" w:hAnsiTheme="majorBidi" w:cstheme="majorBidi"/>
                <w:color w:val="231F20"/>
                <w:sz w:val="20"/>
                <w:szCs w:val="20"/>
              </w:rPr>
              <w:tab/>
            </w:r>
            <w:r w:rsidR="001A5887" w:rsidRPr="000C5309">
              <w:rPr>
                <w:rFonts w:asciiTheme="majorBidi" w:hAnsiTheme="majorBidi" w:cstheme="majorBidi"/>
                <w:color w:val="231F20"/>
                <w:sz w:val="20"/>
                <w:szCs w:val="20"/>
              </w:rPr>
              <w:t>an</w:t>
            </w:r>
            <w:r w:rsidR="001A5887" w:rsidRPr="000C5309">
              <w:rPr>
                <w:rFonts w:asciiTheme="majorBidi" w:hAnsiTheme="majorBidi" w:cstheme="majorBidi"/>
                <w:color w:val="231F20"/>
                <w:spacing w:val="-1"/>
                <w:sz w:val="20"/>
                <w:szCs w:val="20"/>
              </w:rPr>
              <w:t xml:space="preserve"> </w:t>
            </w:r>
            <w:r w:rsidR="001A5887" w:rsidRPr="000C5309">
              <w:rPr>
                <w:rFonts w:asciiTheme="majorBidi" w:hAnsiTheme="majorBidi" w:cstheme="majorBidi"/>
                <w:color w:val="231F20"/>
                <w:sz w:val="20"/>
                <w:szCs w:val="20"/>
              </w:rPr>
              <w:t>outer</w:t>
            </w:r>
            <w:r w:rsidR="001A5887" w:rsidRPr="000C5309">
              <w:rPr>
                <w:rFonts w:asciiTheme="majorBidi" w:hAnsiTheme="majorBidi" w:cstheme="majorBidi"/>
                <w:color w:val="231F20"/>
                <w:spacing w:val="-4"/>
                <w:sz w:val="20"/>
                <w:szCs w:val="20"/>
              </w:rPr>
              <w:t xml:space="preserve"> </w:t>
            </w:r>
            <w:r w:rsidR="001A5887" w:rsidRPr="000C5309">
              <w:rPr>
                <w:rFonts w:asciiTheme="majorBidi" w:hAnsiTheme="majorBidi" w:cstheme="majorBidi"/>
                <w:color w:val="231F20"/>
                <w:sz w:val="20"/>
                <w:szCs w:val="20"/>
              </w:rPr>
              <w:t>packaging</w:t>
            </w:r>
          </w:p>
          <w:p w14:paraId="004ABBC5" w14:textId="77777777" w:rsidR="001A5887" w:rsidRPr="000C5309" w:rsidRDefault="001A5887" w:rsidP="00A433A8">
            <w:pPr>
              <w:pStyle w:val="TableParagraph"/>
              <w:spacing w:before="32"/>
              <w:ind w:left="544"/>
              <w:rPr>
                <w:rFonts w:asciiTheme="majorBidi" w:hAnsiTheme="majorBidi" w:cstheme="majorBidi"/>
                <w:sz w:val="20"/>
                <w:szCs w:val="20"/>
              </w:rPr>
            </w:pPr>
            <w:r w:rsidRPr="000C5309">
              <w:rPr>
                <w:rFonts w:asciiTheme="majorBidi" w:hAnsiTheme="majorBidi" w:cstheme="majorBidi"/>
                <w:color w:val="231F20"/>
                <w:sz w:val="20"/>
                <w:szCs w:val="20"/>
              </w:rPr>
              <w:t>of</w:t>
            </w:r>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which</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either</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the</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secondary</w:t>
            </w:r>
            <w:r w:rsidRPr="000C5309">
              <w:rPr>
                <w:rFonts w:asciiTheme="majorBidi" w:hAnsiTheme="majorBidi" w:cstheme="majorBidi"/>
                <w:color w:val="231F20"/>
                <w:spacing w:val="-4"/>
                <w:sz w:val="20"/>
                <w:szCs w:val="20"/>
              </w:rPr>
              <w:t xml:space="preserve"> </w:t>
            </w:r>
            <w:r w:rsidRPr="000C5309">
              <w:rPr>
                <w:rFonts w:asciiTheme="majorBidi" w:hAnsiTheme="majorBidi" w:cstheme="majorBidi"/>
                <w:color w:val="231F20"/>
                <w:sz w:val="20"/>
                <w:szCs w:val="20"/>
              </w:rPr>
              <w:t>or</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the</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outer</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packaging</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shall</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be</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rigid.</w:t>
            </w:r>
          </w:p>
          <w:p w14:paraId="4E1223E2" w14:textId="77777777" w:rsidR="001A5887" w:rsidRPr="000C5309" w:rsidRDefault="001A5887" w:rsidP="00D16C75">
            <w:pPr>
              <w:pStyle w:val="TableParagraph"/>
              <w:numPr>
                <w:ilvl w:val="0"/>
                <w:numId w:val="17"/>
              </w:numPr>
              <w:spacing w:before="58" w:line="228" w:lineRule="auto"/>
              <w:ind w:left="549" w:right="73" w:hanging="415"/>
              <w:jc w:val="both"/>
              <w:rPr>
                <w:rFonts w:asciiTheme="majorBidi" w:hAnsiTheme="majorBidi" w:cstheme="majorBidi"/>
                <w:sz w:val="20"/>
                <w:szCs w:val="20"/>
              </w:rPr>
            </w:pPr>
            <w:r w:rsidRPr="000C5309">
              <w:rPr>
                <w:rFonts w:asciiTheme="majorBidi" w:hAnsiTheme="majorBidi" w:cstheme="majorBidi"/>
                <w:color w:val="231F20"/>
                <w:sz w:val="20"/>
                <w:szCs w:val="20"/>
              </w:rPr>
              <w:t xml:space="preserve">Primary receptacles shall be packed in secondary </w:t>
            </w:r>
            <w:proofErr w:type="spellStart"/>
            <w:r w:rsidRPr="000C5309">
              <w:rPr>
                <w:rFonts w:asciiTheme="majorBidi" w:hAnsiTheme="majorBidi" w:cstheme="majorBidi"/>
                <w:color w:val="231F20"/>
                <w:sz w:val="20"/>
                <w:szCs w:val="20"/>
              </w:rPr>
              <w:t>packagings</w:t>
            </w:r>
            <w:proofErr w:type="spellEnd"/>
            <w:r w:rsidRPr="000C5309">
              <w:rPr>
                <w:rFonts w:asciiTheme="majorBidi" w:hAnsiTheme="majorBidi" w:cstheme="majorBidi"/>
                <w:color w:val="231F20"/>
                <w:sz w:val="20"/>
                <w:szCs w:val="20"/>
              </w:rPr>
              <w:t xml:space="preserve"> in such a way that, under normal conditions of</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 xml:space="preserve">transport, they cannot break, be </w:t>
            </w:r>
            <w:proofErr w:type="gramStart"/>
            <w:r w:rsidRPr="000C5309">
              <w:rPr>
                <w:rFonts w:asciiTheme="majorBidi" w:hAnsiTheme="majorBidi" w:cstheme="majorBidi"/>
                <w:color w:val="231F20"/>
                <w:sz w:val="20"/>
                <w:szCs w:val="20"/>
              </w:rPr>
              <w:t>punctured</w:t>
            </w:r>
            <w:proofErr w:type="gramEnd"/>
            <w:r w:rsidRPr="000C5309">
              <w:rPr>
                <w:rFonts w:asciiTheme="majorBidi" w:hAnsiTheme="majorBidi" w:cstheme="majorBidi"/>
                <w:color w:val="231F20"/>
                <w:sz w:val="20"/>
                <w:szCs w:val="20"/>
              </w:rPr>
              <w:t xml:space="preserve"> or leak their contents into the secondary packaging.</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Secondary</w:t>
            </w:r>
            <w:r w:rsidRPr="000C5309">
              <w:rPr>
                <w:rFonts w:asciiTheme="majorBidi" w:hAnsiTheme="majorBidi" w:cstheme="majorBidi"/>
                <w:color w:val="231F20"/>
                <w:spacing w:val="1"/>
                <w:sz w:val="20"/>
                <w:szCs w:val="20"/>
              </w:rPr>
              <w:t xml:space="preserve"> </w:t>
            </w:r>
            <w:proofErr w:type="spellStart"/>
            <w:r w:rsidRPr="000C5309">
              <w:rPr>
                <w:rFonts w:asciiTheme="majorBidi" w:hAnsiTheme="majorBidi" w:cstheme="majorBidi"/>
                <w:color w:val="231F20"/>
                <w:sz w:val="20"/>
                <w:szCs w:val="20"/>
              </w:rPr>
              <w:t>packagings</w:t>
            </w:r>
            <w:proofErr w:type="spellEnd"/>
            <w:r w:rsidRPr="000C5309">
              <w:rPr>
                <w:rFonts w:asciiTheme="majorBidi" w:hAnsiTheme="majorBidi" w:cstheme="majorBidi"/>
                <w:color w:val="231F20"/>
                <w:sz w:val="20"/>
                <w:szCs w:val="20"/>
              </w:rPr>
              <w:t xml:space="preserve"> shall be secured in outer </w:t>
            </w:r>
            <w:proofErr w:type="spellStart"/>
            <w:r w:rsidRPr="000C5309">
              <w:rPr>
                <w:rFonts w:asciiTheme="majorBidi" w:hAnsiTheme="majorBidi" w:cstheme="majorBidi"/>
                <w:color w:val="231F20"/>
                <w:sz w:val="20"/>
                <w:szCs w:val="20"/>
              </w:rPr>
              <w:t>packagings</w:t>
            </w:r>
            <w:proofErr w:type="spellEnd"/>
            <w:r w:rsidRPr="000C5309">
              <w:rPr>
                <w:rFonts w:asciiTheme="majorBidi" w:hAnsiTheme="majorBidi" w:cstheme="majorBidi"/>
                <w:color w:val="231F20"/>
                <w:sz w:val="20"/>
                <w:szCs w:val="20"/>
              </w:rPr>
              <w:t xml:space="preserve"> with suitable cushioning material. Any leakage of the contents</w:t>
            </w:r>
            <w:r w:rsidRPr="000C5309">
              <w:rPr>
                <w:rFonts w:asciiTheme="majorBidi" w:hAnsiTheme="majorBidi" w:cstheme="majorBidi"/>
                <w:color w:val="231F20"/>
                <w:spacing w:val="-47"/>
                <w:sz w:val="20"/>
                <w:szCs w:val="20"/>
              </w:rPr>
              <w:t xml:space="preserve"> </w:t>
            </w:r>
            <w:r w:rsidRPr="000C5309">
              <w:rPr>
                <w:rFonts w:asciiTheme="majorBidi" w:hAnsiTheme="majorBidi" w:cstheme="majorBidi"/>
                <w:color w:val="231F20"/>
                <w:sz w:val="20"/>
                <w:szCs w:val="20"/>
              </w:rPr>
              <w:t>shall</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not</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compromise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the integrity</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of</w:t>
            </w:r>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the cushioning</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material</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or of</w:t>
            </w:r>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the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outer packaging.</w:t>
            </w:r>
          </w:p>
          <w:p w14:paraId="28F776D9" w14:textId="77777777" w:rsidR="001A5887" w:rsidRPr="000C5309" w:rsidRDefault="001A5887" w:rsidP="001A5887">
            <w:pPr>
              <w:pStyle w:val="TableParagraph"/>
              <w:numPr>
                <w:ilvl w:val="0"/>
                <w:numId w:val="17"/>
              </w:numPr>
              <w:tabs>
                <w:tab w:val="left" w:pos="624"/>
              </w:tabs>
              <w:spacing w:before="62" w:line="228" w:lineRule="auto"/>
              <w:ind w:left="559" w:right="71" w:hanging="425"/>
              <w:jc w:val="both"/>
              <w:rPr>
                <w:rFonts w:asciiTheme="majorBidi" w:hAnsiTheme="majorBidi" w:cstheme="majorBidi"/>
                <w:sz w:val="20"/>
                <w:szCs w:val="20"/>
              </w:rPr>
            </w:pPr>
            <w:r w:rsidRPr="000C5309">
              <w:rPr>
                <w:rFonts w:asciiTheme="majorBidi" w:hAnsiTheme="majorBidi" w:cstheme="majorBidi"/>
                <w:color w:val="231F20"/>
                <w:sz w:val="20"/>
                <w:szCs w:val="20"/>
              </w:rPr>
              <w:t>For transport, the mark illustrated below shall be displayed on the external surface of the outer packaging on a</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 xml:space="preserve">background of a contrasting </w:t>
            </w:r>
            <w:proofErr w:type="spellStart"/>
            <w:r w:rsidRPr="000C5309">
              <w:rPr>
                <w:rFonts w:asciiTheme="majorBidi" w:hAnsiTheme="majorBidi" w:cstheme="majorBidi"/>
                <w:color w:val="231F20"/>
                <w:sz w:val="20"/>
                <w:szCs w:val="20"/>
              </w:rPr>
              <w:t>colour</w:t>
            </w:r>
            <w:proofErr w:type="spellEnd"/>
            <w:r w:rsidRPr="000C5309">
              <w:rPr>
                <w:rFonts w:asciiTheme="majorBidi" w:hAnsiTheme="majorBidi" w:cstheme="majorBidi"/>
                <w:color w:val="231F20"/>
                <w:sz w:val="20"/>
                <w:szCs w:val="20"/>
              </w:rPr>
              <w:t xml:space="preserve"> and shall be clearly visible and legible. The mark shall be in the form of a</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square set at an angle of 45° (diamond-shaped) with each side having a length of at least 50 mm; the width of</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the</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line</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shall</w:t>
            </w:r>
            <w:r w:rsidRPr="000C5309">
              <w:rPr>
                <w:rFonts w:asciiTheme="majorBidi" w:hAnsiTheme="majorBidi" w:cstheme="majorBidi"/>
                <w:color w:val="231F20"/>
                <w:spacing w:val="-6"/>
                <w:sz w:val="20"/>
                <w:szCs w:val="20"/>
              </w:rPr>
              <w:t xml:space="preserve"> </w:t>
            </w:r>
            <w:r w:rsidRPr="000C5309">
              <w:rPr>
                <w:rFonts w:asciiTheme="majorBidi" w:hAnsiTheme="majorBidi" w:cstheme="majorBidi"/>
                <w:color w:val="231F20"/>
                <w:sz w:val="20"/>
                <w:szCs w:val="20"/>
              </w:rPr>
              <w:t>be</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at</w:t>
            </w:r>
            <w:r w:rsidRPr="000C5309">
              <w:rPr>
                <w:rFonts w:asciiTheme="majorBidi" w:hAnsiTheme="majorBidi" w:cstheme="majorBidi"/>
                <w:color w:val="231F20"/>
                <w:spacing w:val="-9"/>
                <w:sz w:val="20"/>
                <w:szCs w:val="20"/>
              </w:rPr>
              <w:t xml:space="preserve"> </w:t>
            </w:r>
            <w:r w:rsidRPr="000C5309">
              <w:rPr>
                <w:rFonts w:asciiTheme="majorBidi" w:hAnsiTheme="majorBidi" w:cstheme="majorBidi"/>
                <w:color w:val="231F20"/>
                <w:sz w:val="20"/>
                <w:szCs w:val="20"/>
              </w:rPr>
              <w:t>least</w:t>
            </w:r>
            <w:r w:rsidRPr="000C5309">
              <w:rPr>
                <w:rFonts w:asciiTheme="majorBidi" w:hAnsiTheme="majorBidi" w:cstheme="majorBidi"/>
                <w:color w:val="231F20"/>
                <w:spacing w:val="-6"/>
                <w:sz w:val="20"/>
                <w:szCs w:val="20"/>
              </w:rPr>
              <w:t xml:space="preserve"> </w:t>
            </w:r>
            <w:r w:rsidRPr="000C5309">
              <w:rPr>
                <w:rFonts w:asciiTheme="majorBidi" w:hAnsiTheme="majorBidi" w:cstheme="majorBidi"/>
                <w:color w:val="231F20"/>
                <w:sz w:val="20"/>
                <w:szCs w:val="20"/>
              </w:rPr>
              <w:t>2</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mm</w:t>
            </w:r>
            <w:r w:rsidRPr="000C5309">
              <w:rPr>
                <w:rFonts w:asciiTheme="majorBidi" w:hAnsiTheme="majorBidi" w:cstheme="majorBidi"/>
                <w:color w:val="231F20"/>
                <w:spacing w:val="-8"/>
                <w:sz w:val="20"/>
                <w:szCs w:val="20"/>
              </w:rPr>
              <w:t xml:space="preserve"> </w:t>
            </w:r>
            <w:r w:rsidRPr="000C5309">
              <w:rPr>
                <w:rFonts w:asciiTheme="majorBidi" w:hAnsiTheme="majorBidi" w:cstheme="majorBidi"/>
                <w:color w:val="231F20"/>
                <w:sz w:val="20"/>
                <w:szCs w:val="20"/>
              </w:rPr>
              <w:t>and</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the</w:t>
            </w:r>
            <w:r w:rsidRPr="000C5309">
              <w:rPr>
                <w:rFonts w:asciiTheme="majorBidi" w:hAnsiTheme="majorBidi" w:cstheme="majorBidi"/>
                <w:color w:val="231F20"/>
                <w:spacing w:val="-5"/>
                <w:sz w:val="20"/>
                <w:szCs w:val="20"/>
              </w:rPr>
              <w:t xml:space="preserve"> </w:t>
            </w:r>
            <w:r w:rsidRPr="000C5309">
              <w:rPr>
                <w:rFonts w:asciiTheme="majorBidi" w:hAnsiTheme="majorBidi" w:cstheme="majorBidi"/>
                <w:color w:val="231F20"/>
                <w:sz w:val="20"/>
                <w:szCs w:val="20"/>
              </w:rPr>
              <w:t>letters</w:t>
            </w:r>
            <w:r w:rsidRPr="000C5309">
              <w:rPr>
                <w:rFonts w:asciiTheme="majorBidi" w:hAnsiTheme="majorBidi" w:cstheme="majorBidi"/>
                <w:color w:val="231F20"/>
                <w:spacing w:val="-6"/>
                <w:sz w:val="20"/>
                <w:szCs w:val="20"/>
              </w:rPr>
              <w:t xml:space="preserve"> </w:t>
            </w:r>
            <w:r w:rsidRPr="000C5309">
              <w:rPr>
                <w:rFonts w:asciiTheme="majorBidi" w:hAnsiTheme="majorBidi" w:cstheme="majorBidi"/>
                <w:color w:val="231F20"/>
                <w:sz w:val="20"/>
                <w:szCs w:val="20"/>
              </w:rPr>
              <w:t>and</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numbers</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shall</w:t>
            </w:r>
            <w:r w:rsidRPr="000C5309">
              <w:rPr>
                <w:rFonts w:asciiTheme="majorBidi" w:hAnsiTheme="majorBidi" w:cstheme="majorBidi"/>
                <w:color w:val="231F20"/>
                <w:spacing w:val="-6"/>
                <w:sz w:val="20"/>
                <w:szCs w:val="20"/>
              </w:rPr>
              <w:t xml:space="preserve"> </w:t>
            </w:r>
            <w:r w:rsidRPr="000C5309">
              <w:rPr>
                <w:rFonts w:asciiTheme="majorBidi" w:hAnsiTheme="majorBidi" w:cstheme="majorBidi"/>
                <w:color w:val="231F20"/>
                <w:sz w:val="20"/>
                <w:szCs w:val="20"/>
              </w:rPr>
              <w:t>be</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at</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least</w:t>
            </w:r>
            <w:r w:rsidRPr="000C5309">
              <w:rPr>
                <w:rFonts w:asciiTheme="majorBidi" w:hAnsiTheme="majorBidi" w:cstheme="majorBidi"/>
                <w:color w:val="231F20"/>
                <w:spacing w:val="-6"/>
                <w:sz w:val="20"/>
                <w:szCs w:val="20"/>
              </w:rPr>
              <w:t xml:space="preserve"> </w:t>
            </w:r>
            <w:r w:rsidRPr="000C5309">
              <w:rPr>
                <w:rFonts w:asciiTheme="majorBidi" w:hAnsiTheme="majorBidi" w:cstheme="majorBidi"/>
                <w:color w:val="231F20"/>
                <w:sz w:val="20"/>
                <w:szCs w:val="20"/>
              </w:rPr>
              <w:t>6</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mm</w:t>
            </w:r>
            <w:r w:rsidRPr="000C5309">
              <w:rPr>
                <w:rFonts w:asciiTheme="majorBidi" w:hAnsiTheme="majorBidi" w:cstheme="majorBidi"/>
                <w:color w:val="231F20"/>
                <w:spacing w:val="-9"/>
                <w:sz w:val="20"/>
                <w:szCs w:val="20"/>
              </w:rPr>
              <w:t xml:space="preserve"> </w:t>
            </w:r>
            <w:r w:rsidRPr="000C5309">
              <w:rPr>
                <w:rFonts w:asciiTheme="majorBidi" w:hAnsiTheme="majorBidi" w:cstheme="majorBidi"/>
                <w:color w:val="231F20"/>
                <w:sz w:val="20"/>
                <w:szCs w:val="20"/>
              </w:rPr>
              <w:t>high.</w:t>
            </w:r>
            <w:r w:rsidRPr="000C5309">
              <w:rPr>
                <w:rFonts w:asciiTheme="majorBidi" w:hAnsiTheme="majorBidi" w:cstheme="majorBidi"/>
                <w:color w:val="231F20"/>
                <w:spacing w:val="-5"/>
                <w:sz w:val="20"/>
                <w:szCs w:val="20"/>
              </w:rPr>
              <w:t xml:space="preserve"> </w:t>
            </w:r>
            <w:r w:rsidRPr="000C5309">
              <w:rPr>
                <w:rFonts w:asciiTheme="majorBidi" w:hAnsiTheme="majorBidi" w:cstheme="majorBidi"/>
                <w:color w:val="231F20"/>
                <w:sz w:val="20"/>
                <w:szCs w:val="20"/>
              </w:rPr>
              <w:t>The</w:t>
            </w:r>
            <w:r w:rsidRPr="000C5309">
              <w:rPr>
                <w:rFonts w:asciiTheme="majorBidi" w:hAnsiTheme="majorBidi" w:cstheme="majorBidi"/>
                <w:color w:val="231F20"/>
                <w:spacing w:val="-11"/>
                <w:sz w:val="20"/>
                <w:szCs w:val="20"/>
              </w:rPr>
              <w:t xml:space="preserve"> </w:t>
            </w:r>
            <w:r w:rsidRPr="000C5309">
              <w:rPr>
                <w:rFonts w:asciiTheme="majorBidi" w:hAnsiTheme="majorBidi" w:cstheme="majorBidi"/>
                <w:color w:val="231F20"/>
                <w:sz w:val="20"/>
                <w:szCs w:val="20"/>
              </w:rPr>
              <w:t>proper</w:t>
            </w:r>
            <w:r w:rsidRPr="000C5309">
              <w:rPr>
                <w:rFonts w:asciiTheme="majorBidi" w:hAnsiTheme="majorBidi" w:cstheme="majorBidi"/>
                <w:color w:val="231F20"/>
                <w:spacing w:val="-7"/>
                <w:sz w:val="20"/>
                <w:szCs w:val="20"/>
              </w:rPr>
              <w:t xml:space="preserve"> </w:t>
            </w:r>
            <w:r w:rsidRPr="000C5309">
              <w:rPr>
                <w:rFonts w:asciiTheme="majorBidi" w:hAnsiTheme="majorBidi" w:cstheme="majorBidi"/>
                <w:color w:val="231F20"/>
                <w:sz w:val="20"/>
                <w:szCs w:val="20"/>
              </w:rPr>
              <w:t>shipping</w:t>
            </w:r>
            <w:r w:rsidRPr="000C5309">
              <w:rPr>
                <w:rFonts w:asciiTheme="majorBidi" w:hAnsiTheme="majorBidi" w:cstheme="majorBidi"/>
                <w:color w:val="231F20"/>
                <w:spacing w:val="-6"/>
                <w:sz w:val="20"/>
                <w:szCs w:val="20"/>
              </w:rPr>
              <w:t xml:space="preserve"> </w:t>
            </w:r>
            <w:r w:rsidRPr="000C5309">
              <w:rPr>
                <w:rFonts w:asciiTheme="majorBidi" w:hAnsiTheme="majorBidi" w:cstheme="majorBidi"/>
                <w:color w:val="231F20"/>
                <w:sz w:val="20"/>
                <w:szCs w:val="20"/>
              </w:rPr>
              <w:t>name</w:t>
            </w:r>
            <w:r w:rsidRPr="000C5309">
              <w:rPr>
                <w:rFonts w:asciiTheme="majorBidi" w:hAnsiTheme="majorBidi" w:cstheme="majorBidi"/>
                <w:color w:val="231F20"/>
                <w:spacing w:val="-48"/>
                <w:sz w:val="20"/>
                <w:szCs w:val="20"/>
              </w:rPr>
              <w:t xml:space="preserve"> </w:t>
            </w:r>
            <w:r w:rsidRPr="000C5309">
              <w:rPr>
                <w:rFonts w:asciiTheme="majorBidi" w:hAnsiTheme="majorBidi" w:cstheme="majorBidi"/>
                <w:color w:val="231F20"/>
                <w:sz w:val="20"/>
                <w:szCs w:val="20"/>
              </w:rPr>
              <w:t>“BIOLOGICAL SUBSTANCE, CATEGORY B” in letters at least 6 mm high shall be marked on the outer</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packaging</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adjacent to the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diamond-shaped</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mark.</w:t>
            </w:r>
          </w:p>
          <w:p w14:paraId="47F0F1C3" w14:textId="5207AB55" w:rsidR="001A5887" w:rsidRDefault="00B4389C" w:rsidP="00B4389C">
            <w:pPr>
              <w:pStyle w:val="TableParagraph"/>
              <w:spacing w:before="6"/>
              <w:jc w:val="center"/>
              <w:rPr>
                <w:rFonts w:asciiTheme="majorBidi" w:hAnsiTheme="majorBidi" w:cstheme="majorBidi"/>
                <w:b/>
                <w:i/>
                <w:sz w:val="20"/>
                <w:szCs w:val="20"/>
              </w:rPr>
            </w:pPr>
            <w:r w:rsidRPr="00E35622">
              <w:rPr>
                <w:noProof/>
                <w:lang w:val="en-GB" w:eastAsia="en-GB"/>
              </w:rPr>
              <w:drawing>
                <wp:inline distT="0" distB="0" distL="0" distR="0" wp14:anchorId="0B44BBB7" wp14:editId="3DCCF10F">
                  <wp:extent cx="1270861" cy="1270861"/>
                  <wp:effectExtent l="0" t="0" r="5715" b="5715"/>
                  <wp:docPr id="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1764" cy="1281764"/>
                          </a:xfrm>
                          <a:prstGeom prst="rect">
                            <a:avLst/>
                          </a:prstGeom>
                          <a:noFill/>
                          <a:ln>
                            <a:noFill/>
                          </a:ln>
                        </pic:spPr>
                      </pic:pic>
                    </a:graphicData>
                  </a:graphic>
                </wp:inline>
              </w:drawing>
            </w:r>
          </w:p>
          <w:p w14:paraId="2A463CA7" w14:textId="51BB440F" w:rsidR="001A5887" w:rsidRPr="000C5309" w:rsidRDefault="001A5887" w:rsidP="00EE57F8">
            <w:pPr>
              <w:pStyle w:val="TableParagraph"/>
              <w:numPr>
                <w:ilvl w:val="0"/>
                <w:numId w:val="17"/>
              </w:numPr>
              <w:tabs>
                <w:tab w:val="left" w:pos="544"/>
              </w:tabs>
              <w:spacing w:before="51"/>
              <w:ind w:left="544" w:hanging="420"/>
              <w:jc w:val="both"/>
              <w:rPr>
                <w:rFonts w:asciiTheme="majorBidi" w:hAnsiTheme="majorBidi" w:cstheme="majorBidi"/>
                <w:sz w:val="20"/>
                <w:szCs w:val="20"/>
              </w:rPr>
            </w:pPr>
            <w:r w:rsidRPr="000C5309">
              <w:rPr>
                <w:rFonts w:asciiTheme="majorBidi" w:hAnsiTheme="majorBidi" w:cstheme="majorBidi"/>
                <w:color w:val="231F20"/>
                <w:sz w:val="20"/>
                <w:szCs w:val="20"/>
              </w:rPr>
              <w:t>At</w:t>
            </w:r>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least</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one</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surface</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of</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the</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outer</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packaging</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shall</w:t>
            </w:r>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have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a</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minimum</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dimension</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of</w:t>
            </w:r>
            <w:r w:rsidRPr="000C5309">
              <w:rPr>
                <w:rFonts w:asciiTheme="majorBidi" w:hAnsiTheme="majorBidi" w:cstheme="majorBidi"/>
                <w:color w:val="231F20"/>
                <w:spacing w:val="-4"/>
                <w:sz w:val="20"/>
                <w:szCs w:val="20"/>
              </w:rPr>
              <w:t xml:space="preserve"> </w:t>
            </w:r>
            <w:r w:rsidRPr="000C5309">
              <w:rPr>
                <w:rFonts w:asciiTheme="majorBidi" w:hAnsiTheme="majorBidi" w:cstheme="majorBidi"/>
                <w:color w:val="231F20"/>
                <w:sz w:val="20"/>
                <w:szCs w:val="20"/>
              </w:rPr>
              <w:t>100</w:t>
            </w:r>
            <w:r w:rsidRPr="000C5309">
              <w:rPr>
                <w:rFonts w:asciiTheme="majorBidi" w:hAnsiTheme="majorBidi" w:cstheme="majorBidi"/>
                <w:color w:val="231F20"/>
                <w:spacing w:val="8"/>
                <w:sz w:val="20"/>
                <w:szCs w:val="20"/>
              </w:rPr>
              <w:t xml:space="preserve"> </w:t>
            </w:r>
            <w:r w:rsidRPr="000C5309">
              <w:rPr>
                <w:rFonts w:asciiTheme="majorBidi" w:hAnsiTheme="majorBidi" w:cstheme="majorBidi"/>
                <w:color w:val="231F20"/>
                <w:sz w:val="20"/>
                <w:szCs w:val="20"/>
              </w:rPr>
              <w:t>mm</w:t>
            </w:r>
            <w:r w:rsidRPr="000C5309">
              <w:rPr>
                <w:rFonts w:asciiTheme="majorBidi" w:hAnsiTheme="majorBidi" w:cstheme="majorBidi"/>
                <w:color w:val="231F20"/>
                <w:spacing w:val="-3"/>
                <w:sz w:val="20"/>
                <w:szCs w:val="20"/>
              </w:rPr>
              <w:t xml:space="preserve"> </w:t>
            </w:r>
            <w:r w:rsidR="00B4389C">
              <w:rPr>
                <w:rFonts w:asciiTheme="majorBidi" w:hAnsiTheme="majorBidi" w:cstheme="majorBidi"/>
                <w:color w:val="231F20"/>
                <w:sz w:val="20"/>
                <w:szCs w:val="20"/>
              </w:rPr>
              <w:t>x</w:t>
            </w:r>
            <w:r w:rsidRPr="000C5309">
              <w:rPr>
                <w:rFonts w:asciiTheme="majorBidi" w:hAnsiTheme="majorBidi" w:cstheme="majorBidi"/>
                <w:color w:val="231F20"/>
                <w:spacing w:val="-6"/>
                <w:sz w:val="20"/>
                <w:szCs w:val="20"/>
              </w:rPr>
              <w:t xml:space="preserve"> </w:t>
            </w:r>
            <w:r w:rsidRPr="000C5309">
              <w:rPr>
                <w:rFonts w:asciiTheme="majorBidi" w:hAnsiTheme="majorBidi" w:cstheme="majorBidi"/>
                <w:color w:val="231F20"/>
                <w:sz w:val="20"/>
                <w:szCs w:val="20"/>
              </w:rPr>
              <w:t>100</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mm.</w:t>
            </w:r>
          </w:p>
          <w:p w14:paraId="63918C10" w14:textId="31A227DC" w:rsidR="001A5887" w:rsidRPr="000C5309" w:rsidRDefault="001A5887" w:rsidP="00EE57F8">
            <w:pPr>
              <w:pStyle w:val="TableParagraph"/>
              <w:numPr>
                <w:ilvl w:val="0"/>
                <w:numId w:val="17"/>
              </w:numPr>
              <w:tabs>
                <w:tab w:val="left" w:pos="544"/>
              </w:tabs>
              <w:spacing w:before="51"/>
              <w:ind w:left="544" w:hanging="420"/>
              <w:jc w:val="both"/>
              <w:rPr>
                <w:rFonts w:asciiTheme="majorBidi" w:hAnsiTheme="majorBidi" w:cstheme="majorBidi"/>
                <w:sz w:val="20"/>
                <w:szCs w:val="20"/>
              </w:rPr>
            </w:pPr>
            <w:r w:rsidRPr="000C5309">
              <w:rPr>
                <w:rFonts w:asciiTheme="majorBidi" w:hAnsiTheme="majorBidi" w:cstheme="majorBidi"/>
                <w:color w:val="231F20"/>
                <w:sz w:val="20"/>
                <w:szCs w:val="20"/>
              </w:rPr>
              <w:t xml:space="preserve">The completed package shall be capable of successfully passing </w:t>
            </w:r>
            <w:r w:rsidRPr="000C5309">
              <w:rPr>
                <w:rFonts w:asciiTheme="majorBidi" w:hAnsiTheme="majorBidi" w:cstheme="majorBidi"/>
                <w:sz w:val="20"/>
                <w:szCs w:val="20"/>
              </w:rPr>
              <w:t>the drop test in 6.3.5.3.</w:t>
            </w:r>
            <w:r w:rsidRPr="000C5309">
              <w:rPr>
                <w:rFonts w:asciiTheme="majorBidi" w:hAnsiTheme="majorBidi" w:cstheme="majorBidi"/>
                <w:sz w:val="20"/>
                <w:szCs w:val="20"/>
                <w:u w:val="single"/>
              </w:rPr>
              <w:t xml:space="preserve">1-4 </w:t>
            </w:r>
            <w:r w:rsidRPr="000C5309">
              <w:rPr>
                <w:rFonts w:asciiTheme="majorBidi" w:hAnsiTheme="majorBidi" w:cstheme="majorBidi"/>
                <w:strike/>
                <w:sz w:val="20"/>
                <w:szCs w:val="20"/>
              </w:rPr>
              <w:t>as specified in 6.3.5.2 of these Regulations</w:t>
            </w:r>
            <w:r w:rsidRPr="000C5309">
              <w:rPr>
                <w:rFonts w:asciiTheme="majorBidi" w:hAnsiTheme="majorBidi" w:cstheme="majorBidi"/>
                <w:sz w:val="20"/>
                <w:szCs w:val="20"/>
              </w:rPr>
              <w:t xml:space="preserve"> at a height of 1.2 m. </w:t>
            </w:r>
            <w:proofErr w:type="gramStart"/>
            <w:r w:rsidRPr="000C5309">
              <w:rPr>
                <w:rFonts w:asciiTheme="majorBidi" w:hAnsiTheme="majorBidi" w:cstheme="majorBidi"/>
                <w:strike/>
                <w:sz w:val="20"/>
                <w:szCs w:val="20"/>
              </w:rPr>
              <w:t>Following the appropriate drop sequence, there</w:t>
            </w:r>
            <w:proofErr w:type="gramEnd"/>
            <w:r w:rsidRPr="000C5309">
              <w:rPr>
                <w:rFonts w:asciiTheme="majorBidi" w:hAnsiTheme="majorBidi" w:cstheme="majorBidi"/>
                <w:strike/>
                <w:sz w:val="20"/>
                <w:szCs w:val="20"/>
              </w:rPr>
              <w:t xml:space="preserve"> shall be no leakage from the primary receptacle(s) which shall remain protected by absorbent material, when required, in the secondary packaging</w:t>
            </w:r>
            <w:r w:rsidRPr="000C5309">
              <w:rPr>
                <w:rFonts w:asciiTheme="majorBidi" w:hAnsiTheme="majorBidi" w:cstheme="majorBidi"/>
                <w:sz w:val="20"/>
                <w:szCs w:val="20"/>
              </w:rPr>
              <w:t>.</w:t>
            </w:r>
          </w:p>
          <w:p w14:paraId="61B720E5" w14:textId="77777777" w:rsidR="001A5887" w:rsidRPr="004D6660" w:rsidRDefault="001A5887" w:rsidP="00EE57F8">
            <w:pPr>
              <w:pStyle w:val="TableParagraph"/>
              <w:spacing w:before="51"/>
              <w:ind w:left="544"/>
              <w:jc w:val="both"/>
              <w:rPr>
                <w:rFonts w:asciiTheme="majorBidi" w:hAnsiTheme="majorBidi" w:cstheme="majorBidi"/>
                <w:i/>
                <w:iCs/>
                <w:sz w:val="20"/>
                <w:szCs w:val="20"/>
                <w:u w:val="single"/>
              </w:rPr>
            </w:pPr>
            <w:r w:rsidRPr="004D6660">
              <w:rPr>
                <w:rFonts w:asciiTheme="majorBidi" w:hAnsiTheme="majorBidi" w:cstheme="majorBidi"/>
                <w:b/>
                <w:bCs/>
                <w:i/>
                <w:iCs/>
                <w:sz w:val="20"/>
                <w:szCs w:val="20"/>
                <w:u w:val="single"/>
              </w:rPr>
              <w:t>Note:</w:t>
            </w:r>
            <w:r w:rsidRPr="004D6660">
              <w:rPr>
                <w:rFonts w:asciiTheme="majorBidi" w:hAnsiTheme="majorBidi" w:cstheme="majorBidi"/>
                <w:i/>
                <w:iCs/>
                <w:sz w:val="20"/>
                <w:szCs w:val="20"/>
                <w:u w:val="single"/>
              </w:rPr>
              <w:t xml:space="preserve"> Capability can be demonstrated by direct testing, or alternatively by means such as engineering analysis, testing with an item of similar mass and size, or other equivalent means.</w:t>
            </w:r>
          </w:p>
          <w:p w14:paraId="4975DE49" w14:textId="77777777" w:rsidR="001A5887" w:rsidRPr="000C5309" w:rsidRDefault="001A5887" w:rsidP="00EE57F8">
            <w:pPr>
              <w:pStyle w:val="TableParagraph"/>
              <w:numPr>
                <w:ilvl w:val="0"/>
                <w:numId w:val="17"/>
              </w:numPr>
              <w:tabs>
                <w:tab w:val="left" w:pos="544"/>
              </w:tabs>
              <w:spacing w:before="51"/>
              <w:ind w:left="544" w:hanging="425"/>
              <w:jc w:val="both"/>
              <w:rPr>
                <w:rFonts w:asciiTheme="majorBidi" w:hAnsiTheme="majorBidi" w:cstheme="majorBidi"/>
                <w:sz w:val="20"/>
                <w:szCs w:val="20"/>
              </w:rPr>
            </w:pPr>
            <w:r w:rsidRPr="000C5309">
              <w:rPr>
                <w:rFonts w:asciiTheme="majorBidi" w:hAnsiTheme="majorBidi" w:cstheme="majorBidi"/>
                <w:color w:val="231F20"/>
                <w:sz w:val="20"/>
                <w:szCs w:val="20"/>
              </w:rPr>
              <w:t>For</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liquid</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substances</w:t>
            </w:r>
          </w:p>
          <w:p w14:paraId="49DD8257" w14:textId="66741CF5" w:rsidR="001A5887" w:rsidRPr="00820DF8" w:rsidRDefault="00B93F3E" w:rsidP="00EE57F8">
            <w:pPr>
              <w:pStyle w:val="TableParagraph"/>
              <w:tabs>
                <w:tab w:val="left" w:pos="1111"/>
              </w:tabs>
              <w:spacing w:before="56"/>
              <w:ind w:left="1111" w:hanging="567"/>
              <w:jc w:val="both"/>
              <w:rPr>
                <w:rFonts w:asciiTheme="majorBidi" w:hAnsiTheme="majorBidi" w:cstheme="majorBidi"/>
                <w:color w:val="231F20"/>
                <w:sz w:val="20"/>
                <w:szCs w:val="20"/>
              </w:rPr>
            </w:pPr>
            <w:r>
              <w:rPr>
                <w:rFonts w:asciiTheme="majorBidi" w:hAnsiTheme="majorBidi" w:cstheme="majorBidi"/>
                <w:color w:val="231F20"/>
                <w:sz w:val="20"/>
                <w:szCs w:val="20"/>
              </w:rPr>
              <w:t>(a)</w:t>
            </w:r>
            <w:r>
              <w:rPr>
                <w:rFonts w:asciiTheme="majorBidi" w:hAnsiTheme="majorBidi" w:cstheme="majorBidi"/>
                <w:color w:val="231F20"/>
                <w:sz w:val="20"/>
                <w:szCs w:val="20"/>
              </w:rPr>
              <w:tab/>
            </w:r>
            <w:r w:rsidR="001A5887" w:rsidRPr="000C5309">
              <w:rPr>
                <w:rFonts w:asciiTheme="majorBidi" w:hAnsiTheme="majorBidi" w:cstheme="majorBidi"/>
                <w:color w:val="231F20"/>
                <w:sz w:val="20"/>
                <w:szCs w:val="20"/>
              </w:rPr>
              <w:t>The</w:t>
            </w:r>
            <w:r w:rsidR="001A5887" w:rsidRPr="00820DF8">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primary</w:t>
            </w:r>
            <w:r w:rsidR="001A5887" w:rsidRPr="00820DF8">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receptacle(s)</w:t>
            </w:r>
            <w:r w:rsidR="001A5887" w:rsidRPr="00820DF8">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shall</w:t>
            </w:r>
            <w:r w:rsidR="001A5887" w:rsidRPr="00820DF8">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be</w:t>
            </w:r>
            <w:r w:rsidR="001A5887" w:rsidRPr="00820DF8">
              <w:rPr>
                <w:rFonts w:asciiTheme="majorBidi" w:hAnsiTheme="majorBidi" w:cstheme="majorBidi"/>
                <w:color w:val="231F20"/>
                <w:sz w:val="20"/>
                <w:szCs w:val="20"/>
              </w:rPr>
              <w:t xml:space="preserve"> </w:t>
            </w:r>
            <w:proofErr w:type="gramStart"/>
            <w:r w:rsidR="001A5887" w:rsidRPr="000C5309">
              <w:rPr>
                <w:rFonts w:asciiTheme="majorBidi" w:hAnsiTheme="majorBidi" w:cstheme="majorBidi"/>
                <w:color w:val="231F20"/>
                <w:sz w:val="20"/>
                <w:szCs w:val="20"/>
              </w:rPr>
              <w:t>leakproof;</w:t>
            </w:r>
            <w:proofErr w:type="gramEnd"/>
          </w:p>
          <w:p w14:paraId="51DE2C0E" w14:textId="70786880" w:rsidR="001A5887" w:rsidRPr="00B93F3E" w:rsidRDefault="00820DF8" w:rsidP="00EE57F8">
            <w:pPr>
              <w:pStyle w:val="TableParagraph"/>
              <w:tabs>
                <w:tab w:val="left" w:pos="1111"/>
              </w:tabs>
              <w:spacing w:before="56"/>
              <w:ind w:left="1111" w:hanging="567"/>
              <w:jc w:val="both"/>
              <w:rPr>
                <w:rFonts w:asciiTheme="majorBidi" w:hAnsiTheme="majorBidi" w:cstheme="majorBidi"/>
                <w:color w:val="231F20"/>
                <w:sz w:val="20"/>
                <w:szCs w:val="20"/>
              </w:rPr>
            </w:pPr>
            <w:r>
              <w:rPr>
                <w:rFonts w:asciiTheme="majorBidi" w:hAnsiTheme="majorBidi" w:cstheme="majorBidi"/>
                <w:color w:val="231F20"/>
                <w:sz w:val="20"/>
                <w:szCs w:val="20"/>
              </w:rPr>
              <w:t>(b)</w:t>
            </w:r>
            <w:r>
              <w:rPr>
                <w:rFonts w:asciiTheme="majorBidi" w:hAnsiTheme="majorBidi" w:cstheme="majorBidi"/>
                <w:color w:val="231F20"/>
                <w:sz w:val="20"/>
                <w:szCs w:val="20"/>
              </w:rPr>
              <w:tab/>
            </w:r>
            <w:r w:rsidR="001A5887" w:rsidRPr="000C5309">
              <w:rPr>
                <w:rFonts w:asciiTheme="majorBidi" w:hAnsiTheme="majorBidi" w:cstheme="majorBidi"/>
                <w:color w:val="231F20"/>
                <w:sz w:val="20"/>
                <w:szCs w:val="20"/>
              </w:rPr>
              <w:t>The</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secondary</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packaging</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shall</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be</w:t>
            </w:r>
            <w:r w:rsidR="001A5887" w:rsidRPr="00B93F3E">
              <w:rPr>
                <w:rFonts w:asciiTheme="majorBidi" w:hAnsiTheme="majorBidi" w:cstheme="majorBidi"/>
                <w:color w:val="231F20"/>
                <w:sz w:val="20"/>
                <w:szCs w:val="20"/>
              </w:rPr>
              <w:t xml:space="preserve"> </w:t>
            </w:r>
            <w:proofErr w:type="gramStart"/>
            <w:r w:rsidR="001A5887" w:rsidRPr="000C5309">
              <w:rPr>
                <w:rFonts w:asciiTheme="majorBidi" w:hAnsiTheme="majorBidi" w:cstheme="majorBidi"/>
                <w:color w:val="231F20"/>
                <w:sz w:val="20"/>
                <w:szCs w:val="20"/>
              </w:rPr>
              <w:t>leakproof;</w:t>
            </w:r>
            <w:proofErr w:type="gramEnd"/>
          </w:p>
          <w:p w14:paraId="534CF6DE" w14:textId="280361F6" w:rsidR="001A5887" w:rsidRPr="00B93F3E" w:rsidRDefault="00820DF8" w:rsidP="00EE57F8">
            <w:pPr>
              <w:pStyle w:val="TableParagraph"/>
              <w:tabs>
                <w:tab w:val="left" w:pos="1111"/>
              </w:tabs>
              <w:spacing w:before="56"/>
              <w:ind w:left="1111" w:hanging="567"/>
              <w:jc w:val="both"/>
              <w:rPr>
                <w:rFonts w:asciiTheme="majorBidi" w:hAnsiTheme="majorBidi" w:cstheme="majorBidi"/>
                <w:color w:val="231F20"/>
                <w:sz w:val="20"/>
                <w:szCs w:val="20"/>
              </w:rPr>
            </w:pPr>
            <w:r>
              <w:rPr>
                <w:rFonts w:asciiTheme="majorBidi" w:hAnsiTheme="majorBidi" w:cstheme="majorBidi"/>
                <w:color w:val="231F20"/>
                <w:sz w:val="20"/>
                <w:szCs w:val="20"/>
              </w:rPr>
              <w:t>(c)</w:t>
            </w:r>
            <w:r>
              <w:rPr>
                <w:rFonts w:asciiTheme="majorBidi" w:hAnsiTheme="majorBidi" w:cstheme="majorBidi"/>
                <w:color w:val="231F20"/>
                <w:sz w:val="20"/>
                <w:szCs w:val="20"/>
              </w:rPr>
              <w:tab/>
            </w:r>
            <w:r w:rsidR="001A5887" w:rsidRPr="000C5309">
              <w:rPr>
                <w:rFonts w:asciiTheme="majorBidi" w:hAnsiTheme="majorBidi" w:cstheme="majorBidi"/>
                <w:color w:val="231F20"/>
                <w:sz w:val="20"/>
                <w:szCs w:val="20"/>
              </w:rPr>
              <w:t>If multiple fragile primary receptacles are placed in a single secondary packaging, they shall be either</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individually</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wrapped or</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separated</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to</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prevent contact</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between</w:t>
            </w:r>
            <w:r w:rsidR="001A5887" w:rsidRPr="00B93F3E">
              <w:rPr>
                <w:rFonts w:asciiTheme="majorBidi" w:hAnsiTheme="majorBidi" w:cstheme="majorBidi"/>
                <w:color w:val="231F20"/>
                <w:sz w:val="20"/>
                <w:szCs w:val="20"/>
              </w:rPr>
              <w:t xml:space="preserve"> </w:t>
            </w:r>
            <w:proofErr w:type="gramStart"/>
            <w:r w:rsidR="001A5887" w:rsidRPr="000C5309">
              <w:rPr>
                <w:rFonts w:asciiTheme="majorBidi" w:hAnsiTheme="majorBidi" w:cstheme="majorBidi"/>
                <w:color w:val="231F20"/>
                <w:sz w:val="20"/>
                <w:szCs w:val="20"/>
              </w:rPr>
              <w:t>them;</w:t>
            </w:r>
            <w:proofErr w:type="gramEnd"/>
          </w:p>
          <w:p w14:paraId="4AA77E10" w14:textId="5BA65E8B" w:rsidR="001A5887" w:rsidRPr="00B93F3E" w:rsidRDefault="00820DF8" w:rsidP="00EE57F8">
            <w:pPr>
              <w:pStyle w:val="TableParagraph"/>
              <w:tabs>
                <w:tab w:val="left" w:pos="1111"/>
              </w:tabs>
              <w:spacing w:before="56"/>
              <w:ind w:left="1111" w:hanging="567"/>
              <w:jc w:val="both"/>
              <w:rPr>
                <w:rFonts w:asciiTheme="majorBidi" w:hAnsiTheme="majorBidi" w:cstheme="majorBidi"/>
                <w:color w:val="231F20"/>
                <w:sz w:val="20"/>
                <w:szCs w:val="20"/>
              </w:rPr>
            </w:pPr>
            <w:r>
              <w:rPr>
                <w:rFonts w:asciiTheme="majorBidi" w:hAnsiTheme="majorBidi" w:cstheme="majorBidi"/>
                <w:color w:val="231F20"/>
                <w:sz w:val="20"/>
                <w:szCs w:val="20"/>
              </w:rPr>
              <w:t>(d)</w:t>
            </w:r>
            <w:r w:rsidR="000F50E5">
              <w:rPr>
                <w:rFonts w:asciiTheme="majorBidi" w:hAnsiTheme="majorBidi" w:cstheme="majorBidi"/>
                <w:color w:val="231F20"/>
                <w:sz w:val="20"/>
                <w:szCs w:val="20"/>
              </w:rPr>
              <w:tab/>
            </w:r>
            <w:r w:rsidR="001A5887" w:rsidRPr="000C5309">
              <w:rPr>
                <w:rFonts w:asciiTheme="majorBidi" w:hAnsiTheme="majorBidi" w:cstheme="majorBidi"/>
                <w:color w:val="231F20"/>
                <w:sz w:val="20"/>
                <w:szCs w:val="20"/>
              </w:rPr>
              <w:t>Absorbent</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material</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shall</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be</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placed</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between</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the</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primary</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receptacle(s)</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and</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the</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secondary</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packaging.</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The</w:t>
            </w:r>
            <w:r w:rsidR="001A5887" w:rsidRPr="00B93F3E">
              <w:rPr>
                <w:rFonts w:asciiTheme="majorBidi" w:hAnsiTheme="majorBidi" w:cstheme="majorBidi"/>
                <w:color w:val="231F20"/>
                <w:sz w:val="20"/>
                <w:szCs w:val="20"/>
              </w:rPr>
              <w:t xml:space="preserve"> absorbent material shall be in quantity </w:t>
            </w:r>
            <w:r w:rsidR="001A5887" w:rsidRPr="000C5309">
              <w:rPr>
                <w:rFonts w:asciiTheme="majorBidi" w:hAnsiTheme="majorBidi" w:cstheme="majorBidi"/>
                <w:color w:val="231F20"/>
                <w:sz w:val="20"/>
                <w:szCs w:val="20"/>
              </w:rPr>
              <w:t>sufficient</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to</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absorb</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the</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entire</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contents</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of</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the</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primary</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receptacle(s)</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so that any release of the liquid substance will not compromise the integrity of the cushioning material</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or</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of</w:t>
            </w:r>
            <w:r w:rsidR="001A5887" w:rsidRPr="00B93F3E">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 xml:space="preserve">the outer packaging; </w:t>
            </w:r>
            <w:r w:rsidR="001A5887" w:rsidRPr="000F50E5">
              <w:rPr>
                <w:rFonts w:asciiTheme="majorBidi" w:hAnsiTheme="majorBidi" w:cstheme="majorBidi"/>
                <w:color w:val="231F20"/>
                <w:sz w:val="20"/>
                <w:szCs w:val="20"/>
                <w:u w:val="single"/>
              </w:rPr>
              <w:t>and</w:t>
            </w:r>
          </w:p>
          <w:p w14:paraId="169BF65E" w14:textId="3EFCFBCC" w:rsidR="001A5887" w:rsidRPr="00B93F3E" w:rsidRDefault="000F50E5" w:rsidP="00EE57F8">
            <w:pPr>
              <w:pStyle w:val="TableParagraph"/>
              <w:tabs>
                <w:tab w:val="left" w:pos="1111"/>
              </w:tabs>
              <w:spacing w:before="56"/>
              <w:ind w:left="1111" w:hanging="567"/>
              <w:jc w:val="both"/>
              <w:rPr>
                <w:rFonts w:asciiTheme="majorBidi" w:hAnsiTheme="majorBidi" w:cstheme="majorBidi"/>
                <w:color w:val="231F20"/>
                <w:sz w:val="20"/>
                <w:szCs w:val="20"/>
              </w:rPr>
            </w:pPr>
            <w:r>
              <w:rPr>
                <w:rFonts w:asciiTheme="majorBidi" w:hAnsiTheme="majorBidi" w:cstheme="majorBidi"/>
                <w:color w:val="231F20"/>
                <w:sz w:val="20"/>
                <w:szCs w:val="20"/>
              </w:rPr>
              <w:t>(e)</w:t>
            </w:r>
            <w:r>
              <w:rPr>
                <w:rFonts w:asciiTheme="majorBidi" w:hAnsiTheme="majorBidi" w:cstheme="majorBidi"/>
                <w:color w:val="231F20"/>
                <w:sz w:val="20"/>
                <w:szCs w:val="20"/>
              </w:rPr>
              <w:tab/>
            </w:r>
            <w:r w:rsidR="001A5887" w:rsidRPr="00B93F3E">
              <w:rPr>
                <w:rFonts w:asciiTheme="majorBidi" w:hAnsiTheme="majorBidi" w:cstheme="majorBidi"/>
                <w:color w:val="231F20"/>
                <w:sz w:val="20"/>
                <w:szCs w:val="20"/>
              </w:rPr>
              <w:t>The primary receptacle or the secondary packaging shall be capable of withstanding, without leakage, an internal pressure of 95 kPa (0.95 bar</w:t>
            </w:r>
            <w:r>
              <w:rPr>
                <w:rFonts w:asciiTheme="majorBidi" w:hAnsiTheme="majorBidi" w:cstheme="majorBidi"/>
                <w:color w:val="231F20"/>
                <w:sz w:val="20"/>
                <w:szCs w:val="20"/>
              </w:rPr>
              <w:t>)</w:t>
            </w:r>
            <w:r w:rsidR="001A5887" w:rsidRPr="00B93F3E">
              <w:rPr>
                <w:rFonts w:asciiTheme="majorBidi" w:hAnsiTheme="majorBidi" w:cstheme="majorBidi"/>
                <w:color w:val="231F20"/>
                <w:sz w:val="20"/>
                <w:szCs w:val="20"/>
              </w:rPr>
              <w:t>.</w:t>
            </w:r>
          </w:p>
          <w:p w14:paraId="784743B8" w14:textId="77777777" w:rsidR="001A5887" w:rsidRPr="00B93F3E" w:rsidRDefault="001A5887" w:rsidP="004E38C5">
            <w:pPr>
              <w:pStyle w:val="TableParagraph"/>
              <w:tabs>
                <w:tab w:val="left" w:pos="625"/>
              </w:tabs>
              <w:spacing w:before="51"/>
              <w:ind w:left="624"/>
              <w:jc w:val="both"/>
              <w:rPr>
                <w:rFonts w:asciiTheme="majorBidi" w:hAnsiTheme="majorBidi" w:cstheme="majorBidi"/>
                <w:i/>
                <w:iCs/>
                <w:sz w:val="20"/>
                <w:szCs w:val="20"/>
                <w:u w:val="single"/>
              </w:rPr>
            </w:pPr>
            <w:r w:rsidRPr="00B93F3E">
              <w:rPr>
                <w:rFonts w:asciiTheme="majorBidi" w:hAnsiTheme="majorBidi" w:cstheme="majorBidi"/>
                <w:b/>
                <w:bCs/>
                <w:i/>
                <w:iCs/>
                <w:sz w:val="20"/>
                <w:szCs w:val="20"/>
                <w:u w:val="single"/>
              </w:rPr>
              <w:t>Note:</w:t>
            </w:r>
            <w:r w:rsidRPr="00B93F3E">
              <w:rPr>
                <w:rFonts w:asciiTheme="majorBidi" w:hAnsiTheme="majorBidi" w:cstheme="majorBidi"/>
                <w:i/>
                <w:iCs/>
                <w:sz w:val="20"/>
                <w:szCs w:val="20"/>
                <w:u w:val="single"/>
              </w:rPr>
              <w:t xml:space="preserve"> Capability can be demonstrated by direct testing, or alternatively by means such as engineering analysis, testing with an item of similar mass and size, or other equivalent means.</w:t>
            </w:r>
          </w:p>
          <w:p w14:paraId="0778E694" w14:textId="77777777" w:rsidR="001A5887" w:rsidRPr="000F50E5" w:rsidRDefault="001A5887" w:rsidP="00535E49">
            <w:pPr>
              <w:pStyle w:val="TableParagraph"/>
              <w:numPr>
                <w:ilvl w:val="0"/>
                <w:numId w:val="17"/>
              </w:numPr>
              <w:tabs>
                <w:tab w:val="left" w:pos="625"/>
              </w:tabs>
              <w:spacing w:before="51"/>
              <w:ind w:left="843" w:hanging="719"/>
              <w:jc w:val="both"/>
              <w:rPr>
                <w:rFonts w:asciiTheme="majorBidi" w:hAnsiTheme="majorBidi" w:cstheme="majorBidi"/>
                <w:sz w:val="20"/>
                <w:szCs w:val="20"/>
              </w:rPr>
            </w:pPr>
            <w:r w:rsidRPr="000F50E5">
              <w:rPr>
                <w:rFonts w:asciiTheme="majorBidi" w:hAnsiTheme="majorBidi" w:cstheme="majorBidi"/>
                <w:sz w:val="20"/>
                <w:szCs w:val="20"/>
              </w:rPr>
              <w:t>For</w:t>
            </w:r>
            <w:r w:rsidRPr="000F50E5">
              <w:rPr>
                <w:rFonts w:asciiTheme="majorBidi" w:hAnsiTheme="majorBidi" w:cstheme="majorBidi"/>
                <w:spacing w:val="-2"/>
                <w:sz w:val="20"/>
                <w:szCs w:val="20"/>
              </w:rPr>
              <w:t xml:space="preserve"> </w:t>
            </w:r>
            <w:r w:rsidRPr="000F50E5">
              <w:rPr>
                <w:rFonts w:asciiTheme="majorBidi" w:hAnsiTheme="majorBidi" w:cstheme="majorBidi"/>
                <w:sz w:val="20"/>
                <w:szCs w:val="20"/>
              </w:rPr>
              <w:t>solid</w:t>
            </w:r>
            <w:r w:rsidRPr="000F50E5">
              <w:rPr>
                <w:rFonts w:asciiTheme="majorBidi" w:hAnsiTheme="majorBidi" w:cstheme="majorBidi"/>
                <w:spacing w:val="-2"/>
                <w:sz w:val="20"/>
                <w:szCs w:val="20"/>
              </w:rPr>
              <w:t xml:space="preserve"> </w:t>
            </w:r>
            <w:r w:rsidRPr="000F50E5">
              <w:rPr>
                <w:rFonts w:asciiTheme="majorBidi" w:hAnsiTheme="majorBidi" w:cstheme="majorBidi"/>
                <w:sz w:val="20"/>
                <w:szCs w:val="20"/>
              </w:rPr>
              <w:t>substances</w:t>
            </w:r>
          </w:p>
          <w:p w14:paraId="44325DA2" w14:textId="6B1F4463" w:rsidR="001A5887" w:rsidRPr="001D5ECC" w:rsidRDefault="00442E06" w:rsidP="000F77CA">
            <w:pPr>
              <w:pStyle w:val="TableParagraph"/>
              <w:tabs>
                <w:tab w:val="left" w:pos="1111"/>
              </w:tabs>
              <w:spacing w:before="56"/>
              <w:ind w:left="1111" w:hanging="567"/>
              <w:jc w:val="both"/>
              <w:rPr>
                <w:rFonts w:asciiTheme="majorBidi" w:hAnsiTheme="majorBidi" w:cstheme="majorBidi"/>
                <w:color w:val="231F20"/>
                <w:sz w:val="20"/>
                <w:szCs w:val="20"/>
              </w:rPr>
            </w:pPr>
            <w:r>
              <w:rPr>
                <w:rFonts w:asciiTheme="majorBidi" w:hAnsiTheme="majorBidi" w:cstheme="majorBidi"/>
                <w:color w:val="231F20"/>
                <w:sz w:val="20"/>
                <w:szCs w:val="20"/>
              </w:rPr>
              <w:t>(a)</w:t>
            </w:r>
            <w:r>
              <w:rPr>
                <w:rFonts w:asciiTheme="majorBidi" w:hAnsiTheme="majorBidi" w:cstheme="majorBidi"/>
                <w:color w:val="231F20"/>
                <w:sz w:val="20"/>
                <w:szCs w:val="20"/>
              </w:rPr>
              <w:tab/>
            </w:r>
            <w:r w:rsidR="001A5887" w:rsidRPr="000C5309">
              <w:rPr>
                <w:rFonts w:asciiTheme="majorBidi" w:hAnsiTheme="majorBidi" w:cstheme="majorBidi"/>
                <w:color w:val="231F20"/>
                <w:sz w:val="20"/>
                <w:szCs w:val="20"/>
              </w:rPr>
              <w:t>The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primary</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receptacle(s)</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shall</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be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sift-</w:t>
            </w:r>
            <w:proofErr w:type="gramStart"/>
            <w:r w:rsidR="001A5887" w:rsidRPr="000C5309">
              <w:rPr>
                <w:rFonts w:asciiTheme="majorBidi" w:hAnsiTheme="majorBidi" w:cstheme="majorBidi"/>
                <w:color w:val="231F20"/>
                <w:sz w:val="20"/>
                <w:szCs w:val="20"/>
              </w:rPr>
              <w:t>proof;</w:t>
            </w:r>
            <w:proofErr w:type="gramEnd"/>
          </w:p>
          <w:p w14:paraId="5B3EED96" w14:textId="57032155" w:rsidR="001A5887" w:rsidRPr="001D5ECC" w:rsidRDefault="00442E06" w:rsidP="000F77CA">
            <w:pPr>
              <w:pStyle w:val="TableParagraph"/>
              <w:tabs>
                <w:tab w:val="left" w:pos="1111"/>
              </w:tabs>
              <w:spacing w:before="56"/>
              <w:ind w:left="1111" w:hanging="567"/>
              <w:jc w:val="both"/>
              <w:rPr>
                <w:rFonts w:asciiTheme="majorBidi" w:hAnsiTheme="majorBidi" w:cstheme="majorBidi"/>
                <w:color w:val="231F20"/>
                <w:sz w:val="20"/>
                <w:szCs w:val="20"/>
              </w:rPr>
            </w:pPr>
            <w:r>
              <w:rPr>
                <w:rFonts w:asciiTheme="majorBidi" w:hAnsiTheme="majorBidi" w:cstheme="majorBidi"/>
                <w:color w:val="231F20"/>
                <w:sz w:val="20"/>
                <w:szCs w:val="20"/>
              </w:rPr>
              <w:t>(b)</w:t>
            </w:r>
            <w:r w:rsidR="004E6A5A">
              <w:rPr>
                <w:rFonts w:asciiTheme="majorBidi" w:hAnsiTheme="majorBidi" w:cstheme="majorBidi"/>
                <w:color w:val="231F20"/>
                <w:sz w:val="20"/>
                <w:szCs w:val="20"/>
              </w:rPr>
              <w:tab/>
            </w:r>
            <w:r w:rsidR="001A5887" w:rsidRPr="000C5309">
              <w:rPr>
                <w:rFonts w:asciiTheme="majorBidi" w:hAnsiTheme="majorBidi" w:cstheme="majorBidi"/>
                <w:color w:val="231F20"/>
                <w:sz w:val="20"/>
                <w:szCs w:val="20"/>
              </w:rPr>
              <w:t>The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secondary</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packaging</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shall</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be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sift-</w:t>
            </w:r>
            <w:proofErr w:type="gramStart"/>
            <w:r w:rsidR="001A5887" w:rsidRPr="000C5309">
              <w:rPr>
                <w:rFonts w:asciiTheme="majorBidi" w:hAnsiTheme="majorBidi" w:cstheme="majorBidi"/>
                <w:color w:val="231F20"/>
                <w:sz w:val="20"/>
                <w:szCs w:val="20"/>
              </w:rPr>
              <w:t>proof;</w:t>
            </w:r>
            <w:proofErr w:type="gramEnd"/>
          </w:p>
          <w:p w14:paraId="182D7640" w14:textId="656386FF" w:rsidR="001A5887" w:rsidRPr="001D5ECC" w:rsidRDefault="004E6A5A" w:rsidP="000F77CA">
            <w:pPr>
              <w:pStyle w:val="TableParagraph"/>
              <w:tabs>
                <w:tab w:val="left" w:pos="1111"/>
              </w:tabs>
              <w:spacing w:before="56"/>
              <w:ind w:left="1111" w:hanging="567"/>
              <w:jc w:val="both"/>
              <w:rPr>
                <w:rFonts w:asciiTheme="majorBidi" w:hAnsiTheme="majorBidi" w:cstheme="majorBidi"/>
                <w:color w:val="231F20"/>
                <w:sz w:val="20"/>
                <w:szCs w:val="20"/>
              </w:rPr>
            </w:pPr>
            <w:r>
              <w:rPr>
                <w:rFonts w:asciiTheme="majorBidi" w:hAnsiTheme="majorBidi" w:cstheme="majorBidi"/>
                <w:color w:val="231F20"/>
                <w:sz w:val="20"/>
                <w:szCs w:val="20"/>
              </w:rPr>
              <w:t>(c)</w:t>
            </w:r>
            <w:r>
              <w:rPr>
                <w:rFonts w:asciiTheme="majorBidi" w:hAnsiTheme="majorBidi" w:cstheme="majorBidi"/>
                <w:color w:val="231F20"/>
                <w:sz w:val="20"/>
                <w:szCs w:val="20"/>
              </w:rPr>
              <w:tab/>
            </w:r>
            <w:r w:rsidR="001A5887" w:rsidRPr="000C5309">
              <w:rPr>
                <w:rFonts w:asciiTheme="majorBidi" w:hAnsiTheme="majorBidi" w:cstheme="majorBidi"/>
                <w:color w:val="231F20"/>
                <w:sz w:val="20"/>
                <w:szCs w:val="20"/>
              </w:rPr>
              <w:t>If multiple fragile primary receptacles are placed in a single secondary packaging, they shall be either</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individually</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wrapped or</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separated</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to</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prevent contact</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between</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 xml:space="preserve">them; </w:t>
            </w:r>
            <w:r w:rsidR="001A5887" w:rsidRPr="00513A3B">
              <w:rPr>
                <w:rFonts w:asciiTheme="majorBidi" w:hAnsiTheme="majorBidi" w:cstheme="majorBidi"/>
                <w:color w:val="231F20"/>
                <w:sz w:val="20"/>
                <w:szCs w:val="20"/>
                <w:u w:val="single"/>
              </w:rPr>
              <w:t>and</w:t>
            </w:r>
          </w:p>
          <w:p w14:paraId="231E382A" w14:textId="3F5D144C" w:rsidR="001A5887" w:rsidRPr="001D5ECC" w:rsidRDefault="004E6A5A" w:rsidP="000F77CA">
            <w:pPr>
              <w:pStyle w:val="TableParagraph"/>
              <w:tabs>
                <w:tab w:val="left" w:pos="1111"/>
              </w:tabs>
              <w:spacing w:before="56"/>
              <w:ind w:left="1111" w:hanging="567"/>
              <w:jc w:val="both"/>
              <w:rPr>
                <w:rFonts w:asciiTheme="majorBidi" w:hAnsiTheme="majorBidi" w:cstheme="majorBidi"/>
                <w:color w:val="231F20"/>
                <w:sz w:val="20"/>
                <w:szCs w:val="20"/>
              </w:rPr>
            </w:pPr>
            <w:r>
              <w:rPr>
                <w:rFonts w:asciiTheme="majorBidi" w:hAnsiTheme="majorBidi" w:cstheme="majorBidi"/>
                <w:color w:val="231F20"/>
                <w:sz w:val="20"/>
                <w:szCs w:val="20"/>
              </w:rPr>
              <w:lastRenderedPageBreak/>
              <w:t>(d)</w:t>
            </w:r>
            <w:r>
              <w:rPr>
                <w:rFonts w:asciiTheme="majorBidi" w:hAnsiTheme="majorBidi" w:cstheme="majorBidi"/>
                <w:color w:val="231F20"/>
                <w:sz w:val="20"/>
                <w:szCs w:val="20"/>
              </w:rPr>
              <w:tab/>
            </w:r>
            <w:r w:rsidR="001A5887" w:rsidRPr="000C5309">
              <w:rPr>
                <w:rFonts w:asciiTheme="majorBidi" w:hAnsiTheme="majorBidi" w:cstheme="majorBidi"/>
                <w:color w:val="231F20"/>
                <w:sz w:val="20"/>
                <w:szCs w:val="20"/>
              </w:rPr>
              <w:t>If</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there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is</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any</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doubt</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as</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to</w:t>
            </w:r>
            <w:r w:rsidR="001A5887" w:rsidRPr="001D5ECC">
              <w:rPr>
                <w:rFonts w:asciiTheme="majorBidi" w:hAnsiTheme="majorBidi" w:cstheme="majorBidi"/>
                <w:color w:val="231F20"/>
                <w:sz w:val="20"/>
                <w:szCs w:val="20"/>
              </w:rPr>
              <w:t xml:space="preserve"> </w:t>
            </w:r>
            <w:proofErr w:type="gramStart"/>
            <w:r w:rsidR="001A5887" w:rsidRPr="000C5309">
              <w:rPr>
                <w:rFonts w:asciiTheme="majorBidi" w:hAnsiTheme="majorBidi" w:cstheme="majorBidi"/>
                <w:color w:val="231F20"/>
                <w:sz w:val="20"/>
                <w:szCs w:val="20"/>
              </w:rPr>
              <w:t>whether</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or</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not</w:t>
            </w:r>
            <w:proofErr w:type="gramEnd"/>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residual</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liquid</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may</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be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present</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in</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the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primary</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receptacle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during</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transport</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then</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a</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packaging</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suitable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for</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liquids,</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including</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absorbent</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materials,</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shall</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be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used.</w:t>
            </w:r>
          </w:p>
          <w:p w14:paraId="595D5E9A" w14:textId="77777777" w:rsidR="001A5887" w:rsidRPr="000C5309" w:rsidRDefault="001A5887" w:rsidP="00535E49">
            <w:pPr>
              <w:pStyle w:val="TableParagraph"/>
              <w:numPr>
                <w:ilvl w:val="0"/>
                <w:numId w:val="17"/>
              </w:numPr>
              <w:tabs>
                <w:tab w:val="left" w:pos="625"/>
              </w:tabs>
              <w:spacing w:before="51"/>
              <w:ind w:left="843" w:hanging="719"/>
              <w:jc w:val="both"/>
              <w:rPr>
                <w:rFonts w:asciiTheme="majorBidi" w:hAnsiTheme="majorBidi" w:cstheme="majorBidi"/>
                <w:sz w:val="20"/>
                <w:szCs w:val="20"/>
              </w:rPr>
            </w:pPr>
            <w:r w:rsidRPr="000C5309">
              <w:rPr>
                <w:rFonts w:asciiTheme="majorBidi" w:hAnsiTheme="majorBidi" w:cstheme="majorBidi"/>
                <w:color w:val="231F20"/>
                <w:sz w:val="20"/>
                <w:szCs w:val="20"/>
              </w:rPr>
              <w:t>Refrigerated</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or</w:t>
            </w:r>
            <w:r w:rsidRPr="000C5309">
              <w:rPr>
                <w:rFonts w:asciiTheme="majorBidi" w:hAnsiTheme="majorBidi" w:cstheme="majorBidi"/>
                <w:color w:val="231F20"/>
                <w:spacing w:val="-4"/>
                <w:sz w:val="20"/>
                <w:szCs w:val="20"/>
              </w:rPr>
              <w:t xml:space="preserve"> </w:t>
            </w:r>
            <w:r w:rsidRPr="000C5309">
              <w:rPr>
                <w:rFonts w:asciiTheme="majorBidi" w:hAnsiTheme="majorBidi" w:cstheme="majorBidi"/>
                <w:color w:val="231F20"/>
                <w:sz w:val="20"/>
                <w:szCs w:val="20"/>
              </w:rPr>
              <w:t>frozen</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specimens:</w:t>
            </w:r>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Ice,</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dry</w:t>
            </w:r>
            <w:r w:rsidRPr="000C5309">
              <w:rPr>
                <w:rFonts w:asciiTheme="majorBidi" w:hAnsiTheme="majorBidi" w:cstheme="majorBidi"/>
                <w:color w:val="231F20"/>
                <w:spacing w:val="-3"/>
                <w:sz w:val="20"/>
                <w:szCs w:val="20"/>
              </w:rPr>
              <w:t xml:space="preserve"> </w:t>
            </w:r>
            <w:proofErr w:type="gramStart"/>
            <w:r w:rsidRPr="000C5309">
              <w:rPr>
                <w:rFonts w:asciiTheme="majorBidi" w:hAnsiTheme="majorBidi" w:cstheme="majorBidi"/>
                <w:color w:val="231F20"/>
                <w:sz w:val="20"/>
                <w:szCs w:val="20"/>
              </w:rPr>
              <w:t>ice</w:t>
            </w:r>
            <w:proofErr w:type="gramEnd"/>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and</w:t>
            </w:r>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liquid</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nitrogen</w:t>
            </w:r>
          </w:p>
          <w:p w14:paraId="6E030E63" w14:textId="4E843AF8" w:rsidR="001A5887" w:rsidRPr="001D5ECC" w:rsidRDefault="001D5ECC" w:rsidP="000F77CA">
            <w:pPr>
              <w:pStyle w:val="TableParagraph"/>
              <w:tabs>
                <w:tab w:val="left" w:pos="1111"/>
              </w:tabs>
              <w:spacing w:before="56"/>
              <w:ind w:left="1111" w:hanging="567"/>
              <w:jc w:val="both"/>
              <w:rPr>
                <w:rFonts w:asciiTheme="majorBidi" w:hAnsiTheme="majorBidi" w:cstheme="majorBidi"/>
                <w:color w:val="231F20"/>
                <w:sz w:val="20"/>
                <w:szCs w:val="20"/>
              </w:rPr>
            </w:pPr>
            <w:r>
              <w:rPr>
                <w:rFonts w:asciiTheme="majorBidi" w:hAnsiTheme="majorBidi" w:cstheme="majorBidi"/>
                <w:color w:val="231F20"/>
                <w:sz w:val="20"/>
                <w:szCs w:val="20"/>
              </w:rPr>
              <w:t>(a)</w:t>
            </w:r>
            <w:r>
              <w:rPr>
                <w:rFonts w:asciiTheme="majorBidi" w:hAnsiTheme="majorBidi" w:cstheme="majorBidi"/>
                <w:color w:val="231F20"/>
                <w:sz w:val="20"/>
                <w:szCs w:val="20"/>
              </w:rPr>
              <w:tab/>
            </w:r>
            <w:r w:rsidR="001A5887" w:rsidRPr="000C5309">
              <w:rPr>
                <w:rFonts w:asciiTheme="majorBidi" w:hAnsiTheme="majorBidi" w:cstheme="majorBidi"/>
                <w:color w:val="231F20"/>
                <w:sz w:val="20"/>
                <w:szCs w:val="20"/>
              </w:rPr>
              <w:t>When dry ice or liquid nitrogen is used as a coolant, the requirements of 5.5.3 shall apply. When used,</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 xml:space="preserve">ice shall be placed outside the secondary </w:t>
            </w:r>
            <w:proofErr w:type="spellStart"/>
            <w:r w:rsidR="001A5887" w:rsidRPr="000C5309">
              <w:rPr>
                <w:rFonts w:asciiTheme="majorBidi" w:hAnsiTheme="majorBidi" w:cstheme="majorBidi"/>
                <w:color w:val="231F20"/>
                <w:sz w:val="20"/>
                <w:szCs w:val="20"/>
              </w:rPr>
              <w:t>packagings</w:t>
            </w:r>
            <w:proofErr w:type="spellEnd"/>
            <w:r w:rsidR="001A5887" w:rsidRPr="000C5309">
              <w:rPr>
                <w:rFonts w:asciiTheme="majorBidi" w:hAnsiTheme="majorBidi" w:cstheme="majorBidi"/>
                <w:color w:val="231F20"/>
                <w:sz w:val="20"/>
                <w:szCs w:val="20"/>
              </w:rPr>
              <w:t xml:space="preserve"> or in the outer packaging or an overpack. Interior</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supports</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shall</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be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provided</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to</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secure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the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secondary</w:t>
            </w:r>
            <w:r w:rsidR="001A5887" w:rsidRPr="001D5ECC">
              <w:rPr>
                <w:rFonts w:asciiTheme="majorBidi" w:hAnsiTheme="majorBidi" w:cstheme="majorBidi"/>
                <w:color w:val="231F20"/>
                <w:sz w:val="20"/>
                <w:szCs w:val="20"/>
              </w:rPr>
              <w:t xml:space="preserve"> </w:t>
            </w:r>
            <w:proofErr w:type="spellStart"/>
            <w:r w:rsidR="001A5887" w:rsidRPr="000C5309">
              <w:rPr>
                <w:rFonts w:asciiTheme="majorBidi" w:hAnsiTheme="majorBidi" w:cstheme="majorBidi"/>
                <w:color w:val="231F20"/>
                <w:sz w:val="20"/>
                <w:szCs w:val="20"/>
              </w:rPr>
              <w:t>packagings</w:t>
            </w:r>
            <w:proofErr w:type="spellEnd"/>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in</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the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original</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position.</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If</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ice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is</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used,</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the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outside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packaging or overpack</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shall</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 xml:space="preserve">be leakproof; </w:t>
            </w:r>
            <w:r w:rsidR="001A5887" w:rsidRPr="001D5ECC">
              <w:rPr>
                <w:rFonts w:asciiTheme="majorBidi" w:hAnsiTheme="majorBidi" w:cstheme="majorBidi"/>
                <w:color w:val="231F20"/>
                <w:sz w:val="20"/>
                <w:szCs w:val="20"/>
                <w:u w:val="single"/>
              </w:rPr>
              <w:t>and</w:t>
            </w:r>
          </w:p>
          <w:p w14:paraId="064BE102" w14:textId="7F6F792F" w:rsidR="001A5887" w:rsidRPr="001D5ECC" w:rsidRDefault="001D5ECC" w:rsidP="000F77CA">
            <w:pPr>
              <w:pStyle w:val="TableParagraph"/>
              <w:tabs>
                <w:tab w:val="left" w:pos="1111"/>
              </w:tabs>
              <w:spacing w:before="56"/>
              <w:ind w:left="1111" w:hanging="567"/>
              <w:jc w:val="both"/>
              <w:rPr>
                <w:rFonts w:asciiTheme="majorBidi" w:hAnsiTheme="majorBidi" w:cstheme="majorBidi"/>
                <w:color w:val="231F20"/>
                <w:sz w:val="20"/>
                <w:szCs w:val="20"/>
              </w:rPr>
            </w:pPr>
            <w:r>
              <w:rPr>
                <w:rFonts w:asciiTheme="majorBidi" w:hAnsiTheme="majorBidi" w:cstheme="majorBidi"/>
                <w:color w:val="231F20"/>
                <w:sz w:val="20"/>
                <w:szCs w:val="20"/>
              </w:rPr>
              <w:t>(</w:t>
            </w:r>
            <w:r w:rsidR="00442E06">
              <w:rPr>
                <w:rFonts w:asciiTheme="majorBidi" w:hAnsiTheme="majorBidi" w:cstheme="majorBidi"/>
                <w:color w:val="231F20"/>
                <w:sz w:val="20"/>
                <w:szCs w:val="20"/>
              </w:rPr>
              <w:t>b)</w:t>
            </w:r>
            <w:r w:rsidR="00442E06">
              <w:rPr>
                <w:rFonts w:asciiTheme="majorBidi" w:hAnsiTheme="majorBidi" w:cstheme="majorBidi"/>
                <w:color w:val="231F20"/>
                <w:sz w:val="20"/>
                <w:szCs w:val="20"/>
              </w:rPr>
              <w:tab/>
            </w:r>
            <w:r w:rsidR="001A5887" w:rsidRPr="000C5309">
              <w:rPr>
                <w:rFonts w:asciiTheme="majorBidi" w:hAnsiTheme="majorBidi" w:cstheme="majorBidi"/>
                <w:color w:val="231F20"/>
                <w:sz w:val="20"/>
                <w:szCs w:val="20"/>
              </w:rPr>
              <w:t>The primary receptacle and the secondary packaging shall maintain their integrity at the temperature of the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refrigerant</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used</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as</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well</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as</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the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temperatures</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and</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the</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pressures</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which</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could</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result</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if</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refrigeration</w:t>
            </w:r>
            <w:r w:rsidR="001A5887" w:rsidRPr="001D5ECC">
              <w:rPr>
                <w:rFonts w:asciiTheme="majorBidi" w:hAnsiTheme="majorBidi" w:cstheme="majorBidi"/>
                <w:color w:val="231F20"/>
                <w:sz w:val="20"/>
                <w:szCs w:val="20"/>
              </w:rPr>
              <w:t xml:space="preserve"> </w:t>
            </w:r>
            <w:r w:rsidR="001A5887" w:rsidRPr="000C5309">
              <w:rPr>
                <w:rFonts w:asciiTheme="majorBidi" w:hAnsiTheme="majorBidi" w:cstheme="majorBidi"/>
                <w:color w:val="231F20"/>
                <w:sz w:val="20"/>
                <w:szCs w:val="20"/>
              </w:rPr>
              <w:t>were lost.</w:t>
            </w:r>
          </w:p>
          <w:p w14:paraId="7CCB748B" w14:textId="77777777" w:rsidR="00C67CA0" w:rsidRPr="00C67CA0" w:rsidRDefault="001A5887" w:rsidP="000F77CA">
            <w:pPr>
              <w:pStyle w:val="TableParagraph"/>
              <w:numPr>
                <w:ilvl w:val="0"/>
                <w:numId w:val="17"/>
              </w:numPr>
              <w:spacing w:before="51"/>
              <w:ind w:left="544" w:hanging="420"/>
              <w:jc w:val="both"/>
              <w:rPr>
                <w:rFonts w:asciiTheme="majorBidi" w:hAnsiTheme="majorBidi" w:cstheme="majorBidi"/>
                <w:sz w:val="20"/>
                <w:szCs w:val="20"/>
              </w:rPr>
            </w:pPr>
            <w:r w:rsidRPr="000C5309">
              <w:rPr>
                <w:rFonts w:asciiTheme="majorBidi" w:hAnsiTheme="majorBidi" w:cstheme="majorBidi"/>
                <w:color w:val="231F20"/>
                <w:sz w:val="20"/>
                <w:szCs w:val="20"/>
              </w:rPr>
              <w:t>When packages are placed in an overpack, the package marks required by this packing instruction shall either</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be clearly</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visible or</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be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reproduced</w:t>
            </w:r>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on</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the outside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of the</w:t>
            </w:r>
            <w:r w:rsidRPr="000C5309">
              <w:rPr>
                <w:rFonts w:asciiTheme="majorBidi" w:hAnsiTheme="majorBidi" w:cstheme="majorBidi"/>
                <w:color w:val="231F20"/>
                <w:spacing w:val="5"/>
                <w:sz w:val="20"/>
                <w:szCs w:val="20"/>
              </w:rPr>
              <w:t xml:space="preserve"> </w:t>
            </w:r>
            <w:r w:rsidRPr="000C5309">
              <w:rPr>
                <w:rFonts w:asciiTheme="majorBidi" w:hAnsiTheme="majorBidi" w:cstheme="majorBidi"/>
                <w:color w:val="231F20"/>
                <w:sz w:val="20"/>
                <w:szCs w:val="20"/>
              </w:rPr>
              <w:t>overpack.</w:t>
            </w:r>
          </w:p>
          <w:p w14:paraId="30EBD7AB" w14:textId="77777777" w:rsidR="001A5887" w:rsidRPr="000C5309" w:rsidRDefault="001A5887" w:rsidP="000F77CA">
            <w:pPr>
              <w:pStyle w:val="TableParagraph"/>
              <w:numPr>
                <w:ilvl w:val="0"/>
                <w:numId w:val="17"/>
              </w:numPr>
              <w:spacing w:before="51"/>
              <w:ind w:left="544" w:hanging="420"/>
              <w:jc w:val="both"/>
              <w:rPr>
                <w:rFonts w:asciiTheme="majorBidi" w:hAnsiTheme="majorBidi" w:cstheme="majorBidi"/>
                <w:sz w:val="20"/>
                <w:szCs w:val="20"/>
              </w:rPr>
            </w:pPr>
            <w:r w:rsidRPr="000C5309">
              <w:rPr>
                <w:rFonts w:asciiTheme="majorBidi" w:hAnsiTheme="majorBidi" w:cstheme="majorBidi"/>
                <w:color w:val="231F20"/>
                <w:sz w:val="20"/>
                <w:szCs w:val="20"/>
              </w:rPr>
              <w:t>Infectious substances assigned to UN 3373 which are packed and marked in accordance with this packing</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instruction</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are not subject</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to any other</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requirement in these</w:t>
            </w:r>
            <w:r w:rsidRPr="000C5309">
              <w:rPr>
                <w:rFonts w:asciiTheme="majorBidi" w:hAnsiTheme="majorBidi" w:cstheme="majorBidi"/>
                <w:color w:val="231F20"/>
                <w:spacing w:val="-3"/>
                <w:sz w:val="20"/>
                <w:szCs w:val="20"/>
              </w:rPr>
              <w:t xml:space="preserve"> </w:t>
            </w:r>
            <w:r w:rsidRPr="000C5309">
              <w:rPr>
                <w:rFonts w:asciiTheme="majorBidi" w:hAnsiTheme="majorBidi" w:cstheme="majorBidi"/>
                <w:color w:val="231F20"/>
                <w:sz w:val="20"/>
                <w:szCs w:val="20"/>
              </w:rPr>
              <w:t>Regulations.</w:t>
            </w:r>
          </w:p>
          <w:p w14:paraId="62BD9602" w14:textId="62AC0F79" w:rsidR="001A5887" w:rsidRPr="000C5309" w:rsidRDefault="001A5887" w:rsidP="000F77CA">
            <w:pPr>
              <w:pStyle w:val="TableParagraph"/>
              <w:numPr>
                <w:ilvl w:val="0"/>
                <w:numId w:val="17"/>
              </w:numPr>
              <w:spacing w:before="51"/>
              <w:ind w:left="544" w:hanging="420"/>
              <w:jc w:val="both"/>
              <w:rPr>
                <w:rFonts w:asciiTheme="majorBidi" w:hAnsiTheme="majorBidi" w:cstheme="majorBidi"/>
                <w:sz w:val="20"/>
                <w:szCs w:val="20"/>
              </w:rPr>
            </w:pPr>
            <w:r w:rsidRPr="000C5309">
              <w:rPr>
                <w:rFonts w:asciiTheme="majorBidi" w:hAnsiTheme="majorBidi" w:cstheme="majorBidi"/>
                <w:color w:val="231F20"/>
                <w:sz w:val="20"/>
                <w:szCs w:val="20"/>
              </w:rPr>
              <w:t>Clear instructions on filling and closing such packages shall be provided by packaging manufacturers and</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subsequent distributors to the consignor or to the person who prepares the package (</w:t>
            </w:r>
            <w:proofErr w:type="gramStart"/>
            <w:r w:rsidRPr="000C5309">
              <w:rPr>
                <w:rFonts w:asciiTheme="majorBidi" w:hAnsiTheme="majorBidi" w:cstheme="majorBidi"/>
                <w:color w:val="231F20"/>
                <w:sz w:val="20"/>
                <w:szCs w:val="20"/>
              </w:rPr>
              <w:t>e.g.</w:t>
            </w:r>
            <w:proofErr w:type="gramEnd"/>
            <w:r w:rsidRPr="000C5309">
              <w:rPr>
                <w:rFonts w:asciiTheme="majorBidi" w:hAnsiTheme="majorBidi" w:cstheme="majorBidi"/>
                <w:color w:val="231F20"/>
                <w:sz w:val="20"/>
                <w:szCs w:val="20"/>
              </w:rPr>
              <w:t xml:space="preserve"> patient) to enable the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package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to</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be correctly prepared</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 xml:space="preserve">for transport. </w:t>
            </w:r>
            <w:r w:rsidRPr="000C5309">
              <w:rPr>
                <w:rFonts w:asciiTheme="majorBidi" w:hAnsiTheme="majorBidi" w:cstheme="majorBidi"/>
                <w:sz w:val="20"/>
                <w:szCs w:val="20"/>
                <w:u w:val="single"/>
              </w:rPr>
              <w:t>This shall include information on the capability of the package to successfully pass the drop test specified in subparagraph (6), and information on the capability of primary receptacle or secondary packaging, as applicable, to successfully pass the pressure test specified in subparagraph (7)</w:t>
            </w:r>
            <w:r w:rsidR="00E7734B">
              <w:rPr>
                <w:rFonts w:asciiTheme="majorBidi" w:hAnsiTheme="majorBidi" w:cstheme="majorBidi"/>
                <w:sz w:val="20"/>
                <w:szCs w:val="20"/>
                <w:u w:val="single"/>
              </w:rPr>
              <w:t>(</w:t>
            </w:r>
            <w:r w:rsidRPr="000C5309">
              <w:rPr>
                <w:rFonts w:asciiTheme="majorBidi" w:hAnsiTheme="majorBidi" w:cstheme="majorBidi"/>
                <w:sz w:val="20"/>
                <w:szCs w:val="20"/>
                <w:u w:val="single"/>
              </w:rPr>
              <w:t>e</w:t>
            </w:r>
            <w:r w:rsidR="00E7734B">
              <w:rPr>
                <w:rFonts w:asciiTheme="majorBidi" w:hAnsiTheme="majorBidi" w:cstheme="majorBidi"/>
                <w:sz w:val="20"/>
                <w:szCs w:val="20"/>
                <w:u w:val="single"/>
              </w:rPr>
              <w:t>)</w:t>
            </w:r>
            <w:r w:rsidRPr="000C5309">
              <w:rPr>
                <w:rFonts w:asciiTheme="majorBidi" w:hAnsiTheme="majorBidi" w:cstheme="majorBidi"/>
                <w:sz w:val="20"/>
                <w:szCs w:val="20"/>
                <w:u w:val="single"/>
              </w:rPr>
              <w:t>, when required, to enable correct selection of the component parts of the packaging.</w:t>
            </w:r>
          </w:p>
          <w:p w14:paraId="1E30B13B" w14:textId="77777777" w:rsidR="001A5887" w:rsidRPr="000C5309" w:rsidRDefault="001A5887" w:rsidP="000F77CA">
            <w:pPr>
              <w:pStyle w:val="TableParagraph"/>
              <w:numPr>
                <w:ilvl w:val="0"/>
                <w:numId w:val="17"/>
              </w:numPr>
              <w:spacing w:before="51"/>
              <w:ind w:left="544" w:hanging="420"/>
              <w:jc w:val="both"/>
              <w:rPr>
                <w:rFonts w:asciiTheme="majorBidi" w:hAnsiTheme="majorBidi" w:cstheme="majorBidi"/>
                <w:sz w:val="20"/>
                <w:szCs w:val="20"/>
                <w:u w:val="single"/>
              </w:rPr>
            </w:pPr>
            <w:r w:rsidRPr="000C5309">
              <w:rPr>
                <w:rFonts w:asciiTheme="majorBidi" w:hAnsiTheme="majorBidi" w:cstheme="majorBidi"/>
                <w:sz w:val="20"/>
                <w:szCs w:val="20"/>
                <w:u w:val="single"/>
              </w:rPr>
              <w:t>If the consignor selects components whose capability has not been evaluated together to form the complete package, he shall give evidence, at the request of the competent authority that:</w:t>
            </w:r>
          </w:p>
          <w:p w14:paraId="4D0BEA7E" w14:textId="17AEE1EA" w:rsidR="001A5887" w:rsidRPr="00A433A8" w:rsidRDefault="00DA0603" w:rsidP="000F77CA">
            <w:pPr>
              <w:pStyle w:val="TableParagraph"/>
              <w:tabs>
                <w:tab w:val="left" w:pos="1111"/>
              </w:tabs>
              <w:spacing w:before="56"/>
              <w:ind w:left="1111" w:hanging="567"/>
              <w:jc w:val="both"/>
              <w:rPr>
                <w:rFonts w:asciiTheme="majorBidi" w:hAnsiTheme="majorBidi" w:cstheme="majorBidi"/>
                <w:color w:val="231F20"/>
                <w:sz w:val="20"/>
                <w:szCs w:val="20"/>
                <w:u w:val="single"/>
              </w:rPr>
            </w:pPr>
            <w:r>
              <w:rPr>
                <w:rFonts w:asciiTheme="majorBidi" w:hAnsiTheme="majorBidi" w:cstheme="majorBidi"/>
                <w:sz w:val="20"/>
                <w:szCs w:val="20"/>
                <w:u w:val="single"/>
              </w:rPr>
              <w:t>(</w:t>
            </w:r>
            <w:r w:rsidRPr="00A433A8">
              <w:rPr>
                <w:rFonts w:asciiTheme="majorBidi" w:hAnsiTheme="majorBidi" w:cstheme="majorBidi"/>
                <w:color w:val="231F20"/>
                <w:sz w:val="20"/>
                <w:szCs w:val="20"/>
                <w:u w:val="single"/>
              </w:rPr>
              <w:t>a)</w:t>
            </w:r>
            <w:r w:rsidR="00D16C75" w:rsidRPr="00A433A8">
              <w:rPr>
                <w:rFonts w:asciiTheme="majorBidi" w:hAnsiTheme="majorBidi" w:cstheme="majorBidi"/>
                <w:color w:val="231F20"/>
                <w:sz w:val="20"/>
                <w:szCs w:val="20"/>
                <w:u w:val="single"/>
              </w:rPr>
              <w:tab/>
            </w:r>
            <w:r w:rsidR="001A5887" w:rsidRPr="00A433A8">
              <w:rPr>
                <w:rFonts w:asciiTheme="majorBidi" w:hAnsiTheme="majorBidi" w:cstheme="majorBidi"/>
                <w:color w:val="231F20"/>
                <w:sz w:val="20"/>
                <w:szCs w:val="20"/>
                <w:u w:val="single"/>
              </w:rPr>
              <w:t>The different components used are capable of successfully passing the drop test specified in subparagraph (6) when assembled to form the completed package; and</w:t>
            </w:r>
          </w:p>
          <w:p w14:paraId="5D2FB73E" w14:textId="590CFEF6" w:rsidR="001A5887" w:rsidRPr="00A433A8" w:rsidRDefault="00DA0603" w:rsidP="000F77CA">
            <w:pPr>
              <w:pStyle w:val="TableParagraph"/>
              <w:tabs>
                <w:tab w:val="left" w:pos="1111"/>
              </w:tabs>
              <w:spacing w:before="56"/>
              <w:ind w:left="1111" w:hanging="567"/>
              <w:jc w:val="both"/>
              <w:rPr>
                <w:rFonts w:asciiTheme="majorBidi" w:hAnsiTheme="majorBidi" w:cstheme="majorBidi"/>
                <w:color w:val="231F20"/>
                <w:sz w:val="20"/>
                <w:szCs w:val="20"/>
                <w:u w:val="single"/>
              </w:rPr>
            </w:pPr>
            <w:r w:rsidRPr="00A433A8">
              <w:rPr>
                <w:rFonts w:asciiTheme="majorBidi" w:hAnsiTheme="majorBidi" w:cstheme="majorBidi"/>
                <w:color w:val="231F20"/>
                <w:sz w:val="20"/>
                <w:szCs w:val="20"/>
                <w:u w:val="single"/>
              </w:rPr>
              <w:t>(b)</w:t>
            </w:r>
            <w:r w:rsidR="00D16C75" w:rsidRPr="00A433A8">
              <w:rPr>
                <w:rFonts w:asciiTheme="majorBidi" w:hAnsiTheme="majorBidi" w:cstheme="majorBidi"/>
                <w:color w:val="231F20"/>
                <w:sz w:val="20"/>
                <w:szCs w:val="20"/>
                <w:u w:val="single"/>
              </w:rPr>
              <w:tab/>
            </w:r>
            <w:r w:rsidR="001A5887" w:rsidRPr="00A433A8">
              <w:rPr>
                <w:rFonts w:asciiTheme="majorBidi" w:hAnsiTheme="majorBidi" w:cstheme="majorBidi"/>
                <w:color w:val="231F20"/>
                <w:sz w:val="20"/>
                <w:szCs w:val="20"/>
                <w:u w:val="single"/>
              </w:rPr>
              <w:t>When required, the primary receptacle or secondary packaging is capable of successfully passing the pressure test specified in subparagraph (7)</w:t>
            </w:r>
            <w:r w:rsidR="00A433A8">
              <w:rPr>
                <w:rFonts w:asciiTheme="majorBidi" w:hAnsiTheme="majorBidi" w:cstheme="majorBidi"/>
                <w:color w:val="231F20"/>
                <w:sz w:val="20"/>
                <w:szCs w:val="20"/>
                <w:u w:val="single"/>
              </w:rPr>
              <w:t>(</w:t>
            </w:r>
            <w:r w:rsidR="001A5887" w:rsidRPr="00A433A8">
              <w:rPr>
                <w:rFonts w:asciiTheme="majorBidi" w:hAnsiTheme="majorBidi" w:cstheme="majorBidi"/>
                <w:color w:val="231F20"/>
                <w:sz w:val="20"/>
                <w:szCs w:val="20"/>
                <w:u w:val="single"/>
              </w:rPr>
              <w:t>e</w:t>
            </w:r>
            <w:r w:rsidR="00A433A8">
              <w:rPr>
                <w:rFonts w:asciiTheme="majorBidi" w:hAnsiTheme="majorBidi" w:cstheme="majorBidi"/>
                <w:color w:val="231F20"/>
                <w:sz w:val="20"/>
                <w:szCs w:val="20"/>
                <w:u w:val="single"/>
              </w:rPr>
              <w:t>)</w:t>
            </w:r>
            <w:r w:rsidR="001A5887" w:rsidRPr="00A433A8">
              <w:rPr>
                <w:rFonts w:asciiTheme="majorBidi" w:hAnsiTheme="majorBidi" w:cstheme="majorBidi"/>
                <w:color w:val="231F20"/>
                <w:sz w:val="20"/>
                <w:szCs w:val="20"/>
                <w:u w:val="single"/>
              </w:rPr>
              <w:t>.</w:t>
            </w:r>
          </w:p>
          <w:p w14:paraId="0A95ACB4" w14:textId="77777777" w:rsidR="001A5887" w:rsidRPr="000C5309" w:rsidRDefault="001A5887" w:rsidP="000F77CA">
            <w:pPr>
              <w:pStyle w:val="TableParagraph"/>
              <w:spacing w:before="106"/>
              <w:ind w:left="544" w:right="79"/>
              <w:jc w:val="both"/>
              <w:rPr>
                <w:rFonts w:asciiTheme="majorBidi" w:hAnsiTheme="majorBidi" w:cstheme="majorBidi"/>
                <w:sz w:val="20"/>
                <w:szCs w:val="20"/>
                <w:u w:val="single"/>
              </w:rPr>
            </w:pPr>
            <w:r w:rsidRPr="000C5309">
              <w:rPr>
                <w:rFonts w:asciiTheme="majorBidi" w:hAnsiTheme="majorBidi" w:cstheme="majorBidi"/>
                <w:sz w:val="20"/>
                <w:szCs w:val="20"/>
                <w:u w:val="single"/>
              </w:rPr>
              <w:t>Variations of primary receptacles in accordance with 4.1.8.5, fulfilling subparagraph b, if needed, are considered equivalent to the original primary receptacle.</w:t>
            </w:r>
          </w:p>
          <w:p w14:paraId="2B0F2D70" w14:textId="77777777" w:rsidR="001A5887" w:rsidRPr="000C5309" w:rsidRDefault="001A5887" w:rsidP="000F77CA">
            <w:pPr>
              <w:pStyle w:val="TableParagraph"/>
              <w:numPr>
                <w:ilvl w:val="0"/>
                <w:numId w:val="17"/>
              </w:numPr>
              <w:tabs>
                <w:tab w:val="left" w:pos="544"/>
              </w:tabs>
              <w:spacing w:before="51"/>
              <w:ind w:left="544" w:hanging="420"/>
              <w:jc w:val="both"/>
              <w:rPr>
                <w:rFonts w:asciiTheme="majorBidi" w:hAnsiTheme="majorBidi" w:cstheme="majorBidi"/>
                <w:sz w:val="20"/>
                <w:szCs w:val="20"/>
              </w:rPr>
            </w:pPr>
            <w:r w:rsidRPr="000C5309">
              <w:rPr>
                <w:rFonts w:asciiTheme="majorBidi" w:hAnsiTheme="majorBidi" w:cstheme="majorBidi"/>
                <w:color w:val="231F20"/>
                <w:sz w:val="20"/>
                <w:szCs w:val="20"/>
              </w:rPr>
              <w:t>Other dangerous goods shall not be packed in the same packaging as Division 6.2 infectious substances unless</w:t>
            </w:r>
            <w:r w:rsidRPr="000C5309">
              <w:rPr>
                <w:rFonts w:asciiTheme="majorBidi" w:hAnsiTheme="majorBidi" w:cstheme="majorBidi"/>
                <w:color w:val="231F20"/>
                <w:spacing w:val="-47"/>
                <w:sz w:val="20"/>
                <w:szCs w:val="20"/>
              </w:rPr>
              <w:t xml:space="preserve"> </w:t>
            </w:r>
            <w:r w:rsidRPr="000C5309">
              <w:rPr>
                <w:rFonts w:asciiTheme="majorBidi" w:hAnsiTheme="majorBidi" w:cstheme="majorBidi"/>
                <w:color w:val="231F20"/>
                <w:spacing w:val="-1"/>
                <w:sz w:val="20"/>
                <w:szCs w:val="20"/>
              </w:rPr>
              <w:t>they</w:t>
            </w:r>
            <w:r w:rsidRPr="000C5309">
              <w:rPr>
                <w:rFonts w:asciiTheme="majorBidi" w:hAnsiTheme="majorBidi" w:cstheme="majorBidi"/>
                <w:color w:val="231F20"/>
                <w:spacing w:val="-8"/>
                <w:sz w:val="20"/>
                <w:szCs w:val="20"/>
              </w:rPr>
              <w:t xml:space="preserve"> </w:t>
            </w:r>
            <w:r w:rsidRPr="000C5309">
              <w:rPr>
                <w:rFonts w:asciiTheme="majorBidi" w:hAnsiTheme="majorBidi" w:cstheme="majorBidi"/>
                <w:color w:val="231F20"/>
                <w:spacing w:val="-1"/>
                <w:sz w:val="20"/>
                <w:szCs w:val="20"/>
              </w:rPr>
              <w:t>are</w:t>
            </w:r>
            <w:r w:rsidRPr="000C5309">
              <w:rPr>
                <w:rFonts w:asciiTheme="majorBidi" w:hAnsiTheme="majorBidi" w:cstheme="majorBidi"/>
                <w:color w:val="231F20"/>
                <w:spacing w:val="-11"/>
                <w:sz w:val="20"/>
                <w:szCs w:val="20"/>
              </w:rPr>
              <w:t xml:space="preserve"> </w:t>
            </w:r>
            <w:r w:rsidRPr="000C5309">
              <w:rPr>
                <w:rFonts w:asciiTheme="majorBidi" w:hAnsiTheme="majorBidi" w:cstheme="majorBidi"/>
                <w:color w:val="231F20"/>
                <w:spacing w:val="-1"/>
                <w:sz w:val="20"/>
                <w:szCs w:val="20"/>
              </w:rPr>
              <w:t>necessary</w:t>
            </w:r>
            <w:r w:rsidRPr="000C5309">
              <w:rPr>
                <w:rFonts w:asciiTheme="majorBidi" w:hAnsiTheme="majorBidi" w:cstheme="majorBidi"/>
                <w:color w:val="231F20"/>
                <w:spacing w:val="-11"/>
                <w:sz w:val="20"/>
                <w:szCs w:val="20"/>
              </w:rPr>
              <w:t xml:space="preserve"> </w:t>
            </w:r>
            <w:r w:rsidRPr="000C5309">
              <w:rPr>
                <w:rFonts w:asciiTheme="majorBidi" w:hAnsiTheme="majorBidi" w:cstheme="majorBidi"/>
                <w:color w:val="231F20"/>
                <w:spacing w:val="-1"/>
                <w:sz w:val="20"/>
                <w:szCs w:val="20"/>
              </w:rPr>
              <w:t>for</w:t>
            </w:r>
            <w:r w:rsidRPr="000C5309">
              <w:rPr>
                <w:rFonts w:asciiTheme="majorBidi" w:hAnsiTheme="majorBidi" w:cstheme="majorBidi"/>
                <w:color w:val="231F20"/>
                <w:spacing w:val="-11"/>
                <w:sz w:val="20"/>
                <w:szCs w:val="20"/>
              </w:rPr>
              <w:t xml:space="preserve"> </w:t>
            </w:r>
            <w:r w:rsidRPr="000C5309">
              <w:rPr>
                <w:rFonts w:asciiTheme="majorBidi" w:hAnsiTheme="majorBidi" w:cstheme="majorBidi"/>
                <w:color w:val="231F20"/>
                <w:spacing w:val="-1"/>
                <w:sz w:val="20"/>
                <w:szCs w:val="20"/>
              </w:rPr>
              <w:t>maintaining</w:t>
            </w:r>
            <w:r w:rsidRPr="000C5309">
              <w:rPr>
                <w:rFonts w:asciiTheme="majorBidi" w:hAnsiTheme="majorBidi" w:cstheme="majorBidi"/>
                <w:color w:val="231F20"/>
                <w:spacing w:val="-9"/>
                <w:sz w:val="20"/>
                <w:szCs w:val="20"/>
              </w:rPr>
              <w:t xml:space="preserve"> </w:t>
            </w:r>
            <w:r w:rsidRPr="000C5309">
              <w:rPr>
                <w:rFonts w:asciiTheme="majorBidi" w:hAnsiTheme="majorBidi" w:cstheme="majorBidi"/>
                <w:color w:val="231F20"/>
                <w:spacing w:val="-1"/>
                <w:sz w:val="20"/>
                <w:szCs w:val="20"/>
              </w:rPr>
              <w:t>the</w:t>
            </w:r>
            <w:r w:rsidRPr="000C5309">
              <w:rPr>
                <w:rFonts w:asciiTheme="majorBidi" w:hAnsiTheme="majorBidi" w:cstheme="majorBidi"/>
                <w:color w:val="231F20"/>
                <w:spacing w:val="-8"/>
                <w:sz w:val="20"/>
                <w:szCs w:val="20"/>
              </w:rPr>
              <w:t xml:space="preserve"> </w:t>
            </w:r>
            <w:r w:rsidRPr="000C5309">
              <w:rPr>
                <w:rFonts w:asciiTheme="majorBidi" w:hAnsiTheme="majorBidi" w:cstheme="majorBidi"/>
                <w:color w:val="231F20"/>
                <w:spacing w:val="-1"/>
                <w:sz w:val="20"/>
                <w:szCs w:val="20"/>
              </w:rPr>
              <w:t>viability,</w:t>
            </w:r>
            <w:r w:rsidRPr="000C5309">
              <w:rPr>
                <w:rFonts w:asciiTheme="majorBidi" w:hAnsiTheme="majorBidi" w:cstheme="majorBidi"/>
                <w:color w:val="231F20"/>
                <w:spacing w:val="-9"/>
                <w:sz w:val="20"/>
                <w:szCs w:val="20"/>
              </w:rPr>
              <w:t xml:space="preserve"> </w:t>
            </w:r>
            <w:proofErr w:type="gramStart"/>
            <w:r w:rsidRPr="000C5309">
              <w:rPr>
                <w:rFonts w:asciiTheme="majorBidi" w:hAnsiTheme="majorBidi" w:cstheme="majorBidi"/>
                <w:color w:val="231F20"/>
                <w:spacing w:val="-1"/>
                <w:sz w:val="20"/>
                <w:szCs w:val="20"/>
              </w:rPr>
              <w:t>stabilizing</w:t>
            </w:r>
            <w:proofErr w:type="gramEnd"/>
            <w:r w:rsidRPr="000C5309">
              <w:rPr>
                <w:rFonts w:asciiTheme="majorBidi" w:hAnsiTheme="majorBidi" w:cstheme="majorBidi"/>
                <w:color w:val="231F20"/>
                <w:spacing w:val="-11"/>
                <w:sz w:val="20"/>
                <w:szCs w:val="20"/>
              </w:rPr>
              <w:t xml:space="preserve"> </w:t>
            </w:r>
            <w:r w:rsidRPr="000C5309">
              <w:rPr>
                <w:rFonts w:asciiTheme="majorBidi" w:hAnsiTheme="majorBidi" w:cstheme="majorBidi"/>
                <w:color w:val="231F20"/>
                <w:sz w:val="20"/>
                <w:szCs w:val="20"/>
              </w:rPr>
              <w:t>or</w:t>
            </w:r>
            <w:r w:rsidRPr="000C5309">
              <w:rPr>
                <w:rFonts w:asciiTheme="majorBidi" w:hAnsiTheme="majorBidi" w:cstheme="majorBidi"/>
                <w:color w:val="231F20"/>
                <w:spacing w:val="-8"/>
                <w:sz w:val="20"/>
                <w:szCs w:val="20"/>
              </w:rPr>
              <w:t xml:space="preserve"> </w:t>
            </w:r>
            <w:r w:rsidRPr="000C5309">
              <w:rPr>
                <w:rFonts w:asciiTheme="majorBidi" w:hAnsiTheme="majorBidi" w:cstheme="majorBidi"/>
                <w:color w:val="231F20"/>
                <w:sz w:val="20"/>
                <w:szCs w:val="20"/>
              </w:rPr>
              <w:t>preventing</w:t>
            </w:r>
            <w:r w:rsidRPr="000C5309">
              <w:rPr>
                <w:rFonts w:asciiTheme="majorBidi" w:hAnsiTheme="majorBidi" w:cstheme="majorBidi"/>
                <w:color w:val="231F20"/>
                <w:spacing w:val="-11"/>
                <w:sz w:val="20"/>
                <w:szCs w:val="20"/>
              </w:rPr>
              <w:t xml:space="preserve"> </w:t>
            </w:r>
            <w:r w:rsidRPr="000C5309">
              <w:rPr>
                <w:rFonts w:asciiTheme="majorBidi" w:hAnsiTheme="majorBidi" w:cstheme="majorBidi"/>
                <w:color w:val="231F20"/>
                <w:sz w:val="20"/>
                <w:szCs w:val="20"/>
              </w:rPr>
              <w:t>degradation</w:t>
            </w:r>
            <w:r w:rsidRPr="000C5309">
              <w:rPr>
                <w:rFonts w:asciiTheme="majorBidi" w:hAnsiTheme="majorBidi" w:cstheme="majorBidi"/>
                <w:color w:val="231F20"/>
                <w:spacing w:val="-10"/>
                <w:sz w:val="20"/>
                <w:szCs w:val="20"/>
              </w:rPr>
              <w:t xml:space="preserve"> </w:t>
            </w:r>
            <w:r w:rsidRPr="000C5309">
              <w:rPr>
                <w:rFonts w:asciiTheme="majorBidi" w:hAnsiTheme="majorBidi" w:cstheme="majorBidi"/>
                <w:color w:val="231F20"/>
                <w:sz w:val="20"/>
                <w:szCs w:val="20"/>
              </w:rPr>
              <w:t>or</w:t>
            </w:r>
            <w:r w:rsidRPr="000C5309">
              <w:rPr>
                <w:rFonts w:asciiTheme="majorBidi" w:hAnsiTheme="majorBidi" w:cstheme="majorBidi"/>
                <w:color w:val="231F20"/>
                <w:spacing w:val="-8"/>
                <w:sz w:val="20"/>
                <w:szCs w:val="20"/>
              </w:rPr>
              <w:t xml:space="preserve"> </w:t>
            </w:r>
            <w:r w:rsidRPr="000C5309">
              <w:rPr>
                <w:rFonts w:asciiTheme="majorBidi" w:hAnsiTheme="majorBidi" w:cstheme="majorBidi"/>
                <w:color w:val="231F20"/>
                <w:sz w:val="20"/>
                <w:szCs w:val="20"/>
              </w:rPr>
              <w:t>neutralizing</w:t>
            </w:r>
            <w:r w:rsidRPr="000C5309">
              <w:rPr>
                <w:rFonts w:asciiTheme="majorBidi" w:hAnsiTheme="majorBidi" w:cstheme="majorBidi"/>
                <w:color w:val="231F20"/>
                <w:spacing w:val="-9"/>
                <w:sz w:val="20"/>
                <w:szCs w:val="20"/>
              </w:rPr>
              <w:t xml:space="preserve"> </w:t>
            </w:r>
            <w:r w:rsidRPr="000C5309">
              <w:rPr>
                <w:rFonts w:asciiTheme="majorBidi" w:hAnsiTheme="majorBidi" w:cstheme="majorBidi"/>
                <w:color w:val="231F20"/>
                <w:sz w:val="20"/>
                <w:szCs w:val="20"/>
              </w:rPr>
              <w:t>the</w:t>
            </w:r>
            <w:r w:rsidRPr="000C5309">
              <w:rPr>
                <w:rFonts w:asciiTheme="majorBidi" w:hAnsiTheme="majorBidi" w:cstheme="majorBidi"/>
                <w:color w:val="231F20"/>
                <w:spacing w:val="-11"/>
                <w:sz w:val="20"/>
                <w:szCs w:val="20"/>
              </w:rPr>
              <w:t xml:space="preserve"> </w:t>
            </w:r>
            <w:r w:rsidRPr="000C5309">
              <w:rPr>
                <w:rFonts w:asciiTheme="majorBidi" w:hAnsiTheme="majorBidi" w:cstheme="majorBidi"/>
                <w:color w:val="231F20"/>
                <w:sz w:val="20"/>
                <w:szCs w:val="20"/>
              </w:rPr>
              <w:t>hazards</w:t>
            </w:r>
            <w:r w:rsidRPr="000C5309">
              <w:rPr>
                <w:rFonts w:asciiTheme="majorBidi" w:hAnsiTheme="majorBidi" w:cstheme="majorBidi"/>
                <w:color w:val="231F20"/>
                <w:spacing w:val="-48"/>
                <w:sz w:val="20"/>
                <w:szCs w:val="20"/>
              </w:rPr>
              <w:t xml:space="preserve"> </w:t>
            </w:r>
            <w:r w:rsidRPr="000C5309">
              <w:rPr>
                <w:rFonts w:asciiTheme="majorBidi" w:hAnsiTheme="majorBidi" w:cstheme="majorBidi"/>
                <w:color w:val="231F20"/>
                <w:sz w:val="20"/>
                <w:szCs w:val="20"/>
              </w:rPr>
              <w:t>of the infectious substances. A quantity of 30 ml or less of dangerous goods included in Classes 3, 8 or 9 may</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be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packed</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in</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each</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primary</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receptacle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containing</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infectious</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substances.</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When</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these</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small</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quantities</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of</w:t>
            </w:r>
            <w:r w:rsidRPr="000C5309">
              <w:rPr>
                <w:rFonts w:asciiTheme="majorBidi" w:hAnsiTheme="majorBidi" w:cstheme="majorBidi"/>
                <w:color w:val="231F20"/>
                <w:spacing w:val="-47"/>
                <w:sz w:val="20"/>
                <w:szCs w:val="20"/>
              </w:rPr>
              <w:t xml:space="preserve"> </w:t>
            </w:r>
            <w:r w:rsidRPr="000C5309">
              <w:rPr>
                <w:rFonts w:asciiTheme="majorBidi" w:hAnsiTheme="majorBidi" w:cstheme="majorBidi"/>
                <w:color w:val="231F20"/>
                <w:sz w:val="20"/>
                <w:szCs w:val="20"/>
              </w:rPr>
              <w:t>dangerous goods are packed with infectious substances in accordance with this packing instruction no other</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requirements</w:t>
            </w:r>
            <w:r w:rsidRPr="000C5309">
              <w:rPr>
                <w:rFonts w:asciiTheme="majorBidi" w:hAnsiTheme="majorBidi" w:cstheme="majorBidi"/>
                <w:color w:val="231F20"/>
                <w:spacing w:val="-1"/>
                <w:sz w:val="20"/>
                <w:szCs w:val="20"/>
              </w:rPr>
              <w:t xml:space="preserve"> </w:t>
            </w:r>
            <w:r w:rsidRPr="000C5309">
              <w:rPr>
                <w:rFonts w:asciiTheme="majorBidi" w:hAnsiTheme="majorBidi" w:cstheme="majorBidi"/>
                <w:color w:val="231F20"/>
                <w:sz w:val="20"/>
                <w:szCs w:val="20"/>
              </w:rPr>
              <w:t>in these Regulations need</w:t>
            </w:r>
            <w:r w:rsidRPr="000C5309">
              <w:rPr>
                <w:rFonts w:asciiTheme="majorBidi" w:hAnsiTheme="majorBidi" w:cstheme="majorBidi"/>
                <w:color w:val="231F20"/>
                <w:spacing w:val="-2"/>
                <w:sz w:val="20"/>
                <w:szCs w:val="20"/>
              </w:rPr>
              <w:t xml:space="preserve"> </w:t>
            </w:r>
            <w:r w:rsidRPr="000C5309">
              <w:rPr>
                <w:rFonts w:asciiTheme="majorBidi" w:hAnsiTheme="majorBidi" w:cstheme="majorBidi"/>
                <w:color w:val="231F20"/>
                <w:sz w:val="20"/>
                <w:szCs w:val="20"/>
              </w:rPr>
              <w:t>be met.</w:t>
            </w:r>
          </w:p>
        </w:tc>
      </w:tr>
    </w:tbl>
    <w:p w14:paraId="5C90C6DC" w14:textId="78B8013A" w:rsidR="00B82960" w:rsidRPr="00D16C75" w:rsidRDefault="00D16C75" w:rsidP="00D16C75">
      <w:pPr>
        <w:spacing w:before="240"/>
        <w:jc w:val="center"/>
        <w:rPr>
          <w:u w:val="single"/>
        </w:rPr>
      </w:pPr>
      <w:r>
        <w:rPr>
          <w:u w:val="single"/>
        </w:rPr>
        <w:lastRenderedPageBreak/>
        <w:tab/>
      </w:r>
      <w:r>
        <w:rPr>
          <w:u w:val="single"/>
        </w:rPr>
        <w:tab/>
      </w:r>
      <w:r>
        <w:rPr>
          <w:u w:val="single"/>
        </w:rPr>
        <w:tab/>
      </w:r>
    </w:p>
    <w:sectPr w:rsidR="00B82960" w:rsidRPr="00D16C75" w:rsidSect="000F4812">
      <w:headerReference w:type="even" r:id="rId13"/>
      <w:headerReference w:type="default" r:id="rId14"/>
      <w:footerReference w:type="even" r:id="rId15"/>
      <w:footerReference w:type="defaul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0462" w14:textId="77777777" w:rsidR="00AE4522" w:rsidRPr="00C47B2E" w:rsidRDefault="00AE4522" w:rsidP="00C47B2E">
      <w:pPr>
        <w:pStyle w:val="Footer"/>
      </w:pPr>
    </w:p>
  </w:endnote>
  <w:endnote w:type="continuationSeparator" w:id="0">
    <w:p w14:paraId="62DF04F0" w14:textId="77777777" w:rsidR="00AE4522" w:rsidRPr="00C47B2E" w:rsidRDefault="00AE4522" w:rsidP="00C47B2E">
      <w:pPr>
        <w:pStyle w:val="Footer"/>
      </w:pPr>
    </w:p>
  </w:endnote>
  <w:endnote w:type="continuationNotice" w:id="1">
    <w:p w14:paraId="7DF20E4E" w14:textId="77777777" w:rsidR="00AE4522" w:rsidRPr="00C47B2E" w:rsidRDefault="00AE452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A109" w14:textId="3E545150" w:rsidR="00D94B05" w:rsidRPr="000F4812" w:rsidRDefault="000F4812" w:rsidP="000F4812">
    <w:pPr>
      <w:pStyle w:val="Footer"/>
      <w:tabs>
        <w:tab w:val="right" w:pos="9598"/>
        <w:tab w:val="right" w:pos="9638"/>
      </w:tabs>
      <w:rPr>
        <w:sz w:val="18"/>
      </w:rPr>
    </w:pPr>
    <w:r w:rsidRPr="000F4812">
      <w:rPr>
        <w:b/>
        <w:sz w:val="18"/>
      </w:rPr>
      <w:fldChar w:fldCharType="begin"/>
    </w:r>
    <w:r w:rsidRPr="000F4812">
      <w:rPr>
        <w:b/>
        <w:sz w:val="18"/>
      </w:rPr>
      <w:instrText xml:space="preserve"> PAGE  \* MERGEFORMAT </w:instrText>
    </w:r>
    <w:r w:rsidRPr="000F4812">
      <w:rPr>
        <w:b/>
        <w:sz w:val="18"/>
      </w:rPr>
      <w:fldChar w:fldCharType="separate"/>
    </w:r>
    <w:r w:rsidRPr="000F4812">
      <w:rPr>
        <w:b/>
        <w:noProof/>
        <w:sz w:val="18"/>
      </w:rPr>
      <w:t>2</w:t>
    </w:r>
    <w:r w:rsidRPr="000F48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07B4" w14:textId="007A13CB" w:rsidR="00D94B05" w:rsidRPr="000F4812" w:rsidRDefault="000F4812" w:rsidP="00CE73CF">
    <w:pPr>
      <w:pStyle w:val="Footer"/>
      <w:tabs>
        <w:tab w:val="left" w:pos="5775"/>
        <w:tab w:val="right" w:pos="9598"/>
        <w:tab w:val="right" w:pos="9638"/>
      </w:tabs>
      <w:jc w:val="right"/>
      <w:rPr>
        <w:sz w:val="18"/>
      </w:rPr>
    </w:pPr>
    <w:r>
      <w:rPr>
        <w:b/>
        <w:sz w:val="18"/>
      </w:rPr>
      <w:tab/>
    </w:r>
    <w:r w:rsidRPr="000F4812">
      <w:rPr>
        <w:sz w:val="18"/>
      </w:rPr>
      <w:fldChar w:fldCharType="begin"/>
    </w:r>
    <w:r w:rsidRPr="000F4812">
      <w:rPr>
        <w:sz w:val="18"/>
      </w:rPr>
      <w:instrText xml:space="preserve"> PAGE  \* MERGEFORMAT </w:instrText>
    </w:r>
    <w:r w:rsidRPr="000F4812">
      <w:rPr>
        <w:sz w:val="18"/>
      </w:rPr>
      <w:fldChar w:fldCharType="separate"/>
    </w:r>
    <w:r w:rsidRPr="000F4812">
      <w:rPr>
        <w:noProof/>
        <w:sz w:val="18"/>
      </w:rPr>
      <w:t>3</w:t>
    </w:r>
    <w:r w:rsidRPr="000F481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2357" w14:textId="77777777" w:rsidR="00D94B05" w:rsidRPr="000F481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8F86FDE" wp14:editId="6DE89E7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9788" w14:textId="77777777" w:rsidR="00AE4522" w:rsidRPr="00C47B2E" w:rsidRDefault="00AE4522" w:rsidP="00C47B2E">
      <w:pPr>
        <w:tabs>
          <w:tab w:val="right" w:pos="2155"/>
        </w:tabs>
        <w:spacing w:after="80" w:line="240" w:lineRule="auto"/>
        <w:ind w:left="680"/>
      </w:pPr>
      <w:r>
        <w:rPr>
          <w:u w:val="single"/>
        </w:rPr>
        <w:tab/>
      </w:r>
    </w:p>
  </w:footnote>
  <w:footnote w:type="continuationSeparator" w:id="0">
    <w:p w14:paraId="73F4B3D4" w14:textId="77777777" w:rsidR="00AE4522" w:rsidRPr="00C47B2E" w:rsidRDefault="00AE4522" w:rsidP="005E716E">
      <w:pPr>
        <w:tabs>
          <w:tab w:val="right" w:pos="2155"/>
        </w:tabs>
        <w:spacing w:after="80" w:line="240" w:lineRule="auto"/>
        <w:ind w:left="680"/>
      </w:pPr>
      <w:r>
        <w:rPr>
          <w:u w:val="single"/>
        </w:rPr>
        <w:tab/>
      </w:r>
    </w:p>
  </w:footnote>
  <w:footnote w:type="continuationNotice" w:id="1">
    <w:p w14:paraId="604E6D1F" w14:textId="77777777" w:rsidR="00AE4522" w:rsidRPr="00C47B2E" w:rsidRDefault="00AE4522" w:rsidP="00C47B2E">
      <w:pPr>
        <w:pStyle w:val="Footer"/>
      </w:pPr>
    </w:p>
  </w:footnote>
  <w:footnote w:id="2">
    <w:p w14:paraId="7F49EC16" w14:textId="0678951B" w:rsidR="00720856" w:rsidRPr="00720856" w:rsidRDefault="00720856" w:rsidP="00720856">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77DA" w14:textId="1A0E36F9" w:rsidR="000F4812" w:rsidRPr="000F4812" w:rsidRDefault="00AE4522">
    <w:pPr>
      <w:pStyle w:val="Header"/>
    </w:pPr>
    <w:fldSimple w:instr=" TITLE  \* MERGEFORMAT ">
      <w:r w:rsidR="00AF11A7">
        <w:t>ST/SG/AC.10/C.3/2022/15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78D8" w14:textId="2969163E" w:rsidR="00D94B05" w:rsidRPr="000F4812" w:rsidRDefault="00AE4522" w:rsidP="000F4812">
    <w:pPr>
      <w:pStyle w:val="Header"/>
      <w:jc w:val="right"/>
    </w:pPr>
    <w:fldSimple w:instr=" TITLE  \* MERGEFORMAT ">
      <w:r w:rsidR="00AF11A7">
        <w:t>ST/SG/AC.10/C.3/2022/15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BF4E96"/>
    <w:multiLevelType w:val="hybridMultilevel"/>
    <w:tmpl w:val="42A66864"/>
    <w:lvl w:ilvl="0" w:tplc="3960891A">
      <w:start w:val="7"/>
      <w:numFmt w:val="decimal"/>
      <w:lvlText w:val="(%1)"/>
      <w:lvlJc w:val="left"/>
      <w:pPr>
        <w:ind w:left="1742" w:hanging="608"/>
      </w:pPr>
      <w:rPr>
        <w:rFonts w:ascii="Times New Roman" w:eastAsia="Times New Roman" w:hAnsi="Times New Roman" w:cs="Times New Roman" w:hint="default"/>
        <w:color w:val="231F20"/>
        <w:w w:val="99"/>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E4AE2"/>
    <w:multiLevelType w:val="hybridMultilevel"/>
    <w:tmpl w:val="EDBE27FA"/>
    <w:lvl w:ilvl="0" w:tplc="32EAA472">
      <w:start w:val="12"/>
      <w:numFmt w:val="decimal"/>
      <w:lvlText w:val="(%1)"/>
      <w:lvlJc w:val="left"/>
      <w:pPr>
        <w:ind w:left="1742" w:hanging="608"/>
      </w:pPr>
      <w:rPr>
        <w:rFonts w:ascii="Times New Roman" w:eastAsia="Times New Roman" w:hAnsi="Times New Roman" w:cs="Times New Roman" w:hint="default"/>
        <w:color w:val="231F20"/>
        <w:w w:val="99"/>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90A3D"/>
    <w:multiLevelType w:val="hybridMultilevel"/>
    <w:tmpl w:val="D9C85738"/>
    <w:lvl w:ilvl="0" w:tplc="53BCB9AC">
      <w:start w:val="6"/>
      <w:numFmt w:val="decimal"/>
      <w:lvlText w:val="(%1)"/>
      <w:lvlJc w:val="left"/>
      <w:pPr>
        <w:ind w:left="1675" w:hanging="541"/>
      </w:pPr>
      <w:rPr>
        <w:rFonts w:ascii="Times New Roman" w:eastAsia="Times New Roman" w:hAnsi="Times New Roman" w:cs="Times New Roman" w:hint="default"/>
        <w:color w:val="231F20"/>
        <w:w w:val="99"/>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12" w15:restartNumberingAfterBreak="0">
    <w:nsid w:val="6869617C"/>
    <w:multiLevelType w:val="hybridMultilevel"/>
    <w:tmpl w:val="2702FA1A"/>
    <w:lvl w:ilvl="0" w:tplc="5F4680CE">
      <w:start w:val="1"/>
      <w:numFmt w:val="decimal"/>
      <w:lvlText w:val="(%1)"/>
      <w:lvlJc w:val="left"/>
      <w:pPr>
        <w:ind w:left="1675" w:hanging="541"/>
      </w:pPr>
      <w:rPr>
        <w:rFonts w:ascii="Times New Roman" w:eastAsia="Times New Roman" w:hAnsi="Times New Roman" w:cs="Times New Roman" w:hint="default"/>
        <w:color w:val="231F20"/>
        <w:w w:val="99"/>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0"/>
  </w:num>
  <w:num w:numId="4">
    <w:abstractNumId w:val="9"/>
  </w:num>
  <w:num w:numId="5">
    <w:abstractNumId w:val="10"/>
  </w:num>
  <w:num w:numId="6">
    <w:abstractNumId w:val="14"/>
  </w:num>
  <w:num w:numId="7">
    <w:abstractNumId w:val="4"/>
  </w:num>
  <w:num w:numId="8">
    <w:abstractNumId w:val="1"/>
  </w:num>
  <w:num w:numId="9">
    <w:abstractNumId w:val="13"/>
  </w:num>
  <w:num w:numId="10">
    <w:abstractNumId w:val="1"/>
  </w:num>
  <w:num w:numId="11">
    <w:abstractNumId w:val="13"/>
  </w:num>
  <w:num w:numId="12">
    <w:abstractNumId w:val="2"/>
  </w:num>
  <w:num w:numId="13">
    <w:abstractNumId w:val="2"/>
  </w:num>
  <w:num w:numId="14">
    <w:abstractNumId w:val="11"/>
  </w:num>
  <w:num w:numId="15">
    <w:abstractNumId w:val="6"/>
  </w:num>
  <w:num w:numId="16">
    <w:abstractNumId w:val="8"/>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12"/>
    <w:rsid w:val="00017698"/>
    <w:rsid w:val="00024398"/>
    <w:rsid w:val="00026A93"/>
    <w:rsid w:val="00046E92"/>
    <w:rsid w:val="00063C90"/>
    <w:rsid w:val="00094615"/>
    <w:rsid w:val="00094B86"/>
    <w:rsid w:val="000B3558"/>
    <w:rsid w:val="000C5309"/>
    <w:rsid w:val="000F33A6"/>
    <w:rsid w:val="000F4812"/>
    <w:rsid w:val="000F50E5"/>
    <w:rsid w:val="000F77CA"/>
    <w:rsid w:val="00101B98"/>
    <w:rsid w:val="0013120D"/>
    <w:rsid w:val="001514D1"/>
    <w:rsid w:val="001831E2"/>
    <w:rsid w:val="001A5887"/>
    <w:rsid w:val="001C5EA0"/>
    <w:rsid w:val="001D5ECC"/>
    <w:rsid w:val="0023045A"/>
    <w:rsid w:val="00247E2C"/>
    <w:rsid w:val="00290546"/>
    <w:rsid w:val="00293CF7"/>
    <w:rsid w:val="002A32CB"/>
    <w:rsid w:val="002D5B2C"/>
    <w:rsid w:val="002D6C53"/>
    <w:rsid w:val="002E54DC"/>
    <w:rsid w:val="002F5595"/>
    <w:rsid w:val="0033281D"/>
    <w:rsid w:val="00334F6A"/>
    <w:rsid w:val="00342AC8"/>
    <w:rsid w:val="00343302"/>
    <w:rsid w:val="003523EE"/>
    <w:rsid w:val="003979DE"/>
    <w:rsid w:val="003A58C8"/>
    <w:rsid w:val="003B4550"/>
    <w:rsid w:val="003D2A18"/>
    <w:rsid w:val="003F08C2"/>
    <w:rsid w:val="00413386"/>
    <w:rsid w:val="004228C8"/>
    <w:rsid w:val="00442E06"/>
    <w:rsid w:val="00453DF2"/>
    <w:rsid w:val="00461253"/>
    <w:rsid w:val="004732DE"/>
    <w:rsid w:val="004858F5"/>
    <w:rsid w:val="004A2814"/>
    <w:rsid w:val="004A737F"/>
    <w:rsid w:val="004C0622"/>
    <w:rsid w:val="004D6660"/>
    <w:rsid w:val="004E6A5A"/>
    <w:rsid w:val="005042C2"/>
    <w:rsid w:val="00513A3B"/>
    <w:rsid w:val="00535E49"/>
    <w:rsid w:val="00560D1A"/>
    <w:rsid w:val="005A05F9"/>
    <w:rsid w:val="005A10AD"/>
    <w:rsid w:val="005E5B99"/>
    <w:rsid w:val="005E716E"/>
    <w:rsid w:val="005F08A2"/>
    <w:rsid w:val="006273D0"/>
    <w:rsid w:val="006476E1"/>
    <w:rsid w:val="006604DF"/>
    <w:rsid w:val="00671529"/>
    <w:rsid w:val="00681411"/>
    <w:rsid w:val="006D1E0F"/>
    <w:rsid w:val="0070489D"/>
    <w:rsid w:val="00720856"/>
    <w:rsid w:val="00722492"/>
    <w:rsid w:val="007268F9"/>
    <w:rsid w:val="00750282"/>
    <w:rsid w:val="00764440"/>
    <w:rsid w:val="0077101B"/>
    <w:rsid w:val="00774B02"/>
    <w:rsid w:val="007B1E33"/>
    <w:rsid w:val="007C52B0"/>
    <w:rsid w:val="007C5628"/>
    <w:rsid w:val="007C6033"/>
    <w:rsid w:val="008147C8"/>
    <w:rsid w:val="00816112"/>
    <w:rsid w:val="0081753A"/>
    <w:rsid w:val="00820DF8"/>
    <w:rsid w:val="00850BD0"/>
    <w:rsid w:val="00857D23"/>
    <w:rsid w:val="00877072"/>
    <w:rsid w:val="008857AC"/>
    <w:rsid w:val="008C728A"/>
    <w:rsid w:val="008F0BA5"/>
    <w:rsid w:val="009411B4"/>
    <w:rsid w:val="00941528"/>
    <w:rsid w:val="00946F1D"/>
    <w:rsid w:val="009D0139"/>
    <w:rsid w:val="009D717D"/>
    <w:rsid w:val="009F5CDC"/>
    <w:rsid w:val="00A04A39"/>
    <w:rsid w:val="00A072D7"/>
    <w:rsid w:val="00A433A8"/>
    <w:rsid w:val="00A56EAA"/>
    <w:rsid w:val="00A775CF"/>
    <w:rsid w:val="00A905D8"/>
    <w:rsid w:val="00AD1A9C"/>
    <w:rsid w:val="00AD2261"/>
    <w:rsid w:val="00AE2FFB"/>
    <w:rsid w:val="00AE4522"/>
    <w:rsid w:val="00AE5C17"/>
    <w:rsid w:val="00AF11A7"/>
    <w:rsid w:val="00AF5DE1"/>
    <w:rsid w:val="00B06045"/>
    <w:rsid w:val="00B20552"/>
    <w:rsid w:val="00B206DD"/>
    <w:rsid w:val="00B4235B"/>
    <w:rsid w:val="00B4389C"/>
    <w:rsid w:val="00B52EF4"/>
    <w:rsid w:val="00B777AD"/>
    <w:rsid w:val="00B82960"/>
    <w:rsid w:val="00B866B4"/>
    <w:rsid w:val="00B93F3E"/>
    <w:rsid w:val="00B94C84"/>
    <w:rsid w:val="00BA3C22"/>
    <w:rsid w:val="00BF31AF"/>
    <w:rsid w:val="00C03015"/>
    <w:rsid w:val="00C0358D"/>
    <w:rsid w:val="00C35A27"/>
    <w:rsid w:val="00C47B2E"/>
    <w:rsid w:val="00C540CE"/>
    <w:rsid w:val="00C56232"/>
    <w:rsid w:val="00C65D98"/>
    <w:rsid w:val="00C67CA0"/>
    <w:rsid w:val="00CC65DB"/>
    <w:rsid w:val="00CE73CF"/>
    <w:rsid w:val="00CE7AA3"/>
    <w:rsid w:val="00CF5558"/>
    <w:rsid w:val="00D037BB"/>
    <w:rsid w:val="00D16C75"/>
    <w:rsid w:val="00D63CD2"/>
    <w:rsid w:val="00D75C7B"/>
    <w:rsid w:val="00D84B2B"/>
    <w:rsid w:val="00D87DC2"/>
    <w:rsid w:val="00D94B05"/>
    <w:rsid w:val="00DA0603"/>
    <w:rsid w:val="00DA0E28"/>
    <w:rsid w:val="00DD0192"/>
    <w:rsid w:val="00E02C2B"/>
    <w:rsid w:val="00E21C27"/>
    <w:rsid w:val="00E26BCF"/>
    <w:rsid w:val="00E30357"/>
    <w:rsid w:val="00E41CD7"/>
    <w:rsid w:val="00E477BB"/>
    <w:rsid w:val="00E52109"/>
    <w:rsid w:val="00E75317"/>
    <w:rsid w:val="00E7734B"/>
    <w:rsid w:val="00EB0762"/>
    <w:rsid w:val="00EC0CE6"/>
    <w:rsid w:val="00EC7C1D"/>
    <w:rsid w:val="00ED6C48"/>
    <w:rsid w:val="00EE3045"/>
    <w:rsid w:val="00EE57F8"/>
    <w:rsid w:val="00EF5383"/>
    <w:rsid w:val="00F379AA"/>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CFF5C"/>
  <w15:docId w15:val="{757C6744-BB33-4B0E-862F-9E76796F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rsid w:val="001A5887"/>
    <w:rPr>
      <w:b/>
      <w:sz w:val="28"/>
    </w:rPr>
  </w:style>
  <w:style w:type="character" w:customStyle="1" w:styleId="H1GChar">
    <w:name w:val="_ H_1_G Char"/>
    <w:link w:val="H1G"/>
    <w:rsid w:val="001A5887"/>
    <w:rPr>
      <w:b/>
      <w:sz w:val="24"/>
    </w:rPr>
  </w:style>
  <w:style w:type="paragraph" w:customStyle="1" w:styleId="TableParagraph">
    <w:name w:val="Table Paragraph"/>
    <w:basedOn w:val="Normal"/>
    <w:uiPriority w:val="1"/>
    <w:qFormat/>
    <w:rsid w:val="001A5887"/>
    <w:pPr>
      <w:widowControl w:val="0"/>
      <w:suppressAutoHyphens w:val="0"/>
      <w:kinsoku/>
      <w:overflowPunct/>
      <w:adjustRightInd/>
      <w:snapToGrid/>
      <w:spacing w:line="240" w:lineRule="auto"/>
    </w:pPr>
    <w:rPr>
      <w:rFonts w:eastAsia="Times New Roman"/>
      <w:sz w:val="22"/>
      <w:szCs w:val="22"/>
      <w:lang w:val="en-US" w:eastAsia="en-US"/>
    </w:rPr>
  </w:style>
  <w:style w:type="table" w:customStyle="1" w:styleId="TableNormal2">
    <w:name w:val="Table Normal2"/>
    <w:uiPriority w:val="2"/>
    <w:semiHidden/>
    <w:unhideWhenUsed/>
    <w:qFormat/>
    <w:rsid w:val="001A5887"/>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5404B-0D87-457C-B85C-65F201B688AD}">
  <ds:schemaRefs>
    <ds:schemaRef ds:uri="http://purl.org/dc/dcmitype/"/>
    <ds:schemaRef ds:uri="acccb6d4-dbe5-46d2-b4d3-5733603d8cc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4b4a1c0d-4a69-4996-a84a-fc699b9f49de"/>
    <ds:schemaRef ds:uri="http://purl.org/dc/terms/"/>
    <ds:schemaRef ds:uri="http://www.w3.org/XML/1998/namespac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EF46127C-5477-4B6C-82B1-638AB195F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BC324-2BD6-47D9-A232-6192F5CBD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121</TotalTime>
  <Pages>5</Pages>
  <Words>2311</Words>
  <Characters>12490</Characters>
  <Application>Microsoft Office Word</Application>
  <DocSecurity>0</DocSecurity>
  <Lines>206</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ST/SG/AC.10/C.3/2022/15</dc:title>
  <dc:subject/>
  <dc:creator>Laurence BERTHET</dc:creator>
  <cp:lastModifiedBy>Laurence Berthet</cp:lastModifiedBy>
  <cp:revision>94</cp:revision>
  <cp:lastPrinted>2022-04-01T12:06:00Z</cp:lastPrinted>
  <dcterms:created xsi:type="dcterms:W3CDTF">2022-03-29T13:16:00Z</dcterms:created>
  <dcterms:modified xsi:type="dcterms:W3CDTF">2022-04-01T12:13:00Z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