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66E6" w14:textId="77777777" w:rsidTr="006476E1">
        <w:trPr>
          <w:trHeight w:val="851"/>
        </w:trPr>
        <w:tc>
          <w:tcPr>
            <w:tcW w:w="1259" w:type="dxa"/>
            <w:tcBorders>
              <w:top w:val="nil"/>
              <w:left w:val="nil"/>
              <w:bottom w:val="single" w:sz="4" w:space="0" w:color="auto"/>
              <w:right w:val="nil"/>
            </w:tcBorders>
          </w:tcPr>
          <w:p w14:paraId="1AB168F7" w14:textId="77777777" w:rsidR="00E52109" w:rsidRPr="002A32CB" w:rsidRDefault="00E52109" w:rsidP="004858F5"/>
        </w:tc>
        <w:tc>
          <w:tcPr>
            <w:tcW w:w="2236" w:type="dxa"/>
            <w:tcBorders>
              <w:top w:val="nil"/>
              <w:left w:val="nil"/>
              <w:bottom w:val="single" w:sz="4" w:space="0" w:color="auto"/>
              <w:right w:val="nil"/>
            </w:tcBorders>
            <w:vAlign w:val="bottom"/>
          </w:tcPr>
          <w:p w14:paraId="2314872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919837" w14:textId="35759ED7" w:rsidR="00795847" w:rsidRDefault="00795847" w:rsidP="00795847">
            <w:pPr>
              <w:suppressAutoHyphens w:val="0"/>
              <w:jc w:val="right"/>
            </w:pPr>
            <w:r w:rsidRPr="00795847">
              <w:rPr>
                <w:sz w:val="40"/>
              </w:rPr>
              <w:t>ST</w:t>
            </w:r>
            <w:r>
              <w:t>/SG/AC.10/C.3/202</w:t>
            </w:r>
            <w:r w:rsidR="00436D56">
              <w:t>2</w:t>
            </w:r>
            <w:r>
              <w:t>/</w:t>
            </w:r>
            <w:r w:rsidR="000133B3">
              <w:t>11</w:t>
            </w:r>
            <w:r>
              <w:t>−</w:t>
            </w:r>
            <w:r w:rsidRPr="00795847">
              <w:rPr>
                <w:sz w:val="40"/>
              </w:rPr>
              <w:t>ST</w:t>
            </w:r>
            <w:r>
              <w:t>/SG/AC.10/C.4/202</w:t>
            </w:r>
            <w:r w:rsidR="00436D56">
              <w:t>2</w:t>
            </w:r>
            <w:r>
              <w:t>/</w:t>
            </w:r>
            <w:r w:rsidR="000133B3">
              <w:t>2</w:t>
            </w:r>
          </w:p>
        </w:tc>
      </w:tr>
      <w:tr w:rsidR="00E52109" w14:paraId="094F14CC" w14:textId="77777777" w:rsidTr="006476E1">
        <w:trPr>
          <w:trHeight w:val="2835"/>
        </w:trPr>
        <w:tc>
          <w:tcPr>
            <w:tcW w:w="1259" w:type="dxa"/>
            <w:tcBorders>
              <w:top w:val="single" w:sz="4" w:space="0" w:color="auto"/>
              <w:left w:val="nil"/>
              <w:bottom w:val="single" w:sz="12" w:space="0" w:color="auto"/>
              <w:right w:val="nil"/>
            </w:tcBorders>
          </w:tcPr>
          <w:p w14:paraId="3B3D5521" w14:textId="77777777" w:rsidR="00E52109" w:rsidRDefault="00E52109" w:rsidP="006476E1">
            <w:pPr>
              <w:spacing w:before="120"/>
              <w:jc w:val="center"/>
            </w:pPr>
            <w:r>
              <w:rPr>
                <w:noProof/>
                <w:lang w:val="fr-CH" w:eastAsia="fr-CH"/>
              </w:rPr>
              <w:drawing>
                <wp:inline distT="0" distB="0" distL="0" distR="0" wp14:anchorId="0427A355" wp14:editId="7FB19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F7A9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E9B64C" w14:textId="77777777" w:rsidR="00D94B05" w:rsidRDefault="00795847" w:rsidP="00795847">
            <w:pPr>
              <w:suppressAutoHyphens w:val="0"/>
              <w:spacing w:before="240" w:line="240" w:lineRule="exact"/>
            </w:pPr>
            <w:r>
              <w:t>Distr.: General</w:t>
            </w:r>
          </w:p>
          <w:p w14:paraId="32B0C81D" w14:textId="1C4C8130" w:rsidR="00795847" w:rsidRDefault="00D5082A" w:rsidP="00795847">
            <w:pPr>
              <w:suppressAutoHyphens w:val="0"/>
              <w:spacing w:line="240" w:lineRule="exact"/>
            </w:pPr>
            <w:r>
              <w:t>13 April</w:t>
            </w:r>
            <w:r w:rsidR="00C44361">
              <w:t xml:space="preserve"> 2022</w:t>
            </w:r>
          </w:p>
          <w:p w14:paraId="01C35A06" w14:textId="77777777" w:rsidR="00795847" w:rsidRDefault="00795847" w:rsidP="00795847">
            <w:pPr>
              <w:suppressAutoHyphens w:val="0"/>
              <w:spacing w:line="240" w:lineRule="exact"/>
            </w:pPr>
          </w:p>
          <w:p w14:paraId="4A1E5927" w14:textId="3E6141C4" w:rsidR="00795847" w:rsidRDefault="00795847" w:rsidP="00795847">
            <w:pPr>
              <w:suppressAutoHyphens w:val="0"/>
              <w:spacing w:line="240" w:lineRule="exact"/>
            </w:pPr>
            <w:r>
              <w:t>Original: English</w:t>
            </w:r>
          </w:p>
        </w:tc>
      </w:tr>
    </w:tbl>
    <w:p w14:paraId="357D3815" w14:textId="77777777" w:rsidR="00EC43FD" w:rsidRPr="006500BA" w:rsidRDefault="00EC43F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C43FD" w:rsidRPr="00302456" w14:paraId="1076239E" w14:textId="77777777" w:rsidTr="00451AAB">
        <w:tc>
          <w:tcPr>
            <w:tcW w:w="4593" w:type="dxa"/>
            <w:shd w:val="clear" w:color="auto" w:fill="auto"/>
          </w:tcPr>
          <w:p w14:paraId="1FDD433D" w14:textId="77777777" w:rsidR="00EC43FD" w:rsidRPr="00302456" w:rsidRDefault="00EC43FD"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06694B30" w14:textId="77777777" w:rsidR="00EC43FD" w:rsidRPr="00302456" w:rsidRDefault="00EC43FD" w:rsidP="00846F7F">
            <w:pPr>
              <w:spacing w:before="120"/>
              <w:rPr>
                <w:b/>
              </w:rPr>
            </w:pPr>
            <w:r w:rsidRPr="00302456">
              <w:rPr>
                <w:b/>
              </w:rPr>
              <w:t xml:space="preserve">Sub-Committee of Experts on the Globally Harmonized System of Classification and Labelling of Chemicals </w:t>
            </w:r>
          </w:p>
        </w:tc>
      </w:tr>
      <w:tr w:rsidR="00451AAB" w:rsidRPr="00302456" w14:paraId="79377E5B" w14:textId="77777777" w:rsidTr="00451AAB">
        <w:tc>
          <w:tcPr>
            <w:tcW w:w="4593" w:type="dxa"/>
            <w:shd w:val="clear" w:color="auto" w:fill="auto"/>
          </w:tcPr>
          <w:p w14:paraId="1F411A33" w14:textId="2F5ABD8B" w:rsidR="00451AAB" w:rsidRPr="00302456" w:rsidRDefault="00C44361" w:rsidP="00451AAB">
            <w:pPr>
              <w:spacing w:before="120"/>
              <w:rPr>
                <w:b/>
              </w:rPr>
            </w:pPr>
            <w:r>
              <w:rPr>
                <w:b/>
              </w:rPr>
              <w:t xml:space="preserve">Sixtieth </w:t>
            </w:r>
            <w:r w:rsidR="00451AAB" w:rsidRPr="00302456">
              <w:rPr>
                <w:b/>
              </w:rPr>
              <w:t>session</w:t>
            </w:r>
          </w:p>
        </w:tc>
        <w:tc>
          <w:tcPr>
            <w:tcW w:w="5046" w:type="dxa"/>
            <w:shd w:val="clear" w:color="auto" w:fill="auto"/>
          </w:tcPr>
          <w:p w14:paraId="1F96DA0A" w14:textId="1F60E5FD" w:rsidR="00451AAB" w:rsidRPr="00DA19E5" w:rsidRDefault="00C771F7" w:rsidP="00451AAB">
            <w:pPr>
              <w:spacing w:before="120"/>
              <w:rPr>
                <w:b/>
              </w:rPr>
            </w:pPr>
            <w:r w:rsidRPr="00DA19E5">
              <w:rPr>
                <w:rStyle w:val="normaltextrun"/>
                <w:b/>
                <w:bCs/>
              </w:rPr>
              <w:t>Forty-</w:t>
            </w:r>
            <w:r w:rsidR="00CF0A40">
              <w:rPr>
                <w:rStyle w:val="normaltextrun"/>
                <w:b/>
                <w:bCs/>
              </w:rPr>
              <w:t>second</w:t>
            </w:r>
            <w:r w:rsidR="00451AAB" w:rsidRPr="00DA19E5">
              <w:rPr>
                <w:rStyle w:val="normaltextrun"/>
                <w:b/>
                <w:bCs/>
              </w:rPr>
              <w:t xml:space="preserve"> session</w:t>
            </w:r>
          </w:p>
        </w:tc>
      </w:tr>
      <w:tr w:rsidR="00451AAB" w:rsidRPr="00302456" w14:paraId="78CC8959" w14:textId="77777777" w:rsidTr="00451AAB">
        <w:tc>
          <w:tcPr>
            <w:tcW w:w="4593" w:type="dxa"/>
            <w:shd w:val="clear" w:color="auto" w:fill="auto"/>
          </w:tcPr>
          <w:p w14:paraId="60F76942" w14:textId="766DB2BF" w:rsidR="00451AAB" w:rsidRPr="00302456" w:rsidRDefault="0001343B" w:rsidP="00451AAB">
            <w:pPr>
              <w:rPr>
                <w:b/>
              </w:rPr>
            </w:pPr>
            <w:r w:rsidRPr="006500BA">
              <w:t xml:space="preserve">Geneva, </w:t>
            </w:r>
            <w:r>
              <w:t>27 June-6 July 2022</w:t>
            </w:r>
          </w:p>
        </w:tc>
        <w:tc>
          <w:tcPr>
            <w:tcW w:w="5046" w:type="dxa"/>
            <w:shd w:val="clear" w:color="auto" w:fill="auto"/>
          </w:tcPr>
          <w:p w14:paraId="0E8E0117" w14:textId="6363CEAF" w:rsidR="00451AAB" w:rsidRPr="00DA19E5" w:rsidRDefault="004F0F9C" w:rsidP="00451AAB">
            <w:pPr>
              <w:rPr>
                <w:b/>
              </w:rPr>
            </w:pPr>
            <w:r w:rsidRPr="009B4D10">
              <w:t>Geneva, 6-8 July 2022</w:t>
            </w:r>
          </w:p>
        </w:tc>
      </w:tr>
      <w:tr w:rsidR="00285944" w:rsidRPr="00302456" w14:paraId="68E35345" w14:textId="77777777" w:rsidTr="00451AAB">
        <w:tc>
          <w:tcPr>
            <w:tcW w:w="4593" w:type="dxa"/>
            <w:shd w:val="clear" w:color="auto" w:fill="auto"/>
          </w:tcPr>
          <w:p w14:paraId="2B893C0C" w14:textId="1E30543A" w:rsidR="00285944" w:rsidRPr="00527F08" w:rsidRDefault="00285944" w:rsidP="00285944">
            <w:r w:rsidRPr="00527F08">
              <w:t>Item 1</w:t>
            </w:r>
            <w:r w:rsidR="000133B3">
              <w:t>0 (c)</w:t>
            </w:r>
            <w:r w:rsidRPr="00527F08">
              <w:t xml:space="preserve"> of the provisional agenda</w:t>
            </w:r>
          </w:p>
          <w:p w14:paraId="59BE0BCC" w14:textId="581BBC17" w:rsidR="00285944" w:rsidRPr="005E7C8A" w:rsidRDefault="000D2E79" w:rsidP="00285944">
            <w:pPr>
              <w:rPr>
                <w:b/>
                <w:bCs/>
              </w:rPr>
            </w:pPr>
            <w:r w:rsidRPr="005E7C8A">
              <w:rPr>
                <w:b/>
                <w:bCs/>
              </w:rPr>
              <w:t xml:space="preserve">Issues relating to the Globally Harmonized System </w:t>
            </w:r>
            <w:r w:rsidR="005E7C8A">
              <w:rPr>
                <w:b/>
                <w:bCs/>
              </w:rPr>
              <w:br/>
            </w:r>
            <w:r w:rsidRPr="005E7C8A">
              <w:rPr>
                <w:b/>
                <w:bCs/>
              </w:rPr>
              <w:t xml:space="preserve">of Classification and Labelling of Chemicals: </w:t>
            </w:r>
            <w:r w:rsidR="005E7C8A">
              <w:rPr>
                <w:b/>
                <w:bCs/>
              </w:rPr>
              <w:t>m</w:t>
            </w:r>
            <w:r w:rsidR="005E7C8A" w:rsidRPr="005E7C8A">
              <w:rPr>
                <w:b/>
                <w:bCs/>
              </w:rPr>
              <w:t>iscellaneous</w:t>
            </w:r>
          </w:p>
        </w:tc>
        <w:tc>
          <w:tcPr>
            <w:tcW w:w="5046" w:type="dxa"/>
            <w:shd w:val="clear" w:color="auto" w:fill="auto"/>
          </w:tcPr>
          <w:p w14:paraId="5173D5D4" w14:textId="3F9FA8BA" w:rsidR="00285944" w:rsidRPr="00527F08" w:rsidRDefault="00285944" w:rsidP="00285944">
            <w:r w:rsidRPr="00527F08">
              <w:t xml:space="preserve">Item </w:t>
            </w:r>
            <w:r w:rsidR="00C166FF">
              <w:t>2 (</w:t>
            </w:r>
            <w:proofErr w:type="spellStart"/>
            <w:r w:rsidR="00C166FF">
              <w:t>i</w:t>
            </w:r>
            <w:proofErr w:type="spellEnd"/>
            <w:r w:rsidR="00C166FF">
              <w:t>)</w:t>
            </w:r>
            <w:r w:rsidRPr="00527F08">
              <w:t xml:space="preserve"> of the provisional agenda</w:t>
            </w:r>
          </w:p>
          <w:p w14:paraId="6AD783AC" w14:textId="59171087" w:rsidR="00285944" w:rsidRPr="00C166FF" w:rsidRDefault="00985CFA" w:rsidP="00285944">
            <w:pPr>
              <w:rPr>
                <w:b/>
                <w:bCs/>
              </w:rPr>
            </w:pPr>
            <w:r w:rsidRPr="00C166FF">
              <w:rPr>
                <w:b/>
                <w:bCs/>
              </w:rPr>
              <w:t xml:space="preserve">Work on the Globally Harmonized System of Classification and Labelling of Chemicals: </w:t>
            </w:r>
            <w:r w:rsidR="00C166FF" w:rsidRPr="00C166FF">
              <w:rPr>
                <w:b/>
                <w:bCs/>
              </w:rPr>
              <w:t>other matters</w:t>
            </w:r>
          </w:p>
        </w:tc>
      </w:tr>
    </w:tbl>
    <w:p w14:paraId="45D49D88" w14:textId="010E8656" w:rsidR="00AB35B4" w:rsidRDefault="00AB35B4" w:rsidP="00AB35B4">
      <w:pPr>
        <w:pStyle w:val="HChG"/>
        <w:rPr>
          <w:rFonts w:eastAsia="MS Mincho"/>
          <w:lang w:val="en-US" w:eastAsia="ja-JP"/>
        </w:rPr>
      </w:pPr>
      <w:r>
        <w:rPr>
          <w:rFonts w:eastAsia="MS Mincho"/>
          <w:lang w:val="en-US" w:eastAsia="ja-JP"/>
        </w:rPr>
        <w:tab/>
      </w:r>
      <w:r>
        <w:rPr>
          <w:rFonts w:eastAsia="MS Mincho"/>
          <w:lang w:val="en-US" w:eastAsia="ja-JP"/>
        </w:rPr>
        <w:tab/>
        <w:t xml:space="preserve">Amendment of the Manual of Tests and Criteria to appropriately reflect the </w:t>
      </w:r>
      <w:r w:rsidR="00BB28EB" w:rsidRPr="00C166FF">
        <w:rPr>
          <w:bCs/>
        </w:rPr>
        <w:t>Globally Harmonized System of Classification and Labelling of Chemicals</w:t>
      </w:r>
    </w:p>
    <w:p w14:paraId="08AC53D6" w14:textId="4B8A7499" w:rsidR="00AB35B4" w:rsidRPr="0064778D" w:rsidRDefault="00AB35B4" w:rsidP="00AB35B4">
      <w:pPr>
        <w:pStyle w:val="H1G"/>
        <w:rPr>
          <w:lang w:val="en-US" w:eastAsia="ja-JP"/>
        </w:rPr>
      </w:pPr>
      <w:r>
        <w:rPr>
          <w:lang w:val="en-US" w:eastAsia="ja-JP"/>
        </w:rPr>
        <w:tab/>
      </w:r>
      <w:r>
        <w:rPr>
          <w:lang w:val="en-US" w:eastAsia="ja-JP"/>
        </w:rPr>
        <w:tab/>
        <w:t>Transmitted by the experts from Germany and the chair of the Working Group on Explosives</w:t>
      </w:r>
      <w:r>
        <w:rPr>
          <w:rStyle w:val="FootnoteReference"/>
          <w:lang w:val="en-US" w:eastAsia="ja-JP"/>
        </w:rPr>
        <w:footnoteReference w:id="2"/>
      </w:r>
    </w:p>
    <w:p w14:paraId="5618DBA8" w14:textId="77777777" w:rsidR="00AB35B4" w:rsidRPr="007628D5" w:rsidRDefault="00AB35B4" w:rsidP="00AB35B4">
      <w:pPr>
        <w:pStyle w:val="HChG"/>
      </w:pPr>
      <w:r>
        <w:tab/>
      </w:r>
      <w:r>
        <w:tab/>
        <w:t>Introduction</w:t>
      </w:r>
    </w:p>
    <w:p w14:paraId="12AFAE9A" w14:textId="2050A721" w:rsidR="00AB35B4" w:rsidRDefault="00AB35B4" w:rsidP="00AB35B4">
      <w:pPr>
        <w:pStyle w:val="SingleTxtG"/>
        <w:tabs>
          <w:tab w:val="left" w:pos="1701"/>
        </w:tabs>
      </w:pPr>
      <w:r>
        <w:t>1.</w:t>
      </w:r>
      <w:r>
        <w:tab/>
        <w:t>The Manual of Tests and Criteria serves the Recommendations on the Transport of Dangerous Goods</w:t>
      </w:r>
      <w:r w:rsidR="00C57EB4">
        <w:t>, Model Regulations</w:t>
      </w:r>
      <w:r w:rsidR="004E1C5E">
        <w:t>,</w:t>
      </w:r>
      <w:r>
        <w:t xml:space="preserve"> as well as the </w:t>
      </w:r>
      <w:r w:rsidR="00932AF5" w:rsidRPr="00932AF5">
        <w:t>Globally Harmonized System of Classification and Labelling of Chemicals</w:t>
      </w:r>
      <w:r w:rsidR="00932AF5" w:rsidRPr="00932AF5">
        <w:t xml:space="preserve"> </w:t>
      </w:r>
      <w:r w:rsidR="00932AF5">
        <w:t>(</w:t>
      </w:r>
      <w:r>
        <w:t>GHS</w:t>
      </w:r>
      <w:r w:rsidR="00932AF5">
        <w:t>)</w:t>
      </w:r>
      <w:r>
        <w:t xml:space="preserve"> by describing (most of) the test methods for physical hazards referenced therein. As the GHS was established much later than the </w:t>
      </w:r>
      <w:r w:rsidR="004E1C5E">
        <w:t xml:space="preserve">Model Regulations </w:t>
      </w:r>
      <w:r>
        <w:t xml:space="preserve">and the </w:t>
      </w:r>
      <w:r w:rsidR="004E1C5E">
        <w:rPr>
          <w:rFonts w:eastAsia="MS Mincho"/>
          <w:lang w:val="en-US" w:eastAsia="ja-JP"/>
        </w:rPr>
        <w:t>Manual of Tests and Criteria</w:t>
      </w:r>
      <w:r>
        <w:t>, the Manual was written specifically for the transport sector. Explicit consideration of the GHS in the Manual was introduced in Rev</w:t>
      </w:r>
      <w:r w:rsidR="0064759D">
        <w:t xml:space="preserve">ision </w:t>
      </w:r>
      <w:r>
        <w:t xml:space="preserve">7 of the Manual in 2019. It was </w:t>
      </w:r>
      <w:r w:rsidR="00E72DAF">
        <w:t xml:space="preserve">a </w:t>
      </w:r>
      <w:r>
        <w:t xml:space="preserve">tedious work, mainly due to the sheer number of changes that were necessary, be it specific references to transport that had to be amended, different principles of the GHS that had to be explained or simply adaptations of the terminology. Having that in mind, it does not surprise that there might be a few places where some necessary amendments have been overlooked and </w:t>
      </w:r>
      <w:r w:rsidR="00736F21">
        <w:t>needed</w:t>
      </w:r>
      <w:r>
        <w:t xml:space="preserve"> correction.</w:t>
      </w:r>
    </w:p>
    <w:p w14:paraId="78C9F301" w14:textId="38187384" w:rsidR="00AB35B4" w:rsidRDefault="00AB35B4" w:rsidP="00AB35B4">
      <w:pPr>
        <w:pStyle w:val="SingleTxtG"/>
        <w:tabs>
          <w:tab w:val="left" w:pos="1701"/>
        </w:tabs>
      </w:pPr>
      <w:r>
        <w:t>2.</w:t>
      </w:r>
      <w:r>
        <w:tab/>
        <w:t xml:space="preserve">In the course of the work of the informal working on combinations of physical hazards, the experts from Germany and the Netherlands went through the Manual to identify (all) references </w:t>
      </w:r>
      <w:r w:rsidR="00991168">
        <w:t>in the Manual</w:t>
      </w:r>
      <w:r w:rsidR="00991168">
        <w:t xml:space="preserve"> </w:t>
      </w:r>
      <w:r>
        <w:t xml:space="preserve">to worker protection/safety of testing personnel. In doing that, two places were found where such amendments </w:t>
      </w:r>
      <w:r w:rsidR="001E1DD2">
        <w:t xml:space="preserve">are still necessary </w:t>
      </w:r>
      <w:r>
        <w:t>to correctly reflect the GHS in the Manual.</w:t>
      </w:r>
    </w:p>
    <w:p w14:paraId="767C5BE1" w14:textId="1C106F32" w:rsidR="00AB35B4" w:rsidRDefault="00AB35B4" w:rsidP="00AB35B4">
      <w:pPr>
        <w:pStyle w:val="SingleTxtG"/>
        <w:tabs>
          <w:tab w:val="left" w:pos="1701"/>
        </w:tabs>
      </w:pPr>
      <w:r>
        <w:t>3.</w:t>
      </w:r>
      <w:r>
        <w:tab/>
        <w:t xml:space="preserve">The Sub-Committees are invited to consider the corresponding two proposals, </w:t>
      </w:r>
      <w:r w:rsidR="00937ABC">
        <w:t xml:space="preserve">which are </w:t>
      </w:r>
      <w:r w:rsidR="00937ABC">
        <w:t xml:space="preserve">presented </w:t>
      </w:r>
      <w:r>
        <w:t xml:space="preserve">in the following as proposal 1 </w:t>
      </w:r>
      <w:r w:rsidR="00D35F4C">
        <w:t>on</w:t>
      </w:r>
      <w:r>
        <w:t xml:space="preserve"> “corrosive to metals” (a minor correction) and proposal 2 </w:t>
      </w:r>
      <w:r w:rsidR="00D35F4C">
        <w:t>on</w:t>
      </w:r>
      <w:r>
        <w:t xml:space="preserve"> flammable liquids.</w:t>
      </w:r>
    </w:p>
    <w:p w14:paraId="1BDDC3F2" w14:textId="6B18900D" w:rsidR="00AB35B4" w:rsidRDefault="00AB35B4" w:rsidP="00AB35B4">
      <w:pPr>
        <w:pStyle w:val="HChG"/>
      </w:pPr>
      <w:r>
        <w:lastRenderedPageBreak/>
        <w:tab/>
      </w:r>
      <w:r>
        <w:tab/>
        <w:t xml:space="preserve">Proposal 1 </w:t>
      </w:r>
      <w:r w:rsidR="00D35F4C">
        <w:t>on</w:t>
      </w:r>
      <w:r>
        <w:t xml:space="preserve"> “corrosive to metals”</w:t>
      </w:r>
    </w:p>
    <w:p w14:paraId="25B2E279" w14:textId="3B9DE595" w:rsidR="00AB35B4" w:rsidRDefault="00AB35B4" w:rsidP="00AB35B4">
      <w:pPr>
        <w:pStyle w:val="SingleTxtG"/>
        <w:tabs>
          <w:tab w:val="left" w:pos="1701"/>
        </w:tabs>
      </w:pPr>
      <w:r>
        <w:t>4.</w:t>
      </w:r>
      <w:r>
        <w:tab/>
        <w:t>In section 37.1.2 the last sentence reads: “If a substance is shown to be corrosive to skin, then it is not necessary to conduct the tests for metal corrosion for the purposes of classification”</w:t>
      </w:r>
      <w:r w:rsidR="00E44BFD">
        <w:t>.</w:t>
      </w:r>
      <w:r>
        <w:t xml:space="preserve"> Such a precedence does not exist in the GHS. Even when a substance/mixture is already classified as corrosive to skin, the GHS has no waiving of classification for “corrosive to metals”.</w:t>
      </w:r>
    </w:p>
    <w:p w14:paraId="5AA70157" w14:textId="64A9606C" w:rsidR="00AB35B4" w:rsidRDefault="00AB35B4" w:rsidP="00AB35B4">
      <w:pPr>
        <w:pStyle w:val="SingleTxtG"/>
        <w:tabs>
          <w:tab w:val="left" w:pos="1701"/>
        </w:tabs>
      </w:pPr>
      <w:r>
        <w:t>5.</w:t>
      </w:r>
      <w:r>
        <w:tab/>
        <w:t xml:space="preserve">Consequently, it is proposed to amend the sentence </w:t>
      </w:r>
      <w:r w:rsidR="009753DD">
        <w:t xml:space="preserve">in 37.1.2 </w:t>
      </w:r>
      <w:r w:rsidR="002D0066">
        <w:t>of the Manual of Tests and Criteria</w:t>
      </w:r>
      <w:r w:rsidR="002D0066">
        <w:t xml:space="preserve"> </w:t>
      </w:r>
      <w:r>
        <w:t>as follows</w:t>
      </w:r>
      <w:r w:rsidR="009753DD">
        <w:t xml:space="preserve"> (next text i</w:t>
      </w:r>
      <w:r w:rsidR="00A83558">
        <w:t>s</w:t>
      </w:r>
      <w:r w:rsidR="009753DD">
        <w:t xml:space="preserve"> bold underl</w:t>
      </w:r>
      <w:r w:rsidR="004F72C0">
        <w:t>i</w:t>
      </w:r>
      <w:r w:rsidR="009753DD">
        <w:t>ned)</w:t>
      </w:r>
      <w:r>
        <w:t>:</w:t>
      </w:r>
    </w:p>
    <w:p w14:paraId="53EB4816" w14:textId="77777777" w:rsidR="00AB35B4" w:rsidRPr="00C6567D" w:rsidRDefault="00AB35B4" w:rsidP="008C6E63">
      <w:pPr>
        <w:pStyle w:val="SingleTxtG"/>
        <w:pBdr>
          <w:top w:val="single" w:sz="4" w:space="1" w:color="auto"/>
          <w:left w:val="single" w:sz="4" w:space="4" w:color="auto"/>
          <w:bottom w:val="single" w:sz="4" w:space="1" w:color="auto"/>
          <w:right w:val="single" w:sz="4" w:space="4" w:color="auto"/>
        </w:pBdr>
      </w:pPr>
      <w:r>
        <w:t>“</w:t>
      </w:r>
      <w:r w:rsidRPr="00C6567D">
        <w:t>If a substance is shown to be corrosive to</w:t>
      </w:r>
      <w:r>
        <w:t xml:space="preserve"> </w:t>
      </w:r>
      <w:r w:rsidRPr="00C6567D">
        <w:t xml:space="preserve">skin, then it is not necessary to conduct the tests for metal corrosion for the purposes of </w:t>
      </w:r>
      <w:r w:rsidRPr="005C600B">
        <w:rPr>
          <w:b/>
          <w:bCs/>
          <w:u w:val="single"/>
        </w:rPr>
        <w:t>transport-</w:t>
      </w:r>
      <w:r w:rsidRPr="00C6567D">
        <w:t>classification</w:t>
      </w:r>
      <w:r>
        <w:t>.”</w:t>
      </w:r>
    </w:p>
    <w:p w14:paraId="043959E6" w14:textId="0387A2B5" w:rsidR="00AB35B4" w:rsidRDefault="00AB35B4" w:rsidP="00AB35B4">
      <w:pPr>
        <w:pStyle w:val="HChG"/>
      </w:pPr>
      <w:r>
        <w:tab/>
      </w:r>
      <w:r>
        <w:tab/>
        <w:t xml:space="preserve">Proposal 2 </w:t>
      </w:r>
      <w:r w:rsidR="00D35F4C">
        <w:t>on</w:t>
      </w:r>
      <w:r>
        <w:t xml:space="preserve"> </w:t>
      </w:r>
      <w:r w:rsidR="004F72C0">
        <w:t>“</w:t>
      </w:r>
      <w:r>
        <w:t>flammable liquids</w:t>
      </w:r>
      <w:r w:rsidR="004F72C0">
        <w:t>”</w:t>
      </w:r>
    </w:p>
    <w:p w14:paraId="273A813B" w14:textId="123021AE" w:rsidR="00AB35B4" w:rsidRDefault="00AB35B4" w:rsidP="00AB35B4">
      <w:pPr>
        <w:pStyle w:val="SingleTxtG"/>
        <w:tabs>
          <w:tab w:val="left" w:pos="1701"/>
        </w:tabs>
      </w:pPr>
      <w:r>
        <w:t>6.</w:t>
      </w:r>
      <w:r>
        <w:tab/>
        <w:t xml:space="preserve">The first sentence in section 32.2.2 of the Manual of </w:t>
      </w:r>
      <w:r w:rsidR="00285DF0">
        <w:t>T</w:t>
      </w:r>
      <w:r>
        <w:t>ests and Criteria reads “</w:t>
      </w:r>
      <w:r w:rsidRPr="00624D15">
        <w:t>Substances are classified as flammable liquids only when their flash point is not more than 60</w:t>
      </w:r>
      <w:r>
        <w:t> </w:t>
      </w:r>
      <w:r w:rsidRPr="00624D15">
        <w:t>°C</w:t>
      </w:r>
      <w:r>
        <w:t xml:space="preserve"> in a closed-cup test, or not more than 65.6 °C in an open-cup test or, in the case of substances transported or offered for transport at elevated temperatures, when they give off a flammable vapour at a temperature at or below the maximum transport temperature”. However, according to the GHS, the hazard class “Flammable liquids” covers liquids with a flash point ≤ 93 °C.</w:t>
      </w:r>
    </w:p>
    <w:p w14:paraId="0A7C8283" w14:textId="4B505312" w:rsidR="00AB35B4" w:rsidRDefault="00AB35B4" w:rsidP="00AB35B4">
      <w:pPr>
        <w:pStyle w:val="SingleTxtG"/>
        <w:tabs>
          <w:tab w:val="left" w:pos="1701"/>
        </w:tabs>
      </w:pPr>
      <w:r>
        <w:t>7.</w:t>
      </w:r>
      <w:r>
        <w:tab/>
        <w:t>As the reference to 60 °C cannot simply be replaced by a reference to 93 °C because</w:t>
      </w:r>
      <w:r w:rsidR="00C54998">
        <w:t>:</w:t>
      </w:r>
      <w:r>
        <w:t xml:space="preserve"> </w:t>
      </w:r>
      <w:r w:rsidR="00C54998">
        <w:t>(</w:t>
      </w:r>
      <w:proofErr w:type="spellStart"/>
      <w:r w:rsidR="00C54998">
        <w:t>i</w:t>
      </w:r>
      <w:proofErr w:type="spellEnd"/>
      <w:r w:rsidR="00C54998">
        <w:t>)</w:t>
      </w:r>
      <w:r>
        <w:t xml:space="preserve"> </w:t>
      </w:r>
      <w:r w:rsidR="00576640">
        <w:t>that is</w:t>
      </w:r>
      <w:r w:rsidR="00576640">
        <w:t xml:space="preserve"> </w:t>
      </w:r>
      <w:r>
        <w:t xml:space="preserve">not correct for transport and </w:t>
      </w:r>
      <w:r w:rsidR="00C54998">
        <w:t>(ii)</w:t>
      </w:r>
      <w:r>
        <w:t xml:space="preserve"> the remainder of that sentence would be become meaningless</w:t>
      </w:r>
      <w:r w:rsidR="005F5121">
        <w:t>;</w:t>
      </w:r>
      <w:r>
        <w:t xml:space="preserve"> </w:t>
      </w:r>
      <w:r w:rsidR="00570FCD">
        <w:t>therefore,</w:t>
      </w:r>
      <w:r w:rsidR="005F5121">
        <w:t xml:space="preserve"> </w:t>
      </w:r>
      <w:r>
        <w:t>it is proposed to slightly restructure that section.</w:t>
      </w:r>
    </w:p>
    <w:p w14:paraId="65A79967" w14:textId="51F6180F" w:rsidR="00AB35B4" w:rsidRDefault="00AB35B4" w:rsidP="00AB35B4">
      <w:pPr>
        <w:pStyle w:val="SingleTxtG"/>
        <w:tabs>
          <w:tab w:val="left" w:pos="1701"/>
        </w:tabs>
      </w:pPr>
      <w:r>
        <w:t>8.</w:t>
      </w:r>
      <w:r>
        <w:tab/>
        <w:t xml:space="preserve">The approach is as follows: </w:t>
      </w:r>
      <w:r w:rsidRPr="005E1413">
        <w:t xml:space="preserve">The general criterion is </w:t>
      </w:r>
      <w:r w:rsidR="001B7CB5">
        <w:t>mention</w:t>
      </w:r>
      <w:r w:rsidRPr="005E1413">
        <w:t>ed first. Th</w:t>
      </w:r>
      <w:r>
        <w:t>is is followed by th</w:t>
      </w:r>
      <w:r w:rsidRPr="005E1413">
        <w:t xml:space="preserve">e exemption for liquids not sustaining combustion </w:t>
      </w:r>
      <w:r>
        <w:t xml:space="preserve">because it is </w:t>
      </w:r>
      <w:r w:rsidRPr="005E1413">
        <w:t xml:space="preserve">contained in </w:t>
      </w:r>
      <w:r w:rsidR="007D2B12">
        <w:t>the Model Regulations</w:t>
      </w:r>
      <w:r>
        <w:t xml:space="preserve"> as well as in </w:t>
      </w:r>
      <w:r w:rsidRPr="005E1413">
        <w:t xml:space="preserve">the GHS. </w:t>
      </w:r>
      <w:r>
        <w:t>And after that</w:t>
      </w:r>
      <w:r w:rsidR="00417020">
        <w:t>,</w:t>
      </w:r>
      <w:r>
        <w:t xml:space="preserve"> </w:t>
      </w:r>
      <w:r w:rsidRPr="005E1413">
        <w:t>the specific</w:t>
      </w:r>
      <w:r w:rsidR="007D2B12">
        <w:t>ation</w:t>
      </w:r>
      <w:r w:rsidRPr="005E1413">
        <w:t xml:space="preserve">s for </w:t>
      </w:r>
      <w:r w:rsidR="00621CB4">
        <w:t xml:space="preserve">the </w:t>
      </w:r>
      <w:r w:rsidRPr="005E1413">
        <w:t xml:space="preserve">transport </w:t>
      </w:r>
      <w:r>
        <w:t xml:space="preserve">are given; they concern the building block approach </w:t>
      </w:r>
      <w:r w:rsidRPr="005E1413">
        <w:t>(</w:t>
      </w:r>
      <w:r>
        <w:t xml:space="preserve">no implementation of </w:t>
      </w:r>
      <w:r w:rsidR="004B74A2">
        <w:t xml:space="preserve">Category </w:t>
      </w:r>
      <w:r>
        <w:t>4) and liquids transported at elevated temperatures</w:t>
      </w:r>
      <w:r w:rsidRPr="005E1413">
        <w:t>.</w:t>
      </w:r>
    </w:p>
    <w:p w14:paraId="69B4FF00" w14:textId="2ECA8D03" w:rsidR="00AB35B4" w:rsidRDefault="00AB35B4" w:rsidP="00AB35B4">
      <w:pPr>
        <w:pStyle w:val="SingleTxtG"/>
        <w:tabs>
          <w:tab w:val="left" w:pos="1701"/>
        </w:tabs>
      </w:pPr>
      <w:r>
        <w:t>9.</w:t>
      </w:r>
      <w:r>
        <w:tab/>
        <w:t>Based on the above considerations, it is proposed to amend section 32.2 of the Manual of Tests and Criteria as follows</w:t>
      </w:r>
      <w:r w:rsidR="004B74A2">
        <w:t xml:space="preserve"> (next text i</w:t>
      </w:r>
      <w:r w:rsidR="00570FCD">
        <w:t>s</w:t>
      </w:r>
      <w:r w:rsidR="004B74A2">
        <w:t xml:space="preserve"> bold underlined, deleted text in </w:t>
      </w:r>
      <w:r w:rsidR="003442F8">
        <w:t>strikethrough</w:t>
      </w:r>
      <w:r w:rsidR="004B74A2">
        <w:t>)</w:t>
      </w:r>
      <w:r>
        <w:t>:</w:t>
      </w:r>
    </w:p>
    <w:p w14:paraId="5FA78322" w14:textId="1B99CFD9" w:rsidR="00AB35B4" w:rsidRPr="00A26871" w:rsidRDefault="008C3D77" w:rsidP="00AB35B4">
      <w:pPr>
        <w:pStyle w:val="SingleTxtG"/>
        <w:pBdr>
          <w:top w:val="single" w:sz="4" w:space="1" w:color="auto"/>
          <w:left w:val="single" w:sz="4" w:space="4" w:color="auto"/>
          <w:bottom w:val="single" w:sz="4" w:space="1" w:color="auto"/>
          <w:right w:val="single" w:sz="4" w:space="4" w:color="auto"/>
        </w:pBdr>
        <w:tabs>
          <w:tab w:val="left" w:pos="1985"/>
        </w:tabs>
        <w:rPr>
          <w:b/>
          <w:bCs/>
          <w:lang w:val="en-US"/>
        </w:rPr>
      </w:pPr>
      <w:r w:rsidRPr="008C3D77">
        <w:rPr>
          <w:lang w:val="en-US"/>
        </w:rPr>
        <w:t>“</w:t>
      </w:r>
      <w:r w:rsidR="00AB35B4" w:rsidRPr="00A26871">
        <w:rPr>
          <w:b/>
          <w:bCs/>
          <w:lang w:val="en-US"/>
        </w:rPr>
        <w:t>32.2</w:t>
      </w:r>
      <w:r w:rsidR="00AB35B4" w:rsidRPr="00A26871">
        <w:rPr>
          <w:b/>
          <w:bCs/>
          <w:lang w:val="en-US"/>
        </w:rPr>
        <w:tab/>
        <w:t>Scope</w:t>
      </w:r>
    </w:p>
    <w:p w14:paraId="385E8AEA" w14:textId="77777777" w:rsidR="00AB35B4" w:rsidRPr="00A26871" w:rsidRDefault="00AB35B4" w:rsidP="00AB35B4">
      <w:pPr>
        <w:pStyle w:val="SingleTxtG"/>
        <w:pBdr>
          <w:top w:val="single" w:sz="4" w:space="1" w:color="auto"/>
          <w:left w:val="single" w:sz="4" w:space="4" w:color="auto"/>
          <w:bottom w:val="single" w:sz="4" w:space="1" w:color="auto"/>
          <w:right w:val="single" w:sz="4" w:space="4" w:color="auto"/>
        </w:pBdr>
        <w:tabs>
          <w:tab w:val="left" w:pos="1701"/>
        </w:tabs>
        <w:rPr>
          <w:lang w:val="en-US"/>
        </w:rPr>
      </w:pPr>
      <w:r w:rsidRPr="00A26871">
        <w:rPr>
          <w:lang w:val="en-US"/>
        </w:rPr>
        <w:t>…</w:t>
      </w:r>
    </w:p>
    <w:p w14:paraId="1E040B80" w14:textId="19C9B458" w:rsidR="00AB35B4" w:rsidRPr="0078444B" w:rsidRDefault="00AB35B4" w:rsidP="00AB35B4">
      <w:pPr>
        <w:pStyle w:val="SingleTxtG"/>
        <w:pBdr>
          <w:top w:val="single" w:sz="4" w:space="1" w:color="auto"/>
          <w:left w:val="single" w:sz="4" w:space="4" w:color="auto"/>
          <w:bottom w:val="single" w:sz="4" w:space="1" w:color="auto"/>
          <w:right w:val="single" w:sz="4" w:space="4" w:color="auto"/>
        </w:pBdr>
        <w:tabs>
          <w:tab w:val="left" w:pos="1985"/>
        </w:tabs>
        <w:rPr>
          <w:b/>
          <w:bCs/>
          <w:u w:val="single"/>
          <w:lang w:val="en-US"/>
        </w:rPr>
      </w:pPr>
      <w:r w:rsidRPr="00A26871">
        <w:rPr>
          <w:lang w:val="en-US"/>
        </w:rPr>
        <w:t>32.2.2</w:t>
      </w:r>
      <w:r w:rsidRPr="00A26871">
        <w:rPr>
          <w:lang w:val="en-US"/>
        </w:rPr>
        <w:tab/>
        <w:t xml:space="preserve">Substances are classified as flammable liquids only when their flash point is not more than </w:t>
      </w:r>
      <w:r w:rsidRPr="005E1413">
        <w:rPr>
          <w:b/>
          <w:bCs/>
          <w:u w:val="single"/>
          <w:lang w:val="en-US"/>
        </w:rPr>
        <w:t>93 °C</w:t>
      </w:r>
      <w:r>
        <w:rPr>
          <w:b/>
          <w:bCs/>
          <w:u w:val="single"/>
          <w:lang w:val="en-US"/>
        </w:rPr>
        <w:t>.</w:t>
      </w:r>
      <w:r w:rsidRPr="005E1413">
        <w:rPr>
          <w:dstrike/>
          <w:lang w:val="en-US"/>
        </w:rPr>
        <w:t>60 °C i</w:t>
      </w:r>
      <w:r w:rsidRPr="0078444B">
        <w:rPr>
          <w:dstrike/>
          <w:lang w:val="en-US"/>
        </w:rPr>
        <w:t xml:space="preserve">n a closed-cup test, or not more than 65.6 °C in an open-cup test or, in the case of substances transported or offered for transport at elevated temperatures, when they give off a flammable </w:t>
      </w:r>
      <w:proofErr w:type="spellStart"/>
      <w:r w:rsidRPr="0078444B">
        <w:rPr>
          <w:dstrike/>
          <w:lang w:val="en-US"/>
        </w:rPr>
        <w:t>vapour</w:t>
      </w:r>
      <w:proofErr w:type="spellEnd"/>
      <w:r w:rsidRPr="0078444B">
        <w:rPr>
          <w:dstrike/>
          <w:lang w:val="en-US"/>
        </w:rPr>
        <w:t xml:space="preserve"> at a temperature at or below the maximum transport temperature</w:t>
      </w:r>
      <w:r w:rsidRPr="005E1413">
        <w:rPr>
          <w:dstrike/>
          <w:lang w:val="en-US"/>
        </w:rPr>
        <w:t>.</w:t>
      </w:r>
      <w:r w:rsidRPr="00A26871">
        <w:rPr>
          <w:lang w:val="en-US"/>
        </w:rPr>
        <w:t xml:space="preserve"> However, liquids with a flash point of more than 35</w:t>
      </w:r>
      <w:r>
        <w:rPr>
          <w:lang w:val="en-US"/>
        </w:rPr>
        <w:t> </w:t>
      </w:r>
      <w:r w:rsidRPr="00A26871">
        <w:rPr>
          <w:lang w:val="en-US"/>
        </w:rPr>
        <w:t>°C and not more than 60</w:t>
      </w:r>
      <w:r>
        <w:rPr>
          <w:lang w:val="en-US"/>
        </w:rPr>
        <w:t> </w:t>
      </w:r>
      <w:r w:rsidRPr="00A26871">
        <w:rPr>
          <w:lang w:val="en-US"/>
        </w:rPr>
        <w:t>°C may be regarded as non-flammable for some regulatory purposes (</w:t>
      </w:r>
      <w:proofErr w:type="gramStart"/>
      <w:r w:rsidRPr="00A26871">
        <w:rPr>
          <w:lang w:val="en-US"/>
        </w:rPr>
        <w:t>e.g.</w:t>
      </w:r>
      <w:proofErr w:type="gramEnd"/>
      <w:r w:rsidRPr="00A26871">
        <w:rPr>
          <w:lang w:val="en-US"/>
        </w:rPr>
        <w:t xml:space="preserve"> transport) if they do not sustain combustion (i.e. negative results have been obtained in the sustainability test L.2 in subsection 32.5.2 of this Manual).</w:t>
      </w:r>
      <w:r w:rsidRPr="0078444B">
        <w:t xml:space="preserve"> </w:t>
      </w:r>
      <w:r w:rsidRPr="0078444B">
        <w:rPr>
          <w:b/>
          <w:bCs/>
          <w:u w:val="single"/>
          <w:lang w:val="en-US"/>
        </w:rPr>
        <w:t>For the purposes of transport, the following specific</w:t>
      </w:r>
      <w:r w:rsidR="00705DA0">
        <w:rPr>
          <w:b/>
          <w:bCs/>
          <w:u w:val="single"/>
          <w:lang w:val="en-US"/>
        </w:rPr>
        <w:t>ation</w:t>
      </w:r>
      <w:r w:rsidRPr="0078444B">
        <w:rPr>
          <w:b/>
          <w:bCs/>
          <w:u w:val="single"/>
          <w:lang w:val="en-US"/>
        </w:rPr>
        <w:t>s apply in addition:</w:t>
      </w:r>
    </w:p>
    <w:p w14:paraId="1C39F4D6" w14:textId="13FB2B51" w:rsidR="00AB35B4" w:rsidRPr="0078444B" w:rsidRDefault="00AB35B4" w:rsidP="00AB35B4">
      <w:pPr>
        <w:pStyle w:val="SingleTxtG"/>
        <w:pBdr>
          <w:top w:val="single" w:sz="4" w:space="1" w:color="auto"/>
          <w:left w:val="single" w:sz="4" w:space="4" w:color="auto"/>
          <w:bottom w:val="single" w:sz="4" w:space="1" w:color="auto"/>
          <w:right w:val="single" w:sz="4" w:space="4" w:color="auto"/>
        </w:pBdr>
        <w:tabs>
          <w:tab w:val="left" w:pos="1560"/>
          <w:tab w:val="left" w:pos="1985"/>
        </w:tabs>
        <w:ind w:left="1985" w:hanging="851"/>
        <w:rPr>
          <w:b/>
          <w:bCs/>
          <w:u w:val="single"/>
          <w:lang w:val="en-US"/>
        </w:rPr>
      </w:pPr>
      <w:r w:rsidRPr="008E6AE9">
        <w:rPr>
          <w:b/>
          <w:bCs/>
          <w:lang w:val="en-US"/>
        </w:rPr>
        <w:tab/>
        <w:t>(a)</w:t>
      </w:r>
      <w:r w:rsidRPr="008E6AE9">
        <w:rPr>
          <w:b/>
          <w:bCs/>
          <w:lang w:val="en-US"/>
        </w:rPr>
        <w:tab/>
      </w:r>
      <w:r w:rsidRPr="0078444B">
        <w:rPr>
          <w:b/>
          <w:bCs/>
          <w:u w:val="single"/>
          <w:lang w:val="en-US"/>
        </w:rPr>
        <w:t>Substances are classified as flammable liquids only when their flash point is not more than 60</w:t>
      </w:r>
      <w:r>
        <w:rPr>
          <w:b/>
          <w:bCs/>
          <w:u w:val="single"/>
          <w:lang w:val="en-US"/>
        </w:rPr>
        <w:t> </w:t>
      </w:r>
      <w:r w:rsidRPr="0078444B">
        <w:rPr>
          <w:b/>
          <w:bCs/>
          <w:u w:val="single"/>
          <w:lang w:val="en-US"/>
        </w:rPr>
        <w:t>°C (</w:t>
      </w:r>
      <w:r w:rsidR="00BF15BA">
        <w:rPr>
          <w:b/>
          <w:bCs/>
          <w:u w:val="single"/>
          <w:lang w:val="en-US"/>
        </w:rPr>
        <w:t>f</w:t>
      </w:r>
      <w:r w:rsidRPr="0078444B">
        <w:rPr>
          <w:b/>
          <w:bCs/>
          <w:u w:val="single"/>
          <w:lang w:val="en-US"/>
        </w:rPr>
        <w:t xml:space="preserve">lammable liquids </w:t>
      </w:r>
      <w:r w:rsidR="00BF15BA" w:rsidRPr="0078444B">
        <w:rPr>
          <w:b/>
          <w:bCs/>
          <w:u w:val="single"/>
          <w:lang w:val="en-US"/>
        </w:rPr>
        <w:t>Cat</w:t>
      </w:r>
      <w:r w:rsidR="00BF15BA">
        <w:rPr>
          <w:b/>
          <w:bCs/>
          <w:u w:val="single"/>
          <w:lang w:val="en-US"/>
        </w:rPr>
        <w:t>egory</w:t>
      </w:r>
      <w:r w:rsidR="00D8524D">
        <w:rPr>
          <w:b/>
          <w:bCs/>
          <w:u w:val="single"/>
          <w:lang w:val="en-US"/>
        </w:rPr>
        <w:t xml:space="preserve"> </w:t>
      </w:r>
      <w:r w:rsidRPr="0078444B">
        <w:rPr>
          <w:b/>
          <w:bCs/>
          <w:u w:val="single"/>
          <w:lang w:val="en-US"/>
        </w:rPr>
        <w:t>4 of the GHS is not implemented</w:t>
      </w:r>
      <w:proofErr w:type="gramStart"/>
      <w:r w:rsidRPr="0078444B">
        <w:rPr>
          <w:b/>
          <w:bCs/>
          <w:u w:val="single"/>
          <w:lang w:val="en-US"/>
        </w:rPr>
        <w:t>)</w:t>
      </w:r>
      <w:r w:rsidR="008E6AE9">
        <w:rPr>
          <w:b/>
          <w:bCs/>
          <w:u w:val="single"/>
          <w:lang w:val="en-US"/>
        </w:rPr>
        <w:t>;</w:t>
      </w:r>
      <w:proofErr w:type="gramEnd"/>
    </w:p>
    <w:p w14:paraId="76726638" w14:textId="00B626BA" w:rsidR="00AB35B4" w:rsidRPr="00A26871" w:rsidRDefault="00AB35B4" w:rsidP="00AB35B4">
      <w:pPr>
        <w:pStyle w:val="SingleTxtG"/>
        <w:pBdr>
          <w:top w:val="single" w:sz="4" w:space="1" w:color="auto"/>
          <w:left w:val="single" w:sz="4" w:space="4" w:color="auto"/>
          <w:bottom w:val="single" w:sz="4" w:space="1" w:color="auto"/>
          <w:right w:val="single" w:sz="4" w:space="4" w:color="auto"/>
        </w:pBdr>
        <w:tabs>
          <w:tab w:val="left" w:pos="1560"/>
          <w:tab w:val="left" w:pos="1985"/>
        </w:tabs>
        <w:ind w:left="1985" w:hanging="851"/>
        <w:rPr>
          <w:lang w:val="en-US"/>
        </w:rPr>
      </w:pPr>
      <w:r w:rsidRPr="008E6AE9">
        <w:rPr>
          <w:b/>
          <w:bCs/>
          <w:lang w:val="en-US"/>
        </w:rPr>
        <w:tab/>
        <w:t>(b)</w:t>
      </w:r>
      <w:r w:rsidRPr="008E6AE9">
        <w:rPr>
          <w:b/>
          <w:bCs/>
          <w:lang w:val="en-US"/>
        </w:rPr>
        <w:tab/>
      </w:r>
      <w:r w:rsidRPr="0078444B">
        <w:rPr>
          <w:b/>
          <w:bCs/>
          <w:u w:val="single"/>
          <w:lang w:val="en-US"/>
        </w:rPr>
        <w:t xml:space="preserve">Additionally, substances transported or offered for transport at elevated temperatures, are classified as flammable liquids when they give off a flammable </w:t>
      </w:r>
      <w:proofErr w:type="spellStart"/>
      <w:r w:rsidRPr="0078444B">
        <w:rPr>
          <w:b/>
          <w:bCs/>
          <w:u w:val="single"/>
          <w:lang w:val="en-US"/>
        </w:rPr>
        <w:t>vapour</w:t>
      </w:r>
      <w:proofErr w:type="spellEnd"/>
      <w:r w:rsidRPr="0078444B">
        <w:rPr>
          <w:b/>
          <w:bCs/>
          <w:u w:val="single"/>
          <w:lang w:val="en-US"/>
        </w:rPr>
        <w:t xml:space="preserve"> at a temperature at or below the maximum transport temperature.</w:t>
      </w:r>
      <w:r w:rsidR="008C3D77" w:rsidRPr="008C3D77">
        <w:rPr>
          <w:lang w:val="en-US"/>
        </w:rPr>
        <w:t>”</w:t>
      </w:r>
    </w:p>
    <w:p w14:paraId="1DC86031" w14:textId="12A42241" w:rsidR="00AB35B4" w:rsidRPr="005E1413" w:rsidRDefault="00AB35B4" w:rsidP="00AB35B4">
      <w:pPr>
        <w:pStyle w:val="SingleTxtG"/>
        <w:tabs>
          <w:tab w:val="left" w:pos="1701"/>
        </w:tabs>
      </w:pPr>
      <w:r>
        <w:t>10.</w:t>
      </w:r>
      <w:r w:rsidRPr="005E1413">
        <w:tab/>
      </w:r>
      <w:r>
        <w:t xml:space="preserve">With the removal of the </w:t>
      </w:r>
      <w:r w:rsidR="001773EE">
        <w:t>second</w:t>
      </w:r>
      <w:r>
        <w:t xml:space="preserve"> part of the first sentence in section 32.2.2, the reference to the different flash point (criterion) for open-cup tests is also removed. But as the headline of section 32.2 is “Scope”, and such specifics relating to a test method (here </w:t>
      </w:r>
      <w:r w:rsidRPr="00B77EBA">
        <w:t xml:space="preserve">to a </w:t>
      </w:r>
      <w:r w:rsidRPr="00B77EBA">
        <w:lastRenderedPageBreak/>
        <w:t xml:space="preserve">“safety-margin” </w:t>
      </w:r>
      <w:r>
        <w:t>to</w:t>
      </w:r>
      <w:r w:rsidRPr="00B77EBA">
        <w:t xml:space="preserve"> be applied when using an open-cup test method)</w:t>
      </w:r>
      <w:r>
        <w:t xml:space="preserve"> are not </w:t>
      </w:r>
      <w:r w:rsidR="00A84F44">
        <w:t>about</w:t>
      </w:r>
      <w:r>
        <w:t xml:space="preserve"> the scope, they should be moved to a more appropriate section anyway. Therefore, it is proposed to </w:t>
      </w:r>
      <w:proofErr w:type="gramStart"/>
      <w:r>
        <w:t>remove also</w:t>
      </w:r>
      <w:proofErr w:type="gramEnd"/>
      <w:r>
        <w:t xml:space="preserve"> an equivalent reference to the open-cup test method </w:t>
      </w:r>
      <w:r w:rsidR="00866A8F">
        <w:t>from</w:t>
      </w:r>
      <w:r>
        <w:t xml:space="preserve"> </w:t>
      </w:r>
      <w:r w:rsidR="009E5138">
        <w:t xml:space="preserve">the third </w:t>
      </w:r>
      <w:r>
        <w:t xml:space="preserve">sentence </w:t>
      </w:r>
      <w:r w:rsidR="009E5138">
        <w:t>o</w:t>
      </w:r>
      <w:r>
        <w:t>f section 32.2.3 – as shown below – and to take up that information on test methods in section 32.4</w:t>
      </w:r>
      <w:r w:rsidR="002877AC" w:rsidRPr="002877AC">
        <w:t xml:space="preserve"> </w:t>
      </w:r>
      <w:r w:rsidR="002877AC">
        <w:t>of the Manual of Tests and Criteria</w:t>
      </w:r>
      <w:r w:rsidR="00B225C3">
        <w:t>:</w:t>
      </w:r>
    </w:p>
    <w:p w14:paraId="2B1EF65E" w14:textId="552FB83B" w:rsidR="00AB35B4" w:rsidRPr="00DD1F5A" w:rsidRDefault="00CE74F5" w:rsidP="00AB35B4">
      <w:pPr>
        <w:pStyle w:val="SingleTxtG"/>
        <w:pBdr>
          <w:top w:val="single" w:sz="4" w:space="1" w:color="auto"/>
          <w:left w:val="single" w:sz="4" w:space="4" w:color="auto"/>
          <w:bottom w:val="single" w:sz="4" w:space="1" w:color="auto"/>
          <w:right w:val="single" w:sz="4" w:space="4" w:color="auto"/>
        </w:pBdr>
        <w:tabs>
          <w:tab w:val="left" w:pos="1985"/>
        </w:tabs>
        <w:rPr>
          <w:lang w:val="en-US"/>
        </w:rPr>
      </w:pPr>
      <w:r>
        <w:rPr>
          <w:lang w:val="en-US"/>
        </w:rPr>
        <w:t>“</w:t>
      </w:r>
      <w:r w:rsidR="00AB35B4" w:rsidRPr="00DD1F5A">
        <w:rPr>
          <w:lang w:val="en-US"/>
        </w:rPr>
        <w:t>32.2.3</w:t>
      </w:r>
      <w:r w:rsidR="00AB35B4" w:rsidRPr="00DD1F5A">
        <w:rPr>
          <w:lang w:val="en-US"/>
        </w:rPr>
        <w:tab/>
      </w:r>
      <w:r w:rsidR="00AB35B4">
        <w:rPr>
          <w:lang w:val="en-US"/>
        </w:rPr>
        <w:t xml:space="preserve">… </w:t>
      </w:r>
      <w:r w:rsidR="00AB35B4" w:rsidRPr="00DD1F5A">
        <w:rPr>
          <w:lang w:val="en-US"/>
        </w:rPr>
        <w:t>Therefore, it may occur that liquids which are not included in the list because their flash point in their pure state is more than 60</w:t>
      </w:r>
      <w:r w:rsidR="00AB35B4">
        <w:rPr>
          <w:lang w:val="en-US"/>
        </w:rPr>
        <w:t> </w:t>
      </w:r>
      <w:r w:rsidR="00AB35B4" w:rsidRPr="00DD1F5A">
        <w:rPr>
          <w:lang w:val="en-US"/>
        </w:rPr>
        <w:t xml:space="preserve">°C </w:t>
      </w:r>
      <w:r w:rsidR="00AB35B4" w:rsidRPr="00B77EBA">
        <w:rPr>
          <w:dstrike/>
          <w:lang w:val="en-US"/>
        </w:rPr>
        <w:t>in a closed-cup test, or more than 65.6</w:t>
      </w:r>
      <w:r w:rsidR="00AB35B4">
        <w:rPr>
          <w:dstrike/>
          <w:lang w:val="en-US"/>
        </w:rPr>
        <w:t> </w:t>
      </w:r>
      <w:r w:rsidR="00AB35B4" w:rsidRPr="00B77EBA">
        <w:rPr>
          <w:dstrike/>
          <w:lang w:val="en-US"/>
        </w:rPr>
        <w:t xml:space="preserve">°C in an open-cup test, </w:t>
      </w:r>
      <w:r w:rsidR="00AB35B4" w:rsidRPr="00DD1F5A">
        <w:rPr>
          <w:lang w:val="en-US"/>
        </w:rPr>
        <w:t xml:space="preserve">may be classified as "generic" or "not otherwise specified" flammable liquids with a flash point at or below that limit. </w:t>
      </w:r>
      <w:r w:rsidR="00AB35B4">
        <w:rPr>
          <w:lang w:val="en-US"/>
        </w:rPr>
        <w:t>…</w:t>
      </w:r>
      <w:r>
        <w:rPr>
          <w:lang w:val="en-US"/>
        </w:rPr>
        <w:t>”</w:t>
      </w:r>
    </w:p>
    <w:p w14:paraId="5DDE4153" w14:textId="486F73BC" w:rsidR="00AB35B4" w:rsidRDefault="00AB35B4" w:rsidP="00AB35B4">
      <w:pPr>
        <w:pStyle w:val="SingleTxtG"/>
        <w:tabs>
          <w:tab w:val="left" w:pos="1701"/>
        </w:tabs>
        <w:rPr>
          <w:lang w:val="en-US"/>
        </w:rPr>
      </w:pPr>
      <w:r>
        <w:t>11.</w:t>
      </w:r>
      <w:r>
        <w:tab/>
        <w:t>As justified in paragraph 10</w:t>
      </w:r>
      <w:r w:rsidR="00BC60BB">
        <w:t xml:space="preserve"> above</w:t>
      </w:r>
      <w:r>
        <w:t xml:space="preserve">, it is proposed to include information </w:t>
      </w:r>
      <w:r w:rsidR="00B225C3">
        <w:t>on</w:t>
      </w:r>
      <w:r>
        <w:t xml:space="preserve"> test methods in</w:t>
      </w:r>
      <w:r w:rsidR="00172E1F">
        <w:t>to</w:t>
      </w:r>
      <w:r>
        <w:t xml:space="preserve"> </w:t>
      </w:r>
      <w:r w:rsidR="001773EE">
        <w:t>s</w:t>
      </w:r>
      <w:r>
        <w:t xml:space="preserve">ection 32.4. </w:t>
      </w:r>
      <w:r>
        <w:rPr>
          <w:lang w:val="en-US"/>
        </w:rPr>
        <w:t>Here, we would like to propose two options</w:t>
      </w:r>
      <w:r w:rsidR="002372F8">
        <w:rPr>
          <w:lang w:val="en-US"/>
        </w:rPr>
        <w:t xml:space="preserve"> as follows</w:t>
      </w:r>
      <w:r>
        <w:rPr>
          <w:lang w:val="en-US"/>
        </w:rPr>
        <w:t>:</w:t>
      </w:r>
    </w:p>
    <w:p w14:paraId="327CEA70" w14:textId="3A2FB7CA" w:rsidR="00AB35B4" w:rsidRPr="001C0597" w:rsidRDefault="00AB35B4" w:rsidP="00AB35B4">
      <w:pPr>
        <w:pStyle w:val="Bullet1G"/>
        <w:numPr>
          <w:ilvl w:val="0"/>
          <w:numId w:val="8"/>
        </w:numPr>
        <w:rPr>
          <w:lang w:val="en-US"/>
        </w:rPr>
      </w:pPr>
      <w:r>
        <w:rPr>
          <w:lang w:val="en-US"/>
        </w:rPr>
        <w:t xml:space="preserve">Option 1 (preferred by the experts from Germany and the Netherlands): This option would mean a change </w:t>
      </w:r>
      <w:r w:rsidR="003440BC">
        <w:rPr>
          <w:lang w:val="en-US"/>
        </w:rPr>
        <w:t>on</w:t>
      </w:r>
      <w:r>
        <w:rPr>
          <w:lang w:val="en-US"/>
        </w:rPr>
        <w:t xml:space="preserve"> contents by generally recommending the closed-cup test method. We think that is appropriate for the following reasons: The </w:t>
      </w:r>
      <w:r w:rsidRPr="00D03BDA">
        <w:rPr>
          <w:u w:val="single"/>
          <w:lang w:val="en-US"/>
        </w:rPr>
        <w:t>exact</w:t>
      </w:r>
      <w:r>
        <w:rPr>
          <w:lang w:val="en-US"/>
        </w:rPr>
        <w:t xml:space="preserve"> </w:t>
      </w:r>
      <w:r w:rsidRPr="001C0597">
        <w:rPr>
          <w:lang w:val="en-US"/>
        </w:rPr>
        <w:t>origin of the 65.6</w:t>
      </w:r>
      <w:r>
        <w:rPr>
          <w:lang w:val="en-US"/>
        </w:rPr>
        <w:t> </w:t>
      </w:r>
      <w:r w:rsidRPr="001C0597">
        <w:rPr>
          <w:lang w:val="en-US"/>
        </w:rPr>
        <w:t>°C value for open-cup methods is not known</w:t>
      </w:r>
      <w:r>
        <w:rPr>
          <w:lang w:val="en-US"/>
        </w:rPr>
        <w:t xml:space="preserve"> to us</w:t>
      </w:r>
      <w:r w:rsidRPr="001C0597">
        <w:rPr>
          <w:lang w:val="en-US"/>
        </w:rPr>
        <w:t>. Generally, open-cup tests deliver approximately 5</w:t>
      </w:r>
      <w:r>
        <w:rPr>
          <w:lang w:val="en-US"/>
        </w:rPr>
        <w:t> </w:t>
      </w:r>
      <w:r w:rsidRPr="001C0597">
        <w:rPr>
          <w:lang w:val="en-US"/>
        </w:rPr>
        <w:t>°C to 10</w:t>
      </w:r>
      <w:r>
        <w:rPr>
          <w:lang w:val="en-US"/>
        </w:rPr>
        <w:t> </w:t>
      </w:r>
      <w:r w:rsidRPr="001C0597">
        <w:rPr>
          <w:lang w:val="en-US"/>
        </w:rPr>
        <w:t>°C higher values than closed-cup tests.</w:t>
      </w:r>
      <w:r>
        <w:rPr>
          <w:lang w:val="en-US"/>
        </w:rPr>
        <w:t xml:space="preserve"> For safety reasons, our experts therefore recommend using </w:t>
      </w:r>
      <w:r w:rsidRPr="001C0597">
        <w:rPr>
          <w:lang w:val="en-US"/>
        </w:rPr>
        <w:t xml:space="preserve">closed-cup tests. </w:t>
      </w:r>
      <w:r>
        <w:rPr>
          <w:lang w:val="en-US"/>
        </w:rPr>
        <w:t xml:space="preserve">There are only a few cases where </w:t>
      </w:r>
      <w:r w:rsidR="0077111C">
        <w:rPr>
          <w:lang w:val="en-US"/>
        </w:rPr>
        <w:t xml:space="preserve">the </w:t>
      </w:r>
      <w:r>
        <w:rPr>
          <w:lang w:val="en-US"/>
        </w:rPr>
        <w:t>us</w:t>
      </w:r>
      <w:r w:rsidR="0077111C">
        <w:rPr>
          <w:lang w:val="en-US"/>
        </w:rPr>
        <w:t>e of</w:t>
      </w:r>
      <w:r>
        <w:rPr>
          <w:lang w:val="en-US"/>
        </w:rPr>
        <w:t xml:space="preserve"> o</w:t>
      </w:r>
      <w:r w:rsidRPr="001C0597">
        <w:rPr>
          <w:lang w:val="en-US"/>
        </w:rPr>
        <w:t xml:space="preserve">pen-cup </w:t>
      </w:r>
      <w:r>
        <w:rPr>
          <w:lang w:val="en-US"/>
        </w:rPr>
        <w:t xml:space="preserve">tests would </w:t>
      </w:r>
      <w:r w:rsidRPr="001C0597">
        <w:rPr>
          <w:lang w:val="en-US"/>
        </w:rPr>
        <w:t>make sense</w:t>
      </w:r>
      <w:r>
        <w:rPr>
          <w:lang w:val="en-US"/>
        </w:rPr>
        <w:t xml:space="preserve">. This concerns </w:t>
      </w:r>
      <w:r w:rsidRPr="001C0597">
        <w:rPr>
          <w:lang w:val="en-US"/>
        </w:rPr>
        <w:t xml:space="preserve">highly viscous substances </w:t>
      </w:r>
      <w:r>
        <w:rPr>
          <w:lang w:val="en-US"/>
        </w:rPr>
        <w:t xml:space="preserve">with high boiling points </w:t>
      </w:r>
      <w:r w:rsidRPr="001C0597">
        <w:rPr>
          <w:lang w:val="en-US"/>
        </w:rPr>
        <w:t>(asphalt, bitumen, tar), which can hardly be measured in closed-cup devices</w:t>
      </w:r>
      <w:r>
        <w:rPr>
          <w:lang w:val="en-US"/>
        </w:rPr>
        <w:t xml:space="preserve">. However, these are not relevant for classification purposes because the flash points of such substances are above </w:t>
      </w:r>
      <w:r w:rsidRPr="001C0597">
        <w:rPr>
          <w:lang w:val="en-US"/>
        </w:rPr>
        <w:t>100</w:t>
      </w:r>
      <w:r>
        <w:rPr>
          <w:lang w:val="en-US"/>
        </w:rPr>
        <w:t> </w:t>
      </w:r>
      <w:r w:rsidRPr="001C0597">
        <w:rPr>
          <w:lang w:val="en-US"/>
        </w:rPr>
        <w:t>°C anyway.</w:t>
      </w:r>
    </w:p>
    <w:p w14:paraId="7D3AA9FE" w14:textId="620942DA" w:rsidR="00AB35B4" w:rsidRPr="001C0597" w:rsidRDefault="00AB35B4" w:rsidP="00AB35B4">
      <w:pPr>
        <w:pStyle w:val="Bullet1G"/>
        <w:numPr>
          <w:ilvl w:val="0"/>
          <w:numId w:val="8"/>
        </w:numPr>
        <w:rPr>
          <w:lang w:val="en-US"/>
        </w:rPr>
      </w:pPr>
      <w:r>
        <w:rPr>
          <w:lang w:val="en-US"/>
        </w:rPr>
        <w:t xml:space="preserve">Option 2: Add the safety margin </w:t>
      </w:r>
      <w:r w:rsidR="00871B9C">
        <w:rPr>
          <w:lang w:val="en-US"/>
        </w:rPr>
        <w:t xml:space="preserve">also </w:t>
      </w:r>
      <w:r>
        <w:rPr>
          <w:lang w:val="en-US"/>
        </w:rPr>
        <w:t>for open-cup test methods. Compared to the current text in the Manual, this would not change the contents.</w:t>
      </w:r>
    </w:p>
    <w:p w14:paraId="4E987746" w14:textId="24C3B042" w:rsidR="00AB35B4" w:rsidRDefault="00AB35B4" w:rsidP="00AB35B4">
      <w:pPr>
        <w:pStyle w:val="SingleTxtG"/>
        <w:tabs>
          <w:tab w:val="left" w:pos="1701"/>
          <w:tab w:val="left" w:pos="1985"/>
        </w:tabs>
        <w:rPr>
          <w:lang w:val="en-US"/>
        </w:rPr>
      </w:pPr>
      <w:r>
        <w:rPr>
          <w:lang w:val="en-US"/>
        </w:rPr>
        <w:t>12.</w:t>
      </w:r>
      <w:r>
        <w:rPr>
          <w:lang w:val="en-US"/>
        </w:rPr>
        <w:tab/>
      </w:r>
      <w:r w:rsidR="00414F0B">
        <w:rPr>
          <w:lang w:val="en-US"/>
        </w:rPr>
        <w:t>It is proposed to a</w:t>
      </w:r>
      <w:r>
        <w:rPr>
          <w:lang w:val="en-US"/>
        </w:rPr>
        <w:t xml:space="preserve">mend section 32.4 </w:t>
      </w:r>
      <w:r w:rsidR="0095000D">
        <w:t>of the Manual of Tests and Criteria</w:t>
      </w:r>
      <w:r w:rsidR="0095000D">
        <w:rPr>
          <w:lang w:val="en-US"/>
        </w:rPr>
        <w:t xml:space="preserve"> </w:t>
      </w:r>
      <w:r>
        <w:rPr>
          <w:lang w:val="en-US"/>
        </w:rPr>
        <w:t>by adding text just below the headline (and above the headline of section 32.4.1) as shown below. Option 1 corresponds to adding the first sentence only. Option 2 corresponds to adding the first sentence as well as the second sentence (which is in shown in square brackets).</w:t>
      </w:r>
    </w:p>
    <w:p w14:paraId="4A2497F7" w14:textId="0A7898C8" w:rsidR="00AB35B4" w:rsidRPr="00946CDE" w:rsidRDefault="00414F0B" w:rsidP="00AB35B4">
      <w:pPr>
        <w:pStyle w:val="SingleTxtG"/>
        <w:pBdr>
          <w:top w:val="single" w:sz="4" w:space="1" w:color="auto"/>
          <w:left w:val="single" w:sz="4" w:space="4" w:color="auto"/>
          <w:bottom w:val="single" w:sz="4" w:space="1" w:color="auto"/>
          <w:right w:val="single" w:sz="4" w:space="4" w:color="auto"/>
        </w:pBdr>
        <w:tabs>
          <w:tab w:val="left" w:pos="1985"/>
        </w:tabs>
        <w:rPr>
          <w:b/>
          <w:bCs/>
          <w:lang w:val="en-US"/>
        </w:rPr>
      </w:pPr>
      <w:r w:rsidRPr="00414F0B">
        <w:rPr>
          <w:lang w:val="en-US"/>
        </w:rPr>
        <w:t>“</w:t>
      </w:r>
      <w:r w:rsidR="00AB35B4" w:rsidRPr="00946CDE">
        <w:rPr>
          <w:b/>
          <w:bCs/>
          <w:lang w:val="en-US"/>
        </w:rPr>
        <w:t>32.4</w:t>
      </w:r>
      <w:r w:rsidR="00AB35B4" w:rsidRPr="00946CDE">
        <w:rPr>
          <w:b/>
          <w:bCs/>
          <w:lang w:val="en-US"/>
        </w:rPr>
        <w:tab/>
        <w:t>Test methods used for determining flash point and viscosity</w:t>
      </w:r>
    </w:p>
    <w:p w14:paraId="78E6A8E8" w14:textId="5A7BCC1A" w:rsidR="00AB35B4" w:rsidRPr="003A069F" w:rsidRDefault="002A3401" w:rsidP="00AB35B4">
      <w:pPr>
        <w:pStyle w:val="SingleTxtG"/>
        <w:pBdr>
          <w:top w:val="single" w:sz="4" w:space="1" w:color="auto"/>
          <w:left w:val="single" w:sz="4" w:space="4" w:color="auto"/>
          <w:bottom w:val="single" w:sz="4" w:space="1" w:color="auto"/>
          <w:right w:val="single" w:sz="4" w:space="4" w:color="auto"/>
        </w:pBdr>
        <w:tabs>
          <w:tab w:val="left" w:pos="1985"/>
        </w:tabs>
        <w:rPr>
          <w:b/>
          <w:bCs/>
          <w:u w:val="single"/>
          <w:lang w:val="en-US"/>
        </w:rPr>
      </w:pPr>
      <w:r w:rsidRPr="002A3401">
        <w:rPr>
          <w:b/>
          <w:bCs/>
          <w:lang w:val="en-US"/>
        </w:rPr>
        <w:tab/>
      </w:r>
      <w:r w:rsidR="00AB35B4" w:rsidRPr="003A069F">
        <w:rPr>
          <w:b/>
          <w:bCs/>
          <w:u w:val="single"/>
          <w:lang w:val="en-US"/>
        </w:rPr>
        <w:t xml:space="preserve">It is strongly recommended to use only closed-cup tests for the determination of the flash point. </w:t>
      </w:r>
      <w:r w:rsidR="00AB35B4">
        <w:rPr>
          <w:b/>
          <w:bCs/>
          <w:u w:val="single"/>
          <w:lang w:val="en-US"/>
        </w:rPr>
        <w:t>[</w:t>
      </w:r>
      <w:r w:rsidR="00AB35B4" w:rsidRPr="003A069F">
        <w:rPr>
          <w:b/>
          <w:bCs/>
          <w:u w:val="single"/>
          <w:lang w:val="en-US"/>
        </w:rPr>
        <w:t xml:space="preserve">However, if open-cup tests are used, at least 5 °C </w:t>
      </w:r>
      <w:proofErr w:type="gramStart"/>
      <w:r w:rsidR="00AB35B4" w:rsidRPr="003A069F">
        <w:rPr>
          <w:b/>
          <w:bCs/>
          <w:u w:val="single"/>
          <w:lang w:val="en-US"/>
        </w:rPr>
        <w:t>have to</w:t>
      </w:r>
      <w:proofErr w:type="gramEnd"/>
      <w:r w:rsidR="00AB35B4" w:rsidRPr="003A069F">
        <w:rPr>
          <w:b/>
          <w:bCs/>
          <w:u w:val="single"/>
          <w:lang w:val="en-US"/>
        </w:rPr>
        <w:t xml:space="preserve"> be added to the relevant criterion because open cup test methods generally result in higher flash point values.</w:t>
      </w:r>
      <w:r w:rsidR="00AB35B4">
        <w:rPr>
          <w:b/>
          <w:bCs/>
          <w:u w:val="single"/>
          <w:lang w:val="en-US"/>
        </w:rPr>
        <w:t>]</w:t>
      </w:r>
    </w:p>
    <w:p w14:paraId="43EAC5BD" w14:textId="67B9BD5F" w:rsidR="00AB35B4" w:rsidRDefault="00AB35B4" w:rsidP="00AB35B4">
      <w:pPr>
        <w:pStyle w:val="SingleTxtG"/>
        <w:pBdr>
          <w:top w:val="single" w:sz="4" w:space="1" w:color="auto"/>
          <w:left w:val="single" w:sz="4" w:space="4" w:color="auto"/>
          <w:bottom w:val="single" w:sz="4" w:space="1" w:color="auto"/>
          <w:right w:val="single" w:sz="4" w:space="4" w:color="auto"/>
        </w:pBdr>
        <w:tabs>
          <w:tab w:val="left" w:pos="1985"/>
        </w:tabs>
        <w:rPr>
          <w:lang w:val="en-US"/>
        </w:rPr>
      </w:pPr>
      <w:r>
        <w:rPr>
          <w:lang w:val="en-US"/>
        </w:rPr>
        <w:t>32.4.1</w:t>
      </w:r>
      <w:r>
        <w:rPr>
          <w:lang w:val="en-US"/>
        </w:rPr>
        <w:tab/>
        <w:t>…</w:t>
      </w:r>
      <w:r w:rsidR="00414F0B">
        <w:rPr>
          <w:lang w:val="en-US"/>
        </w:rPr>
        <w:t>”</w:t>
      </w:r>
    </w:p>
    <w:p w14:paraId="616CE399" w14:textId="299314A9" w:rsidR="00534A94" w:rsidRPr="00885651" w:rsidRDefault="00885651" w:rsidP="00885651">
      <w:pPr>
        <w:spacing w:before="240"/>
        <w:jc w:val="center"/>
        <w:rPr>
          <w:u w:val="single"/>
        </w:rPr>
      </w:pPr>
      <w:r>
        <w:rPr>
          <w:u w:val="single"/>
        </w:rPr>
        <w:tab/>
      </w:r>
      <w:r>
        <w:rPr>
          <w:u w:val="single"/>
        </w:rPr>
        <w:tab/>
      </w:r>
      <w:r>
        <w:rPr>
          <w:u w:val="single"/>
        </w:rPr>
        <w:tab/>
      </w:r>
    </w:p>
    <w:sectPr w:rsidR="00534A94" w:rsidRPr="00885651" w:rsidSect="00D544E0">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endnotePr>
        <w:numFmt w:val="decimal"/>
      </w:endnotePr>
      <w:type w:val="continuous"/>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1D58" w14:textId="77777777" w:rsidR="00BB6164" w:rsidRPr="00C47B2E" w:rsidRDefault="00BB6164" w:rsidP="00C47B2E">
      <w:pPr>
        <w:pStyle w:val="Footer"/>
      </w:pPr>
    </w:p>
  </w:endnote>
  <w:endnote w:type="continuationSeparator" w:id="0">
    <w:p w14:paraId="23AB0C84" w14:textId="77777777" w:rsidR="00BB6164" w:rsidRPr="00C47B2E" w:rsidRDefault="00BB6164" w:rsidP="00C47B2E">
      <w:pPr>
        <w:pStyle w:val="Footer"/>
      </w:pPr>
    </w:p>
  </w:endnote>
  <w:endnote w:type="continuationNotice" w:id="1">
    <w:p w14:paraId="06799B72" w14:textId="77777777" w:rsidR="00BB6164" w:rsidRPr="00C47B2E" w:rsidRDefault="00BB61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0C1" w14:textId="482B456D" w:rsidR="00D94B05" w:rsidRPr="00795847" w:rsidRDefault="00795847" w:rsidP="00795847">
    <w:pPr>
      <w:pStyle w:val="Footer"/>
      <w:tabs>
        <w:tab w:val="right" w:pos="9598"/>
        <w:tab w:val="right" w:pos="9638"/>
      </w:tabs>
      <w:rPr>
        <w:sz w:val="18"/>
      </w:rPr>
    </w:pPr>
    <w:r w:rsidRPr="00795847">
      <w:rPr>
        <w:b/>
        <w:sz w:val="18"/>
      </w:rPr>
      <w:fldChar w:fldCharType="begin"/>
    </w:r>
    <w:r w:rsidRPr="00795847">
      <w:rPr>
        <w:b/>
        <w:sz w:val="18"/>
      </w:rPr>
      <w:instrText xml:space="preserve"> PAGE  \* MERGEFORMAT </w:instrText>
    </w:r>
    <w:r w:rsidRPr="00795847">
      <w:rPr>
        <w:b/>
        <w:sz w:val="18"/>
      </w:rPr>
      <w:fldChar w:fldCharType="separate"/>
    </w:r>
    <w:r w:rsidRPr="00795847">
      <w:rPr>
        <w:b/>
        <w:noProof/>
        <w:sz w:val="18"/>
      </w:rPr>
      <w:t>2</w:t>
    </w:r>
    <w:r w:rsidRPr="007958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873" w14:textId="7663EE9A" w:rsidR="00D94B05" w:rsidRPr="0041656F" w:rsidRDefault="00F966E1" w:rsidP="00795847">
    <w:pPr>
      <w:pStyle w:val="Footer"/>
      <w:tabs>
        <w:tab w:val="left" w:pos="5775"/>
        <w:tab w:val="right" w:pos="9598"/>
        <w:tab w:val="right" w:pos="9638"/>
      </w:tabs>
      <w:rPr>
        <w:b/>
        <w:bCs/>
        <w:sz w:val="18"/>
      </w:rPr>
    </w:pPr>
    <w:r>
      <w:rPr>
        <w:b/>
        <w:sz w:val="18"/>
      </w:rPr>
      <w:tab/>
    </w:r>
    <w:r w:rsidR="00795847">
      <w:rPr>
        <w:b/>
        <w:sz w:val="18"/>
      </w:rPr>
      <w:tab/>
    </w:r>
    <w:r w:rsidR="00795847" w:rsidRPr="0041656F">
      <w:rPr>
        <w:b/>
        <w:bCs/>
        <w:sz w:val="18"/>
      </w:rPr>
      <w:fldChar w:fldCharType="begin"/>
    </w:r>
    <w:r w:rsidR="00795847" w:rsidRPr="0041108F">
      <w:rPr>
        <w:b/>
        <w:bCs/>
        <w:sz w:val="18"/>
      </w:rPr>
      <w:instrText xml:space="preserve"> PAGE  \* MERGEFORMAT </w:instrText>
    </w:r>
    <w:r w:rsidR="00795847" w:rsidRPr="0041656F">
      <w:rPr>
        <w:b/>
        <w:bCs/>
        <w:sz w:val="18"/>
      </w:rPr>
      <w:fldChar w:fldCharType="separate"/>
    </w:r>
    <w:r w:rsidR="00795847" w:rsidRPr="0041108F">
      <w:rPr>
        <w:b/>
        <w:bCs/>
        <w:noProof/>
        <w:sz w:val="18"/>
      </w:rPr>
      <w:t>3</w:t>
    </w:r>
    <w:r w:rsidR="00795847" w:rsidRPr="004165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694" w14:textId="77777777" w:rsidR="00D94B05" w:rsidRPr="0079584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DD4E342" wp14:editId="1B1F4933">
          <wp:simplePos x="0" y="0"/>
          <wp:positionH relativeFrom="margin">
            <wp:posOffset>5003800</wp:posOffset>
          </wp:positionH>
          <wp:positionV relativeFrom="margin">
            <wp:posOffset>9323705</wp:posOffset>
          </wp:positionV>
          <wp:extent cx="923925" cy="228600"/>
          <wp:effectExtent l="0" t="0" r="9525"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074B" w14:textId="77777777" w:rsidR="00BB6164" w:rsidRPr="00C47B2E" w:rsidRDefault="00BB6164" w:rsidP="00C47B2E">
      <w:pPr>
        <w:tabs>
          <w:tab w:val="right" w:pos="2155"/>
        </w:tabs>
        <w:spacing w:after="80" w:line="240" w:lineRule="auto"/>
        <w:ind w:left="680"/>
      </w:pPr>
      <w:r>
        <w:rPr>
          <w:u w:val="single"/>
        </w:rPr>
        <w:tab/>
      </w:r>
    </w:p>
  </w:footnote>
  <w:footnote w:type="continuationSeparator" w:id="0">
    <w:p w14:paraId="2EFF7B79" w14:textId="77777777" w:rsidR="00BB6164" w:rsidRPr="00C47B2E" w:rsidRDefault="00BB6164" w:rsidP="005E716E">
      <w:pPr>
        <w:tabs>
          <w:tab w:val="right" w:pos="2155"/>
        </w:tabs>
        <w:spacing w:after="80" w:line="240" w:lineRule="auto"/>
        <w:ind w:left="680"/>
      </w:pPr>
      <w:r>
        <w:rPr>
          <w:u w:val="single"/>
        </w:rPr>
        <w:tab/>
      </w:r>
    </w:p>
  </w:footnote>
  <w:footnote w:type="continuationNotice" w:id="1">
    <w:p w14:paraId="58BBDE47" w14:textId="77777777" w:rsidR="00BB6164" w:rsidRPr="00C47B2E" w:rsidRDefault="00BB6164" w:rsidP="00C47B2E">
      <w:pPr>
        <w:pStyle w:val="Footer"/>
      </w:pPr>
    </w:p>
  </w:footnote>
  <w:footnote w:id="2">
    <w:p w14:paraId="19A7FC95" w14:textId="45819EC8" w:rsidR="00AB35B4" w:rsidRPr="00AB35B4" w:rsidRDefault="00AB35B4" w:rsidP="001D079C">
      <w:pPr>
        <w:pStyle w:val="FootnoteText"/>
        <w:ind w:firstLine="0"/>
        <w:rPr>
          <w:lang w:val="fr-CH"/>
        </w:rPr>
      </w:pPr>
      <w:r>
        <w:rPr>
          <w:rStyle w:val="FootnoteReference"/>
        </w:rPr>
        <w:footnoteRef/>
      </w:r>
      <w:r>
        <w:t xml:space="preserve"> </w:t>
      </w:r>
      <w:r w:rsidR="001D079C">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9D6" w14:textId="6578BC45" w:rsidR="00795847" w:rsidRPr="00795847" w:rsidRDefault="00E608C0">
    <w:pPr>
      <w:pStyle w:val="Header"/>
    </w:pPr>
    <w:r>
      <w:t>ST/SG/AC.10/C.3/2022/</w:t>
    </w:r>
    <w:r w:rsidR="00E3523F">
      <w:t>11</w:t>
    </w:r>
    <w:r w:rsidR="00795847">
      <w:br/>
    </w:r>
    <w:r>
      <w:t>ST/SG/AC.10/C.4/2022/</w:t>
    </w:r>
    <w:r w:rsidR="00E3523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D47" w14:textId="6F90545B" w:rsidR="00D94B05" w:rsidRPr="00795847" w:rsidRDefault="00DD4021" w:rsidP="00795847">
    <w:pPr>
      <w:pStyle w:val="Header"/>
      <w:jc w:val="right"/>
    </w:pPr>
    <w:r>
      <w:t>ST/SG/AC.10/C.3/2022/</w:t>
    </w:r>
    <w:r w:rsidR="00885651">
      <w:t>11</w:t>
    </w:r>
    <w:r>
      <w:br/>
      <w:t>ST/SG/AC.10/C.4/2022/</w:t>
    </w:r>
    <w:r w:rsidR="0088565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21D8" w14:textId="77777777" w:rsidR="00885651" w:rsidRDefault="00885651" w:rsidP="008F32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53DC"/>
    <w:multiLevelType w:val="hybridMultilevel"/>
    <w:tmpl w:val="36ACAF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46A"/>
    <w:multiLevelType w:val="hybridMultilevel"/>
    <w:tmpl w:val="5D32CF5E"/>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414E0E"/>
    <w:multiLevelType w:val="hybridMultilevel"/>
    <w:tmpl w:val="D22467CA"/>
    <w:lvl w:ilvl="0" w:tplc="F33E3EE8">
      <w:start w:val="161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E17254"/>
    <w:multiLevelType w:val="hybridMultilevel"/>
    <w:tmpl w:val="A8C89686"/>
    <w:lvl w:ilvl="0" w:tplc="930EF8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C185B"/>
    <w:multiLevelType w:val="hybridMultilevel"/>
    <w:tmpl w:val="3ACE709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0315F"/>
    <w:multiLevelType w:val="hybridMultilevel"/>
    <w:tmpl w:val="91608404"/>
    <w:lvl w:ilvl="0" w:tplc="1A5216A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E3F49"/>
    <w:multiLevelType w:val="hybridMultilevel"/>
    <w:tmpl w:val="06DECCD8"/>
    <w:lvl w:ilvl="0" w:tplc="54B2B28A">
      <w:start w:val="10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073B9"/>
    <w:multiLevelType w:val="hybridMultilevel"/>
    <w:tmpl w:val="C7A6D97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04277"/>
    <w:multiLevelType w:val="hybridMultilevel"/>
    <w:tmpl w:val="F2B6EB66"/>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26A70"/>
    <w:multiLevelType w:val="hybridMultilevel"/>
    <w:tmpl w:val="5666D9FC"/>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56248"/>
    <w:multiLevelType w:val="hybridMultilevel"/>
    <w:tmpl w:val="496ADB9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0248"/>
    <w:multiLevelType w:val="hybridMultilevel"/>
    <w:tmpl w:val="651C4086"/>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79F"/>
    <w:multiLevelType w:val="hybridMultilevel"/>
    <w:tmpl w:val="5D9451A0"/>
    <w:lvl w:ilvl="0" w:tplc="08090015">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4F2C19BF"/>
    <w:multiLevelType w:val="hybridMultilevel"/>
    <w:tmpl w:val="E6FC1210"/>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3C54"/>
    <w:multiLevelType w:val="hybridMultilevel"/>
    <w:tmpl w:val="23E45D4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B6CBE"/>
    <w:multiLevelType w:val="hybridMultilevel"/>
    <w:tmpl w:val="2758E904"/>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F6AE6"/>
    <w:multiLevelType w:val="hybridMultilevel"/>
    <w:tmpl w:val="552AAE62"/>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A0CC7"/>
    <w:multiLevelType w:val="hybridMultilevel"/>
    <w:tmpl w:val="D9F2950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569C7"/>
    <w:multiLevelType w:val="hybridMultilevel"/>
    <w:tmpl w:val="881AB77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155AE"/>
    <w:multiLevelType w:val="hybridMultilevel"/>
    <w:tmpl w:val="528AEDC4"/>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E1822"/>
    <w:multiLevelType w:val="hybridMultilevel"/>
    <w:tmpl w:val="6BCE4D0C"/>
    <w:lvl w:ilvl="0" w:tplc="DF3234BC">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0"/>
  </w:num>
  <w:num w:numId="4">
    <w:abstractNumId w:val="23"/>
  </w:num>
  <w:num w:numId="5">
    <w:abstractNumId w:val="24"/>
  </w:num>
  <w:num w:numId="6">
    <w:abstractNumId w:val="31"/>
  </w:num>
  <w:num w:numId="7">
    <w:abstractNumId w:val="6"/>
  </w:num>
  <w:num w:numId="8">
    <w:abstractNumId w:val="2"/>
  </w:num>
  <w:num w:numId="9">
    <w:abstractNumId w:val="26"/>
  </w:num>
  <w:num w:numId="10">
    <w:abstractNumId w:val="2"/>
  </w:num>
  <w:num w:numId="11">
    <w:abstractNumId w:val="26"/>
  </w:num>
  <w:num w:numId="12">
    <w:abstractNumId w:val="4"/>
  </w:num>
  <w:num w:numId="13">
    <w:abstractNumId w:val="4"/>
  </w:num>
  <w:num w:numId="14">
    <w:abstractNumId w:val="25"/>
  </w:num>
  <w:num w:numId="15">
    <w:abstractNumId w:val="12"/>
  </w:num>
  <w:num w:numId="16">
    <w:abstractNumId w:val="18"/>
  </w:num>
  <w:num w:numId="17">
    <w:abstractNumId w:val="17"/>
  </w:num>
  <w:num w:numId="18">
    <w:abstractNumId w:val="27"/>
  </w:num>
  <w:num w:numId="19">
    <w:abstractNumId w:val="5"/>
  </w:num>
  <w:num w:numId="20">
    <w:abstractNumId w:val="7"/>
  </w:num>
  <w:num w:numId="21">
    <w:abstractNumId w:val="13"/>
  </w:num>
  <w:num w:numId="22">
    <w:abstractNumId w:val="21"/>
  </w:num>
  <w:num w:numId="23">
    <w:abstractNumId w:val="15"/>
  </w:num>
  <w:num w:numId="24">
    <w:abstractNumId w:val="28"/>
  </w:num>
  <w:num w:numId="25">
    <w:abstractNumId w:val="8"/>
  </w:num>
  <w:num w:numId="26">
    <w:abstractNumId w:val="30"/>
  </w:num>
  <w:num w:numId="27">
    <w:abstractNumId w:val="10"/>
  </w:num>
  <w:num w:numId="28">
    <w:abstractNumId w:val="19"/>
  </w:num>
  <w:num w:numId="29">
    <w:abstractNumId w:val="20"/>
  </w:num>
  <w:num w:numId="30">
    <w:abstractNumId w:val="22"/>
  </w:num>
  <w:num w:numId="31">
    <w:abstractNumId w:val="14"/>
  </w:num>
  <w:num w:numId="32">
    <w:abstractNumId w:val="3"/>
  </w:num>
  <w:num w:numId="33">
    <w:abstractNumId w:val="29"/>
  </w:num>
  <w:num w:numId="34">
    <w:abstractNumId w:val="16"/>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7"/>
    <w:rsid w:val="000050D2"/>
    <w:rsid w:val="000103B6"/>
    <w:rsid w:val="000133B3"/>
    <w:rsid w:val="0001343B"/>
    <w:rsid w:val="00023339"/>
    <w:rsid w:val="00040AE0"/>
    <w:rsid w:val="00043543"/>
    <w:rsid w:val="00046E92"/>
    <w:rsid w:val="00052FD0"/>
    <w:rsid w:val="00053789"/>
    <w:rsid w:val="00057788"/>
    <w:rsid w:val="000635A9"/>
    <w:rsid w:val="00063C90"/>
    <w:rsid w:val="0007679D"/>
    <w:rsid w:val="000A07CE"/>
    <w:rsid w:val="000A5088"/>
    <w:rsid w:val="000A5FF4"/>
    <w:rsid w:val="000B2B52"/>
    <w:rsid w:val="000B5E0E"/>
    <w:rsid w:val="000C2494"/>
    <w:rsid w:val="000D2E79"/>
    <w:rsid w:val="000D7EA1"/>
    <w:rsid w:val="000E6CD3"/>
    <w:rsid w:val="000F0C83"/>
    <w:rsid w:val="000F0D45"/>
    <w:rsid w:val="000F7C67"/>
    <w:rsid w:val="00101B98"/>
    <w:rsid w:val="00104852"/>
    <w:rsid w:val="00112A42"/>
    <w:rsid w:val="001162CE"/>
    <w:rsid w:val="0012199F"/>
    <w:rsid w:val="00124C95"/>
    <w:rsid w:val="00124EB2"/>
    <w:rsid w:val="00125C60"/>
    <w:rsid w:val="00130BBC"/>
    <w:rsid w:val="001456D2"/>
    <w:rsid w:val="0014605C"/>
    <w:rsid w:val="001514D1"/>
    <w:rsid w:val="00152CCF"/>
    <w:rsid w:val="00160982"/>
    <w:rsid w:val="00172E1F"/>
    <w:rsid w:val="0017436B"/>
    <w:rsid w:val="00175EAF"/>
    <w:rsid w:val="001773EE"/>
    <w:rsid w:val="001941F9"/>
    <w:rsid w:val="001A61C5"/>
    <w:rsid w:val="001B162D"/>
    <w:rsid w:val="001B7CB5"/>
    <w:rsid w:val="001C013B"/>
    <w:rsid w:val="001D079C"/>
    <w:rsid w:val="001D150C"/>
    <w:rsid w:val="001D4366"/>
    <w:rsid w:val="001E1DD2"/>
    <w:rsid w:val="001E28FF"/>
    <w:rsid w:val="001E3897"/>
    <w:rsid w:val="001E4B14"/>
    <w:rsid w:val="001E5FEA"/>
    <w:rsid w:val="001F7F66"/>
    <w:rsid w:val="002003AC"/>
    <w:rsid w:val="00205E3C"/>
    <w:rsid w:val="00210445"/>
    <w:rsid w:val="002106DD"/>
    <w:rsid w:val="00213E1A"/>
    <w:rsid w:val="00227110"/>
    <w:rsid w:val="002372F8"/>
    <w:rsid w:val="002455E3"/>
    <w:rsid w:val="00247E2C"/>
    <w:rsid w:val="0026097B"/>
    <w:rsid w:val="0027319A"/>
    <w:rsid w:val="00276805"/>
    <w:rsid w:val="00285944"/>
    <w:rsid w:val="00285DF0"/>
    <w:rsid w:val="002863F3"/>
    <w:rsid w:val="002877AC"/>
    <w:rsid w:val="002966BC"/>
    <w:rsid w:val="00297144"/>
    <w:rsid w:val="002A32CB"/>
    <w:rsid w:val="002A3401"/>
    <w:rsid w:val="002A7122"/>
    <w:rsid w:val="002B077F"/>
    <w:rsid w:val="002B0839"/>
    <w:rsid w:val="002B1175"/>
    <w:rsid w:val="002B4AA8"/>
    <w:rsid w:val="002B4AEB"/>
    <w:rsid w:val="002D0066"/>
    <w:rsid w:val="002D5B2C"/>
    <w:rsid w:val="002D6C53"/>
    <w:rsid w:val="002E2EC3"/>
    <w:rsid w:val="002E4E12"/>
    <w:rsid w:val="002F5595"/>
    <w:rsid w:val="00301DCC"/>
    <w:rsid w:val="00307966"/>
    <w:rsid w:val="0032059B"/>
    <w:rsid w:val="00323FFA"/>
    <w:rsid w:val="00334F6A"/>
    <w:rsid w:val="003358EE"/>
    <w:rsid w:val="00337CF4"/>
    <w:rsid w:val="00342AC8"/>
    <w:rsid w:val="00343302"/>
    <w:rsid w:val="00343D1A"/>
    <w:rsid w:val="003440BC"/>
    <w:rsid w:val="003442F8"/>
    <w:rsid w:val="0035795D"/>
    <w:rsid w:val="00366643"/>
    <w:rsid w:val="00372F06"/>
    <w:rsid w:val="0038182A"/>
    <w:rsid w:val="00390B54"/>
    <w:rsid w:val="00390FBE"/>
    <w:rsid w:val="003979DE"/>
    <w:rsid w:val="003A0F9C"/>
    <w:rsid w:val="003A2623"/>
    <w:rsid w:val="003A50E4"/>
    <w:rsid w:val="003A5609"/>
    <w:rsid w:val="003B2334"/>
    <w:rsid w:val="003B4550"/>
    <w:rsid w:val="003B5CD1"/>
    <w:rsid w:val="003C2BAF"/>
    <w:rsid w:val="003C54CE"/>
    <w:rsid w:val="003C6614"/>
    <w:rsid w:val="003D2A18"/>
    <w:rsid w:val="003D3397"/>
    <w:rsid w:val="00401AEC"/>
    <w:rsid w:val="0041108F"/>
    <w:rsid w:val="00413386"/>
    <w:rsid w:val="00414073"/>
    <w:rsid w:val="00414F0B"/>
    <w:rsid w:val="0041656F"/>
    <w:rsid w:val="00417020"/>
    <w:rsid w:val="00432757"/>
    <w:rsid w:val="00432FBF"/>
    <w:rsid w:val="004338B6"/>
    <w:rsid w:val="00436D56"/>
    <w:rsid w:val="00451AAB"/>
    <w:rsid w:val="004536FE"/>
    <w:rsid w:val="00453A91"/>
    <w:rsid w:val="00454B3C"/>
    <w:rsid w:val="00461253"/>
    <w:rsid w:val="00461AA2"/>
    <w:rsid w:val="00462565"/>
    <w:rsid w:val="004635B5"/>
    <w:rsid w:val="00467B34"/>
    <w:rsid w:val="00471384"/>
    <w:rsid w:val="0047227C"/>
    <w:rsid w:val="00475CD0"/>
    <w:rsid w:val="00481336"/>
    <w:rsid w:val="00482167"/>
    <w:rsid w:val="004858F5"/>
    <w:rsid w:val="0049122D"/>
    <w:rsid w:val="00492D47"/>
    <w:rsid w:val="0049530C"/>
    <w:rsid w:val="004A2814"/>
    <w:rsid w:val="004A4623"/>
    <w:rsid w:val="004B7170"/>
    <w:rsid w:val="004B74A2"/>
    <w:rsid w:val="004C0622"/>
    <w:rsid w:val="004D1F1C"/>
    <w:rsid w:val="004D3A21"/>
    <w:rsid w:val="004E1C5E"/>
    <w:rsid w:val="004F0096"/>
    <w:rsid w:val="004F0F9C"/>
    <w:rsid w:val="004F551D"/>
    <w:rsid w:val="004F72C0"/>
    <w:rsid w:val="00501B01"/>
    <w:rsid w:val="005042C2"/>
    <w:rsid w:val="005126A9"/>
    <w:rsid w:val="00516854"/>
    <w:rsid w:val="00523880"/>
    <w:rsid w:val="0052470B"/>
    <w:rsid w:val="00534A94"/>
    <w:rsid w:val="00544A75"/>
    <w:rsid w:val="00545613"/>
    <w:rsid w:val="0055326C"/>
    <w:rsid w:val="00570FCD"/>
    <w:rsid w:val="00576640"/>
    <w:rsid w:val="005962D0"/>
    <w:rsid w:val="005A3B10"/>
    <w:rsid w:val="005B3446"/>
    <w:rsid w:val="005B77FD"/>
    <w:rsid w:val="005B7A45"/>
    <w:rsid w:val="005E716E"/>
    <w:rsid w:val="005E7C8A"/>
    <w:rsid w:val="005F5121"/>
    <w:rsid w:val="00603419"/>
    <w:rsid w:val="00617167"/>
    <w:rsid w:val="006216B2"/>
    <w:rsid w:val="00621CB4"/>
    <w:rsid w:val="0062444B"/>
    <w:rsid w:val="0062738A"/>
    <w:rsid w:val="0063033B"/>
    <w:rsid w:val="00632C45"/>
    <w:rsid w:val="0064759D"/>
    <w:rsid w:val="006476E1"/>
    <w:rsid w:val="0064778D"/>
    <w:rsid w:val="00651358"/>
    <w:rsid w:val="00655201"/>
    <w:rsid w:val="006604DF"/>
    <w:rsid w:val="00671529"/>
    <w:rsid w:val="00683E70"/>
    <w:rsid w:val="006845D1"/>
    <w:rsid w:val="006878D9"/>
    <w:rsid w:val="00687B5B"/>
    <w:rsid w:val="006901D5"/>
    <w:rsid w:val="006A3F10"/>
    <w:rsid w:val="006B033E"/>
    <w:rsid w:val="006B2206"/>
    <w:rsid w:val="006B2D0C"/>
    <w:rsid w:val="006C3ADD"/>
    <w:rsid w:val="006D77DC"/>
    <w:rsid w:val="006E03FB"/>
    <w:rsid w:val="006E32E7"/>
    <w:rsid w:val="006E6BAE"/>
    <w:rsid w:val="006E719B"/>
    <w:rsid w:val="007006BF"/>
    <w:rsid w:val="0070222D"/>
    <w:rsid w:val="00704038"/>
    <w:rsid w:val="0070489D"/>
    <w:rsid w:val="00705DA0"/>
    <w:rsid w:val="00706F9F"/>
    <w:rsid w:val="007268F9"/>
    <w:rsid w:val="00726C75"/>
    <w:rsid w:val="0073038B"/>
    <w:rsid w:val="007342BF"/>
    <w:rsid w:val="00736F21"/>
    <w:rsid w:val="007372E8"/>
    <w:rsid w:val="00741E32"/>
    <w:rsid w:val="00744A33"/>
    <w:rsid w:val="00750266"/>
    <w:rsid w:val="00750282"/>
    <w:rsid w:val="0075186B"/>
    <w:rsid w:val="00760179"/>
    <w:rsid w:val="00764440"/>
    <w:rsid w:val="00767BA0"/>
    <w:rsid w:val="0077101B"/>
    <w:rsid w:val="0077111C"/>
    <w:rsid w:val="00772D12"/>
    <w:rsid w:val="00782649"/>
    <w:rsid w:val="007857E6"/>
    <w:rsid w:val="00790542"/>
    <w:rsid w:val="00795493"/>
    <w:rsid w:val="00795847"/>
    <w:rsid w:val="007A3295"/>
    <w:rsid w:val="007A6C52"/>
    <w:rsid w:val="007B0EF6"/>
    <w:rsid w:val="007C2CFB"/>
    <w:rsid w:val="007C52B0"/>
    <w:rsid w:val="007C6033"/>
    <w:rsid w:val="007D2B12"/>
    <w:rsid w:val="007E396A"/>
    <w:rsid w:val="00810542"/>
    <w:rsid w:val="008147C8"/>
    <w:rsid w:val="0081753A"/>
    <w:rsid w:val="00821217"/>
    <w:rsid w:val="008262A0"/>
    <w:rsid w:val="00837BCF"/>
    <w:rsid w:val="00845CCE"/>
    <w:rsid w:val="00850045"/>
    <w:rsid w:val="00857D23"/>
    <w:rsid w:val="00857F9B"/>
    <w:rsid w:val="0086296D"/>
    <w:rsid w:val="0086602F"/>
    <w:rsid w:val="00866A8F"/>
    <w:rsid w:val="00871B9C"/>
    <w:rsid w:val="00880DF9"/>
    <w:rsid w:val="00885651"/>
    <w:rsid w:val="008A4128"/>
    <w:rsid w:val="008B60C8"/>
    <w:rsid w:val="008C10EA"/>
    <w:rsid w:val="008C1969"/>
    <w:rsid w:val="008C3D77"/>
    <w:rsid w:val="008C6E63"/>
    <w:rsid w:val="008E6AE9"/>
    <w:rsid w:val="008F32D2"/>
    <w:rsid w:val="00900F35"/>
    <w:rsid w:val="00904A1C"/>
    <w:rsid w:val="00906EF3"/>
    <w:rsid w:val="00907524"/>
    <w:rsid w:val="00916482"/>
    <w:rsid w:val="00923E01"/>
    <w:rsid w:val="00931F38"/>
    <w:rsid w:val="00932AF5"/>
    <w:rsid w:val="00937ABC"/>
    <w:rsid w:val="009411B4"/>
    <w:rsid w:val="00946F1D"/>
    <w:rsid w:val="0095000D"/>
    <w:rsid w:val="00967433"/>
    <w:rsid w:val="00971691"/>
    <w:rsid w:val="009717CC"/>
    <w:rsid w:val="009753DD"/>
    <w:rsid w:val="00975F45"/>
    <w:rsid w:val="009815F1"/>
    <w:rsid w:val="009848C0"/>
    <w:rsid w:val="00985CFA"/>
    <w:rsid w:val="00991168"/>
    <w:rsid w:val="009961FC"/>
    <w:rsid w:val="00996DF0"/>
    <w:rsid w:val="009B6B85"/>
    <w:rsid w:val="009C1A56"/>
    <w:rsid w:val="009C64AF"/>
    <w:rsid w:val="009C70A7"/>
    <w:rsid w:val="009D0139"/>
    <w:rsid w:val="009D483B"/>
    <w:rsid w:val="009D4D2F"/>
    <w:rsid w:val="009D717D"/>
    <w:rsid w:val="009E5138"/>
    <w:rsid w:val="009E6921"/>
    <w:rsid w:val="009F5CDC"/>
    <w:rsid w:val="00A0280E"/>
    <w:rsid w:val="00A05BF6"/>
    <w:rsid w:val="00A072D7"/>
    <w:rsid w:val="00A17EC5"/>
    <w:rsid w:val="00A21FE3"/>
    <w:rsid w:val="00A36DF5"/>
    <w:rsid w:val="00A36EC6"/>
    <w:rsid w:val="00A423FF"/>
    <w:rsid w:val="00A44290"/>
    <w:rsid w:val="00A51C4F"/>
    <w:rsid w:val="00A55D23"/>
    <w:rsid w:val="00A7103D"/>
    <w:rsid w:val="00A7573F"/>
    <w:rsid w:val="00A775CF"/>
    <w:rsid w:val="00A83558"/>
    <w:rsid w:val="00A84F44"/>
    <w:rsid w:val="00A973F1"/>
    <w:rsid w:val="00AA10D4"/>
    <w:rsid w:val="00AA5654"/>
    <w:rsid w:val="00AA5770"/>
    <w:rsid w:val="00AA5A11"/>
    <w:rsid w:val="00AB03A1"/>
    <w:rsid w:val="00AB17EA"/>
    <w:rsid w:val="00AB2DBD"/>
    <w:rsid w:val="00AB35B4"/>
    <w:rsid w:val="00AC571F"/>
    <w:rsid w:val="00AC62C6"/>
    <w:rsid w:val="00AD1A9C"/>
    <w:rsid w:val="00AF283B"/>
    <w:rsid w:val="00AF4CFB"/>
    <w:rsid w:val="00AF5DE1"/>
    <w:rsid w:val="00B06045"/>
    <w:rsid w:val="00B14080"/>
    <w:rsid w:val="00B206DD"/>
    <w:rsid w:val="00B21C84"/>
    <w:rsid w:val="00B225C3"/>
    <w:rsid w:val="00B22656"/>
    <w:rsid w:val="00B23DF0"/>
    <w:rsid w:val="00B2767E"/>
    <w:rsid w:val="00B311C1"/>
    <w:rsid w:val="00B33FDC"/>
    <w:rsid w:val="00B4140F"/>
    <w:rsid w:val="00B42DCC"/>
    <w:rsid w:val="00B52EF4"/>
    <w:rsid w:val="00B53150"/>
    <w:rsid w:val="00B54CD7"/>
    <w:rsid w:val="00B777AD"/>
    <w:rsid w:val="00B921F2"/>
    <w:rsid w:val="00BA0F6B"/>
    <w:rsid w:val="00BA41F0"/>
    <w:rsid w:val="00BA5AF9"/>
    <w:rsid w:val="00BB08ED"/>
    <w:rsid w:val="00BB100E"/>
    <w:rsid w:val="00BB28EB"/>
    <w:rsid w:val="00BB6164"/>
    <w:rsid w:val="00BC0612"/>
    <w:rsid w:val="00BC60BB"/>
    <w:rsid w:val="00BD47F2"/>
    <w:rsid w:val="00BE021D"/>
    <w:rsid w:val="00BE0F1E"/>
    <w:rsid w:val="00BF15BA"/>
    <w:rsid w:val="00BF53BA"/>
    <w:rsid w:val="00BF6F65"/>
    <w:rsid w:val="00BF7A98"/>
    <w:rsid w:val="00C03015"/>
    <w:rsid w:val="00C0358D"/>
    <w:rsid w:val="00C03597"/>
    <w:rsid w:val="00C07221"/>
    <w:rsid w:val="00C11E1C"/>
    <w:rsid w:val="00C13F74"/>
    <w:rsid w:val="00C1668D"/>
    <w:rsid w:val="00C166FF"/>
    <w:rsid w:val="00C22E49"/>
    <w:rsid w:val="00C24654"/>
    <w:rsid w:val="00C2500E"/>
    <w:rsid w:val="00C26B51"/>
    <w:rsid w:val="00C35A27"/>
    <w:rsid w:val="00C40489"/>
    <w:rsid w:val="00C43705"/>
    <w:rsid w:val="00C44361"/>
    <w:rsid w:val="00C47B2E"/>
    <w:rsid w:val="00C54998"/>
    <w:rsid w:val="00C54CEA"/>
    <w:rsid w:val="00C57975"/>
    <w:rsid w:val="00C57EB4"/>
    <w:rsid w:val="00C64C93"/>
    <w:rsid w:val="00C7704D"/>
    <w:rsid w:val="00C771F7"/>
    <w:rsid w:val="00C82919"/>
    <w:rsid w:val="00C84B74"/>
    <w:rsid w:val="00C87CB5"/>
    <w:rsid w:val="00C92EC9"/>
    <w:rsid w:val="00CA2FD9"/>
    <w:rsid w:val="00CA585F"/>
    <w:rsid w:val="00CC0CB1"/>
    <w:rsid w:val="00CC329F"/>
    <w:rsid w:val="00CC492D"/>
    <w:rsid w:val="00CD6071"/>
    <w:rsid w:val="00CE74F5"/>
    <w:rsid w:val="00CF0A40"/>
    <w:rsid w:val="00D128A7"/>
    <w:rsid w:val="00D13662"/>
    <w:rsid w:val="00D148CF"/>
    <w:rsid w:val="00D25645"/>
    <w:rsid w:val="00D26856"/>
    <w:rsid w:val="00D31987"/>
    <w:rsid w:val="00D343A2"/>
    <w:rsid w:val="00D34AE3"/>
    <w:rsid w:val="00D356CB"/>
    <w:rsid w:val="00D35F4C"/>
    <w:rsid w:val="00D44384"/>
    <w:rsid w:val="00D45E4E"/>
    <w:rsid w:val="00D5082A"/>
    <w:rsid w:val="00D53363"/>
    <w:rsid w:val="00D544E0"/>
    <w:rsid w:val="00D57E83"/>
    <w:rsid w:val="00D63CD2"/>
    <w:rsid w:val="00D82215"/>
    <w:rsid w:val="00D8524D"/>
    <w:rsid w:val="00D85F1E"/>
    <w:rsid w:val="00D87DC2"/>
    <w:rsid w:val="00D933F1"/>
    <w:rsid w:val="00D94B05"/>
    <w:rsid w:val="00DA19E5"/>
    <w:rsid w:val="00DA4911"/>
    <w:rsid w:val="00DA7694"/>
    <w:rsid w:val="00DB2B8E"/>
    <w:rsid w:val="00DC35C7"/>
    <w:rsid w:val="00DC5030"/>
    <w:rsid w:val="00DD2C83"/>
    <w:rsid w:val="00DD4021"/>
    <w:rsid w:val="00DD46C1"/>
    <w:rsid w:val="00DD5585"/>
    <w:rsid w:val="00DE12F9"/>
    <w:rsid w:val="00DE1F0C"/>
    <w:rsid w:val="00DF4B2C"/>
    <w:rsid w:val="00E01B20"/>
    <w:rsid w:val="00E02969"/>
    <w:rsid w:val="00E02C2B"/>
    <w:rsid w:val="00E148C2"/>
    <w:rsid w:val="00E21C27"/>
    <w:rsid w:val="00E26BCF"/>
    <w:rsid w:val="00E3523F"/>
    <w:rsid w:val="00E44BFD"/>
    <w:rsid w:val="00E46B7F"/>
    <w:rsid w:val="00E52109"/>
    <w:rsid w:val="00E563AE"/>
    <w:rsid w:val="00E608C0"/>
    <w:rsid w:val="00E6343C"/>
    <w:rsid w:val="00E72DAF"/>
    <w:rsid w:val="00E75317"/>
    <w:rsid w:val="00E82E40"/>
    <w:rsid w:val="00EB5DE8"/>
    <w:rsid w:val="00EB5F6C"/>
    <w:rsid w:val="00EB6FEE"/>
    <w:rsid w:val="00EC0CE6"/>
    <w:rsid w:val="00EC0E9C"/>
    <w:rsid w:val="00EC43FD"/>
    <w:rsid w:val="00EC7C1D"/>
    <w:rsid w:val="00ED52B3"/>
    <w:rsid w:val="00ED6C48"/>
    <w:rsid w:val="00EE3045"/>
    <w:rsid w:val="00EF2A19"/>
    <w:rsid w:val="00F06ADC"/>
    <w:rsid w:val="00F11810"/>
    <w:rsid w:val="00F258BF"/>
    <w:rsid w:val="00F356F4"/>
    <w:rsid w:val="00F402D7"/>
    <w:rsid w:val="00F406CE"/>
    <w:rsid w:val="00F409A6"/>
    <w:rsid w:val="00F41449"/>
    <w:rsid w:val="00F536F4"/>
    <w:rsid w:val="00F62864"/>
    <w:rsid w:val="00F65F5D"/>
    <w:rsid w:val="00F67EAF"/>
    <w:rsid w:val="00F71055"/>
    <w:rsid w:val="00F735F0"/>
    <w:rsid w:val="00F837D7"/>
    <w:rsid w:val="00F86A3A"/>
    <w:rsid w:val="00F909AA"/>
    <w:rsid w:val="00F947FA"/>
    <w:rsid w:val="00F9488E"/>
    <w:rsid w:val="00F966E1"/>
    <w:rsid w:val="00F97A66"/>
    <w:rsid w:val="00FB10E9"/>
    <w:rsid w:val="00FB3751"/>
    <w:rsid w:val="00FC4A24"/>
    <w:rsid w:val="00FC50D6"/>
    <w:rsid w:val="00FC5907"/>
    <w:rsid w:val="00FD6355"/>
    <w:rsid w:val="00FE3F59"/>
    <w:rsid w:val="00FE5174"/>
    <w:rsid w:val="00FF7340"/>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B41A"/>
  <w15:docId w15:val="{956A4AC7-468C-4068-A2F8-88075F1B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D53363"/>
  </w:style>
  <w:style w:type="character" w:customStyle="1" w:styleId="eop">
    <w:name w:val="eop"/>
    <w:basedOn w:val="DefaultParagraphFont"/>
    <w:rsid w:val="00D53363"/>
  </w:style>
  <w:style w:type="character" w:customStyle="1" w:styleId="HChGChar">
    <w:name w:val="_ H _Ch_G Char"/>
    <w:link w:val="HChG"/>
    <w:locked/>
    <w:rsid w:val="00DD5585"/>
    <w:rPr>
      <w:b/>
      <w:sz w:val="28"/>
    </w:rPr>
  </w:style>
  <w:style w:type="character" w:customStyle="1" w:styleId="H1GChar">
    <w:name w:val="_ H_1_G Char"/>
    <w:link w:val="H1G"/>
    <w:locked/>
    <w:rsid w:val="00DD5585"/>
    <w:rPr>
      <w:b/>
      <w:sz w:val="24"/>
    </w:rPr>
  </w:style>
  <w:style w:type="character" w:customStyle="1" w:styleId="SingleTxtGChar">
    <w:name w:val="_ Single Txt_G Char"/>
    <w:link w:val="SingleTxtG"/>
    <w:qFormat/>
    <w:rsid w:val="00DD5585"/>
  </w:style>
  <w:style w:type="character" w:customStyle="1" w:styleId="SingleTxtGCar">
    <w:name w:val="_ Single Txt_G Car"/>
    <w:rsid w:val="00DD5585"/>
    <w:rPr>
      <w:lang w:eastAsia="en-US"/>
    </w:rPr>
  </w:style>
  <w:style w:type="paragraph" w:styleId="ListParagraph">
    <w:name w:val="List Paragraph"/>
    <w:basedOn w:val="Normal"/>
    <w:uiPriority w:val="34"/>
    <w:qFormat/>
    <w:rsid w:val="00A36DF5"/>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81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B584-FC6E-4D0B-B282-C7F1B3075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6AFB3-552A-4D99-8C66-10AC8727508B}">
  <ds:schemaRefs>
    <ds:schemaRef ds:uri="http://schemas.microsoft.com/sharepoint/v3/contenttype/forms"/>
  </ds:schemaRefs>
</ds:datastoreItem>
</file>

<file path=customXml/itemProps3.xml><?xml version="1.0" encoding="utf-8"?>
<ds:datastoreItem xmlns:ds="http://schemas.openxmlformats.org/officeDocument/2006/customXml" ds:itemID="{344BF109-1461-4AA9-829F-2710F346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1097</TotalTime>
  <Pages>3</Pages>
  <Words>1314</Words>
  <Characters>7496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subject/>
  <dc:creator>Rosa Garcia-Couto</dc:creator>
  <cp:keywords>ST/SG/AC.10/C.4/2021/7</cp:keywords>
  <cp:lastModifiedBy>Romain Hubert</cp:lastModifiedBy>
  <cp:revision>78</cp:revision>
  <cp:lastPrinted>2021-09-14T10:33:00Z</cp:lastPrinted>
  <dcterms:created xsi:type="dcterms:W3CDTF">2022-03-29T10:01:00Z</dcterms:created>
  <dcterms:modified xsi:type="dcterms:W3CDTF">2022-04-13T08:12:00Z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