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907C6" w14:textId="77777777" w:rsidTr="00B20551">
        <w:trPr>
          <w:cantSplit/>
          <w:trHeight w:hRule="exact" w:val="851"/>
        </w:trPr>
        <w:tc>
          <w:tcPr>
            <w:tcW w:w="1276" w:type="dxa"/>
            <w:tcBorders>
              <w:bottom w:val="single" w:sz="4" w:space="0" w:color="auto"/>
            </w:tcBorders>
            <w:vAlign w:val="bottom"/>
          </w:tcPr>
          <w:p w14:paraId="31536AB9" w14:textId="77777777" w:rsidR="009E6CB7" w:rsidRDefault="009E6CB7" w:rsidP="00B20551">
            <w:pPr>
              <w:spacing w:after="80"/>
            </w:pPr>
          </w:p>
        </w:tc>
        <w:tc>
          <w:tcPr>
            <w:tcW w:w="2268" w:type="dxa"/>
            <w:tcBorders>
              <w:bottom w:val="single" w:sz="4" w:space="0" w:color="auto"/>
            </w:tcBorders>
            <w:vAlign w:val="bottom"/>
          </w:tcPr>
          <w:p w14:paraId="6832086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27874E3" w14:textId="4B3DCD6E" w:rsidR="009E6CB7" w:rsidRPr="00D47EEA" w:rsidRDefault="00733EF5" w:rsidP="00733EF5">
            <w:pPr>
              <w:jc w:val="right"/>
            </w:pPr>
            <w:r w:rsidRPr="00733EF5">
              <w:rPr>
                <w:sz w:val="40"/>
              </w:rPr>
              <w:t>ECE</w:t>
            </w:r>
            <w:r>
              <w:t>/TRANS/WP.15/AC.1/20</w:t>
            </w:r>
            <w:r w:rsidR="00895F1B">
              <w:t>2</w:t>
            </w:r>
            <w:r>
              <w:t>1/</w:t>
            </w:r>
            <w:r w:rsidR="006F42A5">
              <w:t>24</w:t>
            </w:r>
          </w:p>
        </w:tc>
      </w:tr>
      <w:tr w:rsidR="009E6CB7" w14:paraId="7B7BBF30" w14:textId="77777777" w:rsidTr="00B20551">
        <w:trPr>
          <w:cantSplit/>
          <w:trHeight w:hRule="exact" w:val="2835"/>
        </w:trPr>
        <w:tc>
          <w:tcPr>
            <w:tcW w:w="1276" w:type="dxa"/>
            <w:tcBorders>
              <w:top w:val="single" w:sz="4" w:space="0" w:color="auto"/>
              <w:bottom w:val="single" w:sz="12" w:space="0" w:color="auto"/>
            </w:tcBorders>
          </w:tcPr>
          <w:p w14:paraId="3B1C1291" w14:textId="77777777" w:rsidR="009E6CB7" w:rsidRDefault="00686A48" w:rsidP="00B20551">
            <w:pPr>
              <w:spacing w:before="120"/>
            </w:pPr>
            <w:r>
              <w:rPr>
                <w:noProof/>
                <w:lang w:val="fr-CH" w:eastAsia="fr-CH"/>
              </w:rPr>
              <w:drawing>
                <wp:inline distT="0" distB="0" distL="0" distR="0" wp14:anchorId="20C897A5" wp14:editId="4A6E653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01242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9D415ED" w14:textId="77777777" w:rsidR="009E6CB7" w:rsidRDefault="00733EF5" w:rsidP="00733EF5">
            <w:pPr>
              <w:spacing w:before="240" w:line="240" w:lineRule="exact"/>
            </w:pPr>
            <w:r>
              <w:t>Distr.: General</w:t>
            </w:r>
          </w:p>
          <w:p w14:paraId="4859FC50" w14:textId="05C32B00" w:rsidR="00733EF5" w:rsidRDefault="002E2680" w:rsidP="00733EF5">
            <w:pPr>
              <w:spacing w:line="240" w:lineRule="exact"/>
            </w:pPr>
            <w:r>
              <w:t>18</w:t>
            </w:r>
            <w:r w:rsidR="00733EF5">
              <w:t xml:space="preserve"> June 20</w:t>
            </w:r>
            <w:r w:rsidR="00895F1B">
              <w:t>2</w:t>
            </w:r>
            <w:r w:rsidR="00733EF5">
              <w:t>1</w:t>
            </w:r>
          </w:p>
          <w:p w14:paraId="3F317363" w14:textId="77777777" w:rsidR="00733EF5" w:rsidRDefault="00733EF5" w:rsidP="00733EF5">
            <w:pPr>
              <w:spacing w:line="240" w:lineRule="exact"/>
            </w:pPr>
          </w:p>
          <w:p w14:paraId="67246D23" w14:textId="77777777" w:rsidR="00733EF5" w:rsidRDefault="00F7224E" w:rsidP="00733EF5">
            <w:pPr>
              <w:spacing w:line="240" w:lineRule="exact"/>
            </w:pPr>
            <w:r>
              <w:t xml:space="preserve">Original: </w:t>
            </w:r>
            <w:r w:rsidR="00733EF5">
              <w:t>English</w:t>
            </w:r>
            <w:r w:rsidR="00B00B82">
              <w:t xml:space="preserve"> </w:t>
            </w:r>
          </w:p>
        </w:tc>
      </w:tr>
    </w:tbl>
    <w:p w14:paraId="55628EB8" w14:textId="77777777" w:rsidR="00733EF5" w:rsidRPr="00960236" w:rsidRDefault="00733EF5" w:rsidP="00C411EB">
      <w:pPr>
        <w:spacing w:before="120"/>
        <w:rPr>
          <w:b/>
          <w:sz w:val="28"/>
          <w:szCs w:val="28"/>
        </w:rPr>
      </w:pPr>
      <w:r w:rsidRPr="00960236">
        <w:rPr>
          <w:b/>
          <w:sz w:val="28"/>
          <w:szCs w:val="28"/>
        </w:rPr>
        <w:t>Economic Commission for Europe</w:t>
      </w:r>
    </w:p>
    <w:p w14:paraId="410A1378" w14:textId="77777777" w:rsidR="00733EF5" w:rsidRPr="00960236" w:rsidRDefault="00733EF5" w:rsidP="00C411EB">
      <w:pPr>
        <w:spacing w:before="120"/>
        <w:rPr>
          <w:sz w:val="28"/>
          <w:szCs w:val="28"/>
        </w:rPr>
      </w:pPr>
      <w:r w:rsidRPr="00960236">
        <w:rPr>
          <w:sz w:val="28"/>
          <w:szCs w:val="28"/>
        </w:rPr>
        <w:t>Inland Transport Committee</w:t>
      </w:r>
    </w:p>
    <w:p w14:paraId="3A99A847" w14:textId="77777777" w:rsidR="00733EF5" w:rsidRPr="00960236" w:rsidRDefault="00733EF5" w:rsidP="00C411EB">
      <w:pPr>
        <w:spacing w:before="120"/>
        <w:rPr>
          <w:b/>
          <w:sz w:val="24"/>
          <w:szCs w:val="24"/>
        </w:rPr>
      </w:pPr>
      <w:r w:rsidRPr="00960236">
        <w:rPr>
          <w:b/>
          <w:sz w:val="24"/>
          <w:szCs w:val="24"/>
        </w:rPr>
        <w:t>Working Party on the Transport of Dangerous Goods</w:t>
      </w:r>
    </w:p>
    <w:p w14:paraId="33D982C9" w14:textId="77777777" w:rsidR="00733EF5" w:rsidRPr="00960236" w:rsidRDefault="00733EF5"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3A7B2E70" w14:textId="450D1A3E" w:rsidR="00733EF5" w:rsidRDefault="00733EF5" w:rsidP="00C411EB">
      <w:r>
        <w:t xml:space="preserve">Geneva, </w:t>
      </w:r>
      <w:r w:rsidR="00895F1B">
        <w:t>2</w:t>
      </w:r>
      <w:r>
        <w:t>1</w:t>
      </w:r>
      <w:r w:rsidR="00895F1B">
        <w:t xml:space="preserve"> September</w:t>
      </w:r>
      <w:r w:rsidR="00895F1B" w:rsidRPr="0019746E">
        <w:t xml:space="preserve"> </w:t>
      </w:r>
      <w:r w:rsidRPr="0019746E">
        <w:t>–</w:t>
      </w:r>
      <w:r w:rsidR="00895F1B">
        <w:t xml:space="preserve"> 1 October</w:t>
      </w:r>
      <w:r>
        <w:t xml:space="preserve"> 20</w:t>
      </w:r>
      <w:r w:rsidR="00895F1B">
        <w:t>2</w:t>
      </w:r>
      <w:r>
        <w:t>1</w:t>
      </w:r>
    </w:p>
    <w:p w14:paraId="22B15B3A" w14:textId="77777777" w:rsidR="00733EF5" w:rsidRDefault="00733EF5" w:rsidP="00C411EB">
      <w:r>
        <w:t xml:space="preserve">Item </w:t>
      </w:r>
      <w:r w:rsidRPr="006F42A5">
        <w:t>4</w:t>
      </w:r>
      <w:r>
        <w:t xml:space="preserve"> of the provisional agenda</w:t>
      </w:r>
      <w:r>
        <w:br/>
      </w:r>
      <w:r w:rsidRPr="00733EF5">
        <w:rPr>
          <w:b/>
          <w:bCs/>
          <w:szCs w:val="22"/>
        </w:rPr>
        <w:t xml:space="preserve">Harmonization with the United Nations Recommendations </w:t>
      </w:r>
      <w:r w:rsidRPr="00733EF5">
        <w:rPr>
          <w:b/>
          <w:bCs/>
          <w:szCs w:val="22"/>
        </w:rPr>
        <w:br/>
        <w:t>on the Transport of Dangerous Goods</w:t>
      </w:r>
    </w:p>
    <w:p w14:paraId="09058010" w14:textId="77777777" w:rsidR="00733EF5" w:rsidRDefault="00733EF5" w:rsidP="009B10E0">
      <w:pPr>
        <w:pStyle w:val="HChG"/>
      </w:pPr>
      <w:r>
        <w:tab/>
      </w:r>
      <w:r>
        <w:tab/>
        <w:t>Report of the Ad Hoc Working Group on the Harmonization of RID/ADR/ADN with the United Nations Recommendations on the Transport of Dangerous Goods</w:t>
      </w:r>
    </w:p>
    <w:p w14:paraId="330E9DEF" w14:textId="77777777" w:rsidR="00733EF5" w:rsidRPr="00445B7C" w:rsidRDefault="00733EF5" w:rsidP="00733EF5">
      <w:pPr>
        <w:pStyle w:val="H1G"/>
        <w:rPr>
          <w:sz w:val="20"/>
          <w:vertAlign w:val="superscript"/>
        </w:rPr>
      </w:pPr>
      <w:r>
        <w:tab/>
      </w:r>
      <w:r>
        <w:tab/>
        <w:t>Note by the secretariat</w:t>
      </w:r>
      <w:r>
        <w:rPr>
          <w:rStyle w:val="Appelnotedebasdep"/>
        </w:rPr>
        <w:footnoteReference w:customMarkFollows="1" w:id="2"/>
        <w:t>*</w:t>
      </w:r>
      <w:r w:rsidRPr="00445B7C">
        <w:rPr>
          <w:sz w:val="20"/>
          <w:vertAlign w:val="superscript"/>
        </w:rPr>
        <w:t xml:space="preserve">, </w:t>
      </w:r>
      <w:r w:rsidRPr="00445B7C">
        <w:rPr>
          <w:rStyle w:val="Appelnotedebasdep"/>
          <w:sz w:val="20"/>
        </w:rPr>
        <w:footnoteReference w:customMarkFollows="1" w:id="3"/>
        <w:t>**</w:t>
      </w:r>
    </w:p>
    <w:p w14:paraId="52CDB589" w14:textId="77777777" w:rsidR="00733EF5" w:rsidRDefault="00733EF5" w:rsidP="00733EF5">
      <w:pPr>
        <w:pStyle w:val="HChG"/>
      </w:pPr>
      <w:r>
        <w:tab/>
        <w:t>I.</w:t>
      </w:r>
      <w:r>
        <w:tab/>
        <w:t>General</w:t>
      </w:r>
    </w:p>
    <w:p w14:paraId="38BA2F33" w14:textId="6A4C0095" w:rsidR="00733EF5" w:rsidRPr="00CF5133" w:rsidRDefault="00733EF5" w:rsidP="00733EF5">
      <w:pPr>
        <w:pStyle w:val="SingleTxtG"/>
      </w:pPr>
      <w:r w:rsidRPr="00CF5133">
        <w:t>1.</w:t>
      </w:r>
      <w:r w:rsidRPr="00CF5133">
        <w:tab/>
        <w:t>The Ad Hoc Working Group on the Harmonization of RID/ADR/ADN with the United Nations Recommendations on the Transport of Dangerous Goods met in Geneva on 2</w:t>
      </w:r>
      <w:r w:rsidR="00895F1B">
        <w:t>1</w:t>
      </w:r>
      <w:r w:rsidRPr="00CF5133">
        <w:t xml:space="preserve"> </w:t>
      </w:r>
      <w:r w:rsidR="00895F1B">
        <w:t>to</w:t>
      </w:r>
      <w:r w:rsidRPr="00CF5133">
        <w:t xml:space="preserve"> 2</w:t>
      </w:r>
      <w:r w:rsidR="00895F1B">
        <w:t>3</w:t>
      </w:r>
      <w:r w:rsidRPr="00CF5133">
        <w:t xml:space="preserve"> April 20</w:t>
      </w:r>
      <w:r w:rsidR="00895F1B">
        <w:t>2</w:t>
      </w:r>
      <w:r w:rsidRPr="00CF5133">
        <w:t>1 under the chairmanship of Mr. C. Pfauvadel (France).</w:t>
      </w:r>
    </w:p>
    <w:p w14:paraId="59B1769E" w14:textId="36E6864C" w:rsidR="00733EF5" w:rsidRPr="00CF5133" w:rsidRDefault="00733EF5" w:rsidP="00FB4A23">
      <w:pPr>
        <w:pStyle w:val="SingleTxtG"/>
      </w:pPr>
      <w:r w:rsidRPr="00CF5133">
        <w:t>2.</w:t>
      </w:r>
      <w:r w:rsidRPr="00CF5133">
        <w:tab/>
        <w:t xml:space="preserve">Representatives of </w:t>
      </w:r>
      <w:r w:rsidR="00890AF6">
        <w:t xml:space="preserve">Albania, </w:t>
      </w:r>
      <w:r w:rsidRPr="00CF5133">
        <w:t xml:space="preserve">Belgium, </w:t>
      </w:r>
      <w:r w:rsidR="004E1A8E">
        <w:t xml:space="preserve">Finland, </w:t>
      </w:r>
      <w:r w:rsidRPr="00CF5133">
        <w:t xml:space="preserve">France, Germany, </w:t>
      </w:r>
      <w:r w:rsidR="004E1A8E">
        <w:t>Italy</w:t>
      </w:r>
      <w:r w:rsidR="00E879D0">
        <w:t>, Latvia</w:t>
      </w:r>
      <w:r w:rsidRPr="00CF5133">
        <w:t xml:space="preserve">, Netherlands, </w:t>
      </w:r>
      <w:r w:rsidR="00E879D0">
        <w:t xml:space="preserve">Poland, </w:t>
      </w:r>
      <w:r w:rsidR="00641881">
        <w:t xml:space="preserve">Romania, San Marino, </w:t>
      </w:r>
      <w:r w:rsidRPr="00CF5133">
        <w:t>Spain, Sweden, Switzerland, United Kingdom, the Central Commission for the Navigation of the Rhine (CCNR), the Intergovernmental Organisation for International Carriage by Rail (OTIF)</w:t>
      </w:r>
      <w:r w:rsidR="00583F7F">
        <w:t xml:space="preserve">, </w:t>
      </w:r>
      <w:r w:rsidR="00EC7345">
        <w:t xml:space="preserve">the </w:t>
      </w:r>
      <w:r w:rsidR="00583F7F" w:rsidRPr="00D26ED3">
        <w:t>European Chemical Industry Council (C</w:t>
      </w:r>
      <w:r w:rsidR="00583F7F">
        <w:t>efic</w:t>
      </w:r>
      <w:r w:rsidR="00583F7F" w:rsidRPr="00D26ED3">
        <w:t>),</w:t>
      </w:r>
      <w:r w:rsidR="003A4285">
        <w:t xml:space="preserve"> </w:t>
      </w:r>
      <w:r w:rsidR="00FB4A23">
        <w:t xml:space="preserve">the </w:t>
      </w:r>
      <w:r w:rsidR="000A3425" w:rsidRPr="00D26ED3">
        <w:t xml:space="preserve">European Conference of Fuel Distributors (ECFD), </w:t>
      </w:r>
      <w:r w:rsidR="00FB4A23">
        <w:t xml:space="preserve">the European Federation of Waste Management and Environmental Services (FEAD), </w:t>
      </w:r>
      <w:r w:rsidR="003A4285">
        <w:t>the</w:t>
      </w:r>
      <w:r w:rsidR="003A4285" w:rsidRPr="003A4285">
        <w:t xml:space="preserve"> </w:t>
      </w:r>
      <w:r w:rsidR="003A4285" w:rsidRPr="00E07D63">
        <w:t>International Dangerous Goods and Containers Association</w:t>
      </w:r>
      <w:r w:rsidR="003A4285">
        <w:t xml:space="preserve"> (IDGCA)</w:t>
      </w:r>
      <w:r w:rsidR="00183CF0">
        <w:t>,</w:t>
      </w:r>
      <w:r w:rsidRPr="00CF5133">
        <w:t xml:space="preserve"> </w:t>
      </w:r>
      <w:r w:rsidR="00183CF0" w:rsidRPr="00CF5133">
        <w:t xml:space="preserve">the International Road Union </w:t>
      </w:r>
      <w:r w:rsidR="00183CF0">
        <w:t xml:space="preserve">(IRU) </w:t>
      </w:r>
      <w:r w:rsidRPr="00CF5133">
        <w:t xml:space="preserve">and </w:t>
      </w:r>
      <w:r w:rsidR="008450B9">
        <w:t xml:space="preserve">the </w:t>
      </w:r>
      <w:r w:rsidR="008450B9" w:rsidRPr="00D26ED3">
        <w:t>International Union of Railways (UIC)</w:t>
      </w:r>
      <w:r w:rsidR="008450B9">
        <w:t xml:space="preserve"> </w:t>
      </w:r>
      <w:r w:rsidRPr="00CF5133">
        <w:t>participated in the session.</w:t>
      </w:r>
    </w:p>
    <w:p w14:paraId="082062FE" w14:textId="316B3686" w:rsidR="00733EF5" w:rsidRPr="00CF5133" w:rsidRDefault="00733EF5" w:rsidP="00733EF5">
      <w:pPr>
        <w:pStyle w:val="SingleTxtG"/>
      </w:pPr>
      <w:r w:rsidRPr="00CF5133">
        <w:t>3.</w:t>
      </w:r>
      <w:r w:rsidRPr="00CF5133">
        <w:tab/>
        <w:t xml:space="preserve">The session was held </w:t>
      </w:r>
      <w:r w:rsidR="002D51D3">
        <w:t xml:space="preserve">remotely </w:t>
      </w:r>
      <w:r w:rsidRPr="00CF5133">
        <w:t>in English, without interpretation. The documentation prepared by the secretariat</w:t>
      </w:r>
      <w:r w:rsidR="00AB35AA">
        <w:t>s</w:t>
      </w:r>
      <w:r w:rsidRPr="00CF5133">
        <w:t>, including the agenda, was issued as informal documents which were made available on the website of the UNECE Sustainable</w:t>
      </w:r>
      <w:r>
        <w:t xml:space="preserve"> </w:t>
      </w:r>
      <w:r w:rsidRPr="00CF5133">
        <w:t>Transport Division as follows:</w:t>
      </w:r>
    </w:p>
    <w:p w14:paraId="5D826AB6" w14:textId="3C93BC3F" w:rsidR="00733EF5" w:rsidRPr="00CF5133" w:rsidRDefault="00733EF5" w:rsidP="00CA124E">
      <w:pPr>
        <w:spacing w:after="240"/>
        <w:ind w:left="4678" w:right="1134" w:hanging="3533"/>
        <w:rPr>
          <w:lang w:val="nb-NO" w:eastAsia="nb-NO"/>
        </w:rPr>
      </w:pPr>
      <w:r w:rsidRPr="00CF5133">
        <w:rPr>
          <w:lang w:val="nb-NO" w:eastAsia="nb-NO"/>
        </w:rPr>
        <w:t>ECE/TRANS/WP.15/AC.1/HAR/</w:t>
      </w:r>
      <w:r w:rsidR="009B253E">
        <w:rPr>
          <w:lang w:val="nb-NO" w:eastAsia="nb-NO"/>
        </w:rPr>
        <w:t>10</w:t>
      </w:r>
      <w:r w:rsidRPr="00CF5133">
        <w:rPr>
          <w:lang w:val="nb-NO" w:eastAsia="nb-NO"/>
        </w:rPr>
        <w:tab/>
        <w:t xml:space="preserve">Provisional agenda for the </w:t>
      </w:r>
      <w:r w:rsidR="009B253E">
        <w:rPr>
          <w:lang w:val="nb-NO" w:eastAsia="nb-NO"/>
        </w:rPr>
        <w:t>te</w:t>
      </w:r>
      <w:r w:rsidRPr="00CF5133">
        <w:rPr>
          <w:lang w:val="nb-NO" w:eastAsia="nb-NO"/>
        </w:rPr>
        <w:t>nth session (Secretariat)</w:t>
      </w:r>
    </w:p>
    <w:p w14:paraId="6F44AA0C" w14:textId="23DAB3D8" w:rsidR="00733EF5" w:rsidRPr="00CF5133" w:rsidRDefault="00733EF5" w:rsidP="00CA124E">
      <w:pPr>
        <w:spacing w:after="240"/>
        <w:ind w:left="4678" w:right="1134" w:hanging="3533"/>
        <w:rPr>
          <w:lang w:val="nb-NO" w:eastAsia="nb-NO"/>
        </w:rPr>
      </w:pPr>
      <w:r w:rsidRPr="00CF5133">
        <w:rPr>
          <w:lang w:val="nb-NO" w:eastAsia="nb-NO"/>
        </w:rPr>
        <w:lastRenderedPageBreak/>
        <w:t>ECE/TRANS/WP.15/AC.1/HAR/20</w:t>
      </w:r>
      <w:r w:rsidR="009B253E">
        <w:rPr>
          <w:lang w:val="nb-NO" w:eastAsia="nb-NO"/>
        </w:rPr>
        <w:t>2</w:t>
      </w:r>
      <w:r w:rsidRPr="00CF5133">
        <w:rPr>
          <w:lang w:val="nb-NO" w:eastAsia="nb-NO"/>
        </w:rPr>
        <w:t>1/1</w:t>
      </w:r>
      <w:r w:rsidRPr="00CF5133">
        <w:rPr>
          <w:lang w:val="nb-NO" w:eastAsia="nb-NO"/>
        </w:rPr>
        <w:tab/>
        <w:t>Harmonization with the United Nations Model Regulations on the Transport of Dangerous Goods (Secretariat)</w:t>
      </w:r>
    </w:p>
    <w:p w14:paraId="367118A1" w14:textId="02B198F2" w:rsidR="00D53CD1" w:rsidRPr="00CF5133" w:rsidRDefault="00D53CD1" w:rsidP="00CA124E">
      <w:pPr>
        <w:spacing w:after="240"/>
        <w:ind w:left="4678" w:right="1134" w:hanging="3533"/>
        <w:rPr>
          <w:lang w:val="nb-NO" w:eastAsia="nb-NO"/>
        </w:rPr>
      </w:pPr>
      <w:r w:rsidRPr="00CF5133">
        <w:rPr>
          <w:lang w:val="nb-NO" w:eastAsia="nb-NO"/>
        </w:rPr>
        <w:t>ECE/TRANS/WP.15/AC.1/HAR/20</w:t>
      </w:r>
      <w:r>
        <w:rPr>
          <w:lang w:val="nb-NO" w:eastAsia="nb-NO"/>
        </w:rPr>
        <w:t>2</w:t>
      </w:r>
      <w:r w:rsidRPr="00CF5133">
        <w:rPr>
          <w:lang w:val="nb-NO" w:eastAsia="nb-NO"/>
        </w:rPr>
        <w:t>1/</w:t>
      </w:r>
      <w:r w:rsidR="00F75D07">
        <w:rPr>
          <w:lang w:val="nb-NO" w:eastAsia="nb-NO"/>
        </w:rPr>
        <w:t>2</w:t>
      </w:r>
      <w:r w:rsidRPr="00CF5133">
        <w:rPr>
          <w:lang w:val="nb-NO" w:eastAsia="nb-NO"/>
        </w:rPr>
        <w:tab/>
      </w:r>
      <w:r w:rsidR="00DB33C4">
        <w:rPr>
          <w:lang w:val="nb-NO" w:eastAsia="nb-NO"/>
        </w:rPr>
        <w:t>Inclusion of modic</w:t>
      </w:r>
      <w:r w:rsidR="0055316D">
        <w:rPr>
          <w:lang w:val="nb-NO" w:eastAsia="nb-NO"/>
        </w:rPr>
        <w:t xml:space="preserve">ations for UN 1012 Butylene – Update </w:t>
      </w:r>
      <w:r w:rsidR="00FB0796">
        <w:rPr>
          <w:lang w:val="nb-NO" w:eastAsia="nb-NO"/>
        </w:rPr>
        <w:t xml:space="preserve">to </w:t>
      </w:r>
      <w:r w:rsidR="00FB0796" w:rsidRPr="00CF5133">
        <w:rPr>
          <w:lang w:val="nb-NO" w:eastAsia="nb-NO"/>
        </w:rPr>
        <w:t>ECE/TRANS/WP.15/AC.1/20</w:t>
      </w:r>
      <w:r w:rsidR="00FB0796">
        <w:rPr>
          <w:lang w:val="nb-NO" w:eastAsia="nb-NO"/>
        </w:rPr>
        <w:t>2</w:t>
      </w:r>
      <w:r w:rsidR="00FB0796" w:rsidRPr="00CF5133">
        <w:rPr>
          <w:lang w:val="nb-NO" w:eastAsia="nb-NO"/>
        </w:rPr>
        <w:t>1</w:t>
      </w:r>
      <w:r w:rsidR="00FB0796">
        <w:rPr>
          <w:lang w:val="nb-NO" w:eastAsia="nb-NO"/>
        </w:rPr>
        <w:t>/14</w:t>
      </w:r>
      <w:r w:rsidRPr="00CF5133">
        <w:rPr>
          <w:lang w:val="nb-NO" w:eastAsia="nb-NO"/>
        </w:rPr>
        <w:t xml:space="preserve"> (S</w:t>
      </w:r>
      <w:r w:rsidR="00FB0796">
        <w:rPr>
          <w:lang w:val="nb-NO" w:eastAsia="nb-NO"/>
        </w:rPr>
        <w:t>pain</w:t>
      </w:r>
      <w:r w:rsidRPr="00CF5133">
        <w:rPr>
          <w:lang w:val="nb-NO" w:eastAsia="nb-NO"/>
        </w:rPr>
        <w:t>)</w:t>
      </w:r>
    </w:p>
    <w:p w14:paraId="15C20F83" w14:textId="69C2A93F" w:rsidR="00F75D07" w:rsidRPr="00CF5133" w:rsidRDefault="00F75D07" w:rsidP="00CA124E">
      <w:pPr>
        <w:spacing w:after="240"/>
        <w:ind w:left="4678" w:right="1134" w:hanging="3533"/>
        <w:rPr>
          <w:lang w:val="nb-NO" w:eastAsia="nb-NO"/>
        </w:rPr>
      </w:pPr>
      <w:r w:rsidRPr="00CF5133">
        <w:rPr>
          <w:lang w:val="nb-NO" w:eastAsia="nb-NO"/>
        </w:rPr>
        <w:t>ECE/TRANS/WP.15/AC.1/HAR/20</w:t>
      </w:r>
      <w:r>
        <w:rPr>
          <w:lang w:val="nb-NO" w:eastAsia="nb-NO"/>
        </w:rPr>
        <w:t>2</w:t>
      </w:r>
      <w:r w:rsidRPr="00CF5133">
        <w:rPr>
          <w:lang w:val="nb-NO" w:eastAsia="nb-NO"/>
        </w:rPr>
        <w:t>1/</w:t>
      </w:r>
      <w:r>
        <w:rPr>
          <w:lang w:val="nb-NO" w:eastAsia="nb-NO"/>
        </w:rPr>
        <w:t>3</w:t>
      </w:r>
      <w:r w:rsidRPr="00CF5133">
        <w:rPr>
          <w:lang w:val="nb-NO" w:eastAsia="nb-NO"/>
        </w:rPr>
        <w:tab/>
      </w:r>
      <w:r w:rsidR="009534A1">
        <w:rPr>
          <w:lang w:val="nb-NO" w:eastAsia="nb-NO"/>
        </w:rPr>
        <w:t xml:space="preserve">Development </w:t>
      </w:r>
      <w:r w:rsidR="00CC3431">
        <w:rPr>
          <w:lang w:val="nb-NO" w:eastAsia="nb-NO"/>
        </w:rPr>
        <w:t>of the requirements on f</w:t>
      </w:r>
      <w:r w:rsidR="00E50303">
        <w:rPr>
          <w:lang w:val="nb-NO" w:eastAsia="nb-NO"/>
        </w:rPr>
        <w:t>i</w:t>
      </w:r>
      <w:r w:rsidR="00CC3431">
        <w:rPr>
          <w:lang w:val="nb-NO" w:eastAsia="nb-NO"/>
        </w:rPr>
        <w:t>bre-reinforced plastics (FRP) tanks</w:t>
      </w:r>
      <w:r w:rsidR="00C7001B">
        <w:rPr>
          <w:lang w:val="nb-NO" w:eastAsia="nb-NO"/>
        </w:rPr>
        <w:t xml:space="preserve"> </w:t>
      </w:r>
      <w:r w:rsidRPr="00CF5133">
        <w:rPr>
          <w:lang w:val="nb-NO" w:eastAsia="nb-NO"/>
        </w:rPr>
        <w:t>(</w:t>
      </w:r>
      <w:r w:rsidR="00C7001B">
        <w:rPr>
          <w:lang w:val="nb-NO" w:eastAsia="nb-NO"/>
        </w:rPr>
        <w:t>France</w:t>
      </w:r>
      <w:r w:rsidRPr="00CF5133">
        <w:rPr>
          <w:lang w:val="nb-NO" w:eastAsia="nb-NO"/>
        </w:rPr>
        <w:t>)</w:t>
      </w:r>
    </w:p>
    <w:p w14:paraId="4A27FD18" w14:textId="2BFED3A4" w:rsidR="00F75D07" w:rsidRDefault="00F75D07" w:rsidP="00CA124E">
      <w:pPr>
        <w:spacing w:after="240"/>
        <w:ind w:left="4678" w:right="1134" w:hanging="3533"/>
        <w:rPr>
          <w:lang w:val="nb-NO" w:eastAsia="nb-NO"/>
        </w:rPr>
      </w:pPr>
      <w:r w:rsidRPr="00CF5133">
        <w:rPr>
          <w:lang w:val="nb-NO" w:eastAsia="nb-NO"/>
        </w:rPr>
        <w:t>ECE/TRANS/WP.15/AC.1/HAR/20</w:t>
      </w:r>
      <w:r>
        <w:rPr>
          <w:lang w:val="nb-NO" w:eastAsia="nb-NO"/>
        </w:rPr>
        <w:t>2</w:t>
      </w:r>
      <w:r w:rsidRPr="00CF5133">
        <w:rPr>
          <w:lang w:val="nb-NO" w:eastAsia="nb-NO"/>
        </w:rPr>
        <w:t>1/</w:t>
      </w:r>
      <w:r>
        <w:rPr>
          <w:lang w:val="nb-NO" w:eastAsia="nb-NO"/>
        </w:rPr>
        <w:t>4</w:t>
      </w:r>
      <w:r w:rsidRPr="00CF5133">
        <w:rPr>
          <w:lang w:val="nb-NO" w:eastAsia="nb-NO"/>
        </w:rPr>
        <w:tab/>
        <w:t xml:space="preserve">Harmonization with the United Nations Model Regulations on the Transport of Dangerous Goods </w:t>
      </w:r>
      <w:r w:rsidR="00F725C7">
        <w:rPr>
          <w:lang w:val="nb-NO" w:eastAsia="nb-NO"/>
        </w:rPr>
        <w:t xml:space="preserve">– Recycled plastics material </w:t>
      </w:r>
      <w:r w:rsidRPr="00CF5133">
        <w:rPr>
          <w:lang w:val="nb-NO" w:eastAsia="nb-NO"/>
        </w:rPr>
        <w:t>(</w:t>
      </w:r>
      <w:r w:rsidR="00DD2E34">
        <w:rPr>
          <w:lang w:val="nb-NO" w:eastAsia="nb-NO"/>
        </w:rPr>
        <w:t>Spain and Sweden</w:t>
      </w:r>
      <w:r w:rsidRPr="00CF5133">
        <w:rPr>
          <w:lang w:val="nb-NO" w:eastAsia="nb-NO"/>
        </w:rPr>
        <w:t>)</w:t>
      </w:r>
    </w:p>
    <w:p w14:paraId="3625E5F4" w14:textId="783A2B2E" w:rsidR="0093511B" w:rsidRPr="00CF5133" w:rsidRDefault="0093511B" w:rsidP="00CA124E">
      <w:pPr>
        <w:spacing w:after="240"/>
        <w:ind w:left="4678" w:right="1134" w:hanging="3533"/>
        <w:rPr>
          <w:lang w:val="nb-NO" w:eastAsia="nb-NO"/>
        </w:rPr>
      </w:pPr>
      <w:r w:rsidRPr="00CF5133">
        <w:rPr>
          <w:lang w:val="nb-NO" w:eastAsia="nb-NO"/>
        </w:rPr>
        <w:t>ECE/TRANS/WP.15/AC.1/20</w:t>
      </w:r>
      <w:r>
        <w:rPr>
          <w:lang w:val="nb-NO" w:eastAsia="nb-NO"/>
        </w:rPr>
        <w:t>2</w:t>
      </w:r>
      <w:r w:rsidR="00E94A23">
        <w:rPr>
          <w:lang w:val="nb-NO" w:eastAsia="nb-NO"/>
        </w:rPr>
        <w:t>0</w:t>
      </w:r>
      <w:r w:rsidRPr="00CF5133">
        <w:rPr>
          <w:lang w:val="nb-NO" w:eastAsia="nb-NO"/>
        </w:rPr>
        <w:t>/</w:t>
      </w:r>
      <w:r w:rsidR="003A29EB">
        <w:rPr>
          <w:lang w:val="nb-NO" w:eastAsia="nb-NO"/>
        </w:rPr>
        <w:t>65</w:t>
      </w:r>
      <w:r w:rsidRPr="00CF5133">
        <w:rPr>
          <w:lang w:val="nb-NO" w:eastAsia="nb-NO"/>
        </w:rPr>
        <w:tab/>
      </w:r>
      <w:r w:rsidR="00FB21C6">
        <w:rPr>
          <w:lang w:val="nb-NO" w:eastAsia="nb-NO"/>
        </w:rPr>
        <w:t xml:space="preserve">Report </w:t>
      </w:r>
      <w:r w:rsidR="007C4DCD">
        <w:rPr>
          <w:lang w:val="nb-NO" w:eastAsia="nb-NO"/>
        </w:rPr>
        <w:t>of the informal working group on "Provisions on equipment</w:t>
      </w:r>
      <w:r w:rsidR="00E16009">
        <w:rPr>
          <w:lang w:val="nb-NO" w:eastAsia="nb-NO"/>
        </w:rPr>
        <w:t xml:space="preserve"> </w:t>
      </w:r>
      <w:r w:rsidR="00346228">
        <w:rPr>
          <w:lang w:val="nb-NO" w:eastAsia="nb-NO"/>
        </w:rPr>
        <w:t>for tanks and pressure receptacles</w:t>
      </w:r>
      <w:r w:rsidR="007C4DCD">
        <w:rPr>
          <w:lang w:val="nb-NO" w:eastAsia="nb-NO"/>
        </w:rPr>
        <w:t>"</w:t>
      </w:r>
      <w:r w:rsidRPr="00CF5133">
        <w:rPr>
          <w:lang w:val="nb-NO" w:eastAsia="nb-NO"/>
        </w:rPr>
        <w:t xml:space="preserve"> (</w:t>
      </w:r>
      <w:r w:rsidR="00346228">
        <w:rPr>
          <w:lang w:val="nb-NO" w:eastAsia="nb-NO"/>
        </w:rPr>
        <w:t>EIGA</w:t>
      </w:r>
      <w:r w:rsidRPr="00CF5133">
        <w:rPr>
          <w:lang w:val="nb-NO" w:eastAsia="nb-NO"/>
        </w:rPr>
        <w:t>)</w:t>
      </w:r>
    </w:p>
    <w:p w14:paraId="66F388E6" w14:textId="17B6E43F" w:rsidR="0093511B" w:rsidRPr="00CF5133" w:rsidRDefault="0093511B" w:rsidP="00CA124E">
      <w:pPr>
        <w:spacing w:after="240"/>
        <w:ind w:left="4678" w:right="1134" w:hanging="3533"/>
        <w:rPr>
          <w:lang w:val="nb-NO" w:eastAsia="nb-NO"/>
        </w:rPr>
      </w:pPr>
      <w:r w:rsidRPr="00CF5133">
        <w:rPr>
          <w:lang w:val="nb-NO" w:eastAsia="nb-NO"/>
        </w:rPr>
        <w:t>ECE/TRANS/WP.15/AC.1/20</w:t>
      </w:r>
      <w:r>
        <w:rPr>
          <w:lang w:val="nb-NO" w:eastAsia="nb-NO"/>
        </w:rPr>
        <w:t>2</w:t>
      </w:r>
      <w:r w:rsidR="003A29EB">
        <w:rPr>
          <w:lang w:val="nb-NO" w:eastAsia="nb-NO"/>
        </w:rPr>
        <w:t>0</w:t>
      </w:r>
      <w:r w:rsidRPr="00CF5133">
        <w:rPr>
          <w:lang w:val="nb-NO" w:eastAsia="nb-NO"/>
        </w:rPr>
        <w:t>/</w:t>
      </w:r>
      <w:r w:rsidR="003A29EB">
        <w:rPr>
          <w:lang w:val="nb-NO" w:eastAsia="nb-NO"/>
        </w:rPr>
        <w:t>66</w:t>
      </w:r>
      <w:r w:rsidRPr="00CF5133">
        <w:rPr>
          <w:lang w:val="nb-NO" w:eastAsia="nb-NO"/>
        </w:rPr>
        <w:tab/>
      </w:r>
      <w:r w:rsidR="00E16009">
        <w:rPr>
          <w:lang w:val="nb-NO" w:eastAsia="nb-NO"/>
        </w:rPr>
        <w:t xml:space="preserve">Exemptions </w:t>
      </w:r>
      <w:r w:rsidR="007201B6">
        <w:rPr>
          <w:lang w:val="nb-NO" w:eastAsia="nb-NO"/>
        </w:rPr>
        <w:t xml:space="preserve">for lithium batteries of UN </w:t>
      </w:r>
      <w:r w:rsidR="00C63115">
        <w:rPr>
          <w:lang w:val="nb-NO" w:eastAsia="nb-NO"/>
        </w:rPr>
        <w:t>3536</w:t>
      </w:r>
      <w:r>
        <w:rPr>
          <w:lang w:val="nb-NO" w:eastAsia="nb-NO"/>
        </w:rPr>
        <w:t xml:space="preserve"> </w:t>
      </w:r>
      <w:r w:rsidRPr="00CF5133">
        <w:rPr>
          <w:lang w:val="nb-NO" w:eastAsia="nb-NO"/>
        </w:rPr>
        <w:t>(</w:t>
      </w:r>
      <w:r w:rsidR="00C63115">
        <w:rPr>
          <w:lang w:val="nb-NO" w:eastAsia="nb-NO"/>
        </w:rPr>
        <w:t>Switzerland</w:t>
      </w:r>
      <w:r w:rsidRPr="00CF5133">
        <w:rPr>
          <w:lang w:val="nb-NO" w:eastAsia="nb-NO"/>
        </w:rPr>
        <w:t>)</w:t>
      </w:r>
    </w:p>
    <w:p w14:paraId="27D7C66F" w14:textId="48C8BDE9" w:rsidR="0093511B" w:rsidRDefault="0093511B" w:rsidP="0093511B">
      <w:pPr>
        <w:spacing w:after="240"/>
        <w:ind w:left="4678" w:right="1134" w:hanging="3533"/>
        <w:rPr>
          <w:lang w:val="nb-NO" w:eastAsia="nb-NO"/>
        </w:rPr>
      </w:pPr>
      <w:r w:rsidRPr="00CF5133">
        <w:rPr>
          <w:lang w:val="nb-NO" w:eastAsia="nb-NO"/>
        </w:rPr>
        <w:t>ECE/TRANS/WP.15/AC.1/20</w:t>
      </w:r>
      <w:r>
        <w:rPr>
          <w:lang w:val="nb-NO" w:eastAsia="nb-NO"/>
        </w:rPr>
        <w:t>2</w:t>
      </w:r>
      <w:r w:rsidRPr="00CF5133">
        <w:rPr>
          <w:lang w:val="nb-NO" w:eastAsia="nb-NO"/>
        </w:rPr>
        <w:t>1/</w:t>
      </w:r>
      <w:r w:rsidR="003A29EB">
        <w:rPr>
          <w:lang w:val="nb-NO" w:eastAsia="nb-NO"/>
        </w:rPr>
        <w:t>5</w:t>
      </w:r>
      <w:r w:rsidRPr="00CF5133">
        <w:rPr>
          <w:lang w:val="nb-NO" w:eastAsia="nb-NO"/>
        </w:rPr>
        <w:tab/>
      </w:r>
      <w:r w:rsidR="00114802">
        <w:rPr>
          <w:lang w:val="nb-NO" w:eastAsia="nb-NO"/>
        </w:rPr>
        <w:t xml:space="preserve">Development of Chapter 6.9 on fibre-reinforced plastics portable </w:t>
      </w:r>
      <w:r w:rsidR="00FA4025">
        <w:rPr>
          <w:lang w:val="nb-NO" w:eastAsia="nb-NO"/>
        </w:rPr>
        <w:t>tanks</w:t>
      </w:r>
      <w:r w:rsidR="00EF02C8">
        <w:rPr>
          <w:lang w:val="nb-NO" w:eastAsia="nb-NO"/>
        </w:rPr>
        <w:t xml:space="preserve"> </w:t>
      </w:r>
      <w:r w:rsidRPr="00CF5133">
        <w:rPr>
          <w:lang w:val="nb-NO" w:eastAsia="nb-NO"/>
        </w:rPr>
        <w:t>(</w:t>
      </w:r>
      <w:r w:rsidR="00FA4025">
        <w:rPr>
          <w:lang w:val="nb-NO" w:eastAsia="nb-NO"/>
        </w:rPr>
        <w:t>France</w:t>
      </w:r>
      <w:r w:rsidRPr="00CF5133">
        <w:rPr>
          <w:lang w:val="nb-NO" w:eastAsia="nb-NO"/>
        </w:rPr>
        <w:t>)</w:t>
      </w:r>
    </w:p>
    <w:p w14:paraId="74E01480" w14:textId="0F55C274" w:rsidR="00CF3D5B" w:rsidRDefault="00CF3D5B" w:rsidP="00CF3D5B">
      <w:pPr>
        <w:spacing w:after="240"/>
        <w:ind w:left="4678" w:right="1134" w:hanging="3533"/>
        <w:rPr>
          <w:lang w:val="nb-NO" w:eastAsia="nb-NO"/>
        </w:rPr>
      </w:pPr>
      <w:r w:rsidRPr="00CF5133">
        <w:rPr>
          <w:lang w:val="nb-NO" w:eastAsia="nb-NO"/>
        </w:rPr>
        <w:t>ECE/TRANS/WP.15/AC.1/20</w:t>
      </w:r>
      <w:r>
        <w:rPr>
          <w:lang w:val="nb-NO" w:eastAsia="nb-NO"/>
        </w:rPr>
        <w:t>2</w:t>
      </w:r>
      <w:r w:rsidRPr="00CF5133">
        <w:rPr>
          <w:lang w:val="nb-NO" w:eastAsia="nb-NO"/>
        </w:rPr>
        <w:t>1/</w:t>
      </w:r>
      <w:r w:rsidR="00FA4025">
        <w:rPr>
          <w:lang w:val="nb-NO" w:eastAsia="nb-NO"/>
        </w:rPr>
        <w:t>14</w:t>
      </w:r>
      <w:r w:rsidRPr="00CF5133">
        <w:rPr>
          <w:lang w:val="nb-NO" w:eastAsia="nb-NO"/>
        </w:rPr>
        <w:tab/>
      </w:r>
      <w:r>
        <w:rPr>
          <w:lang w:val="nb-NO" w:eastAsia="nb-NO"/>
        </w:rPr>
        <w:t xml:space="preserve">Name and description for UN numbers in theModel Regulations and RID/ADR: UN 1012 Butylene </w:t>
      </w:r>
      <w:r w:rsidRPr="00CF5133">
        <w:rPr>
          <w:lang w:val="nb-NO" w:eastAsia="nb-NO"/>
        </w:rPr>
        <w:t>(</w:t>
      </w:r>
      <w:r>
        <w:rPr>
          <w:lang w:val="nb-NO" w:eastAsia="nb-NO"/>
        </w:rPr>
        <w:t>Spain</w:t>
      </w:r>
      <w:r w:rsidRPr="00CF5133">
        <w:rPr>
          <w:lang w:val="nb-NO" w:eastAsia="nb-NO"/>
        </w:rPr>
        <w:t>)</w:t>
      </w:r>
    </w:p>
    <w:p w14:paraId="383C77B6" w14:textId="518A8EFA" w:rsidR="00733EF5" w:rsidRDefault="00733EF5" w:rsidP="00733EF5">
      <w:pPr>
        <w:pStyle w:val="SingleTxtG"/>
      </w:pPr>
      <w:r w:rsidRPr="0069744E">
        <w:t>4.</w:t>
      </w:r>
      <w:r w:rsidRPr="0069744E">
        <w:tab/>
        <w:t>The background documents were the report of the United Nations Economic and Social Council’s Committee of Experts on the Transport of Dangerous Goods and on the Globally Harmonized System of Classification and Labelling of Chemicals and annexes thereto, circulated by the secretariat as documents ST/SG/AC.10/4</w:t>
      </w:r>
      <w:r w:rsidR="009B253E">
        <w:t>8</w:t>
      </w:r>
      <w:r w:rsidRPr="0069744E">
        <w:t xml:space="preserve"> and Add.1-3.</w:t>
      </w:r>
    </w:p>
    <w:p w14:paraId="02C94395" w14:textId="3D34B07F" w:rsidR="00733EF5" w:rsidRPr="00CF5133" w:rsidRDefault="00733EF5" w:rsidP="00733EF5">
      <w:pPr>
        <w:pStyle w:val="SingleTxtG"/>
      </w:pPr>
      <w:r w:rsidRPr="00CF5133">
        <w:t>5.</w:t>
      </w:r>
      <w:r w:rsidRPr="00CF5133">
        <w:tab/>
      </w:r>
      <w:r w:rsidRPr="0069744E">
        <w:t xml:space="preserve">The Ad Hoc Working Group adopted the provisional agenda prepared by the </w:t>
      </w:r>
      <w:r w:rsidRPr="00CF5133">
        <w:t>secretariat</w:t>
      </w:r>
      <w:r w:rsidR="00251B3E">
        <w:t>s</w:t>
      </w:r>
      <w:r>
        <w:t>.</w:t>
      </w:r>
    </w:p>
    <w:p w14:paraId="7E326306" w14:textId="77777777" w:rsidR="00733EF5" w:rsidRPr="00CF5133" w:rsidRDefault="00733EF5" w:rsidP="00733EF5">
      <w:pPr>
        <w:pStyle w:val="HChG"/>
      </w:pPr>
      <w:r w:rsidRPr="00CF5133">
        <w:tab/>
        <w:t>II.</w:t>
      </w:r>
      <w:r w:rsidRPr="00CF5133">
        <w:tab/>
        <w:t>Harmonization of RID/ADR/ADN with the United Nations Recommendations on the Transport of Dangerous Goods, Model Regulations</w:t>
      </w:r>
    </w:p>
    <w:p w14:paraId="6E0DCA5A" w14:textId="619172D4" w:rsidR="00733EF5" w:rsidRPr="004D041E" w:rsidRDefault="00733EF5" w:rsidP="00733EF5">
      <w:pPr>
        <w:pStyle w:val="SingleTxtG"/>
      </w:pPr>
      <w:r w:rsidRPr="004D041E">
        <w:t>6.</w:t>
      </w:r>
      <w:r w:rsidRPr="004D041E">
        <w:tab/>
        <w:t xml:space="preserve">The </w:t>
      </w:r>
      <w:r w:rsidR="00003CE7">
        <w:t>A</w:t>
      </w:r>
      <w:r w:rsidRPr="004D041E">
        <w:t xml:space="preserve">d </w:t>
      </w:r>
      <w:r w:rsidR="00003CE7">
        <w:t>H</w:t>
      </w:r>
      <w:r w:rsidRPr="004D041E">
        <w:t xml:space="preserve">oc Working Group (hereafter referred to as the “Working Group”) examined the draft amendments in </w:t>
      </w:r>
      <w:r>
        <w:t xml:space="preserve">document </w:t>
      </w:r>
      <w:r w:rsidRPr="004D041E">
        <w:t>ECE/TRANS/WP.15/AC.1/HAR/20</w:t>
      </w:r>
      <w:r w:rsidR="009B253E">
        <w:t>2</w:t>
      </w:r>
      <w:r w:rsidRPr="004D041E">
        <w:t>1/1. The amendments proposed by the Working Group are reproduced in the addendum to this report (</w:t>
      </w:r>
      <w:r w:rsidRPr="00733EF5">
        <w:t>ECE/TRANS/WP.15/AC.1/20</w:t>
      </w:r>
      <w:r w:rsidR="009B253E">
        <w:t>2</w:t>
      </w:r>
      <w:r w:rsidRPr="00733EF5">
        <w:t>1/</w:t>
      </w:r>
      <w:r w:rsidR="006F42A5">
        <w:t>24</w:t>
      </w:r>
      <w:r w:rsidRPr="00733EF5">
        <w:t>/Add.1</w:t>
      </w:r>
      <w:r w:rsidRPr="004D041E">
        <w:t>). Some texts were placed between square brackets pending a decision by the Joint Meeting or feedback from other intergovernmental bodies.</w:t>
      </w:r>
    </w:p>
    <w:p w14:paraId="59FAC8C7" w14:textId="3E5382A0" w:rsidR="00A603BF" w:rsidRDefault="00733EF5" w:rsidP="00733EF5">
      <w:pPr>
        <w:pStyle w:val="SingleTxtG"/>
      </w:pPr>
      <w:r>
        <w:t>7.</w:t>
      </w:r>
      <w:r>
        <w:tab/>
      </w:r>
      <w:r w:rsidRPr="00CF5133">
        <w:t xml:space="preserve">The Working Group agreed that </w:t>
      </w:r>
      <w:r>
        <w:t xml:space="preserve">the </w:t>
      </w:r>
      <w:r w:rsidRPr="00CF5133">
        <w:t>comments below</w:t>
      </w:r>
      <w:r>
        <w:t xml:space="preserve">, providing the rationale behind some of the recommendations made by the working group, </w:t>
      </w:r>
      <w:r w:rsidRPr="00CF5133">
        <w:t>should be brought to the attention of the Joint Meeting</w:t>
      </w:r>
      <w:r>
        <w:t>, the Working Party on the Transport of Dangerous Goods, the ADN Safety Committee or the Sub-Committee of Experts on the Transport of Dangerous Goods (TDG Sub-Committee), as appropriate</w:t>
      </w:r>
      <w:r w:rsidR="002F3029">
        <w:t xml:space="preserve"> </w:t>
      </w:r>
      <w:r w:rsidR="001E1C64">
        <w:t>(</w:t>
      </w:r>
      <w:r w:rsidR="00C93D80" w:rsidRPr="00C93D80">
        <w:t>ECE/TRANS/WP.15/AC.1/2021/2</w:t>
      </w:r>
      <w:r w:rsidR="00C93D80">
        <w:t>4</w:t>
      </w:r>
      <w:r w:rsidR="005F1FAD">
        <w:t>/Add.1,</w:t>
      </w:r>
      <w:r w:rsidR="00363ACC" w:rsidRPr="00363ACC">
        <w:t xml:space="preserve"> ST/SG/AC.10/C.3/2021/</w:t>
      </w:r>
      <w:r w:rsidR="00363ACC">
        <w:t>2</w:t>
      </w:r>
      <w:r w:rsidR="00363ACC" w:rsidRPr="00363ACC">
        <w:t>9</w:t>
      </w:r>
      <w:r w:rsidR="00BA5132">
        <w:rPr>
          <w:rStyle w:val="Appelnotedebasdep"/>
        </w:rPr>
        <w:footnoteReference w:id="4"/>
      </w:r>
      <w:r w:rsidR="001E1C64">
        <w:t>)</w:t>
      </w:r>
      <w:r>
        <w:t>.</w:t>
      </w:r>
    </w:p>
    <w:p w14:paraId="6A1A14FA" w14:textId="6C560270" w:rsidR="00733EF5" w:rsidRDefault="00733EF5" w:rsidP="00733EF5">
      <w:pPr>
        <w:pStyle w:val="H1G"/>
      </w:pPr>
      <w:r>
        <w:lastRenderedPageBreak/>
        <w:tab/>
      </w:r>
      <w:r w:rsidR="009B253E">
        <w:t>A</w:t>
      </w:r>
      <w:r>
        <w:t>.</w:t>
      </w:r>
      <w:r>
        <w:tab/>
        <w:t>Amendments to the definitions in Chapter 1.2</w:t>
      </w:r>
    </w:p>
    <w:p w14:paraId="05A3B33C" w14:textId="37894468" w:rsidR="00733EF5" w:rsidRDefault="00733EF5" w:rsidP="00733EF5">
      <w:pPr>
        <w:pStyle w:val="H23G"/>
      </w:pPr>
      <w:r>
        <w:tab/>
        <w:t>1.</w:t>
      </w:r>
      <w:r>
        <w:tab/>
        <w:t>Definition of “</w:t>
      </w:r>
      <w:r w:rsidR="00D108D2">
        <w:t>c</w:t>
      </w:r>
      <w:r w:rsidR="009B253E">
        <w:t>losed cryogenic receptacle</w:t>
      </w:r>
      <w:r>
        <w:t xml:space="preserve">”: </w:t>
      </w:r>
    </w:p>
    <w:p w14:paraId="741FB44C" w14:textId="37434FDB" w:rsidR="00733EF5" w:rsidRDefault="009B253E" w:rsidP="00733EF5">
      <w:pPr>
        <w:pStyle w:val="SingleTxtG"/>
      </w:pPr>
      <w:r>
        <w:t>8</w:t>
      </w:r>
      <w:r w:rsidR="00733EF5">
        <w:t>.</w:t>
      </w:r>
      <w:r w:rsidR="00733EF5">
        <w:tab/>
      </w:r>
      <w:r w:rsidR="00D108D2">
        <w:t xml:space="preserve">The Working Group agreed to </w:t>
      </w:r>
      <w:r w:rsidR="003F3AFB">
        <w:t>replace</w:t>
      </w:r>
      <w:r w:rsidR="001522D9">
        <w:t xml:space="preserve"> the definition </w:t>
      </w:r>
      <w:r w:rsidR="003B7601">
        <w:t xml:space="preserve">for "cryogenic receptacle" </w:t>
      </w:r>
      <w:r w:rsidR="001522D9">
        <w:t xml:space="preserve">with </w:t>
      </w:r>
      <w:r w:rsidR="00F24306">
        <w:t xml:space="preserve">the definition of "closed cryogenic receptacle" </w:t>
      </w:r>
      <w:r w:rsidR="001522D9">
        <w:t>of the Model Regulation</w:t>
      </w:r>
      <w:r w:rsidR="009D4814">
        <w:t>s</w:t>
      </w:r>
      <w:r w:rsidR="00D108D2">
        <w:t xml:space="preserve">. </w:t>
      </w:r>
      <w:r w:rsidR="001522D9">
        <w:t>It was also agreed to review the definition of “receptacle”.</w:t>
      </w:r>
    </w:p>
    <w:p w14:paraId="7F54CDF4" w14:textId="5DEE74B7" w:rsidR="00733EF5" w:rsidRDefault="00733EF5" w:rsidP="00733EF5">
      <w:pPr>
        <w:pStyle w:val="H23G"/>
      </w:pPr>
      <w:r>
        <w:tab/>
        <w:t>2.</w:t>
      </w:r>
      <w:r>
        <w:tab/>
        <w:t>Definition of “</w:t>
      </w:r>
      <w:r w:rsidR="00F933E2">
        <w:t>t</w:t>
      </w:r>
      <w:r w:rsidR="009B253E">
        <w:t>ank</w:t>
      </w:r>
      <w:r>
        <w:t>”</w:t>
      </w:r>
    </w:p>
    <w:p w14:paraId="736DFDB4" w14:textId="464FF71A" w:rsidR="00733EF5" w:rsidRDefault="009B253E" w:rsidP="00733EF5">
      <w:pPr>
        <w:pStyle w:val="SingleTxtG"/>
      </w:pPr>
      <w:r>
        <w:t>9</w:t>
      </w:r>
      <w:r w:rsidR="00733EF5">
        <w:t>.</w:t>
      </w:r>
      <w:r w:rsidR="00733EF5">
        <w:tab/>
      </w:r>
      <w:r w:rsidR="009407A5">
        <w:t xml:space="preserve">The Working Group agreed to delete the note </w:t>
      </w:r>
      <w:r w:rsidR="00B81CCE">
        <w:t xml:space="preserve">(reference to 6.7.4.1) </w:t>
      </w:r>
      <w:r w:rsidR="009407A5">
        <w:t xml:space="preserve">in the current definition of </w:t>
      </w:r>
      <w:r w:rsidR="009407A5" w:rsidRPr="009407A5">
        <w:t>“</w:t>
      </w:r>
      <w:r w:rsidR="009407A5">
        <w:t>t</w:t>
      </w:r>
      <w:r w:rsidR="009407A5" w:rsidRPr="009407A5">
        <w:t>ank”</w:t>
      </w:r>
      <w:r w:rsidR="009407A5">
        <w:t xml:space="preserve"> in line with the Model Regulation</w:t>
      </w:r>
      <w:r w:rsidR="009D4814">
        <w:t>s</w:t>
      </w:r>
      <w:r w:rsidR="00B81CCE">
        <w:t>.</w:t>
      </w:r>
    </w:p>
    <w:p w14:paraId="5DAACA2A" w14:textId="4DCFFCDF" w:rsidR="00733EF5" w:rsidRDefault="00733EF5" w:rsidP="00733EF5">
      <w:pPr>
        <w:pStyle w:val="H23G"/>
      </w:pPr>
      <w:r>
        <w:tab/>
        <w:t>3.</w:t>
      </w:r>
      <w:r>
        <w:tab/>
        <w:t>Definition of “</w:t>
      </w:r>
      <w:r w:rsidR="00F933E2">
        <w:t>w</w:t>
      </w:r>
      <w:r w:rsidR="009B253E">
        <w:t>orking pressure</w:t>
      </w:r>
      <w:r>
        <w:t xml:space="preserve">” </w:t>
      </w:r>
    </w:p>
    <w:p w14:paraId="7C1A9D1F" w14:textId="301549D8" w:rsidR="00733EF5" w:rsidRDefault="00733EF5" w:rsidP="00733EF5">
      <w:pPr>
        <w:pStyle w:val="SingleTxtG"/>
      </w:pPr>
      <w:r>
        <w:t>1</w:t>
      </w:r>
      <w:r w:rsidR="004239D1">
        <w:t>0</w:t>
      </w:r>
      <w:r>
        <w:t>.</w:t>
      </w:r>
      <w:r>
        <w:tab/>
      </w:r>
      <w:r w:rsidR="00BC54BB">
        <w:t>I</w:t>
      </w:r>
      <w:r w:rsidR="00133394">
        <w:t>n the</w:t>
      </w:r>
      <w:r>
        <w:t xml:space="preserve"> definition of “</w:t>
      </w:r>
      <w:r w:rsidR="00133394">
        <w:t>working pressure</w:t>
      </w:r>
      <w:r>
        <w:t>”</w:t>
      </w:r>
      <w:r w:rsidR="00133394">
        <w:t xml:space="preserve"> for UN 1001 acetylene, dissolved, in sub-</w:t>
      </w:r>
      <w:r w:rsidR="00BC54BB">
        <w:t>paragr</w:t>
      </w:r>
      <w:r w:rsidR="00714FE8">
        <w:t>aph</w:t>
      </w:r>
      <w:r w:rsidR="00BC54BB">
        <w:t xml:space="preserve"> </w:t>
      </w:r>
      <w:r w:rsidR="00133394">
        <w:t>(b)</w:t>
      </w:r>
      <w:r w:rsidR="00714FE8">
        <w:t>, i</w:t>
      </w:r>
      <w:r w:rsidR="00FF0D96">
        <w:t xml:space="preserve">t was noted that </w:t>
      </w:r>
      <w:r w:rsidR="00BC54BB">
        <w:t xml:space="preserve">“content” </w:t>
      </w:r>
      <w:r w:rsidR="00714FE8">
        <w:t>wa</w:t>
      </w:r>
      <w:r w:rsidR="00D67975">
        <w:t>s</w:t>
      </w:r>
      <w:r w:rsidR="00714FE8">
        <w:t xml:space="preserve"> translated once as “volume” and once as “</w:t>
      </w:r>
      <w:r w:rsidR="009D4A16">
        <w:t>quantité</w:t>
      </w:r>
      <w:r w:rsidR="00554922">
        <w:t>”</w:t>
      </w:r>
      <w:r w:rsidR="009D4A16">
        <w:t xml:space="preserve"> in the French text.</w:t>
      </w:r>
      <w:r w:rsidR="00012935" w:rsidRPr="00012935">
        <w:rPr>
          <w:vertAlign w:val="superscript"/>
        </w:rPr>
        <w:t>1</w:t>
      </w:r>
    </w:p>
    <w:p w14:paraId="3266E62F" w14:textId="01F4524E" w:rsidR="009B253E" w:rsidRDefault="009B253E" w:rsidP="009B253E">
      <w:pPr>
        <w:pStyle w:val="H23G"/>
      </w:pPr>
      <w:r>
        <w:tab/>
      </w:r>
      <w:r w:rsidR="00A37559">
        <w:t>4</w:t>
      </w:r>
      <w:r>
        <w:t>.</w:t>
      </w:r>
      <w:r>
        <w:tab/>
        <w:t>Definition of “</w:t>
      </w:r>
      <w:r w:rsidR="00F933E2">
        <w:t>p</w:t>
      </w:r>
      <w:r>
        <w:t>ressure</w:t>
      </w:r>
      <w:r w:rsidR="00A37559">
        <w:t xml:space="preserve"> receptacle shell</w:t>
      </w:r>
      <w:r>
        <w:t xml:space="preserve">” </w:t>
      </w:r>
    </w:p>
    <w:p w14:paraId="30997024" w14:textId="5AE35DB3" w:rsidR="009B253E" w:rsidRPr="00A558E2" w:rsidRDefault="009B253E" w:rsidP="009B253E">
      <w:pPr>
        <w:pStyle w:val="SingleTxtG"/>
      </w:pPr>
      <w:r>
        <w:t>1</w:t>
      </w:r>
      <w:r w:rsidR="00133394">
        <w:t>1</w:t>
      </w:r>
      <w:r>
        <w:t>.</w:t>
      </w:r>
      <w:r>
        <w:tab/>
      </w:r>
      <w:r w:rsidRPr="00A558E2">
        <w:t xml:space="preserve">The representative of </w:t>
      </w:r>
      <w:r w:rsidR="00133394" w:rsidRPr="00A558E2">
        <w:t>Switzerland</w:t>
      </w:r>
      <w:r w:rsidRPr="00A558E2">
        <w:t xml:space="preserve"> </w:t>
      </w:r>
      <w:r w:rsidR="00A558E2" w:rsidRPr="00A558E2">
        <w:t>was of the opinion</w:t>
      </w:r>
      <w:r w:rsidRPr="00A558E2">
        <w:t xml:space="preserve"> that the </w:t>
      </w:r>
      <w:r w:rsidR="00133394" w:rsidRPr="00A558E2">
        <w:t xml:space="preserve">new </w:t>
      </w:r>
      <w:r w:rsidRPr="00A558E2">
        <w:t>definition of “</w:t>
      </w:r>
      <w:r w:rsidR="00133394" w:rsidRPr="00A558E2">
        <w:t>pressure receptacle shell</w:t>
      </w:r>
      <w:r w:rsidRPr="00A558E2">
        <w:t xml:space="preserve">” </w:t>
      </w:r>
      <w:r w:rsidR="00133394" w:rsidRPr="00A558E2">
        <w:t xml:space="preserve">was misleading and should be clarified. </w:t>
      </w:r>
      <w:r w:rsidR="00A558E2" w:rsidRPr="00A558E2">
        <w:t xml:space="preserve">The Working Group agreed to consider this issue together with document ECE/TRANS/WP.15/AC.1/2020/65 tabled by EIGA (see paragraph </w:t>
      </w:r>
      <w:r w:rsidR="007E74D1">
        <w:t>31</w:t>
      </w:r>
      <w:r w:rsidR="00A558E2" w:rsidRPr="00A558E2">
        <w:t xml:space="preserve"> below).</w:t>
      </w:r>
    </w:p>
    <w:p w14:paraId="1CC6D501" w14:textId="6283E5A9" w:rsidR="00A37559" w:rsidRDefault="00A37559" w:rsidP="00A37559">
      <w:pPr>
        <w:pStyle w:val="H23G"/>
      </w:pPr>
      <w:r>
        <w:tab/>
        <w:t>5.</w:t>
      </w:r>
      <w:r>
        <w:tab/>
      </w:r>
      <w:r w:rsidR="00A558E2">
        <w:t>Abbreviation</w:t>
      </w:r>
      <w:r>
        <w:t xml:space="preserve"> of “</w:t>
      </w:r>
      <w:r w:rsidR="00A558E2">
        <w:t>FRP” for f</w:t>
      </w:r>
      <w:r>
        <w:t>ibre-</w:t>
      </w:r>
      <w:r w:rsidR="00A558E2">
        <w:t>rein</w:t>
      </w:r>
      <w:r>
        <w:t>forced plastics</w:t>
      </w:r>
    </w:p>
    <w:p w14:paraId="194149CE" w14:textId="09E24799" w:rsidR="00A558E2" w:rsidRDefault="00A37559" w:rsidP="00A37559">
      <w:pPr>
        <w:pStyle w:val="SingleTxtG"/>
      </w:pPr>
      <w:r>
        <w:t>12.</w:t>
      </w:r>
      <w:r>
        <w:tab/>
      </w:r>
      <w:r w:rsidR="00133394">
        <w:t xml:space="preserve">The Working Group </w:t>
      </w:r>
      <w:r w:rsidR="006D2E97">
        <w:t>decided</w:t>
      </w:r>
      <w:r w:rsidR="00133394">
        <w:t xml:space="preserve"> </w:t>
      </w:r>
      <w:r w:rsidR="00011C19">
        <w:t xml:space="preserve">to insert the abbreviation of “FRP” into the new 1.2.3. As the wording “fibre-reinforced plastics” is now used in different chapters of RID/ADR/ADN it was also </w:t>
      </w:r>
      <w:r w:rsidR="006D2E97">
        <w:t>decided</w:t>
      </w:r>
      <w:r w:rsidR="00011C19">
        <w:t xml:space="preserve"> to </w:t>
      </w:r>
      <w:r w:rsidR="003164D0">
        <w:t xml:space="preserve">transfer the </w:t>
      </w:r>
      <w:r w:rsidR="00011C19">
        <w:t xml:space="preserve">new definition </w:t>
      </w:r>
      <w:r w:rsidR="003164D0">
        <w:t>of</w:t>
      </w:r>
      <w:r w:rsidR="00011C19">
        <w:t xml:space="preserve"> “fibre-reinforced plastics”</w:t>
      </w:r>
      <w:r w:rsidR="003164D0">
        <w:t xml:space="preserve"> from Chapter 6.9 to 1.2.1</w:t>
      </w:r>
      <w:r w:rsidR="00011C19">
        <w:t>.</w:t>
      </w:r>
    </w:p>
    <w:p w14:paraId="48E167A3" w14:textId="3949EB01" w:rsidR="00A339D3" w:rsidRDefault="00A339D3" w:rsidP="00A339D3">
      <w:pPr>
        <w:pStyle w:val="H23G"/>
      </w:pPr>
      <w:r w:rsidRPr="00A339D3">
        <w:tab/>
        <w:t>6.</w:t>
      </w:r>
      <w:r w:rsidRPr="00A339D3">
        <w:tab/>
        <w:t>Recycled plastics material</w:t>
      </w:r>
    </w:p>
    <w:p w14:paraId="0EEA33D3" w14:textId="1253B7B5" w:rsidR="0065007C" w:rsidRDefault="007B07DC" w:rsidP="00DF7819">
      <w:pPr>
        <w:pStyle w:val="SingleTxtG"/>
      </w:pPr>
      <w:r>
        <w:t>13.</w:t>
      </w:r>
      <w:r>
        <w:tab/>
      </w:r>
      <w:r w:rsidR="00E84D55">
        <w:t xml:space="preserve">The </w:t>
      </w:r>
      <w:r w:rsidR="006253D4">
        <w:t xml:space="preserve">Working Group </w:t>
      </w:r>
      <w:r w:rsidR="00E84D55">
        <w:t xml:space="preserve">discussed </w:t>
      </w:r>
      <w:r w:rsidR="00CC5777">
        <w:t xml:space="preserve">how to harmonise RID/ADR/ADN </w:t>
      </w:r>
      <w:r w:rsidR="006253D4">
        <w:t>with</w:t>
      </w:r>
      <w:r w:rsidR="00B6578E">
        <w:t xml:space="preserve"> the Model Regulations as regards the permitted use of recycled plastics</w:t>
      </w:r>
      <w:r w:rsidR="004D695B">
        <w:t xml:space="preserve"> material. </w:t>
      </w:r>
      <w:r w:rsidR="00334435">
        <w:t>It was decided to align the def</w:t>
      </w:r>
      <w:r w:rsidR="006253D4">
        <w:t>inition</w:t>
      </w:r>
      <w:r w:rsidR="00334435">
        <w:t xml:space="preserve"> of recycled plastics material in RID/ADR/ADN </w:t>
      </w:r>
      <w:r w:rsidR="009E02FD">
        <w:t>with</w:t>
      </w:r>
      <w:r w:rsidR="00334435">
        <w:t xml:space="preserve"> th</w:t>
      </w:r>
      <w:r w:rsidR="009E02FD">
        <w:t>at</w:t>
      </w:r>
      <w:r w:rsidR="00334435">
        <w:t xml:space="preserve"> in the Model Regulations</w:t>
      </w:r>
      <w:r w:rsidR="006355F1">
        <w:t xml:space="preserve"> and to transfer the provision in 6.1.4.8.8 to the definition in 1.2.1</w:t>
      </w:r>
      <w:r w:rsidR="00ED5E62">
        <w:t>.</w:t>
      </w:r>
    </w:p>
    <w:p w14:paraId="326BD018" w14:textId="098F305D" w:rsidR="007C3B2E" w:rsidRDefault="0065007C" w:rsidP="00DF7819">
      <w:pPr>
        <w:pStyle w:val="SingleTxtG"/>
        <w:rPr>
          <w:rFonts w:eastAsia="SimSun"/>
          <w:lang w:eastAsia="zh-CN"/>
        </w:rPr>
      </w:pPr>
      <w:r>
        <w:t>14.</w:t>
      </w:r>
      <w:r>
        <w:tab/>
        <w:t xml:space="preserve">A revised proposal ECE/TRANS/WP.15/AC.1/HAR/2021/4 was considered during the session and adopted with modifications. </w:t>
      </w:r>
      <w:r w:rsidR="009656D1">
        <w:t xml:space="preserve">The </w:t>
      </w:r>
      <w:r>
        <w:t>Working Group</w:t>
      </w:r>
      <w:r w:rsidR="00F74E3A">
        <w:t xml:space="preserve"> </w:t>
      </w:r>
      <w:r w:rsidR="00267FAA">
        <w:t>acknowledg</w:t>
      </w:r>
      <w:r w:rsidR="00F74E3A">
        <w:t xml:space="preserve">ed that the Note in </w:t>
      </w:r>
      <w:r w:rsidR="008D7CB3">
        <w:t xml:space="preserve">the definition refers to </w:t>
      </w:r>
      <w:r>
        <w:t>"</w:t>
      </w:r>
      <w:r w:rsidR="008D7CB3">
        <w:t xml:space="preserve">large packagings </w:t>
      </w:r>
      <w:r w:rsidR="00FF33FE">
        <w:t>made of recycled plastics material</w:t>
      </w:r>
      <w:r>
        <w:t>"</w:t>
      </w:r>
      <w:r w:rsidR="009656D1">
        <w:t xml:space="preserve"> whe</w:t>
      </w:r>
      <w:r w:rsidR="000B3AD2">
        <w:t>reas</w:t>
      </w:r>
      <w:r w:rsidR="009656D1">
        <w:t xml:space="preserve"> </w:t>
      </w:r>
      <w:r w:rsidR="001417DD">
        <w:t xml:space="preserve">no provisions were included in Chapter 6.6 for </w:t>
      </w:r>
      <w:r w:rsidR="00C11933">
        <w:t xml:space="preserve">the use of </w:t>
      </w:r>
      <w:r w:rsidR="001417DD">
        <w:t>recycl</w:t>
      </w:r>
      <w:r w:rsidR="00C11933">
        <w:t>ed plastics.</w:t>
      </w:r>
    </w:p>
    <w:p w14:paraId="4F0DECA0" w14:textId="77777777" w:rsidR="006D2E97" w:rsidRDefault="006D2E97" w:rsidP="006D2E97">
      <w:pPr>
        <w:pStyle w:val="H1G"/>
      </w:pPr>
      <w:r>
        <w:tab/>
        <w:t>B.</w:t>
      </w:r>
      <w:r>
        <w:tab/>
        <w:t>Chapter 1.6</w:t>
      </w:r>
    </w:p>
    <w:p w14:paraId="643BA8D7" w14:textId="320205D1" w:rsidR="006D2E97" w:rsidRDefault="006D2E97" w:rsidP="00FC6636">
      <w:pPr>
        <w:pStyle w:val="SingleTxtG"/>
      </w:pPr>
      <w:r w:rsidRPr="00E245A4">
        <w:t>1</w:t>
      </w:r>
      <w:r w:rsidR="000C5230">
        <w:t>5</w:t>
      </w:r>
      <w:r w:rsidRPr="00E245A4">
        <w:t>.</w:t>
      </w:r>
      <w:r w:rsidRPr="00E245A4">
        <w:tab/>
      </w:r>
      <w:r>
        <w:t xml:space="preserve">The Working Group agreed </w:t>
      </w:r>
      <w:r w:rsidR="00FC6636">
        <w:t>to amend</w:t>
      </w:r>
      <w:r w:rsidR="008F7B81">
        <w:t xml:space="preserve"> </w:t>
      </w:r>
      <w:r w:rsidR="00A548F5">
        <w:t xml:space="preserve">the proposed </w:t>
      </w:r>
      <w:r>
        <w:t>transitional measures</w:t>
      </w:r>
      <w:r w:rsidR="00A41B1B">
        <w:t xml:space="preserve"> together with some </w:t>
      </w:r>
      <w:r w:rsidR="00CD1107">
        <w:t>editorial amendments</w:t>
      </w:r>
      <w:r w:rsidRPr="00A558E2">
        <w:t>.</w:t>
      </w:r>
    </w:p>
    <w:p w14:paraId="5FC91D77" w14:textId="64DEC3CB" w:rsidR="006D2E97" w:rsidRDefault="006D2E97" w:rsidP="006D2E97">
      <w:pPr>
        <w:pStyle w:val="H1G"/>
      </w:pPr>
      <w:r>
        <w:tab/>
        <w:t>C.</w:t>
      </w:r>
      <w:r>
        <w:tab/>
        <w:t>Chapter 1.8</w:t>
      </w:r>
    </w:p>
    <w:p w14:paraId="2875EDA1" w14:textId="2B9CD3ED" w:rsidR="006D2E97" w:rsidRDefault="006D2E97" w:rsidP="006D2E97">
      <w:pPr>
        <w:pStyle w:val="SingleTxtG"/>
      </w:pPr>
      <w:r>
        <w:t>1</w:t>
      </w:r>
      <w:r w:rsidR="00CD1107">
        <w:t>6</w:t>
      </w:r>
      <w:r>
        <w:t>.</w:t>
      </w:r>
      <w:r>
        <w:tab/>
        <w:t xml:space="preserve">Following the insertion of a new 6.2.2.11 and subsequent renumbering of the current paragraph, the Working Group agreed on the need to insert consequential amendments to </w:t>
      </w:r>
      <w:r w:rsidR="003E7727">
        <w:t xml:space="preserve">Chapter </w:t>
      </w:r>
      <w:r>
        <w:t>1.8.</w:t>
      </w:r>
    </w:p>
    <w:p w14:paraId="794EA7D9" w14:textId="139E80F1" w:rsidR="00733EF5" w:rsidRDefault="00733EF5" w:rsidP="00733EF5">
      <w:pPr>
        <w:pStyle w:val="H1G"/>
      </w:pPr>
      <w:r>
        <w:lastRenderedPageBreak/>
        <w:tab/>
      </w:r>
      <w:r w:rsidR="00A37559">
        <w:t>D</w:t>
      </w:r>
      <w:r>
        <w:t>.</w:t>
      </w:r>
      <w:r>
        <w:tab/>
      </w:r>
      <w:r w:rsidR="00A37559">
        <w:t xml:space="preserve">Chapter </w:t>
      </w:r>
      <w:r w:rsidR="00151EB7">
        <w:t>3.2, table A</w:t>
      </w:r>
    </w:p>
    <w:p w14:paraId="052D9032" w14:textId="2ADD85E4" w:rsidR="00151EB7" w:rsidRDefault="00151EB7" w:rsidP="00151EB7">
      <w:pPr>
        <w:pStyle w:val="H23G"/>
      </w:pPr>
      <w:r>
        <w:tab/>
        <w:t>1.</w:t>
      </w:r>
      <w:r>
        <w:tab/>
        <w:t>UN 2849</w:t>
      </w:r>
    </w:p>
    <w:p w14:paraId="504B5A30" w14:textId="12C30409" w:rsidR="00151EB7" w:rsidRDefault="00151EB7" w:rsidP="00151EB7">
      <w:pPr>
        <w:pStyle w:val="SingleTxtG"/>
        <w:keepNext/>
        <w:keepLines/>
      </w:pPr>
      <w:r>
        <w:t>1</w:t>
      </w:r>
      <w:r w:rsidR="00781592">
        <w:t>7</w:t>
      </w:r>
      <w:r>
        <w:t>.</w:t>
      </w:r>
      <w:r>
        <w:tab/>
        <w:t>The Working Group noted that t</w:t>
      </w:r>
      <w:r w:rsidRPr="00E5721F">
        <w:t xml:space="preserve">he amendments to </w:t>
      </w:r>
      <w:r>
        <w:t xml:space="preserve">UN 2849 </w:t>
      </w:r>
      <w:r w:rsidR="00216CBA">
        <w:t xml:space="preserve">proposed in </w:t>
      </w:r>
      <w:r w:rsidR="00781592">
        <w:t>ECE/TRANS/WP.15/AC.1/HAR/2021/</w:t>
      </w:r>
      <w:r w:rsidR="00117AB5">
        <w:t xml:space="preserve">1 </w:t>
      </w:r>
      <w:r>
        <w:t>resulted from an editorial error in the Model Regulations and</w:t>
      </w:r>
      <w:r w:rsidR="00117AB5">
        <w:t xml:space="preserve"> was not relevant for RID/ADR/ADN. </w:t>
      </w:r>
      <w:r w:rsidR="00161D40">
        <w:t>The secretariat</w:t>
      </w:r>
      <w:r w:rsidR="00251B3E">
        <w:t>s</w:t>
      </w:r>
      <w:r w:rsidR="00161D40">
        <w:t xml:space="preserve"> w</w:t>
      </w:r>
      <w:r w:rsidR="00251B3E">
        <w:t>ere</w:t>
      </w:r>
      <w:r w:rsidR="00161D40">
        <w:t xml:space="preserve"> requested to verify the use of the word "propene" and "propanol" in the different language versions of RID/ADR/ADN.</w:t>
      </w:r>
    </w:p>
    <w:p w14:paraId="115D5312" w14:textId="6910EB2A" w:rsidR="00151EB7" w:rsidRPr="00A255D4" w:rsidRDefault="00151EB7" w:rsidP="00151EB7">
      <w:pPr>
        <w:pStyle w:val="H23G"/>
        <w:rPr>
          <w:lang w:val="fr-CH"/>
        </w:rPr>
      </w:pPr>
      <w:r>
        <w:tab/>
      </w:r>
      <w:r w:rsidRPr="002C7FF7">
        <w:rPr>
          <w:lang w:val="fr-CH"/>
        </w:rPr>
        <w:t>2</w:t>
      </w:r>
      <w:r w:rsidRPr="00A255D4">
        <w:rPr>
          <w:lang w:val="fr-CH"/>
        </w:rPr>
        <w:t>.</w:t>
      </w:r>
      <w:r w:rsidRPr="00A255D4">
        <w:rPr>
          <w:lang w:val="fr-CH"/>
        </w:rPr>
        <w:tab/>
        <w:t>New entry UN 3550</w:t>
      </w:r>
    </w:p>
    <w:p w14:paraId="598A3401" w14:textId="2A89CF8D" w:rsidR="00733EF5" w:rsidRDefault="00733EF5" w:rsidP="00A255D4">
      <w:pPr>
        <w:pStyle w:val="SingleTxtG"/>
      </w:pPr>
      <w:r w:rsidRPr="00A255D4">
        <w:rPr>
          <w:lang w:val="fr-CH"/>
        </w:rPr>
        <w:t>1</w:t>
      </w:r>
      <w:r w:rsidR="00781592">
        <w:rPr>
          <w:lang w:val="fr-CH"/>
        </w:rPr>
        <w:t>8</w:t>
      </w:r>
      <w:r w:rsidRPr="002C7FF7">
        <w:t>.</w:t>
      </w:r>
      <w:r w:rsidRPr="002C7FF7">
        <w:tab/>
      </w:r>
      <w:r w:rsidR="00594BA5" w:rsidRPr="002C7FF7">
        <w:t>The</w:t>
      </w:r>
      <w:r w:rsidRPr="002C7FF7">
        <w:t xml:space="preserve"> amendments </w:t>
      </w:r>
      <w:r w:rsidR="00594BA5" w:rsidRPr="002C7FF7">
        <w:t xml:space="preserve">in column (12) and (13) </w:t>
      </w:r>
      <w:r w:rsidRPr="002C7FF7">
        <w:t xml:space="preserve">were placed between square brackets, </w:t>
      </w:r>
      <w:r w:rsidR="00D01B0C" w:rsidRPr="002C7FF7">
        <w:t>subject to further consideration by</w:t>
      </w:r>
      <w:r w:rsidRPr="002C7FF7">
        <w:t xml:space="preserve"> the </w:t>
      </w:r>
      <w:r w:rsidR="00184D48" w:rsidRPr="002C7FF7">
        <w:t>Informal Working Group on Tanks</w:t>
      </w:r>
      <w:r w:rsidR="00D01B0C" w:rsidRPr="002C7FF7">
        <w:t xml:space="preserve"> at its next meeting</w:t>
      </w:r>
      <w:r w:rsidR="00A255D4" w:rsidRPr="002C7FF7">
        <w:t xml:space="preserve">. </w:t>
      </w:r>
      <w:r w:rsidR="00F663BD">
        <w:t xml:space="preserve">It was noted that special packing provision B1 of packing instruction IBC07 did not appear in RID/ADR and was replaced by W/V special provisions concerning carriage in packages in 7.2.4. As currently no W/V requirement for carriage in closed wagons/vehicles and containers existed it was proposed to add a new W/V. It was agreed to put both B1 and the new W/V requirement in square brackets and to </w:t>
      </w:r>
      <w:r w:rsidR="00A255D4" w:rsidRPr="002C7FF7">
        <w:t xml:space="preserve">resume discussion </w:t>
      </w:r>
      <w:r w:rsidR="00E04C27" w:rsidRPr="002C7FF7">
        <w:t>at the forthcoming session of the Joint Meeting in September 2021</w:t>
      </w:r>
      <w:r w:rsidRPr="002C7FF7">
        <w:t>.</w:t>
      </w:r>
    </w:p>
    <w:p w14:paraId="31BDFEC3" w14:textId="298335DB" w:rsidR="00890466" w:rsidRDefault="00890466" w:rsidP="00525A37">
      <w:pPr>
        <w:pStyle w:val="H1G"/>
        <w:keepNext w:val="0"/>
        <w:keepLines w:val="0"/>
        <w:widowControl w:val="0"/>
      </w:pPr>
      <w:r>
        <w:tab/>
        <w:t>E.</w:t>
      </w:r>
      <w:r>
        <w:tab/>
        <w:t>Chapter 3.3</w:t>
      </w:r>
    </w:p>
    <w:p w14:paraId="60E343EC" w14:textId="19B71ED6" w:rsidR="00890466" w:rsidRDefault="00890466" w:rsidP="00525A37">
      <w:pPr>
        <w:pStyle w:val="H23G"/>
        <w:keepNext w:val="0"/>
        <w:keepLines w:val="0"/>
        <w:widowControl w:val="0"/>
      </w:pPr>
      <w:r>
        <w:tab/>
      </w:r>
      <w:r>
        <w:tab/>
      </w:r>
      <w:r w:rsidR="00194413">
        <w:t>Special provision 396</w:t>
      </w:r>
    </w:p>
    <w:p w14:paraId="62194E83" w14:textId="3CEFDDA6" w:rsidR="00890466" w:rsidRDefault="00240FEE" w:rsidP="00525A37">
      <w:pPr>
        <w:pStyle w:val="SingleTxtG"/>
        <w:widowControl w:val="0"/>
      </w:pPr>
      <w:r>
        <w:t>19</w:t>
      </w:r>
      <w:r w:rsidR="00890466">
        <w:t>.</w:t>
      </w:r>
      <w:r w:rsidR="00890466">
        <w:tab/>
      </w:r>
      <w:r w:rsidR="00931167">
        <w:t>O</w:t>
      </w:r>
      <w:r w:rsidR="00F31D41">
        <w:t xml:space="preserve">n SP 396 (f), </w:t>
      </w:r>
      <w:r w:rsidR="00931167">
        <w:t>t</w:t>
      </w:r>
      <w:r w:rsidR="00890466">
        <w:t>he Working Group</w:t>
      </w:r>
      <w:r w:rsidR="002C7FE8">
        <w:t xml:space="preserve"> noted</w:t>
      </w:r>
      <w:r w:rsidR="00890466">
        <w:t xml:space="preserve"> </w:t>
      </w:r>
      <w:r w:rsidR="00F31D41">
        <w:t>that</w:t>
      </w:r>
      <w:r w:rsidR="00194413">
        <w:t xml:space="preserve"> the word "are" before "marked in accordance"</w:t>
      </w:r>
      <w:r w:rsidR="00F31D41">
        <w:t xml:space="preserve"> could be removed</w:t>
      </w:r>
      <w:r w:rsidR="00194413">
        <w:t>.</w:t>
      </w:r>
      <w:r w:rsidR="00012935" w:rsidRPr="00012935">
        <w:rPr>
          <w:vertAlign w:val="superscript"/>
        </w:rPr>
        <w:t>1</w:t>
      </w:r>
    </w:p>
    <w:p w14:paraId="64BE4A09" w14:textId="322DFC26" w:rsidR="00880705" w:rsidRDefault="00880705" w:rsidP="00525A37">
      <w:pPr>
        <w:pStyle w:val="H1G"/>
        <w:keepNext w:val="0"/>
        <w:keepLines w:val="0"/>
        <w:widowControl w:val="0"/>
      </w:pPr>
      <w:r>
        <w:tab/>
        <w:t>F.</w:t>
      </w:r>
      <w:r>
        <w:tab/>
        <w:t>Chapter 4.1</w:t>
      </w:r>
    </w:p>
    <w:p w14:paraId="41C4D2F7" w14:textId="28424050" w:rsidR="00561625" w:rsidRDefault="00561625" w:rsidP="00561625">
      <w:pPr>
        <w:pStyle w:val="H23G"/>
        <w:keepNext w:val="0"/>
        <w:keepLines w:val="0"/>
        <w:widowControl w:val="0"/>
      </w:pPr>
      <w:r>
        <w:tab/>
        <w:t>1.</w:t>
      </w:r>
      <w:r>
        <w:tab/>
      </w:r>
      <w:r w:rsidR="00697744">
        <w:t>4.1.3.3, additional last sentence on packagings</w:t>
      </w:r>
    </w:p>
    <w:p w14:paraId="36DE1656" w14:textId="5917F816" w:rsidR="00561625" w:rsidRDefault="00240FEE" w:rsidP="00561625">
      <w:pPr>
        <w:pStyle w:val="SingleTxtG"/>
        <w:widowControl w:val="0"/>
      </w:pPr>
      <w:r>
        <w:t>20</w:t>
      </w:r>
      <w:r w:rsidR="00561625">
        <w:t>.</w:t>
      </w:r>
      <w:r w:rsidR="00561625">
        <w:tab/>
        <w:t>The Working Group agreed on the new additional sentence to 4.1.3.3 but recommended to read "packa</w:t>
      </w:r>
      <w:r w:rsidR="007A431E">
        <w:t>gin</w:t>
      </w:r>
      <w:r w:rsidR="00561625">
        <w:t>gs" instead of "packag</w:t>
      </w:r>
      <w:r w:rsidR="007A431E">
        <w:t>e</w:t>
      </w:r>
      <w:r w:rsidR="00561625">
        <w:t>s".</w:t>
      </w:r>
      <w:r w:rsidR="005E22B0">
        <w:t xml:space="preserve"> This amendment should be brought to the attention of the TDG Sub-Committee.</w:t>
      </w:r>
      <w:r w:rsidR="00012935" w:rsidRPr="00012935">
        <w:rPr>
          <w:vertAlign w:val="superscript"/>
        </w:rPr>
        <w:t>1</w:t>
      </w:r>
    </w:p>
    <w:p w14:paraId="732B164E" w14:textId="445CE77D" w:rsidR="00880705" w:rsidRDefault="00880705" w:rsidP="00525A37">
      <w:pPr>
        <w:pStyle w:val="H23G"/>
        <w:keepNext w:val="0"/>
        <w:keepLines w:val="0"/>
        <w:widowControl w:val="0"/>
      </w:pPr>
      <w:r>
        <w:tab/>
      </w:r>
      <w:r w:rsidR="00561625">
        <w:t>2</w:t>
      </w:r>
      <w:r w:rsidR="00525A37">
        <w:t>.</w:t>
      </w:r>
      <w:r>
        <w:tab/>
      </w:r>
      <w:r w:rsidR="008733BE">
        <w:t>4.1.4.1, P137, special packing provision PP70</w:t>
      </w:r>
    </w:p>
    <w:p w14:paraId="202C70A0" w14:textId="715C048D" w:rsidR="00525A37" w:rsidRDefault="00561625" w:rsidP="00525A37">
      <w:pPr>
        <w:pStyle w:val="SingleTxtG"/>
        <w:widowControl w:val="0"/>
      </w:pPr>
      <w:r>
        <w:t>2</w:t>
      </w:r>
      <w:r w:rsidR="00240FEE">
        <w:t>1</w:t>
      </w:r>
      <w:r w:rsidR="00880705">
        <w:t>.</w:t>
      </w:r>
      <w:r w:rsidR="00880705">
        <w:tab/>
      </w:r>
      <w:r w:rsidR="00697744">
        <w:t xml:space="preserve">The Working Group also </w:t>
      </w:r>
      <w:r w:rsidR="003640CC">
        <w:t>recommended</w:t>
      </w:r>
      <w:r w:rsidR="00697744">
        <w:t xml:space="preserve"> to correct in </w:t>
      </w:r>
      <w:r w:rsidR="000D3B94">
        <w:t xml:space="preserve">the English version of </w:t>
      </w:r>
      <w:r w:rsidR="00697744">
        <w:t xml:space="preserve">ADR 2021 the </w:t>
      </w:r>
      <w:r w:rsidR="000D3B94">
        <w:t>numbering of the figures</w:t>
      </w:r>
      <w:r w:rsidR="00275DBE">
        <w:t xml:space="preserve"> in </w:t>
      </w:r>
      <w:r w:rsidR="00275DBE" w:rsidRPr="00364235">
        <w:rPr>
          <w:lang w:eastAsia="en-US"/>
        </w:rPr>
        <w:t>5.2.1.10.1</w:t>
      </w:r>
      <w:r w:rsidR="00697744">
        <w:t xml:space="preserve"> and invited the secretariat to prepare a corrigendum</w:t>
      </w:r>
      <w:r w:rsidR="00BF649F">
        <w:t xml:space="preserve"> (see also report of the 109</w:t>
      </w:r>
      <w:r w:rsidR="00BF649F">
        <w:rPr>
          <w:vertAlign w:val="superscript"/>
        </w:rPr>
        <w:t>th</w:t>
      </w:r>
      <w:r w:rsidR="00BF649F">
        <w:t xml:space="preserve"> session of WP.15 (ECE/TRANS/WP.15/253, annex II)</w:t>
      </w:r>
      <w:r w:rsidR="00871814">
        <w:t>)</w:t>
      </w:r>
      <w:r w:rsidR="00880705">
        <w:t>.</w:t>
      </w:r>
    </w:p>
    <w:p w14:paraId="1BB4B1BC" w14:textId="41FBEAFE" w:rsidR="008733BE" w:rsidRDefault="008733BE" w:rsidP="008733BE">
      <w:pPr>
        <w:pStyle w:val="H23G"/>
        <w:keepNext w:val="0"/>
        <w:keepLines w:val="0"/>
        <w:widowControl w:val="0"/>
      </w:pPr>
      <w:bookmarkStart w:id="0" w:name="_Hlk74504761"/>
      <w:r>
        <w:tab/>
      </w:r>
      <w:r w:rsidR="00561625">
        <w:t>3</w:t>
      </w:r>
      <w:r>
        <w:t>.</w:t>
      </w:r>
      <w:r>
        <w:tab/>
        <w:t>4.1.4.1, P1</w:t>
      </w:r>
      <w:r w:rsidR="00561625">
        <w:t>44</w:t>
      </w:r>
      <w:r>
        <w:t xml:space="preserve">, </w:t>
      </w:r>
      <w:r w:rsidR="00561625">
        <w:t xml:space="preserve">new note under </w:t>
      </w:r>
      <w:bookmarkEnd w:id="0"/>
      <w:r>
        <w:t>special packing provision PP7</w:t>
      </w:r>
      <w:r w:rsidR="00561625">
        <w:t>7</w:t>
      </w:r>
    </w:p>
    <w:p w14:paraId="51D16E64" w14:textId="30220E82" w:rsidR="008733BE" w:rsidRDefault="00561625" w:rsidP="00561625">
      <w:pPr>
        <w:pStyle w:val="SingleTxtG"/>
        <w:widowControl w:val="0"/>
      </w:pPr>
      <w:r>
        <w:t>2</w:t>
      </w:r>
      <w:r w:rsidR="00240FEE">
        <w:t>2</w:t>
      </w:r>
      <w:r w:rsidR="008733BE">
        <w:t>.</w:t>
      </w:r>
      <w:r w:rsidR="008733BE">
        <w:tab/>
      </w:r>
      <w:r w:rsidR="00697744">
        <w:t xml:space="preserve">The Working Group felt that the new note to </w:t>
      </w:r>
      <w:r w:rsidR="00D03EDF">
        <w:t xml:space="preserve">special packing provision PP77 of packing instruction P144 was misleading as it could also refer to the first sentence of the special packing provision </w:t>
      </w:r>
      <w:r w:rsidR="00697744">
        <w:t xml:space="preserve">and recommended the wording be </w:t>
      </w:r>
      <w:r w:rsidR="00D40135">
        <w:t>improved</w:t>
      </w:r>
      <w:r w:rsidR="00697744">
        <w:t>.</w:t>
      </w:r>
      <w:r w:rsidR="00012935" w:rsidRPr="00012935">
        <w:rPr>
          <w:vertAlign w:val="superscript"/>
        </w:rPr>
        <w:t>1</w:t>
      </w:r>
    </w:p>
    <w:p w14:paraId="11ACB370" w14:textId="679A2CA0" w:rsidR="00561625" w:rsidRDefault="00561625" w:rsidP="00561625">
      <w:pPr>
        <w:pStyle w:val="H23G"/>
        <w:keepNext w:val="0"/>
        <w:keepLines w:val="0"/>
        <w:widowControl w:val="0"/>
        <w:rPr>
          <w:lang w:val="en-US"/>
        </w:rPr>
      </w:pPr>
      <w:r>
        <w:rPr>
          <w:lang w:val="en-US"/>
        </w:rPr>
        <w:tab/>
        <w:t>4.</w:t>
      </w:r>
      <w:r>
        <w:rPr>
          <w:lang w:val="en-US"/>
        </w:rPr>
        <w:tab/>
        <w:t>4.1.4.1, P200 (5)</w:t>
      </w:r>
    </w:p>
    <w:p w14:paraId="5703A2C6" w14:textId="77B288BC" w:rsidR="00880705" w:rsidRDefault="00F36549" w:rsidP="00F36549">
      <w:pPr>
        <w:pStyle w:val="SingleTxtG"/>
        <w:widowControl w:val="0"/>
      </w:pPr>
      <w:r>
        <w:t>2</w:t>
      </w:r>
      <w:r w:rsidR="00240FEE">
        <w:t>3</w:t>
      </w:r>
      <w:r>
        <w:t>.</w:t>
      </w:r>
      <w:r>
        <w:tab/>
        <w:t>The Working Group noted that the use in the Model Regulations of the pressure unit "bar (abs.)" should be reviewed</w:t>
      </w:r>
      <w:r w:rsidR="00697744">
        <w:t xml:space="preserve">. </w:t>
      </w:r>
      <w:r w:rsidR="000D34B6">
        <w:t>Therefore,</w:t>
      </w:r>
      <w:r>
        <w:t xml:space="preserve"> </w:t>
      </w:r>
      <w:r w:rsidR="00697744">
        <w:t xml:space="preserve">it should </w:t>
      </w:r>
      <w:r>
        <w:t xml:space="preserve">be brought </w:t>
      </w:r>
      <w:r w:rsidR="000D734A">
        <w:t>to the attention of the TDG Sub-Committee</w:t>
      </w:r>
      <w:r w:rsidR="00697744">
        <w:t xml:space="preserve"> </w:t>
      </w:r>
      <w:r w:rsidR="005D514E">
        <w:t xml:space="preserve">including </w:t>
      </w:r>
      <w:r w:rsidR="00697744">
        <w:t xml:space="preserve">the </w:t>
      </w:r>
      <w:r w:rsidR="005D514E">
        <w:t>possible harmonization in line with</w:t>
      </w:r>
      <w:r w:rsidR="00697744">
        <w:t xml:space="preserve"> the SI unit “Pa” or “MPa”.</w:t>
      </w:r>
    </w:p>
    <w:p w14:paraId="268BA60D" w14:textId="5E78E080" w:rsidR="00EB216B" w:rsidRDefault="00EB216B" w:rsidP="00EB216B">
      <w:pPr>
        <w:pStyle w:val="H1G"/>
      </w:pPr>
      <w:r>
        <w:tab/>
        <w:t>G.</w:t>
      </w:r>
      <w:r>
        <w:tab/>
        <w:t xml:space="preserve">Chapter </w:t>
      </w:r>
      <w:r w:rsidR="000F2EA7">
        <w:t>4.1</w:t>
      </w:r>
    </w:p>
    <w:p w14:paraId="3A097BF5" w14:textId="13E586EC" w:rsidR="00EB216B" w:rsidRDefault="00EB216B" w:rsidP="00EB216B">
      <w:pPr>
        <w:pStyle w:val="H23G"/>
      </w:pPr>
      <w:r>
        <w:tab/>
        <w:t>1.</w:t>
      </w:r>
      <w:r>
        <w:tab/>
        <w:t>4.1.4.2, IBC520</w:t>
      </w:r>
    </w:p>
    <w:p w14:paraId="18E547B7" w14:textId="0EE7E216" w:rsidR="00EB216B" w:rsidRDefault="00EB216B" w:rsidP="00EB216B">
      <w:pPr>
        <w:pStyle w:val="SingleTxtG"/>
      </w:pPr>
      <w:r>
        <w:t>2</w:t>
      </w:r>
      <w:r w:rsidR="00240FEE">
        <w:t>4</w:t>
      </w:r>
      <w:r>
        <w:t>.</w:t>
      </w:r>
      <w:r>
        <w:tab/>
        <w:t xml:space="preserve">The Working Group noted a preference to </w:t>
      </w:r>
      <w:r w:rsidR="00B6224C">
        <w:t>amend "</w:t>
      </w:r>
      <w:r w:rsidR="00D019CD">
        <w:t xml:space="preserve">not listed in </w:t>
      </w:r>
      <w:r w:rsidR="00B6224C">
        <w:t>2.2.41.4 and 2.2.52.4" to read "</w:t>
      </w:r>
      <w:r w:rsidR="00D019CD">
        <w:t xml:space="preserve">not listed in </w:t>
      </w:r>
      <w:r w:rsidR="00B6224C">
        <w:t xml:space="preserve">2.2.41.4 </w:t>
      </w:r>
      <w:r w:rsidR="00D019CD">
        <w:t>n</w:t>
      </w:r>
      <w:r w:rsidR="00B6224C">
        <w:t>or</w:t>
      </w:r>
      <w:r w:rsidR="00D019CD">
        <w:t xml:space="preserve"> in</w:t>
      </w:r>
      <w:r w:rsidR="00B6224C">
        <w:t xml:space="preserve"> 2.2.52.4" and </w:t>
      </w:r>
      <w:r w:rsidR="005D514E">
        <w:t xml:space="preserve">recommended the wording in the Model </w:t>
      </w:r>
      <w:r w:rsidR="005D514E">
        <w:lastRenderedPageBreak/>
        <w:t>Regulation</w:t>
      </w:r>
      <w:r w:rsidR="008E3BAC">
        <w:t>s</w:t>
      </w:r>
      <w:r w:rsidR="005D514E">
        <w:t xml:space="preserve"> be </w:t>
      </w:r>
      <w:r w:rsidR="000A5B32">
        <w:t>align</w:t>
      </w:r>
      <w:r w:rsidR="005D514E">
        <w:t>ed by the</w:t>
      </w:r>
      <w:r w:rsidR="005D514E" w:rsidRPr="00C21E13">
        <w:t xml:space="preserve"> </w:t>
      </w:r>
      <w:r w:rsidR="005D514E">
        <w:t>TDG Sub-</w:t>
      </w:r>
      <w:r>
        <w:t>Committee</w:t>
      </w:r>
      <w:r w:rsidR="00D019CD">
        <w:t xml:space="preserve"> </w:t>
      </w:r>
      <w:r w:rsidR="00296C61">
        <w:t>for the reference to 2.4.2.3.2.3 and 2.5.3.2.4”</w:t>
      </w:r>
      <w:r>
        <w:t>.</w:t>
      </w:r>
      <w:r w:rsidR="0026793D">
        <w:t xml:space="preserve"> </w:t>
      </w:r>
      <w:r w:rsidR="000F2EA7">
        <w:t xml:space="preserve">The same comment applies </w:t>
      </w:r>
      <w:r w:rsidR="008E3BAC">
        <w:t>to</w:t>
      </w:r>
      <w:r w:rsidR="000F2EA7">
        <w:t xml:space="preserve"> 4.2.5.2.6, T23.</w:t>
      </w:r>
    </w:p>
    <w:p w14:paraId="4D16DABA" w14:textId="08531A49" w:rsidR="00DE09FC" w:rsidRDefault="00DE09FC" w:rsidP="00DE09FC">
      <w:pPr>
        <w:pStyle w:val="H23G"/>
      </w:pPr>
      <w:r>
        <w:tab/>
      </w:r>
      <w:r w:rsidR="000B6020">
        <w:t>2</w:t>
      </w:r>
      <w:r>
        <w:t>.</w:t>
      </w:r>
      <w:r>
        <w:tab/>
        <w:t>4.1.6.15</w:t>
      </w:r>
    </w:p>
    <w:p w14:paraId="77DDF920" w14:textId="1C4E0156" w:rsidR="00C21E13" w:rsidRDefault="00865706" w:rsidP="00C21E13">
      <w:pPr>
        <w:pStyle w:val="SingleTxtG"/>
        <w:rPr>
          <w:rFonts w:eastAsia="SimSun"/>
          <w:lang w:eastAsia="en-US"/>
        </w:rPr>
      </w:pPr>
      <w:r>
        <w:t>2</w:t>
      </w:r>
      <w:r w:rsidR="00240FEE">
        <w:t>5</w:t>
      </w:r>
      <w:r>
        <w:t>.</w:t>
      </w:r>
      <w:r>
        <w:tab/>
      </w:r>
      <w:r w:rsidR="00074457">
        <w:t>It was noted that no amendment was necessary for 4.1.6.15 as the amendments to 4.1.6.1.6 of the Model Regulations have already been taken into account by the Informal Working Group on Standards of the Joint Meeting</w:t>
      </w:r>
      <w:r w:rsidR="00DE09FC">
        <w:rPr>
          <w:rFonts w:eastAsia="SimSun"/>
          <w:lang w:eastAsia="en-US"/>
        </w:rPr>
        <w:t>.</w:t>
      </w:r>
    </w:p>
    <w:p w14:paraId="074F3482" w14:textId="50C3747D" w:rsidR="003F13EB" w:rsidRDefault="003F13EB" w:rsidP="003F13EB">
      <w:pPr>
        <w:pStyle w:val="H1G"/>
        <w:keepNext w:val="0"/>
        <w:keepLines w:val="0"/>
        <w:widowControl w:val="0"/>
      </w:pPr>
      <w:r>
        <w:tab/>
      </w:r>
      <w:r w:rsidR="003E731A">
        <w:t>H</w:t>
      </w:r>
      <w:r>
        <w:t>.</w:t>
      </w:r>
      <w:r>
        <w:tab/>
        <w:t>Chapter 6.2</w:t>
      </w:r>
    </w:p>
    <w:p w14:paraId="5CEB6E84" w14:textId="41EF1D8C" w:rsidR="005B0B18" w:rsidRDefault="003F13EB" w:rsidP="00151EB7">
      <w:pPr>
        <w:pStyle w:val="SingleTxtG"/>
        <w:rPr>
          <w:rFonts w:eastAsia="SimSun"/>
          <w:lang w:eastAsia="zh-CN"/>
        </w:rPr>
      </w:pPr>
      <w:r>
        <w:t>26.</w:t>
      </w:r>
      <w:r>
        <w:tab/>
        <w:t xml:space="preserve">The Working Group </w:t>
      </w:r>
      <w:r w:rsidR="00F368ED">
        <w:t>decided</w:t>
      </w:r>
      <w:r>
        <w:t xml:space="preserve"> to </w:t>
      </w:r>
      <w:r w:rsidR="00D10F92">
        <w:rPr>
          <w:rFonts w:eastAsia="SimSun"/>
          <w:lang w:eastAsia="zh-CN"/>
        </w:rPr>
        <w:t xml:space="preserve">replace </w:t>
      </w:r>
      <w:r>
        <w:t>in 6</w:t>
      </w:r>
      <w:r w:rsidRPr="001E343E">
        <w:rPr>
          <w:rFonts w:eastAsia="SimSun"/>
          <w:lang w:eastAsia="zh-CN"/>
        </w:rPr>
        <w:t>.2.</w:t>
      </w:r>
      <w:r>
        <w:rPr>
          <w:rFonts w:eastAsia="SimSun"/>
          <w:lang w:eastAsia="zh-CN"/>
        </w:rPr>
        <w:t>1.</w:t>
      </w:r>
      <w:r w:rsidRPr="001E343E">
        <w:rPr>
          <w:rFonts w:eastAsia="SimSun"/>
          <w:lang w:eastAsia="zh-CN"/>
        </w:rPr>
        <w:t>5.</w:t>
      </w:r>
      <w:r>
        <w:rPr>
          <w:rFonts w:eastAsia="SimSun"/>
          <w:lang w:eastAsia="zh-CN"/>
        </w:rPr>
        <w:t xml:space="preserve">4 </w:t>
      </w:r>
      <w:r w:rsidR="00D10F92">
        <w:rPr>
          <w:rFonts w:eastAsia="SimSun"/>
          <w:lang w:eastAsia="zh-CN"/>
        </w:rPr>
        <w:t>the word</w:t>
      </w:r>
      <w:r>
        <w:rPr>
          <w:rFonts w:eastAsia="SimSun"/>
          <w:lang w:eastAsia="zh-CN"/>
        </w:rPr>
        <w:t xml:space="preserve"> </w:t>
      </w:r>
      <w:r>
        <w:t>"</w:t>
      </w:r>
      <w:r w:rsidR="007E147F">
        <w:t xml:space="preserve">weight </w:t>
      </w:r>
      <w:r>
        <w:t xml:space="preserve">" by </w:t>
      </w:r>
      <w:r w:rsidR="007E147F">
        <w:t>"mass</w:t>
      </w:r>
      <w:r>
        <w:t>".</w:t>
      </w:r>
      <w:r w:rsidR="007E147F">
        <w:t xml:space="preserve"> </w:t>
      </w:r>
      <w:r w:rsidR="00F76AD2">
        <w:t>This correction should be brought to the attention of the TDG Sub-Committee.</w:t>
      </w:r>
      <w:r w:rsidR="007E147F" w:rsidRPr="007E147F">
        <w:rPr>
          <w:vertAlign w:val="superscript"/>
        </w:rPr>
        <w:t>1</w:t>
      </w:r>
    </w:p>
    <w:p w14:paraId="7CC489D6" w14:textId="6931CDA0" w:rsidR="00B10490" w:rsidRDefault="00B10490" w:rsidP="00B10490">
      <w:pPr>
        <w:pStyle w:val="H1G"/>
        <w:keepNext w:val="0"/>
        <w:keepLines w:val="0"/>
        <w:widowControl w:val="0"/>
      </w:pPr>
      <w:r>
        <w:tab/>
      </w:r>
      <w:r w:rsidR="003E731A">
        <w:t>I</w:t>
      </w:r>
      <w:r>
        <w:t>.</w:t>
      </w:r>
      <w:r>
        <w:tab/>
        <w:t>Chapter 6.</w:t>
      </w:r>
      <w:r w:rsidR="00F368ED">
        <w:t>5</w:t>
      </w:r>
    </w:p>
    <w:p w14:paraId="1AE8D29A" w14:textId="55DB67BB" w:rsidR="00B10490" w:rsidRDefault="00B10490" w:rsidP="00B10490">
      <w:pPr>
        <w:pStyle w:val="SingleTxtG"/>
      </w:pPr>
      <w:r>
        <w:t>27.</w:t>
      </w:r>
      <w:r>
        <w:tab/>
        <w:t>The Working Group agreed to add at the end of 6</w:t>
      </w:r>
      <w:r w:rsidRPr="001E343E">
        <w:rPr>
          <w:rFonts w:eastAsia="SimSun"/>
          <w:lang w:eastAsia="zh-CN"/>
        </w:rPr>
        <w:t>.</w:t>
      </w:r>
      <w:r>
        <w:rPr>
          <w:rFonts w:eastAsia="SimSun"/>
          <w:lang w:eastAsia="zh-CN"/>
        </w:rPr>
        <w:t>5</w:t>
      </w:r>
      <w:r w:rsidRPr="001E343E">
        <w:rPr>
          <w:rFonts w:eastAsia="SimSun"/>
          <w:lang w:eastAsia="zh-CN"/>
        </w:rPr>
        <w:t>.</w:t>
      </w:r>
      <w:r>
        <w:rPr>
          <w:rFonts w:eastAsia="SimSun"/>
          <w:lang w:eastAsia="zh-CN"/>
        </w:rPr>
        <w:t>1.1</w:t>
      </w:r>
      <w:r w:rsidRPr="001E343E">
        <w:rPr>
          <w:rFonts w:eastAsia="SimSun"/>
          <w:lang w:eastAsia="zh-CN"/>
        </w:rPr>
        <w:t>.</w:t>
      </w:r>
      <w:r>
        <w:rPr>
          <w:rFonts w:eastAsia="SimSun"/>
          <w:lang w:eastAsia="zh-CN"/>
        </w:rPr>
        <w:t>2 after "equivalent" the text "and are recognized by the competent authority</w:t>
      </w:r>
      <w:r>
        <w:t>"</w:t>
      </w:r>
      <w:r w:rsidR="00426BCC">
        <w:t xml:space="preserve"> </w:t>
      </w:r>
      <w:r w:rsidR="00426BCC" w:rsidRPr="00426BCC">
        <w:t>as is already the case for</w:t>
      </w:r>
      <w:r w:rsidR="00426BCC">
        <w:t xml:space="preserve"> </w:t>
      </w:r>
      <w:r w:rsidR="00580314">
        <w:t>packagings in 6.1.1.2</w:t>
      </w:r>
      <w:r w:rsidR="00E34B01">
        <w:t xml:space="preserve"> and 6.3.2.1 and for large packagings in 6.6.1.3</w:t>
      </w:r>
      <w:r>
        <w:t>.</w:t>
      </w:r>
    </w:p>
    <w:p w14:paraId="7BAA9647" w14:textId="3EA3DE10" w:rsidR="00F368ED" w:rsidRDefault="00F368ED" w:rsidP="00F368ED">
      <w:pPr>
        <w:pStyle w:val="H1G"/>
        <w:keepNext w:val="0"/>
        <w:keepLines w:val="0"/>
        <w:widowControl w:val="0"/>
      </w:pPr>
      <w:r>
        <w:tab/>
      </w:r>
      <w:r w:rsidR="003E731A">
        <w:t>J</w:t>
      </w:r>
      <w:r>
        <w:t>.</w:t>
      </w:r>
      <w:r>
        <w:tab/>
        <w:t>Chapter 6.9</w:t>
      </w:r>
      <w:r w:rsidR="004016FC" w:rsidRPr="004016FC">
        <w:t xml:space="preserve"> </w:t>
      </w:r>
      <w:r w:rsidR="004016FC">
        <w:t>on fibre-reinforced plastics (FRP) portable tanks</w:t>
      </w:r>
    </w:p>
    <w:p w14:paraId="672DF0F0" w14:textId="31E17A73" w:rsidR="00580314" w:rsidRDefault="00F368ED" w:rsidP="00884CA2">
      <w:pPr>
        <w:pStyle w:val="SingleTxtG"/>
        <w:rPr>
          <w:vertAlign w:val="superscript"/>
        </w:rPr>
      </w:pPr>
      <w:r>
        <w:t>2</w:t>
      </w:r>
      <w:r w:rsidR="007B07DC">
        <w:t>8</w:t>
      </w:r>
      <w:r>
        <w:t>.</w:t>
      </w:r>
      <w:r>
        <w:tab/>
        <w:t xml:space="preserve">The Working Group </w:t>
      </w:r>
      <w:r w:rsidR="00E92325" w:rsidRPr="00E92325">
        <w:t>wondered if th</w:t>
      </w:r>
      <w:r w:rsidR="00E92325">
        <w:t>e</w:t>
      </w:r>
      <w:r w:rsidR="00E92325" w:rsidRPr="00E92325">
        <w:t xml:space="preserve"> reference</w:t>
      </w:r>
      <w:r w:rsidR="00E92325">
        <w:t xml:space="preserve"> to “Class 3”</w:t>
      </w:r>
      <w:r w:rsidR="00E92325" w:rsidRPr="00E92325">
        <w:t xml:space="preserve"> </w:t>
      </w:r>
      <w:r w:rsidR="00884CA2">
        <w:t>in 6</w:t>
      </w:r>
      <w:r w:rsidR="00884CA2" w:rsidRPr="001E343E">
        <w:rPr>
          <w:rFonts w:eastAsia="SimSun"/>
          <w:lang w:eastAsia="zh-CN"/>
        </w:rPr>
        <w:t>.</w:t>
      </w:r>
      <w:r w:rsidR="00884CA2">
        <w:rPr>
          <w:rFonts w:eastAsia="SimSun"/>
          <w:lang w:eastAsia="zh-CN"/>
        </w:rPr>
        <w:t>9</w:t>
      </w:r>
      <w:r w:rsidR="00884CA2" w:rsidRPr="001E343E">
        <w:rPr>
          <w:rFonts w:eastAsia="SimSun"/>
          <w:lang w:eastAsia="zh-CN"/>
        </w:rPr>
        <w:t>.</w:t>
      </w:r>
      <w:r w:rsidR="00884CA2">
        <w:rPr>
          <w:rFonts w:eastAsia="SimSun"/>
          <w:lang w:eastAsia="zh-CN"/>
        </w:rPr>
        <w:t xml:space="preserve">2.2.3.14.1 </w:t>
      </w:r>
      <w:r w:rsidR="00E92325" w:rsidRPr="00E92325">
        <w:t>was appropriate</w:t>
      </w:r>
      <w:r w:rsidR="00E92325">
        <w:t xml:space="preserve"> </w:t>
      </w:r>
      <w:r w:rsidR="00EA0CF4">
        <w:t xml:space="preserve">as the provision should also apply to substances of other classes with a subsidiary flammability hazard </w:t>
      </w:r>
      <w:r w:rsidR="00E92325">
        <w:t xml:space="preserve">and decided to keep </w:t>
      </w:r>
      <w:r w:rsidR="00884CA2">
        <w:t>it</w:t>
      </w:r>
      <w:r w:rsidR="00EF3D9A">
        <w:t xml:space="preserve"> in square brackets</w:t>
      </w:r>
      <w:r w:rsidR="00E92325">
        <w:t xml:space="preserve"> pending confirmation by TDG Sub-Committee.</w:t>
      </w:r>
      <w:r w:rsidR="00EF3D9A" w:rsidRPr="00012935">
        <w:rPr>
          <w:vertAlign w:val="superscript"/>
        </w:rPr>
        <w:t>1</w:t>
      </w:r>
    </w:p>
    <w:p w14:paraId="29842B81" w14:textId="1BDC5095" w:rsidR="004016FC" w:rsidRDefault="004016FC" w:rsidP="004016FC">
      <w:pPr>
        <w:pStyle w:val="SingleTxtG"/>
      </w:pPr>
      <w:r>
        <w:t>29.</w:t>
      </w:r>
      <w:r>
        <w:tab/>
        <w:t>The Working Group discussed document ECE/TRANS/WP.15/AC.1/2021/5 on possible options to include the new provisions for FRP portable tanks and welcomed the proposal to transfer current Chapter 6.9 for RID/ADR tanks into a new Chapter 6.13 improved on the basis of the new provisions for FRP portable tanks as presented in ECE/TRANS/WP.15/AC.1/HAR/2021/3.</w:t>
      </w:r>
    </w:p>
    <w:p w14:paraId="4E85ADEF" w14:textId="5433119B" w:rsidR="004016FC" w:rsidRDefault="00794D72" w:rsidP="004016FC">
      <w:pPr>
        <w:pStyle w:val="SingleTxtG"/>
      </w:pPr>
      <w:r>
        <w:t>30</w:t>
      </w:r>
      <w:r w:rsidR="004016FC">
        <w:t>.</w:t>
      </w:r>
      <w:r w:rsidR="004016FC">
        <w:tab/>
        <w:t>It was recommended to set up an informal correspondence group (ICG) on FRP tanks to consider the best way forward for the development of the requirements on FRP tanks into RID/ADR, taking into account consequential amendments and avoiding duplication of text.  The ICG will discuss the issue on the basis of ECE/TRANS/WP.15/AC.1/HAR/2021/3 as revised by the representative of France with a view to present a proposal for review by the Tank Working Group at the autumn session of the Joint Meeting.</w:t>
      </w:r>
    </w:p>
    <w:p w14:paraId="43292B28" w14:textId="745F6377" w:rsidR="006D79D6" w:rsidRDefault="006D79D6" w:rsidP="006D79D6">
      <w:pPr>
        <w:pStyle w:val="H1G"/>
        <w:keepNext w:val="0"/>
        <w:keepLines w:val="0"/>
        <w:widowControl w:val="0"/>
      </w:pPr>
      <w:r>
        <w:tab/>
      </w:r>
      <w:r w:rsidR="003E731A">
        <w:t>K</w:t>
      </w:r>
      <w:r>
        <w:t>.</w:t>
      </w:r>
      <w:r>
        <w:tab/>
      </w:r>
      <w:r w:rsidR="0081365E">
        <w:t>Equipment for tanks and pressure receptacles</w:t>
      </w:r>
    </w:p>
    <w:p w14:paraId="36936D5D" w14:textId="28679DF9" w:rsidR="00C262A1" w:rsidRDefault="00794D72" w:rsidP="006D79D6">
      <w:pPr>
        <w:pStyle w:val="SingleTxtG"/>
      </w:pPr>
      <w:r>
        <w:t>31</w:t>
      </w:r>
      <w:r w:rsidR="006D79D6">
        <w:t>.</w:t>
      </w:r>
      <w:r w:rsidR="006D79D6">
        <w:tab/>
        <w:t xml:space="preserve">The Working Group </w:t>
      </w:r>
      <w:r w:rsidR="006003C7">
        <w:t xml:space="preserve">adopted the amendments in </w:t>
      </w:r>
      <w:r w:rsidR="0081365E">
        <w:t>ECE/TRANS/WP.15/AC.1/2020/65</w:t>
      </w:r>
      <w:r w:rsidR="008E3BA8">
        <w:t>.</w:t>
      </w:r>
      <w:r w:rsidR="00BA675A">
        <w:t xml:space="preserve"> </w:t>
      </w:r>
      <w:r w:rsidR="00BB1EB5">
        <w:t>It was</w:t>
      </w:r>
      <w:r w:rsidR="00BA675A">
        <w:t xml:space="preserve"> noted that</w:t>
      </w:r>
      <w:r w:rsidR="00F959F9">
        <w:t xml:space="preserve"> “cylinder shell” would be translated as “envelope de </w:t>
      </w:r>
      <w:r w:rsidR="00972D41">
        <w:t>bouteille</w:t>
      </w:r>
      <w:r w:rsidR="00F959F9">
        <w:t xml:space="preserve">” in </w:t>
      </w:r>
      <w:r w:rsidR="00637E6A">
        <w:t>the French version</w:t>
      </w:r>
      <w:r w:rsidR="00F959F9">
        <w:t>. It was also noted that</w:t>
      </w:r>
      <w:r w:rsidR="00637E6A">
        <w:t xml:space="preserve"> the term “</w:t>
      </w:r>
      <w:r w:rsidR="003718E5">
        <w:t xml:space="preserve">envelope” was already used </w:t>
      </w:r>
      <w:r w:rsidR="00C752F6">
        <w:t>in the translation of</w:t>
      </w:r>
      <w:r w:rsidR="00A23759">
        <w:t xml:space="preserve"> </w:t>
      </w:r>
      <w:r w:rsidR="00C752F6">
        <w:t>“</w:t>
      </w:r>
      <w:r w:rsidR="00C752F6">
        <w:rPr>
          <w:rFonts w:ascii="TimesNewRomanPSMT" w:hAnsi="TimesNewRomanPSMT" w:cs="TimesNewRomanPSMT"/>
        </w:rPr>
        <w:t>over-moulded</w:t>
      </w:r>
      <w:r w:rsidR="00C752F6">
        <w:t xml:space="preserve"> </w:t>
      </w:r>
      <w:r w:rsidR="00AB3986">
        <w:t>protective case</w:t>
      </w:r>
      <w:r w:rsidR="00C752F6">
        <w:t>”</w:t>
      </w:r>
      <w:r w:rsidR="00AB3986">
        <w:t xml:space="preserve"> </w:t>
      </w:r>
      <w:r w:rsidR="00C752F6">
        <w:t>for</w:t>
      </w:r>
      <w:r w:rsidR="00AB3986">
        <w:t xml:space="preserve"> </w:t>
      </w:r>
      <w:r w:rsidR="00A23759">
        <w:t xml:space="preserve">overmoulded cylinders. </w:t>
      </w:r>
      <w:r w:rsidR="00F959F9">
        <w:t xml:space="preserve">The Working Group agreed to </w:t>
      </w:r>
      <w:r w:rsidR="007C307B">
        <w:t>replace</w:t>
      </w:r>
      <w:r w:rsidR="00F959F9">
        <w:t xml:space="preserve"> the </w:t>
      </w:r>
      <w:r w:rsidR="007C307B">
        <w:t xml:space="preserve">term used </w:t>
      </w:r>
      <w:r w:rsidR="002607BF">
        <w:t>by “</w:t>
      </w:r>
      <w:r w:rsidR="00EF4047">
        <w:t>coque surmoulée”.</w:t>
      </w:r>
    </w:p>
    <w:p w14:paraId="3B84DDD8" w14:textId="2D193C0B" w:rsidR="000C5767" w:rsidRDefault="000C5767" w:rsidP="000C5767">
      <w:pPr>
        <w:pStyle w:val="H1G"/>
        <w:keepNext w:val="0"/>
        <w:keepLines w:val="0"/>
        <w:widowControl w:val="0"/>
      </w:pPr>
      <w:r>
        <w:tab/>
      </w:r>
      <w:r w:rsidR="003E731A">
        <w:t>L</w:t>
      </w:r>
      <w:r>
        <w:t>.</w:t>
      </w:r>
      <w:r>
        <w:tab/>
      </w:r>
      <w:r w:rsidR="0081365E">
        <w:t>Exemptions for lithium batteries of UN 3536</w:t>
      </w:r>
    </w:p>
    <w:p w14:paraId="733F7B50" w14:textId="13C4C179" w:rsidR="000C5767" w:rsidRDefault="000C5767" w:rsidP="000C5767">
      <w:pPr>
        <w:pStyle w:val="SingleTxtG"/>
      </w:pPr>
      <w:r>
        <w:t>3</w:t>
      </w:r>
      <w:r w:rsidR="00794D72">
        <w:t>2</w:t>
      </w:r>
      <w:r>
        <w:t>.</w:t>
      </w:r>
      <w:r>
        <w:tab/>
        <w:t xml:space="preserve">The Working Group adopted </w:t>
      </w:r>
      <w:r w:rsidR="0081365E">
        <w:t>the amendment</w:t>
      </w:r>
      <w:r w:rsidR="008D7B94">
        <w:t xml:space="preserve"> to </w:t>
      </w:r>
      <w:r w:rsidR="00E54741">
        <w:t>s</w:t>
      </w:r>
      <w:r w:rsidR="008D7B94">
        <w:t xml:space="preserve">pecial </w:t>
      </w:r>
      <w:r w:rsidR="00E54741">
        <w:t>p</w:t>
      </w:r>
      <w:r w:rsidR="008D7B94">
        <w:t xml:space="preserve">rovision </w:t>
      </w:r>
      <w:r w:rsidR="00EF1C7E">
        <w:t>389</w:t>
      </w:r>
      <w:r w:rsidR="0081365E">
        <w:t xml:space="preserve"> proposed in option 1 of document ECE/TRANS/WP.15/AC.1/2020/66</w:t>
      </w:r>
      <w:r w:rsidR="00EB55EB">
        <w:t>.</w:t>
      </w:r>
    </w:p>
    <w:p w14:paraId="25CCB765" w14:textId="0188ADCC" w:rsidR="00162897" w:rsidRDefault="00162897" w:rsidP="004016FC">
      <w:pPr>
        <w:pStyle w:val="H1G"/>
        <w:widowControl w:val="0"/>
      </w:pPr>
      <w:r>
        <w:lastRenderedPageBreak/>
        <w:tab/>
      </w:r>
      <w:r w:rsidR="004016FC">
        <w:t>M</w:t>
      </w:r>
      <w:r>
        <w:t>.</w:t>
      </w:r>
      <w:r>
        <w:tab/>
      </w:r>
      <w:r w:rsidR="00F34060">
        <w:t>UN 1012 Butylene</w:t>
      </w:r>
    </w:p>
    <w:p w14:paraId="39A45C8F" w14:textId="738024BA" w:rsidR="00162897" w:rsidRDefault="00162897" w:rsidP="004016FC">
      <w:pPr>
        <w:pStyle w:val="SingleTxtG"/>
        <w:keepNext/>
        <w:keepLines/>
      </w:pPr>
      <w:r>
        <w:t>3</w:t>
      </w:r>
      <w:r w:rsidR="00240FEE">
        <w:t>3</w:t>
      </w:r>
      <w:r>
        <w:t>.</w:t>
      </w:r>
      <w:r>
        <w:tab/>
      </w:r>
      <w:r w:rsidR="00666BCF">
        <w:t>Following the discussion of the Joint Meeting at its spring session on ECE/TRANS/WP.15/AC.1/2021/14 and informal document INF.38 t</w:t>
      </w:r>
      <w:r>
        <w:t xml:space="preserve">he Working Group </w:t>
      </w:r>
      <w:r w:rsidR="00666BCF">
        <w:t>adopted the amendments proposed in ECE/TRANS/WP.15/AC.1/HAR/2021/2 as amended.</w:t>
      </w:r>
    </w:p>
    <w:p w14:paraId="5642ECEC" w14:textId="7D7A1D01" w:rsidR="008110C7" w:rsidRPr="00CF5133" w:rsidRDefault="008110C7" w:rsidP="00BB7A78">
      <w:pPr>
        <w:pStyle w:val="HChG"/>
        <w:tabs>
          <w:tab w:val="left" w:pos="1134"/>
          <w:tab w:val="left" w:pos="1701"/>
          <w:tab w:val="left" w:pos="2268"/>
          <w:tab w:val="left" w:pos="2835"/>
          <w:tab w:val="center" w:pos="4252"/>
          <w:tab w:val="left" w:pos="4690"/>
        </w:tabs>
      </w:pPr>
      <w:r w:rsidRPr="00CF5133">
        <w:tab/>
        <w:t>II</w:t>
      </w:r>
      <w:r>
        <w:t>I</w:t>
      </w:r>
      <w:r w:rsidRPr="00CF5133">
        <w:t>.</w:t>
      </w:r>
      <w:r w:rsidRPr="00CF5133">
        <w:tab/>
      </w:r>
      <w:r w:rsidR="004A138E">
        <w:t>Other busines</w:t>
      </w:r>
      <w:r w:rsidR="00BB7A78">
        <w:t>s</w:t>
      </w:r>
    </w:p>
    <w:p w14:paraId="60880D92" w14:textId="2984787D" w:rsidR="008110C7" w:rsidRPr="004D041E" w:rsidRDefault="00666BCF" w:rsidP="008110C7">
      <w:pPr>
        <w:pStyle w:val="SingleTxtG"/>
      </w:pPr>
      <w:r>
        <w:t>3</w:t>
      </w:r>
      <w:r w:rsidR="00240FEE">
        <w:t>4</w:t>
      </w:r>
      <w:r w:rsidR="008110C7" w:rsidRPr="004D041E">
        <w:t>.</w:t>
      </w:r>
      <w:r w:rsidR="008110C7" w:rsidRPr="004D041E">
        <w:tab/>
      </w:r>
      <w:r w:rsidR="004A138E">
        <w:t>As no document had been submitted, no discussion took place under this agenda item.</w:t>
      </w:r>
    </w:p>
    <w:p w14:paraId="56C966DB" w14:textId="6A16E74C" w:rsidR="00733EF5" w:rsidRDefault="00733EF5" w:rsidP="00733EF5">
      <w:pPr>
        <w:pStyle w:val="HChG"/>
      </w:pPr>
      <w:r>
        <w:tab/>
        <w:t>I</w:t>
      </w:r>
      <w:r w:rsidR="00EB55EB">
        <w:t>V</w:t>
      </w:r>
      <w:r>
        <w:t>.</w:t>
      </w:r>
      <w:r>
        <w:tab/>
        <w:t xml:space="preserve">Adoption of the report </w:t>
      </w:r>
    </w:p>
    <w:p w14:paraId="077BD5E0" w14:textId="6EE5154F" w:rsidR="00733EF5" w:rsidRDefault="00666BCF" w:rsidP="00733EF5">
      <w:pPr>
        <w:pStyle w:val="SingleTxtG"/>
      </w:pPr>
      <w:r>
        <w:t>3</w:t>
      </w:r>
      <w:r w:rsidR="00240FEE">
        <w:t>5</w:t>
      </w:r>
      <w:r w:rsidR="00733EF5">
        <w:t>.</w:t>
      </w:r>
      <w:r w:rsidR="00733EF5">
        <w:tab/>
        <w:t>The Working Group adopted the report on its session by correspondence, based on a draft prepared by the secretariat</w:t>
      </w:r>
      <w:r w:rsidR="00033EED">
        <w:t>s</w:t>
      </w:r>
      <w:r w:rsidR="009D6C60">
        <w:t>,</w:t>
      </w:r>
      <w:r w:rsidR="008B4A52">
        <w:t xml:space="preserve"> including the d</w:t>
      </w:r>
      <w:r w:rsidR="008B4A52" w:rsidRPr="00FB737F">
        <w:t>raft amendments to RID/ADR/</w:t>
      </w:r>
      <w:r w:rsidR="008B4A52">
        <w:t xml:space="preserve">ADN </w:t>
      </w:r>
      <w:r w:rsidR="00A4689C">
        <w:t xml:space="preserve">as listed in </w:t>
      </w:r>
      <w:r w:rsidR="0052501B" w:rsidRPr="0052501B">
        <w:t>ECE/TRANS/WP.15/AC.1/2021/2</w:t>
      </w:r>
      <w:r w:rsidR="00DE6772">
        <w:t>4/Add.1</w:t>
      </w:r>
      <w:r w:rsidR="00733EF5">
        <w:t>.</w:t>
      </w:r>
    </w:p>
    <w:p w14:paraId="34C89E95" w14:textId="77777777" w:rsidR="00733EF5" w:rsidRPr="00733EF5" w:rsidRDefault="00733EF5" w:rsidP="00733EF5">
      <w:pPr>
        <w:spacing w:before="240"/>
        <w:jc w:val="center"/>
        <w:rPr>
          <w:u w:val="single"/>
        </w:rPr>
      </w:pPr>
      <w:r>
        <w:rPr>
          <w:u w:val="single"/>
        </w:rPr>
        <w:tab/>
      </w:r>
      <w:r>
        <w:rPr>
          <w:u w:val="single"/>
        </w:rPr>
        <w:tab/>
      </w:r>
      <w:r>
        <w:rPr>
          <w:u w:val="single"/>
        </w:rPr>
        <w:tab/>
      </w:r>
    </w:p>
    <w:p w14:paraId="3567951A" w14:textId="77777777" w:rsidR="00E97BAF" w:rsidRPr="00733EF5" w:rsidRDefault="00E97BAF" w:rsidP="00C411EB"/>
    <w:sectPr w:rsidR="00E97BAF" w:rsidRPr="00733EF5" w:rsidSect="00733EF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A2CCB" w14:textId="77777777" w:rsidR="009B3816" w:rsidRDefault="009B3816"/>
  </w:endnote>
  <w:endnote w:type="continuationSeparator" w:id="0">
    <w:p w14:paraId="236F6677" w14:textId="77777777" w:rsidR="009B3816" w:rsidRDefault="009B3816"/>
  </w:endnote>
  <w:endnote w:type="continuationNotice" w:id="1">
    <w:p w14:paraId="2D6A336C" w14:textId="77777777" w:rsidR="009B3816" w:rsidRDefault="009B3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3B5AC" w14:textId="77777777" w:rsidR="00733EF5" w:rsidRPr="00733EF5" w:rsidRDefault="00733EF5" w:rsidP="00733EF5">
    <w:pPr>
      <w:pStyle w:val="Pieddepage"/>
      <w:tabs>
        <w:tab w:val="right" w:pos="9638"/>
      </w:tabs>
      <w:rPr>
        <w:sz w:val="18"/>
      </w:rPr>
    </w:pPr>
    <w:r w:rsidRPr="00733EF5">
      <w:rPr>
        <w:b/>
        <w:sz w:val="18"/>
      </w:rPr>
      <w:fldChar w:fldCharType="begin"/>
    </w:r>
    <w:r w:rsidRPr="00733EF5">
      <w:rPr>
        <w:b/>
        <w:sz w:val="18"/>
      </w:rPr>
      <w:instrText xml:space="preserve"> PAGE  \* MERGEFORMAT </w:instrText>
    </w:r>
    <w:r w:rsidRPr="00733EF5">
      <w:rPr>
        <w:b/>
        <w:sz w:val="18"/>
      </w:rPr>
      <w:fldChar w:fldCharType="separate"/>
    </w:r>
    <w:r w:rsidRPr="00733EF5">
      <w:rPr>
        <w:b/>
        <w:noProof/>
        <w:sz w:val="18"/>
      </w:rPr>
      <w:t>2</w:t>
    </w:r>
    <w:r w:rsidRPr="00733EF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32BD5" w14:textId="77777777" w:rsidR="00733EF5" w:rsidRPr="00733EF5" w:rsidRDefault="00733EF5" w:rsidP="00733EF5">
    <w:pPr>
      <w:pStyle w:val="Pieddepage"/>
      <w:tabs>
        <w:tab w:val="right" w:pos="9638"/>
      </w:tabs>
      <w:rPr>
        <w:b/>
        <w:sz w:val="18"/>
      </w:rPr>
    </w:pPr>
    <w:r>
      <w:tab/>
    </w:r>
    <w:r w:rsidRPr="00733EF5">
      <w:rPr>
        <w:b/>
        <w:sz w:val="18"/>
      </w:rPr>
      <w:fldChar w:fldCharType="begin"/>
    </w:r>
    <w:r w:rsidRPr="00733EF5">
      <w:rPr>
        <w:b/>
        <w:sz w:val="18"/>
      </w:rPr>
      <w:instrText xml:space="preserve"> PAGE  \* MERGEFORMAT </w:instrText>
    </w:r>
    <w:r w:rsidRPr="00733EF5">
      <w:rPr>
        <w:b/>
        <w:sz w:val="18"/>
      </w:rPr>
      <w:fldChar w:fldCharType="separate"/>
    </w:r>
    <w:r w:rsidRPr="00733EF5">
      <w:rPr>
        <w:b/>
        <w:noProof/>
        <w:sz w:val="18"/>
      </w:rPr>
      <w:t>3</w:t>
    </w:r>
    <w:r w:rsidRPr="00733E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E2FD7" w14:textId="77777777" w:rsidR="0035223F" w:rsidRPr="00733EF5" w:rsidRDefault="00686A48">
    <w:pPr>
      <w:pStyle w:val="Pieddepage"/>
      <w:rPr>
        <w:sz w:val="20"/>
      </w:rPr>
    </w:pPr>
    <w:r>
      <w:rPr>
        <w:noProof/>
        <w:lang w:val="fr-CH" w:eastAsia="fr-CH"/>
      </w:rPr>
      <w:drawing>
        <wp:anchor distT="0" distB="0" distL="114300" distR="114300" simplePos="0" relativeHeight="251658240" behindDoc="0" locked="1" layoutInCell="1" allowOverlap="1" wp14:anchorId="0E48EEB7" wp14:editId="1EFAA8B1">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BC61A" w14:textId="77777777" w:rsidR="009B3816" w:rsidRPr="000B175B" w:rsidRDefault="009B3816" w:rsidP="000B175B">
      <w:pPr>
        <w:tabs>
          <w:tab w:val="right" w:pos="2155"/>
        </w:tabs>
        <w:spacing w:after="80"/>
        <w:ind w:left="680"/>
        <w:rPr>
          <w:u w:val="single"/>
        </w:rPr>
      </w:pPr>
      <w:r>
        <w:rPr>
          <w:u w:val="single"/>
        </w:rPr>
        <w:tab/>
      </w:r>
    </w:p>
  </w:footnote>
  <w:footnote w:type="continuationSeparator" w:id="0">
    <w:p w14:paraId="5DFABB43" w14:textId="77777777" w:rsidR="009B3816" w:rsidRPr="00FC68B7" w:rsidRDefault="009B3816" w:rsidP="00FC68B7">
      <w:pPr>
        <w:tabs>
          <w:tab w:val="left" w:pos="2155"/>
        </w:tabs>
        <w:spacing w:after="80"/>
        <w:ind w:left="680"/>
        <w:rPr>
          <w:u w:val="single"/>
        </w:rPr>
      </w:pPr>
      <w:r>
        <w:rPr>
          <w:u w:val="single"/>
        </w:rPr>
        <w:tab/>
      </w:r>
    </w:p>
  </w:footnote>
  <w:footnote w:type="continuationNotice" w:id="1">
    <w:p w14:paraId="46C5F3BD" w14:textId="77777777" w:rsidR="009B3816" w:rsidRDefault="009B3816"/>
  </w:footnote>
  <w:footnote w:id="2">
    <w:p w14:paraId="11264959" w14:textId="45445EC3" w:rsidR="00733EF5" w:rsidRPr="006774FA" w:rsidRDefault="00733EF5" w:rsidP="00733EF5">
      <w:pPr>
        <w:pStyle w:val="Notedebasdepage"/>
      </w:pPr>
      <w:r w:rsidRPr="006774FA">
        <w:tab/>
      </w:r>
      <w:r w:rsidRPr="006774FA">
        <w:rPr>
          <w:rStyle w:val="Appelnotedebasdep"/>
        </w:rPr>
        <w:t>*</w:t>
      </w:r>
      <w:r w:rsidRPr="006774FA">
        <w:t xml:space="preserve"> </w:t>
      </w:r>
      <w:r w:rsidRPr="006774FA">
        <w:tab/>
      </w:r>
      <w:r w:rsidR="00003CE7">
        <w:t>A/75/6 (Sect.20), para 20.51.</w:t>
      </w:r>
    </w:p>
  </w:footnote>
  <w:footnote w:id="3">
    <w:p w14:paraId="04D893E8" w14:textId="5B3779F9" w:rsidR="00733EF5" w:rsidRPr="006774FA" w:rsidRDefault="00733EF5" w:rsidP="00733EF5">
      <w:pPr>
        <w:pStyle w:val="Notedebasdepage"/>
      </w:pPr>
      <w:r w:rsidRPr="006774FA">
        <w:rPr>
          <w:sz w:val="20"/>
        </w:rPr>
        <w:tab/>
      </w:r>
      <w:r w:rsidRPr="006774FA">
        <w:rPr>
          <w:rStyle w:val="Appelnotedebasdep"/>
          <w:sz w:val="20"/>
        </w:rPr>
        <w:t>**</w:t>
      </w:r>
      <w:r w:rsidRPr="006774FA">
        <w:tab/>
      </w:r>
      <w:r w:rsidRPr="00733EF5">
        <w:t>Circulated by the Intergovernmental Organisation for International Carriage by Rail (OTIF) under the symbol OTIF/RID/RC/20</w:t>
      </w:r>
      <w:r w:rsidR="00003CE7">
        <w:t>2</w:t>
      </w:r>
      <w:r w:rsidRPr="00733EF5">
        <w:t>1/</w:t>
      </w:r>
      <w:r w:rsidR="006F42A5">
        <w:t>24</w:t>
      </w:r>
      <w:r w:rsidRPr="00733EF5">
        <w:t>.</w:t>
      </w:r>
    </w:p>
  </w:footnote>
  <w:footnote w:id="4">
    <w:p w14:paraId="24C70918" w14:textId="1C1B687B" w:rsidR="00BA5132" w:rsidRPr="00BA5132" w:rsidRDefault="002C76CB">
      <w:pPr>
        <w:pStyle w:val="Notedebasdepage"/>
        <w:rPr>
          <w:lang w:val="fr-CH"/>
        </w:rPr>
      </w:pPr>
      <w:r>
        <w:tab/>
      </w:r>
      <w:r w:rsidR="00BA5132">
        <w:rPr>
          <w:rStyle w:val="Appelnotedebasdep"/>
        </w:rPr>
        <w:footnoteRef/>
      </w:r>
      <w:r w:rsidR="00BA5132">
        <w:t xml:space="preserve"> </w:t>
      </w:r>
      <w:r w:rsidRPr="00615C81">
        <w:tab/>
        <w:t>Avai</w:t>
      </w:r>
      <w:r w:rsidR="00615C81" w:rsidRPr="00615C81">
        <w:t>l</w:t>
      </w:r>
      <w:r w:rsidRPr="00615C81">
        <w:t>a</w:t>
      </w:r>
      <w:r w:rsidR="00615C81" w:rsidRPr="00615C81">
        <w:t>b</w:t>
      </w:r>
      <w:r w:rsidRPr="00615C81">
        <w:t>le at:</w:t>
      </w:r>
      <w:r>
        <w:rPr>
          <w:lang w:val="fr-CH"/>
        </w:rPr>
        <w:t xml:space="preserve"> </w:t>
      </w:r>
      <w:r w:rsidRPr="002C76CB">
        <w:rPr>
          <w:lang w:val="fr-CH"/>
        </w:rPr>
        <w:t>https://unece.org/sites/default/files/2021-05/ST-SG-AC.10-C.3-2021-29e.pdf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F4B90" w14:textId="4B88E601" w:rsidR="00666BCF" w:rsidRPr="00733EF5" w:rsidRDefault="00DE6772" w:rsidP="000D34B6">
    <w:pPr>
      <w:pStyle w:val="En-tte"/>
    </w:pPr>
    <w:fldSimple w:instr=" TITLE  \* MERGEFORMAT ">
      <w:r w:rsidR="00E118B5">
        <w:t>ECE/TRANS/WP.15/AC.1/20</w:t>
      </w:r>
      <w:r w:rsidR="00CF5636">
        <w:t>21</w:t>
      </w:r>
      <w:r w:rsidR="00E118B5">
        <w:t>/</w:t>
      </w:r>
      <w:r w:rsidR="004C1372">
        <w:t>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74577793"/>
  <w:p w14:paraId="781942F3" w14:textId="74633E12" w:rsidR="00733EF5" w:rsidRPr="00733EF5" w:rsidRDefault="009B3816" w:rsidP="00733EF5">
    <w:pPr>
      <w:pStyle w:val="En-tte"/>
      <w:jc w:val="right"/>
    </w:pPr>
    <w:r>
      <w:fldChar w:fldCharType="begin"/>
    </w:r>
    <w:r>
      <w:instrText xml:space="preserve"> TITLE  \* MERGEFORMAT </w:instrText>
    </w:r>
    <w:r>
      <w:fldChar w:fldCharType="separate"/>
    </w:r>
    <w:r w:rsidR="00E118B5">
      <w:t>ECE/TRANS/WP.15/AC.1/20</w:t>
    </w:r>
    <w:r w:rsidR="00CF5636">
      <w:t>21</w:t>
    </w:r>
    <w:r w:rsidR="00E118B5">
      <w:t>/2</w:t>
    </w:r>
    <w:r w:rsidR="00CF5636">
      <w:t>4</w:t>
    </w:r>
    <w:r>
      <w:fldChar w:fldCharType="end"/>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BD94" w14:textId="1E656A62" w:rsidR="00E118B5" w:rsidRDefault="004C1372" w:rsidP="004C1372">
    <w:pPr>
      <w:pStyle w:val="En-tte"/>
      <w:tabs>
        <w:tab w:val="left" w:pos="66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F5"/>
    <w:rsid w:val="00002A7D"/>
    <w:rsid w:val="000038A8"/>
    <w:rsid w:val="00003CE7"/>
    <w:rsid w:val="00006790"/>
    <w:rsid w:val="00011C19"/>
    <w:rsid w:val="00012935"/>
    <w:rsid w:val="000163BD"/>
    <w:rsid w:val="00017E40"/>
    <w:rsid w:val="00027624"/>
    <w:rsid w:val="00033EED"/>
    <w:rsid w:val="00041509"/>
    <w:rsid w:val="00050F6B"/>
    <w:rsid w:val="00060752"/>
    <w:rsid w:val="000678CD"/>
    <w:rsid w:val="00072C8C"/>
    <w:rsid w:val="00074457"/>
    <w:rsid w:val="00076A3B"/>
    <w:rsid w:val="00081CE0"/>
    <w:rsid w:val="00084D30"/>
    <w:rsid w:val="00090320"/>
    <w:rsid w:val="00092D33"/>
    <w:rsid w:val="000931C0"/>
    <w:rsid w:val="0009732C"/>
    <w:rsid w:val="000A01F9"/>
    <w:rsid w:val="000A2E09"/>
    <w:rsid w:val="000A3425"/>
    <w:rsid w:val="000A5B32"/>
    <w:rsid w:val="000B175B"/>
    <w:rsid w:val="000B3A0F"/>
    <w:rsid w:val="000B3AD2"/>
    <w:rsid w:val="000B6020"/>
    <w:rsid w:val="000C5230"/>
    <w:rsid w:val="000C5394"/>
    <w:rsid w:val="000C5767"/>
    <w:rsid w:val="000D34B6"/>
    <w:rsid w:val="000D3B94"/>
    <w:rsid w:val="000D734A"/>
    <w:rsid w:val="000D7C52"/>
    <w:rsid w:val="000E0415"/>
    <w:rsid w:val="000E44BC"/>
    <w:rsid w:val="000F2EA7"/>
    <w:rsid w:val="000F334B"/>
    <w:rsid w:val="000F5D0C"/>
    <w:rsid w:val="000F7715"/>
    <w:rsid w:val="00105A82"/>
    <w:rsid w:val="00107991"/>
    <w:rsid w:val="00114802"/>
    <w:rsid w:val="00117AB5"/>
    <w:rsid w:val="00125A64"/>
    <w:rsid w:val="001274B1"/>
    <w:rsid w:val="00133394"/>
    <w:rsid w:val="00135E97"/>
    <w:rsid w:val="001417DD"/>
    <w:rsid w:val="00151EB7"/>
    <w:rsid w:val="001522D9"/>
    <w:rsid w:val="00156B99"/>
    <w:rsid w:val="00161D40"/>
    <w:rsid w:val="00162897"/>
    <w:rsid w:val="00166124"/>
    <w:rsid w:val="00176D75"/>
    <w:rsid w:val="00183CF0"/>
    <w:rsid w:val="00184D48"/>
    <w:rsid w:val="00184DDA"/>
    <w:rsid w:val="00186100"/>
    <w:rsid w:val="001900CD"/>
    <w:rsid w:val="00194413"/>
    <w:rsid w:val="001962BD"/>
    <w:rsid w:val="001A0452"/>
    <w:rsid w:val="001B42CE"/>
    <w:rsid w:val="001B4B04"/>
    <w:rsid w:val="001B5875"/>
    <w:rsid w:val="001B62FC"/>
    <w:rsid w:val="001C4B9C"/>
    <w:rsid w:val="001C6663"/>
    <w:rsid w:val="001C7895"/>
    <w:rsid w:val="001D26DF"/>
    <w:rsid w:val="001D43D5"/>
    <w:rsid w:val="001E1C64"/>
    <w:rsid w:val="001F1599"/>
    <w:rsid w:val="001F19C4"/>
    <w:rsid w:val="001F6951"/>
    <w:rsid w:val="001F7AB0"/>
    <w:rsid w:val="002043F0"/>
    <w:rsid w:val="00211E0B"/>
    <w:rsid w:val="00214C1D"/>
    <w:rsid w:val="00216CBA"/>
    <w:rsid w:val="00232575"/>
    <w:rsid w:val="00232EA1"/>
    <w:rsid w:val="00240FEE"/>
    <w:rsid w:val="002423F9"/>
    <w:rsid w:val="00247258"/>
    <w:rsid w:val="00251B3E"/>
    <w:rsid w:val="00252DAB"/>
    <w:rsid w:val="00253775"/>
    <w:rsid w:val="00257CAC"/>
    <w:rsid w:val="002607BF"/>
    <w:rsid w:val="00264441"/>
    <w:rsid w:val="0026793D"/>
    <w:rsid w:val="00267FAA"/>
    <w:rsid w:val="0027237A"/>
    <w:rsid w:val="00273F70"/>
    <w:rsid w:val="00275DBE"/>
    <w:rsid w:val="00296C61"/>
    <w:rsid w:val="002974E9"/>
    <w:rsid w:val="002A5F9C"/>
    <w:rsid w:val="002A7F94"/>
    <w:rsid w:val="002B109A"/>
    <w:rsid w:val="002B1107"/>
    <w:rsid w:val="002B7A86"/>
    <w:rsid w:val="002C27F5"/>
    <w:rsid w:val="002C2A59"/>
    <w:rsid w:val="002C6D45"/>
    <w:rsid w:val="002C76CB"/>
    <w:rsid w:val="002C7B1B"/>
    <w:rsid w:val="002C7FE8"/>
    <w:rsid w:val="002C7FF7"/>
    <w:rsid w:val="002D51D3"/>
    <w:rsid w:val="002D6E53"/>
    <w:rsid w:val="002E2680"/>
    <w:rsid w:val="002E3FBD"/>
    <w:rsid w:val="002F046D"/>
    <w:rsid w:val="002F3023"/>
    <w:rsid w:val="002F3029"/>
    <w:rsid w:val="00301764"/>
    <w:rsid w:val="00305747"/>
    <w:rsid w:val="003164D0"/>
    <w:rsid w:val="003229D8"/>
    <w:rsid w:val="00333193"/>
    <w:rsid w:val="00334435"/>
    <w:rsid w:val="00336C97"/>
    <w:rsid w:val="00337F88"/>
    <w:rsid w:val="00342432"/>
    <w:rsid w:val="00346228"/>
    <w:rsid w:val="0035223F"/>
    <w:rsid w:val="00352D4B"/>
    <w:rsid w:val="0035588A"/>
    <w:rsid w:val="00355AE5"/>
    <w:rsid w:val="0035638C"/>
    <w:rsid w:val="0036011A"/>
    <w:rsid w:val="00363ACC"/>
    <w:rsid w:val="003640CC"/>
    <w:rsid w:val="003718E5"/>
    <w:rsid w:val="00390B5A"/>
    <w:rsid w:val="00393C2B"/>
    <w:rsid w:val="003A29EB"/>
    <w:rsid w:val="003A4285"/>
    <w:rsid w:val="003A46BB"/>
    <w:rsid w:val="003A4EC7"/>
    <w:rsid w:val="003A7295"/>
    <w:rsid w:val="003B1F60"/>
    <w:rsid w:val="003B7601"/>
    <w:rsid w:val="003C2CC4"/>
    <w:rsid w:val="003D002D"/>
    <w:rsid w:val="003D4B23"/>
    <w:rsid w:val="003E032D"/>
    <w:rsid w:val="003E278A"/>
    <w:rsid w:val="003E6331"/>
    <w:rsid w:val="003E68AB"/>
    <w:rsid w:val="003E731A"/>
    <w:rsid w:val="003E7727"/>
    <w:rsid w:val="003F13EB"/>
    <w:rsid w:val="003F3AFB"/>
    <w:rsid w:val="004016FC"/>
    <w:rsid w:val="00406E7F"/>
    <w:rsid w:val="00413520"/>
    <w:rsid w:val="004239D1"/>
    <w:rsid w:val="00426BCC"/>
    <w:rsid w:val="004275CE"/>
    <w:rsid w:val="004325CB"/>
    <w:rsid w:val="004371F1"/>
    <w:rsid w:val="00440A07"/>
    <w:rsid w:val="00447CDE"/>
    <w:rsid w:val="00447FD6"/>
    <w:rsid w:val="00460930"/>
    <w:rsid w:val="00462880"/>
    <w:rsid w:val="00471474"/>
    <w:rsid w:val="00476F24"/>
    <w:rsid w:val="00483C2D"/>
    <w:rsid w:val="0048693E"/>
    <w:rsid w:val="004A138E"/>
    <w:rsid w:val="004A2CE5"/>
    <w:rsid w:val="004C1372"/>
    <w:rsid w:val="004C1859"/>
    <w:rsid w:val="004C55B0"/>
    <w:rsid w:val="004D4450"/>
    <w:rsid w:val="004D695B"/>
    <w:rsid w:val="004E138D"/>
    <w:rsid w:val="004E1A8E"/>
    <w:rsid w:val="004F2DED"/>
    <w:rsid w:val="004F6A43"/>
    <w:rsid w:val="004F6BA0"/>
    <w:rsid w:val="00503BEA"/>
    <w:rsid w:val="005169BF"/>
    <w:rsid w:val="0052501B"/>
    <w:rsid w:val="00525A37"/>
    <w:rsid w:val="0052610C"/>
    <w:rsid w:val="00533616"/>
    <w:rsid w:val="005346BC"/>
    <w:rsid w:val="00535ABA"/>
    <w:rsid w:val="0053768B"/>
    <w:rsid w:val="005420F2"/>
    <w:rsid w:val="0054285C"/>
    <w:rsid w:val="005451B4"/>
    <w:rsid w:val="0055316D"/>
    <w:rsid w:val="00554922"/>
    <w:rsid w:val="00561625"/>
    <w:rsid w:val="00576EBF"/>
    <w:rsid w:val="00580314"/>
    <w:rsid w:val="00583F7F"/>
    <w:rsid w:val="00584173"/>
    <w:rsid w:val="00594BA5"/>
    <w:rsid w:val="00595520"/>
    <w:rsid w:val="005A44B9"/>
    <w:rsid w:val="005A7222"/>
    <w:rsid w:val="005B0B18"/>
    <w:rsid w:val="005B1BA0"/>
    <w:rsid w:val="005B3DB3"/>
    <w:rsid w:val="005B5BC1"/>
    <w:rsid w:val="005C22AC"/>
    <w:rsid w:val="005C7E58"/>
    <w:rsid w:val="005D15CA"/>
    <w:rsid w:val="005D514E"/>
    <w:rsid w:val="005D5563"/>
    <w:rsid w:val="005D7969"/>
    <w:rsid w:val="005E22B0"/>
    <w:rsid w:val="005F08DF"/>
    <w:rsid w:val="005F1FAD"/>
    <w:rsid w:val="005F3066"/>
    <w:rsid w:val="005F3125"/>
    <w:rsid w:val="005F3E61"/>
    <w:rsid w:val="006003C7"/>
    <w:rsid w:val="00601E8E"/>
    <w:rsid w:val="0060255C"/>
    <w:rsid w:val="00604DDD"/>
    <w:rsid w:val="006070ED"/>
    <w:rsid w:val="006115CC"/>
    <w:rsid w:val="00611FC4"/>
    <w:rsid w:val="00615C81"/>
    <w:rsid w:val="006176FB"/>
    <w:rsid w:val="006206A1"/>
    <w:rsid w:val="0062078B"/>
    <w:rsid w:val="006253D4"/>
    <w:rsid w:val="00630FCB"/>
    <w:rsid w:val="00633A2A"/>
    <w:rsid w:val="00633A3F"/>
    <w:rsid w:val="00633D71"/>
    <w:rsid w:val="006355F1"/>
    <w:rsid w:val="00637E6A"/>
    <w:rsid w:val="00640B26"/>
    <w:rsid w:val="00641881"/>
    <w:rsid w:val="00641B9A"/>
    <w:rsid w:val="00647037"/>
    <w:rsid w:val="0065007C"/>
    <w:rsid w:val="0065234A"/>
    <w:rsid w:val="0065766B"/>
    <w:rsid w:val="00666BCF"/>
    <w:rsid w:val="006770B2"/>
    <w:rsid w:val="006818F7"/>
    <w:rsid w:val="00685B53"/>
    <w:rsid w:val="00686A48"/>
    <w:rsid w:val="00687F41"/>
    <w:rsid w:val="00690404"/>
    <w:rsid w:val="00692D57"/>
    <w:rsid w:val="006940E1"/>
    <w:rsid w:val="00697744"/>
    <w:rsid w:val="006A3C72"/>
    <w:rsid w:val="006A7392"/>
    <w:rsid w:val="006B03A1"/>
    <w:rsid w:val="006B0F46"/>
    <w:rsid w:val="006B67D9"/>
    <w:rsid w:val="006C1913"/>
    <w:rsid w:val="006C5535"/>
    <w:rsid w:val="006D0589"/>
    <w:rsid w:val="006D16AB"/>
    <w:rsid w:val="006D2E97"/>
    <w:rsid w:val="006D79D6"/>
    <w:rsid w:val="006E564B"/>
    <w:rsid w:val="006E6D93"/>
    <w:rsid w:val="006E7154"/>
    <w:rsid w:val="006F2CC8"/>
    <w:rsid w:val="006F42A5"/>
    <w:rsid w:val="006F6C10"/>
    <w:rsid w:val="00700070"/>
    <w:rsid w:val="007003CD"/>
    <w:rsid w:val="0070701E"/>
    <w:rsid w:val="007108F2"/>
    <w:rsid w:val="00710A36"/>
    <w:rsid w:val="00714FE8"/>
    <w:rsid w:val="007201B6"/>
    <w:rsid w:val="0072632A"/>
    <w:rsid w:val="0073396D"/>
    <w:rsid w:val="00733EF5"/>
    <w:rsid w:val="007358E8"/>
    <w:rsid w:val="00736ECE"/>
    <w:rsid w:val="0074533B"/>
    <w:rsid w:val="007643BC"/>
    <w:rsid w:val="00780C68"/>
    <w:rsid w:val="00781592"/>
    <w:rsid w:val="00794D72"/>
    <w:rsid w:val="0079520E"/>
    <w:rsid w:val="007959FE"/>
    <w:rsid w:val="007A0CF1"/>
    <w:rsid w:val="007A3B2F"/>
    <w:rsid w:val="007A431E"/>
    <w:rsid w:val="007A478E"/>
    <w:rsid w:val="007A62FA"/>
    <w:rsid w:val="007B07DC"/>
    <w:rsid w:val="007B6BA5"/>
    <w:rsid w:val="007C307B"/>
    <w:rsid w:val="007C3390"/>
    <w:rsid w:val="007C3B2E"/>
    <w:rsid w:val="007C40CA"/>
    <w:rsid w:val="007C42D8"/>
    <w:rsid w:val="007C4DCD"/>
    <w:rsid w:val="007C4F4B"/>
    <w:rsid w:val="007D5423"/>
    <w:rsid w:val="007D7362"/>
    <w:rsid w:val="007E147F"/>
    <w:rsid w:val="007E6B55"/>
    <w:rsid w:val="007E7271"/>
    <w:rsid w:val="007E74D1"/>
    <w:rsid w:val="007F5CE2"/>
    <w:rsid w:val="007F6611"/>
    <w:rsid w:val="00800522"/>
    <w:rsid w:val="00810BAC"/>
    <w:rsid w:val="008110C7"/>
    <w:rsid w:val="00812854"/>
    <w:rsid w:val="0081365E"/>
    <w:rsid w:val="008175E9"/>
    <w:rsid w:val="008242D7"/>
    <w:rsid w:val="0082577B"/>
    <w:rsid w:val="008272DD"/>
    <w:rsid w:val="0083410A"/>
    <w:rsid w:val="008450B9"/>
    <w:rsid w:val="00853823"/>
    <w:rsid w:val="00865706"/>
    <w:rsid w:val="00866893"/>
    <w:rsid w:val="00866F02"/>
    <w:rsid w:val="00867D18"/>
    <w:rsid w:val="00871814"/>
    <w:rsid w:val="00871F9A"/>
    <w:rsid w:val="00871FD5"/>
    <w:rsid w:val="008733BE"/>
    <w:rsid w:val="00880705"/>
    <w:rsid w:val="0088172E"/>
    <w:rsid w:val="00881EFA"/>
    <w:rsid w:val="00884CA2"/>
    <w:rsid w:val="008879CB"/>
    <w:rsid w:val="00890466"/>
    <w:rsid w:val="00890AF6"/>
    <w:rsid w:val="00895F1B"/>
    <w:rsid w:val="008979B1"/>
    <w:rsid w:val="008A1C5C"/>
    <w:rsid w:val="008A6B25"/>
    <w:rsid w:val="008A6C4F"/>
    <w:rsid w:val="008A77AE"/>
    <w:rsid w:val="008B389E"/>
    <w:rsid w:val="008B4A52"/>
    <w:rsid w:val="008D045E"/>
    <w:rsid w:val="008D1146"/>
    <w:rsid w:val="008D1C11"/>
    <w:rsid w:val="008D3F25"/>
    <w:rsid w:val="008D4603"/>
    <w:rsid w:val="008D4D82"/>
    <w:rsid w:val="008D7B94"/>
    <w:rsid w:val="008D7CB3"/>
    <w:rsid w:val="008E0E46"/>
    <w:rsid w:val="008E3BA8"/>
    <w:rsid w:val="008E3BAC"/>
    <w:rsid w:val="008E7116"/>
    <w:rsid w:val="008F143B"/>
    <w:rsid w:val="008F3882"/>
    <w:rsid w:val="008F4B7C"/>
    <w:rsid w:val="008F7B81"/>
    <w:rsid w:val="00914181"/>
    <w:rsid w:val="009149AE"/>
    <w:rsid w:val="009256FE"/>
    <w:rsid w:val="00926E47"/>
    <w:rsid w:val="00931167"/>
    <w:rsid w:val="0093511B"/>
    <w:rsid w:val="009361B0"/>
    <w:rsid w:val="009407A5"/>
    <w:rsid w:val="0094249A"/>
    <w:rsid w:val="00947162"/>
    <w:rsid w:val="009534A1"/>
    <w:rsid w:val="009610D0"/>
    <w:rsid w:val="0096375C"/>
    <w:rsid w:val="009656D1"/>
    <w:rsid w:val="009662E6"/>
    <w:rsid w:val="0097095E"/>
    <w:rsid w:val="00972D41"/>
    <w:rsid w:val="0098592B"/>
    <w:rsid w:val="00985FC4"/>
    <w:rsid w:val="00990766"/>
    <w:rsid w:val="00991261"/>
    <w:rsid w:val="009964C4"/>
    <w:rsid w:val="00996785"/>
    <w:rsid w:val="009A0D4B"/>
    <w:rsid w:val="009A574C"/>
    <w:rsid w:val="009A5AA4"/>
    <w:rsid w:val="009A7B81"/>
    <w:rsid w:val="009B10E0"/>
    <w:rsid w:val="009B253E"/>
    <w:rsid w:val="009B3816"/>
    <w:rsid w:val="009C6008"/>
    <w:rsid w:val="009D01C0"/>
    <w:rsid w:val="009D4814"/>
    <w:rsid w:val="009D4A16"/>
    <w:rsid w:val="009D6A08"/>
    <w:rsid w:val="009D6C60"/>
    <w:rsid w:val="009E02FD"/>
    <w:rsid w:val="009E0A16"/>
    <w:rsid w:val="009E6CB7"/>
    <w:rsid w:val="009E7970"/>
    <w:rsid w:val="009F2EAC"/>
    <w:rsid w:val="009F57E3"/>
    <w:rsid w:val="00A03CB2"/>
    <w:rsid w:val="00A06ED1"/>
    <w:rsid w:val="00A10F4F"/>
    <w:rsid w:val="00A11067"/>
    <w:rsid w:val="00A1704A"/>
    <w:rsid w:val="00A2153B"/>
    <w:rsid w:val="00A23759"/>
    <w:rsid w:val="00A255D4"/>
    <w:rsid w:val="00A339D3"/>
    <w:rsid w:val="00A37559"/>
    <w:rsid w:val="00A41B1B"/>
    <w:rsid w:val="00A425EB"/>
    <w:rsid w:val="00A4689C"/>
    <w:rsid w:val="00A548F5"/>
    <w:rsid w:val="00A5545D"/>
    <w:rsid w:val="00A558E2"/>
    <w:rsid w:val="00A603BF"/>
    <w:rsid w:val="00A72746"/>
    <w:rsid w:val="00A72F22"/>
    <w:rsid w:val="00A733BC"/>
    <w:rsid w:val="00A748A6"/>
    <w:rsid w:val="00A76A69"/>
    <w:rsid w:val="00A879A4"/>
    <w:rsid w:val="00A907F0"/>
    <w:rsid w:val="00A931EF"/>
    <w:rsid w:val="00A940C5"/>
    <w:rsid w:val="00AA0630"/>
    <w:rsid w:val="00AA0FF8"/>
    <w:rsid w:val="00AB35AA"/>
    <w:rsid w:val="00AB3986"/>
    <w:rsid w:val="00AC0F2C"/>
    <w:rsid w:val="00AC502A"/>
    <w:rsid w:val="00AD375A"/>
    <w:rsid w:val="00AF0036"/>
    <w:rsid w:val="00AF4B1C"/>
    <w:rsid w:val="00AF58C1"/>
    <w:rsid w:val="00B00B82"/>
    <w:rsid w:val="00B04A3F"/>
    <w:rsid w:val="00B06643"/>
    <w:rsid w:val="00B10490"/>
    <w:rsid w:val="00B15055"/>
    <w:rsid w:val="00B20551"/>
    <w:rsid w:val="00B27A36"/>
    <w:rsid w:val="00B30179"/>
    <w:rsid w:val="00B31620"/>
    <w:rsid w:val="00B3382A"/>
    <w:rsid w:val="00B33FC7"/>
    <w:rsid w:val="00B349EE"/>
    <w:rsid w:val="00B37B15"/>
    <w:rsid w:val="00B45C02"/>
    <w:rsid w:val="00B6224C"/>
    <w:rsid w:val="00B6578E"/>
    <w:rsid w:val="00B70B63"/>
    <w:rsid w:val="00B72A1E"/>
    <w:rsid w:val="00B77785"/>
    <w:rsid w:val="00B81CCE"/>
    <w:rsid w:val="00B81E12"/>
    <w:rsid w:val="00BA339B"/>
    <w:rsid w:val="00BA5132"/>
    <w:rsid w:val="00BA675A"/>
    <w:rsid w:val="00BA7768"/>
    <w:rsid w:val="00BB1EB5"/>
    <w:rsid w:val="00BB23CC"/>
    <w:rsid w:val="00BB7A78"/>
    <w:rsid w:val="00BC1E7E"/>
    <w:rsid w:val="00BC54BB"/>
    <w:rsid w:val="00BC74E9"/>
    <w:rsid w:val="00BD4DC1"/>
    <w:rsid w:val="00BE36A9"/>
    <w:rsid w:val="00BE4569"/>
    <w:rsid w:val="00BE618E"/>
    <w:rsid w:val="00BE7BEC"/>
    <w:rsid w:val="00BF0A5A"/>
    <w:rsid w:val="00BF0E63"/>
    <w:rsid w:val="00BF12A3"/>
    <w:rsid w:val="00BF16D7"/>
    <w:rsid w:val="00BF2373"/>
    <w:rsid w:val="00BF649F"/>
    <w:rsid w:val="00C0004A"/>
    <w:rsid w:val="00C0294F"/>
    <w:rsid w:val="00C044E2"/>
    <w:rsid w:val="00C048CB"/>
    <w:rsid w:val="00C066F3"/>
    <w:rsid w:val="00C11933"/>
    <w:rsid w:val="00C20021"/>
    <w:rsid w:val="00C21E13"/>
    <w:rsid w:val="00C24605"/>
    <w:rsid w:val="00C262A1"/>
    <w:rsid w:val="00C408B7"/>
    <w:rsid w:val="00C411EB"/>
    <w:rsid w:val="00C463DD"/>
    <w:rsid w:val="00C63115"/>
    <w:rsid w:val="00C7001B"/>
    <w:rsid w:val="00C745C3"/>
    <w:rsid w:val="00C752F6"/>
    <w:rsid w:val="00C83F53"/>
    <w:rsid w:val="00C9233B"/>
    <w:rsid w:val="00C93D80"/>
    <w:rsid w:val="00C978F5"/>
    <w:rsid w:val="00CA124E"/>
    <w:rsid w:val="00CA24A4"/>
    <w:rsid w:val="00CB348D"/>
    <w:rsid w:val="00CC3431"/>
    <w:rsid w:val="00CC5777"/>
    <w:rsid w:val="00CD0040"/>
    <w:rsid w:val="00CD1107"/>
    <w:rsid w:val="00CD212E"/>
    <w:rsid w:val="00CD46F5"/>
    <w:rsid w:val="00CE4A8F"/>
    <w:rsid w:val="00CE78F6"/>
    <w:rsid w:val="00CF071D"/>
    <w:rsid w:val="00CF3D5B"/>
    <w:rsid w:val="00CF5636"/>
    <w:rsid w:val="00D0123D"/>
    <w:rsid w:val="00D019CD"/>
    <w:rsid w:val="00D01B0C"/>
    <w:rsid w:val="00D03EDF"/>
    <w:rsid w:val="00D108D2"/>
    <w:rsid w:val="00D10F92"/>
    <w:rsid w:val="00D1118E"/>
    <w:rsid w:val="00D15B04"/>
    <w:rsid w:val="00D2031B"/>
    <w:rsid w:val="00D25FE2"/>
    <w:rsid w:val="00D27EA9"/>
    <w:rsid w:val="00D368BE"/>
    <w:rsid w:val="00D37DA9"/>
    <w:rsid w:val="00D40135"/>
    <w:rsid w:val="00D406A7"/>
    <w:rsid w:val="00D40765"/>
    <w:rsid w:val="00D43252"/>
    <w:rsid w:val="00D44D86"/>
    <w:rsid w:val="00D50B7D"/>
    <w:rsid w:val="00D52012"/>
    <w:rsid w:val="00D53CD1"/>
    <w:rsid w:val="00D5778D"/>
    <w:rsid w:val="00D61591"/>
    <w:rsid w:val="00D67975"/>
    <w:rsid w:val="00D704E5"/>
    <w:rsid w:val="00D71B69"/>
    <w:rsid w:val="00D72727"/>
    <w:rsid w:val="00D83204"/>
    <w:rsid w:val="00D84F64"/>
    <w:rsid w:val="00D978C6"/>
    <w:rsid w:val="00DA0956"/>
    <w:rsid w:val="00DA357F"/>
    <w:rsid w:val="00DA3E12"/>
    <w:rsid w:val="00DA72D2"/>
    <w:rsid w:val="00DB33C4"/>
    <w:rsid w:val="00DC18AD"/>
    <w:rsid w:val="00DD2E34"/>
    <w:rsid w:val="00DE09FC"/>
    <w:rsid w:val="00DE6772"/>
    <w:rsid w:val="00DE7F46"/>
    <w:rsid w:val="00DF7819"/>
    <w:rsid w:val="00DF7CAE"/>
    <w:rsid w:val="00E04C27"/>
    <w:rsid w:val="00E118B5"/>
    <w:rsid w:val="00E16009"/>
    <w:rsid w:val="00E315C7"/>
    <w:rsid w:val="00E34935"/>
    <w:rsid w:val="00E34B01"/>
    <w:rsid w:val="00E423C0"/>
    <w:rsid w:val="00E50303"/>
    <w:rsid w:val="00E54741"/>
    <w:rsid w:val="00E6414C"/>
    <w:rsid w:val="00E7260F"/>
    <w:rsid w:val="00E84D55"/>
    <w:rsid w:val="00E8702D"/>
    <w:rsid w:val="00E879D0"/>
    <w:rsid w:val="00E905F4"/>
    <w:rsid w:val="00E916A9"/>
    <w:rsid w:val="00E916DE"/>
    <w:rsid w:val="00E92325"/>
    <w:rsid w:val="00E925AD"/>
    <w:rsid w:val="00E94A23"/>
    <w:rsid w:val="00E96630"/>
    <w:rsid w:val="00E97BAF"/>
    <w:rsid w:val="00EA0A5B"/>
    <w:rsid w:val="00EA0CF4"/>
    <w:rsid w:val="00EB216B"/>
    <w:rsid w:val="00EB55EB"/>
    <w:rsid w:val="00EC7345"/>
    <w:rsid w:val="00ED18DC"/>
    <w:rsid w:val="00ED2279"/>
    <w:rsid w:val="00ED4A88"/>
    <w:rsid w:val="00ED5E62"/>
    <w:rsid w:val="00ED6201"/>
    <w:rsid w:val="00ED7A2A"/>
    <w:rsid w:val="00EE0092"/>
    <w:rsid w:val="00EE565C"/>
    <w:rsid w:val="00EF02C8"/>
    <w:rsid w:val="00EF1C7E"/>
    <w:rsid w:val="00EF1D7F"/>
    <w:rsid w:val="00EF3D9A"/>
    <w:rsid w:val="00EF4047"/>
    <w:rsid w:val="00F0137E"/>
    <w:rsid w:val="00F0446A"/>
    <w:rsid w:val="00F17524"/>
    <w:rsid w:val="00F20B8E"/>
    <w:rsid w:val="00F21786"/>
    <w:rsid w:val="00F24306"/>
    <w:rsid w:val="00F31D41"/>
    <w:rsid w:val="00F34060"/>
    <w:rsid w:val="00F36549"/>
    <w:rsid w:val="00F368ED"/>
    <w:rsid w:val="00F3742B"/>
    <w:rsid w:val="00F41FDB"/>
    <w:rsid w:val="00F50596"/>
    <w:rsid w:val="00F50F23"/>
    <w:rsid w:val="00F56D63"/>
    <w:rsid w:val="00F609A9"/>
    <w:rsid w:val="00F63F6B"/>
    <w:rsid w:val="00F663BD"/>
    <w:rsid w:val="00F7224E"/>
    <w:rsid w:val="00F725C7"/>
    <w:rsid w:val="00F74E3A"/>
    <w:rsid w:val="00F75D07"/>
    <w:rsid w:val="00F76AD2"/>
    <w:rsid w:val="00F80C99"/>
    <w:rsid w:val="00F82AC7"/>
    <w:rsid w:val="00F8425A"/>
    <w:rsid w:val="00F867EC"/>
    <w:rsid w:val="00F91B2B"/>
    <w:rsid w:val="00F933E2"/>
    <w:rsid w:val="00F959F9"/>
    <w:rsid w:val="00FA36D1"/>
    <w:rsid w:val="00FA4025"/>
    <w:rsid w:val="00FB0796"/>
    <w:rsid w:val="00FB21C6"/>
    <w:rsid w:val="00FB4A23"/>
    <w:rsid w:val="00FC03CD"/>
    <w:rsid w:val="00FC0646"/>
    <w:rsid w:val="00FC6636"/>
    <w:rsid w:val="00FC68B7"/>
    <w:rsid w:val="00FE08DD"/>
    <w:rsid w:val="00FE6985"/>
    <w:rsid w:val="00FF0D96"/>
    <w:rsid w:val="00FF33F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AF63CA"/>
  <w15:docId w15:val="{72EC2FA5-16EE-4164-98E3-3E680EF2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Titre1">
    <w:name w:val="heading 1"/>
    <w:aliases w:val="Table_G"/>
    <w:basedOn w:val="SingleTxtG"/>
    <w:next w:val="SingleTxtG"/>
    <w:qFormat/>
    <w:rsid w:val="00E925AD"/>
    <w:pPr>
      <w:spacing w:after="0" w:line="240" w:lineRule="auto"/>
      <w:ind w:right="0"/>
      <w:jc w:val="left"/>
      <w:outlineLvl w:val="0"/>
    </w:pPr>
  </w:style>
  <w:style w:type="paragraph" w:styleId="Titre2">
    <w:name w:val="heading 2"/>
    <w:basedOn w:val="Normal"/>
    <w:next w:val="Normal"/>
    <w:semiHidden/>
    <w:qFormat/>
    <w:rsid w:val="00E925AD"/>
    <w:pPr>
      <w:spacing w:line="240" w:lineRule="auto"/>
      <w:outlineLvl w:val="1"/>
    </w:pPr>
  </w:style>
  <w:style w:type="paragraph" w:styleId="Titre3">
    <w:name w:val="heading 3"/>
    <w:basedOn w:val="Normal"/>
    <w:next w:val="Normal"/>
    <w:semiHidden/>
    <w:qFormat/>
    <w:rsid w:val="00E925AD"/>
    <w:pPr>
      <w:spacing w:line="240" w:lineRule="auto"/>
      <w:outlineLvl w:val="2"/>
    </w:pPr>
  </w:style>
  <w:style w:type="paragraph" w:styleId="Titre4">
    <w:name w:val="heading 4"/>
    <w:basedOn w:val="Normal"/>
    <w:next w:val="Normal"/>
    <w:semiHidden/>
    <w:qFormat/>
    <w:rsid w:val="00E925AD"/>
    <w:pPr>
      <w:spacing w:line="240" w:lineRule="auto"/>
      <w:outlineLvl w:val="3"/>
    </w:pPr>
  </w:style>
  <w:style w:type="paragraph" w:styleId="Titre5">
    <w:name w:val="heading 5"/>
    <w:basedOn w:val="Normal"/>
    <w:next w:val="Normal"/>
    <w:semiHidden/>
    <w:qFormat/>
    <w:rsid w:val="00E925AD"/>
    <w:pPr>
      <w:spacing w:line="240" w:lineRule="auto"/>
      <w:outlineLvl w:val="4"/>
    </w:pPr>
  </w:style>
  <w:style w:type="paragraph" w:styleId="Titre6">
    <w:name w:val="heading 6"/>
    <w:basedOn w:val="Normal"/>
    <w:next w:val="Normal"/>
    <w:semiHidden/>
    <w:qFormat/>
    <w:rsid w:val="00E925AD"/>
    <w:pPr>
      <w:spacing w:line="240" w:lineRule="auto"/>
      <w:outlineLvl w:val="5"/>
    </w:pPr>
  </w:style>
  <w:style w:type="paragraph" w:styleId="Titre7">
    <w:name w:val="heading 7"/>
    <w:basedOn w:val="Normal"/>
    <w:next w:val="Normal"/>
    <w:semiHidden/>
    <w:qFormat/>
    <w:rsid w:val="00E925AD"/>
    <w:pPr>
      <w:spacing w:line="240" w:lineRule="auto"/>
      <w:outlineLvl w:val="6"/>
    </w:pPr>
  </w:style>
  <w:style w:type="paragraph" w:styleId="Titre8">
    <w:name w:val="heading 8"/>
    <w:basedOn w:val="Normal"/>
    <w:next w:val="Normal"/>
    <w:semiHidden/>
    <w:qFormat/>
    <w:rsid w:val="00E925AD"/>
    <w:pPr>
      <w:spacing w:line="240" w:lineRule="auto"/>
      <w:outlineLvl w:val="7"/>
    </w:pPr>
  </w:style>
  <w:style w:type="paragraph" w:styleId="Titre9">
    <w:name w:val="heading 9"/>
    <w:basedOn w:val="Normal"/>
    <w:next w:val="Normal"/>
    <w:semiHidden/>
    <w:qFormat/>
    <w:rsid w:val="00E925A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Appeldenotedefin">
    <w:name w:val="endnote reference"/>
    <w:aliases w:val="1_G"/>
    <w:basedOn w:val="Appelnotedebasdep"/>
    <w:qFormat/>
    <w:rsid w:val="00E925AD"/>
    <w:rPr>
      <w:rFonts w:ascii="Times New Roman" w:hAnsi="Times New Roman"/>
      <w:sz w:val="18"/>
      <w:vertAlign w:val="superscript"/>
    </w:rPr>
  </w:style>
  <w:style w:type="character" w:styleId="Appelnotedebasdep">
    <w:name w:val="footnote reference"/>
    <w:aliases w:val="4_G,Footnote Reference/"/>
    <w:basedOn w:val="Policepardfaut"/>
    <w:qFormat/>
    <w:rsid w:val="00E925AD"/>
    <w:rPr>
      <w:rFonts w:ascii="Times New Roman" w:hAnsi="Times New Roman"/>
      <w:sz w:val="18"/>
      <w:vertAlign w:val="superscript"/>
    </w:rPr>
  </w:style>
  <w:style w:type="paragraph" w:styleId="Notedebasdepage">
    <w:name w:val="footnote text"/>
    <w:aliases w:val="5_G"/>
    <w:basedOn w:val="Normal"/>
    <w:link w:val="NotedebasdepageC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Notedefin">
    <w:name w:val="endnote text"/>
    <w:aliases w:val="2_G"/>
    <w:basedOn w:val="Notedebasdepage"/>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Lienhypertexte">
    <w:name w:val="Hyperlink"/>
    <w:basedOn w:val="Policepardfaut"/>
    <w:rsid w:val="008A77AE"/>
    <w:rPr>
      <w:color w:val="0000FF"/>
      <w:u w:val="none"/>
    </w:rPr>
  </w:style>
  <w:style w:type="paragraph" w:styleId="Pieddepage">
    <w:name w:val="footer"/>
    <w:aliases w:val="3_G"/>
    <w:basedOn w:val="Normal"/>
    <w:qFormat/>
    <w:rsid w:val="00E925AD"/>
    <w:pPr>
      <w:spacing w:line="240" w:lineRule="auto"/>
    </w:pPr>
    <w:rPr>
      <w:sz w:val="16"/>
    </w:rPr>
  </w:style>
  <w:style w:type="paragraph" w:styleId="En-tte">
    <w:name w:val="header"/>
    <w:aliases w:val="6_G"/>
    <w:basedOn w:val="Normal"/>
    <w:link w:val="En-tteCar"/>
    <w:qFormat/>
    <w:rsid w:val="00E925AD"/>
    <w:pPr>
      <w:pBdr>
        <w:bottom w:val="single" w:sz="4" w:space="4" w:color="auto"/>
      </w:pBdr>
      <w:spacing w:line="240" w:lineRule="auto"/>
    </w:pPr>
    <w:rPr>
      <w:b/>
      <w:sz w:val="18"/>
    </w:rPr>
  </w:style>
  <w:style w:type="table" w:styleId="Grilledutableau">
    <w:name w:val="Table Grid"/>
    <w:basedOn w:val="Tableau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rsid w:val="008A77AE"/>
    <w:rPr>
      <w:color w:val="0000FF"/>
      <w:u w:val="none"/>
    </w:rPr>
  </w:style>
  <w:style w:type="paragraph" w:styleId="Textedebulles">
    <w:name w:val="Balloon Text"/>
    <w:basedOn w:val="Normal"/>
    <w:link w:val="TextedebullesCar"/>
    <w:semiHidden/>
    <w:rsid w:val="0065766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rsid w:val="00733EF5"/>
    <w:rPr>
      <w:b/>
      <w:sz w:val="24"/>
      <w:lang w:val="en-GB"/>
    </w:rPr>
  </w:style>
  <w:style w:type="character" w:customStyle="1" w:styleId="NotedebasdepageCar">
    <w:name w:val="Note de bas de page Car"/>
    <w:aliases w:val="5_G Car"/>
    <w:link w:val="Notedebasdepage"/>
    <w:rsid w:val="00733EF5"/>
    <w:rPr>
      <w:sz w:val="18"/>
      <w:lang w:val="en-GB"/>
    </w:rPr>
  </w:style>
  <w:style w:type="character" w:customStyle="1" w:styleId="HChGChar">
    <w:name w:val="_ H _Ch_G Char"/>
    <w:link w:val="HChG"/>
    <w:rsid w:val="00733EF5"/>
    <w:rPr>
      <w:b/>
      <w:sz w:val="28"/>
      <w:lang w:val="en-GB"/>
    </w:rPr>
  </w:style>
  <w:style w:type="character" w:customStyle="1" w:styleId="En-tteCar">
    <w:name w:val="En-tête Car"/>
    <w:aliases w:val="6_G Car"/>
    <w:basedOn w:val="Policepardfaut"/>
    <w:link w:val="En-tte"/>
    <w:rsid w:val="00666BCF"/>
    <w:rPr>
      <w:b/>
      <w:sz w:val="18"/>
      <w:lang w:val="en-GB"/>
    </w:rPr>
  </w:style>
  <w:style w:type="character" w:styleId="Marquedecommentaire">
    <w:name w:val="annotation reference"/>
    <w:basedOn w:val="Policepardfaut"/>
    <w:semiHidden/>
    <w:unhideWhenUsed/>
    <w:rsid w:val="00687F41"/>
    <w:rPr>
      <w:sz w:val="16"/>
      <w:szCs w:val="16"/>
    </w:rPr>
  </w:style>
  <w:style w:type="paragraph" w:styleId="Commentaire">
    <w:name w:val="annotation text"/>
    <w:basedOn w:val="Normal"/>
    <w:link w:val="CommentaireCar"/>
    <w:semiHidden/>
    <w:unhideWhenUsed/>
    <w:rsid w:val="00687F41"/>
    <w:pPr>
      <w:spacing w:line="240" w:lineRule="auto"/>
    </w:pPr>
  </w:style>
  <w:style w:type="character" w:customStyle="1" w:styleId="CommentaireCar">
    <w:name w:val="Commentaire Car"/>
    <w:basedOn w:val="Policepardfaut"/>
    <w:link w:val="Commentaire"/>
    <w:semiHidden/>
    <w:rsid w:val="00687F41"/>
    <w:rPr>
      <w:lang w:val="en-GB"/>
    </w:rPr>
  </w:style>
  <w:style w:type="paragraph" w:styleId="Objetducommentaire">
    <w:name w:val="annotation subject"/>
    <w:basedOn w:val="Commentaire"/>
    <w:next w:val="Commentaire"/>
    <w:link w:val="ObjetducommentaireCar"/>
    <w:semiHidden/>
    <w:unhideWhenUsed/>
    <w:rsid w:val="00687F41"/>
    <w:rPr>
      <w:b/>
      <w:bCs/>
    </w:rPr>
  </w:style>
  <w:style w:type="character" w:customStyle="1" w:styleId="ObjetducommentaireCar">
    <w:name w:val="Objet du commentaire Car"/>
    <w:basedOn w:val="CommentaireCar"/>
    <w:link w:val="Objetducommentaire"/>
    <w:semiHidden/>
    <w:rsid w:val="00687F4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46093">
      <w:bodyDiv w:val="1"/>
      <w:marLeft w:val="0"/>
      <w:marRight w:val="0"/>
      <w:marTop w:val="0"/>
      <w:marBottom w:val="0"/>
      <w:divBdr>
        <w:top w:val="none" w:sz="0" w:space="0" w:color="auto"/>
        <w:left w:val="none" w:sz="0" w:space="0" w:color="auto"/>
        <w:bottom w:val="none" w:sz="0" w:space="0" w:color="auto"/>
        <w:right w:val="none" w:sz="0" w:space="0" w:color="auto"/>
      </w:divBdr>
      <w:divsChild>
        <w:div w:id="1377699701">
          <w:marLeft w:val="0"/>
          <w:marRight w:val="0"/>
          <w:marTop w:val="0"/>
          <w:marBottom w:val="0"/>
          <w:divBdr>
            <w:top w:val="none" w:sz="0" w:space="0" w:color="auto"/>
            <w:left w:val="none" w:sz="0" w:space="0" w:color="auto"/>
            <w:bottom w:val="none" w:sz="0" w:space="0" w:color="auto"/>
            <w:right w:val="none" w:sz="0" w:space="0" w:color="auto"/>
          </w:divBdr>
        </w:div>
      </w:divsChild>
    </w:div>
    <w:div w:id="789932322">
      <w:bodyDiv w:val="1"/>
      <w:marLeft w:val="0"/>
      <w:marRight w:val="0"/>
      <w:marTop w:val="0"/>
      <w:marBottom w:val="0"/>
      <w:divBdr>
        <w:top w:val="none" w:sz="0" w:space="0" w:color="auto"/>
        <w:left w:val="none" w:sz="0" w:space="0" w:color="auto"/>
        <w:bottom w:val="none" w:sz="0" w:space="0" w:color="auto"/>
        <w:right w:val="none" w:sz="0" w:space="0" w:color="auto"/>
      </w:divBdr>
    </w:div>
    <w:div w:id="1213032663">
      <w:bodyDiv w:val="1"/>
      <w:marLeft w:val="0"/>
      <w:marRight w:val="0"/>
      <w:marTop w:val="0"/>
      <w:marBottom w:val="0"/>
      <w:divBdr>
        <w:top w:val="none" w:sz="0" w:space="0" w:color="auto"/>
        <w:left w:val="none" w:sz="0" w:space="0" w:color="auto"/>
        <w:bottom w:val="none" w:sz="0" w:space="0" w:color="auto"/>
        <w:right w:val="none" w:sz="0" w:space="0" w:color="auto"/>
      </w:divBdr>
    </w:div>
    <w:div w:id="18947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Sabrina Mansion</DisplayName>
        <AccountId>71</AccountId>
        <AccountType/>
      </UserInfo>
      <UserInfo>
        <DisplayName>Alibech Mireles Diaz</DisplayName>
        <AccountId>46</AccountId>
        <AccountType/>
      </UserInfo>
      <UserInfo>
        <DisplayName>Armando Serrano Lombillo</DisplayName>
        <AccountId>69</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935F208D-D8CF-4420-B2AF-6CBBC2448329}">
  <ds:schemaRefs>
    <ds:schemaRef ds:uri="http://schemas.openxmlformats.org/officeDocument/2006/bibliography"/>
  </ds:schemaRefs>
</ds:datastoreItem>
</file>

<file path=customXml/itemProps2.xml><?xml version="1.0" encoding="utf-8"?>
<ds:datastoreItem xmlns:ds="http://schemas.openxmlformats.org/officeDocument/2006/customXml" ds:itemID="{E9C21BF8-1294-40C0-869F-ADC6CA007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4922F-7C91-40D4-9BCE-573C91A89B0E}">
  <ds:schemaRefs>
    <ds:schemaRef ds:uri="http://schemas.microsoft.com/sharepoint/v3/contenttype/forms"/>
  </ds:schemaRefs>
</ds:datastoreItem>
</file>

<file path=customXml/itemProps4.xml><?xml version="1.0" encoding="utf-8"?>
<ds:datastoreItem xmlns:ds="http://schemas.openxmlformats.org/officeDocument/2006/customXml" ds:itemID="{2251633F-424C-468F-B8D8-B3570E4BC006}">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4b4a1c0d-4a69-4996-a84a-fc699b9f49de"/>
    <ds:schemaRef ds:uri="http://schemas.openxmlformats.org/package/2006/metadata/core-propertie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TRANS_WP1_24_E.dotm</Template>
  <TotalTime>8</TotalTime>
  <Pages>6</Pages>
  <Words>1889</Words>
  <Characters>10769</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ECE/TRANS/WP.15/AC.1/2019/22</vt:lpstr>
      <vt:lpstr>ECE/TRANS/WP.15/AC.1/2019/22</vt:lpstr>
    </vt:vector>
  </TitlesOfParts>
  <Company>CSD</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ECE/TRANS/WP.15/AC.1/2019/22</dc:title>
  <dc:subject/>
  <dc:creator>UNECE</dc:creator>
  <cp:keywords/>
  <cp:lastModifiedBy>Romain Hubert</cp:lastModifiedBy>
  <cp:revision>12</cp:revision>
  <cp:lastPrinted>2021-06-14T16:23:00Z</cp:lastPrinted>
  <dcterms:created xsi:type="dcterms:W3CDTF">2021-06-16T19:17:00Z</dcterms:created>
  <dcterms:modified xsi:type="dcterms:W3CDTF">2021-06-18T11:52:00Z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