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C41DFFC" w:rsidR="009E6CB7" w:rsidRPr="00D47EEA" w:rsidRDefault="006B3551" w:rsidP="006B3551">
            <w:pPr>
              <w:jc w:val="right"/>
            </w:pPr>
            <w:r w:rsidRPr="006B3551">
              <w:rPr>
                <w:sz w:val="40"/>
              </w:rPr>
              <w:t>ECE</w:t>
            </w:r>
            <w:r>
              <w:t>/TRANS/WP.29/202</w:t>
            </w:r>
            <w:r w:rsidR="00DD7B52">
              <w:t>2</w:t>
            </w:r>
            <w:r>
              <w:t>/</w:t>
            </w:r>
            <w:r w:rsidR="000E0B1C">
              <w:t>5</w:t>
            </w:r>
            <w:r w:rsidR="00FB5E9D">
              <w:t>2</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754E3E6B" w:rsidR="006B3551" w:rsidRDefault="0098662E" w:rsidP="006B3551">
            <w:pPr>
              <w:spacing w:line="240" w:lineRule="exact"/>
            </w:pPr>
            <w:r>
              <w:t>21 January 2022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48EEB10C" w:rsidR="006B3551" w:rsidRDefault="006B3551" w:rsidP="006B3551">
      <w:r>
        <w:t xml:space="preserve">Item </w:t>
      </w:r>
      <w:r w:rsidR="006E0C3B">
        <w:t>4.</w:t>
      </w:r>
      <w:r w:rsidR="00035389" w:rsidRPr="00035389">
        <w:t>8</w:t>
      </w:r>
      <w:r w:rsidR="006E0C3B" w:rsidRPr="00035389">
        <w:t>.</w:t>
      </w:r>
      <w:r w:rsidR="00035389">
        <w:t>1</w:t>
      </w:r>
      <w:r w:rsidR="003022DA">
        <w:t>3</w:t>
      </w:r>
      <w:r w:rsidR="00035389">
        <w:t>.</w:t>
      </w:r>
      <w:r>
        <w:t xml:space="preserve"> of the provisional agenda</w:t>
      </w:r>
    </w:p>
    <w:p w14:paraId="02EE06FD" w14:textId="3739C6A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GRSG</w:t>
      </w:r>
    </w:p>
    <w:p w14:paraId="008EC326" w14:textId="3F00305D" w:rsidR="006B3551" w:rsidRDefault="006B3551" w:rsidP="006B3551">
      <w:pPr>
        <w:pStyle w:val="HChG"/>
      </w:pPr>
      <w:r>
        <w:tab/>
      </w:r>
      <w:r>
        <w:tab/>
      </w:r>
      <w:r w:rsidR="00623CBE">
        <w:t xml:space="preserve">Proposal </w:t>
      </w:r>
      <w:r w:rsidR="00BA24C5" w:rsidRPr="00065893">
        <w:rPr>
          <w:lang w:val="en-US"/>
        </w:rPr>
        <w:t>for the 0</w:t>
      </w:r>
      <w:r w:rsidR="00BA24C5">
        <w:rPr>
          <w:lang w:val="en-US"/>
        </w:rPr>
        <w:t>5</w:t>
      </w:r>
      <w:r w:rsidR="00BA24C5" w:rsidRPr="00065893">
        <w:rPr>
          <w:lang w:val="en-US"/>
        </w:rPr>
        <w:t xml:space="preserve"> series of amendments</w:t>
      </w:r>
      <w:r w:rsidR="00BA24C5">
        <w:rPr>
          <w:lang w:val="en-US"/>
        </w:rPr>
        <w:t xml:space="preserve"> </w:t>
      </w:r>
      <w:r w:rsidR="00BA24C5" w:rsidRPr="00065893">
        <w:rPr>
          <w:lang w:val="en-US"/>
        </w:rPr>
        <w:t xml:space="preserve">of UN Regulation No. </w:t>
      </w:r>
      <w:r w:rsidR="00BA24C5">
        <w:rPr>
          <w:lang w:val="en-US"/>
        </w:rPr>
        <w:t>46</w:t>
      </w:r>
    </w:p>
    <w:p w14:paraId="48239928" w14:textId="77777777" w:rsidR="00F65548" w:rsidRDefault="006B3551" w:rsidP="00A00171">
      <w:pPr>
        <w:pStyle w:val="H1G"/>
      </w:pPr>
      <w:r>
        <w:tab/>
      </w:r>
      <w:r>
        <w:tab/>
      </w:r>
      <w:r w:rsidR="00F65548" w:rsidRPr="00A96F13">
        <w:t>Submitted</w:t>
      </w:r>
      <w:r w:rsidR="00F65548" w:rsidRPr="0036339F">
        <w:t xml:space="preserve"> by the </w:t>
      </w:r>
      <w:r w:rsidR="00F65548">
        <w:t xml:space="preserve">Working Party on </w:t>
      </w:r>
      <w:r w:rsidR="00F65548" w:rsidRPr="00B60FC0">
        <w:t xml:space="preserve">General Safety </w:t>
      </w:r>
      <w:r w:rsidR="00F65548">
        <w:t xml:space="preserve">Provisions </w:t>
      </w:r>
      <w:r w:rsidR="00F65548" w:rsidRPr="005F3E9A">
        <w:rPr>
          <w:rStyle w:val="FootnoteReference"/>
          <w:sz w:val="20"/>
        </w:rPr>
        <w:footnoteReference w:customMarkFollows="1" w:id="2"/>
        <w:t>*</w:t>
      </w:r>
    </w:p>
    <w:p w14:paraId="553016E0" w14:textId="37DD19EC" w:rsidR="00F51FFD" w:rsidRDefault="00F51FFD" w:rsidP="00F51FFD">
      <w:pPr>
        <w:pStyle w:val="SingleTxtG"/>
        <w:ind w:firstLine="567"/>
        <w:rPr>
          <w:lang w:val="en-US"/>
        </w:rPr>
      </w:pPr>
      <w:r w:rsidRPr="008405E4">
        <w:rPr>
          <w:lang w:val="en-US"/>
        </w:rPr>
        <w:t>The text reproduced below was adopted by the Working Party on</w:t>
      </w:r>
      <w:r w:rsidRPr="00B60FC0">
        <w:rPr>
          <w:szCs w:val="24"/>
        </w:rPr>
        <w:t xml:space="preserve"> General Safety </w:t>
      </w:r>
      <w:r>
        <w:rPr>
          <w:szCs w:val="24"/>
        </w:rPr>
        <w:t>Provisions</w:t>
      </w:r>
      <w:r>
        <w:rPr>
          <w:lang w:val="en-US"/>
        </w:rPr>
        <w:t xml:space="preserve"> (GRSG) at its 122nd session (</w:t>
      </w:r>
      <w:r w:rsidRPr="0078793E">
        <w:t>ECE/TRANS/WP.29/GRSG/1</w:t>
      </w:r>
      <w:r w:rsidR="00CB5EE4">
        <w:t>01</w:t>
      </w:r>
      <w:r w:rsidRPr="0078793E">
        <w:t xml:space="preserve">, para. </w:t>
      </w:r>
      <w:r w:rsidR="00F056DD">
        <w:t>41</w:t>
      </w:r>
      <w:r>
        <w:rPr>
          <w:lang w:val="en-US"/>
        </w:rPr>
        <w:t>). It is</w:t>
      </w:r>
      <w:r w:rsidRPr="00DB1488">
        <w:rPr>
          <w:lang w:val="en-US"/>
        </w:rPr>
        <w:t xml:space="preserve"> based </w:t>
      </w:r>
      <w:r w:rsidRPr="00905E5C">
        <w:rPr>
          <w:lang w:val="en-US"/>
        </w:rPr>
        <w:t xml:space="preserve">on </w:t>
      </w:r>
      <w:r w:rsidRPr="00905E5C">
        <w:rPr>
          <w:lang w:eastAsia="en-GB"/>
        </w:rPr>
        <w:t>ECE/TRANS/WP.29/GRSG/2021/</w:t>
      </w:r>
      <w:r w:rsidR="00905E5C" w:rsidRPr="00905E5C">
        <w:rPr>
          <w:lang w:eastAsia="en-GB"/>
        </w:rPr>
        <w:t>1</w:t>
      </w:r>
      <w:r w:rsidR="00CB5EE4">
        <w:rPr>
          <w:lang w:eastAsia="en-GB"/>
        </w:rPr>
        <w:t>8</w:t>
      </w:r>
      <w:r w:rsidR="006D31DA">
        <w:rPr>
          <w:lang w:eastAsia="en-GB"/>
        </w:rPr>
        <w:t xml:space="preserve"> as amended </w:t>
      </w:r>
      <w:r w:rsidR="00933D80">
        <w:rPr>
          <w:lang w:eastAsia="en-GB"/>
        </w:rPr>
        <w:t>by GRSG-122-</w:t>
      </w:r>
      <w:r w:rsidR="00B83565">
        <w:rPr>
          <w:lang w:eastAsia="en-GB"/>
        </w:rPr>
        <w:t>0</w:t>
      </w:r>
      <w:r w:rsidR="00933D80">
        <w:rPr>
          <w:lang w:eastAsia="en-GB"/>
        </w:rPr>
        <w:t>8</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2</w:t>
      </w:r>
      <w:r w:rsidRPr="00496D41">
        <w:rPr>
          <w:lang w:val="en-US"/>
        </w:rPr>
        <w:t xml:space="preserve"> sessions.   </w:t>
      </w:r>
    </w:p>
    <w:p w14:paraId="471D5522" w14:textId="77777777" w:rsidR="006B3551" w:rsidRDefault="006B3551" w:rsidP="006B3551">
      <w:pPr>
        <w:pStyle w:val="SingleTxtG"/>
        <w:ind w:firstLine="567"/>
        <w:rPr>
          <w:lang w:val="en-US"/>
        </w:rPr>
      </w:pPr>
    </w:p>
    <w:p w14:paraId="743C014B" w14:textId="77777777" w:rsidR="0064161E" w:rsidRPr="00206CC8" w:rsidRDefault="006B3551" w:rsidP="0064161E">
      <w:pPr>
        <w:spacing w:after="120"/>
        <w:ind w:left="2268" w:right="1134" w:hanging="1134"/>
        <w:jc w:val="both"/>
        <w:rPr>
          <w:iCs/>
          <w:noProof/>
        </w:rPr>
      </w:pPr>
      <w:r>
        <w:br w:type="page"/>
      </w:r>
      <w:r w:rsidR="0064161E" w:rsidRPr="004742F8">
        <w:rPr>
          <w:i/>
          <w:noProof/>
        </w:rPr>
        <w:lastRenderedPageBreak/>
        <w:t>Insert a new</w:t>
      </w:r>
      <w:r w:rsidR="0064161E" w:rsidRPr="00206CC8">
        <w:rPr>
          <w:iCs/>
          <w:noProof/>
        </w:rPr>
        <w:t xml:space="preserve"> </w:t>
      </w:r>
      <w:r w:rsidR="0064161E" w:rsidRPr="00532F4E">
        <w:rPr>
          <w:i/>
          <w:noProof/>
        </w:rPr>
        <w:t>paragraph 6.1.1.9</w:t>
      </w:r>
      <w:r w:rsidR="0064161E" w:rsidRPr="00206CC8">
        <w:rPr>
          <w:iCs/>
          <w:noProof/>
        </w:rPr>
        <w:t>.:</w:t>
      </w:r>
    </w:p>
    <w:p w14:paraId="1F096F05" w14:textId="0A8DA7D2" w:rsidR="0064161E" w:rsidRDefault="0064161E" w:rsidP="00206CC8">
      <w:pPr>
        <w:spacing w:after="120"/>
        <w:ind w:left="2268" w:right="1134" w:hanging="1134"/>
        <w:jc w:val="both"/>
        <w:rPr>
          <w:iCs/>
          <w:noProof/>
        </w:rPr>
      </w:pPr>
      <w:r w:rsidRPr="00206CC8">
        <w:rPr>
          <w:iCs/>
          <w:noProof/>
        </w:rPr>
        <w:t>"6.1.1.9.</w:t>
      </w:r>
      <w:r w:rsidRPr="00206CC8">
        <w:rPr>
          <w:iCs/>
          <w:noProof/>
        </w:rPr>
        <w:tab/>
        <w:t>The requirements of paragraph 6.1.1.3. do not apply to mirrors, if their lower edge is mounted not less than 2 m above the ground when the vehicle is under a load corresponding to its maximum technical permissible mass."</w:t>
      </w:r>
    </w:p>
    <w:p w14:paraId="5B63CFFC" w14:textId="77777777" w:rsidR="0064161E" w:rsidRPr="00206CC8" w:rsidRDefault="0064161E" w:rsidP="0064161E">
      <w:pPr>
        <w:pStyle w:val="Default"/>
        <w:spacing w:after="120" w:line="240" w:lineRule="atLeast"/>
        <w:ind w:left="2268" w:hanging="1134"/>
        <w:rPr>
          <w:iCs/>
          <w:noProof/>
          <w:color w:val="auto"/>
          <w:sz w:val="20"/>
          <w:szCs w:val="20"/>
          <w:lang w:val="en-GB"/>
        </w:rPr>
      </w:pPr>
      <w:r w:rsidRPr="00CA4509">
        <w:rPr>
          <w:i/>
          <w:noProof/>
          <w:color w:val="auto"/>
          <w:sz w:val="20"/>
          <w:szCs w:val="20"/>
          <w:lang w:val="en-GB"/>
        </w:rPr>
        <w:t>Paragraph 6.2.1.3.,</w:t>
      </w:r>
      <w:r w:rsidRPr="00206CC8">
        <w:rPr>
          <w:iCs/>
          <w:noProof/>
          <w:color w:val="auto"/>
          <w:sz w:val="20"/>
          <w:szCs w:val="20"/>
          <w:lang w:val="en-GB"/>
        </w:rPr>
        <w:t xml:space="preserve"> amend to read:</w:t>
      </w:r>
    </w:p>
    <w:p w14:paraId="1F2EDF00" w14:textId="26EAF36F" w:rsidR="0064161E" w:rsidRPr="00206CC8" w:rsidRDefault="0064161E" w:rsidP="0064161E">
      <w:pPr>
        <w:spacing w:after="120"/>
        <w:ind w:left="2268" w:right="1134" w:hanging="1134"/>
        <w:jc w:val="both"/>
        <w:rPr>
          <w:iCs/>
        </w:rPr>
      </w:pPr>
      <w:r w:rsidRPr="00206CC8">
        <w:rPr>
          <w:iCs/>
        </w:rPr>
        <w:t>"6.2.1.3.</w:t>
      </w:r>
      <w:r w:rsidRPr="00206CC8">
        <w:rPr>
          <w:iCs/>
        </w:rPr>
        <w:tab/>
        <w:t>The effectiveness of the CMS of Classes I to VI shall not be adversely affected by magnetic or electrical fields. This shall be demonstrated by compliance with the technical requirements and transitional provisions of Regulation No. 10, 04 series of amendments or any later series of amendments."</w:t>
      </w:r>
    </w:p>
    <w:p w14:paraId="642DBE6B" w14:textId="77777777" w:rsidR="0064161E" w:rsidRPr="00206CC8" w:rsidRDefault="0064161E" w:rsidP="0064161E">
      <w:pPr>
        <w:pStyle w:val="Default"/>
        <w:spacing w:before="120" w:after="120"/>
        <w:ind w:left="2268" w:hanging="1134"/>
        <w:rPr>
          <w:iCs/>
          <w:noProof/>
          <w:sz w:val="20"/>
          <w:szCs w:val="20"/>
          <w:lang w:val="en-GB"/>
        </w:rPr>
      </w:pPr>
      <w:r w:rsidRPr="000563D5">
        <w:rPr>
          <w:i/>
          <w:noProof/>
          <w:sz w:val="20"/>
          <w:szCs w:val="20"/>
          <w:lang w:val="en-GB"/>
        </w:rPr>
        <w:t>Paragraph 6.2.2.1.1</w:t>
      </w:r>
      <w:r w:rsidRPr="00206CC8">
        <w:rPr>
          <w:iCs/>
          <w:noProof/>
          <w:sz w:val="20"/>
          <w:szCs w:val="20"/>
          <w:lang w:val="en-GB"/>
        </w:rPr>
        <w:t>., amend to read:</w:t>
      </w:r>
    </w:p>
    <w:p w14:paraId="1C6CB3C7" w14:textId="62172061" w:rsidR="007A684B" w:rsidRPr="00206CC8" w:rsidRDefault="0064161E" w:rsidP="00340114">
      <w:pPr>
        <w:spacing w:after="120"/>
        <w:ind w:left="2268" w:right="1134" w:hanging="1134"/>
        <w:jc w:val="both"/>
        <w:rPr>
          <w:iCs/>
          <w:noProof/>
        </w:rPr>
      </w:pPr>
      <w:r w:rsidRPr="00206CC8">
        <w:rPr>
          <w:iCs/>
          <w:noProof/>
        </w:rPr>
        <w:t xml:space="preserve">“6.2.2.1.1. </w:t>
      </w:r>
      <w:r w:rsidRPr="00206CC8">
        <w:rPr>
          <w:iCs/>
          <w:noProof/>
        </w:rPr>
        <w:tab/>
        <w:t>When the devices of the camera-monitor system are mounted in the position recommended by the manufacturer for normal driving, all parts, irrespective of the adjustment position of the device, including those parts remaining attached to the support after the test provided for in paragraph 6.3.2. below which are in potential, static contact with a sphere either 165 mm in diameter in the case of a CMS or parts of CMS installed inside the vehicle or 100 mm in diameter in the case of a CMS or parts of CMS installed outside the vehicle, shall have a radius of curvature "c" of not less than 2.5 mm."</w:t>
      </w:r>
    </w:p>
    <w:p w14:paraId="5241AAEA" w14:textId="77777777" w:rsidR="007A684B" w:rsidRPr="00206CC8" w:rsidRDefault="007A684B" w:rsidP="007A684B">
      <w:pPr>
        <w:pStyle w:val="Flietext0"/>
        <w:ind w:left="2268" w:right="1133" w:hanging="1134"/>
        <w:jc w:val="both"/>
        <w:rPr>
          <w:b w:val="0"/>
          <w:bCs w:val="0"/>
          <w:iCs/>
          <w:lang w:val="en-GB"/>
        </w:rPr>
      </w:pPr>
      <w:r w:rsidRPr="000563D5">
        <w:rPr>
          <w:b w:val="0"/>
          <w:bCs w:val="0"/>
          <w:i/>
          <w:lang w:val="en-GB"/>
        </w:rPr>
        <w:t>Paragraph 6.2.2.1.2.</w:t>
      </w:r>
      <w:r w:rsidRPr="00206CC8">
        <w:rPr>
          <w:b w:val="0"/>
          <w:bCs w:val="0"/>
          <w:iCs/>
          <w:lang w:val="en-GB"/>
        </w:rPr>
        <w:t>, amend to read:</w:t>
      </w:r>
    </w:p>
    <w:p w14:paraId="7EEBCC4B" w14:textId="7888DE61" w:rsidR="007A684B" w:rsidRPr="00206CC8" w:rsidRDefault="007A684B" w:rsidP="007A684B">
      <w:pPr>
        <w:pStyle w:val="Flietext0"/>
        <w:tabs>
          <w:tab w:val="left" w:pos="2236"/>
        </w:tabs>
        <w:spacing w:after="0"/>
        <w:ind w:left="2268" w:right="1133" w:hanging="1134"/>
        <w:jc w:val="both"/>
        <w:rPr>
          <w:b w:val="0"/>
          <w:bCs w:val="0"/>
          <w:iCs/>
          <w:lang w:val="en-GB"/>
        </w:rPr>
      </w:pPr>
      <w:r w:rsidRPr="00206CC8">
        <w:rPr>
          <w:b w:val="0"/>
          <w:bCs w:val="0"/>
          <w:iCs/>
          <w:lang w:val="en-GB"/>
        </w:rPr>
        <w:t>"6.2.2.1.2.</w:t>
      </w:r>
      <w:r w:rsidRPr="00206CC8">
        <w:rPr>
          <w:b w:val="0"/>
          <w:bCs w:val="0"/>
          <w:iCs/>
          <w:lang w:val="en-GB"/>
        </w:rPr>
        <w:tab/>
        <w:t xml:space="preserve"> The requirements in paragraph 6.2.2.1.1. above shall not apply to parts of the external surface which protrude less than 5 mm, but the outward facing angles of such parts shall be blunted, and are considered save where such parts protrude less than 1.5 mm. For determining the dimension of the projection, the following method shall apply:"</w:t>
      </w:r>
    </w:p>
    <w:p w14:paraId="37095301" w14:textId="77777777" w:rsidR="007A684B" w:rsidRPr="00206CC8" w:rsidRDefault="007A684B" w:rsidP="007A684B">
      <w:pPr>
        <w:pStyle w:val="Default"/>
        <w:spacing w:before="120" w:after="120" w:line="240" w:lineRule="atLeast"/>
        <w:ind w:left="2268" w:hanging="1134"/>
        <w:rPr>
          <w:iCs/>
          <w:noProof/>
          <w:color w:val="auto"/>
          <w:sz w:val="20"/>
          <w:szCs w:val="20"/>
          <w:lang w:val="en-GB"/>
        </w:rPr>
      </w:pPr>
      <w:r w:rsidRPr="00532F4E">
        <w:rPr>
          <w:i/>
          <w:noProof/>
          <w:color w:val="auto"/>
          <w:sz w:val="20"/>
          <w:szCs w:val="20"/>
          <w:lang w:val="en-GB"/>
        </w:rPr>
        <w:t>Insert a new paragraph 6.2.2.1.2.1</w:t>
      </w:r>
      <w:r w:rsidRPr="00206CC8">
        <w:rPr>
          <w:iCs/>
          <w:noProof/>
          <w:color w:val="auto"/>
          <w:sz w:val="20"/>
          <w:szCs w:val="20"/>
          <w:lang w:val="en-GB"/>
        </w:rPr>
        <w:t>., to read:</w:t>
      </w:r>
    </w:p>
    <w:p w14:paraId="7BC22DA5" w14:textId="77777777" w:rsidR="007A684B" w:rsidRPr="00206CC8" w:rsidRDefault="007A684B" w:rsidP="007A684B">
      <w:pPr>
        <w:pStyle w:val="Flietext0"/>
        <w:tabs>
          <w:tab w:val="left" w:pos="2236"/>
        </w:tabs>
        <w:spacing w:after="0"/>
        <w:ind w:left="2268" w:right="1133" w:hanging="1134"/>
        <w:jc w:val="both"/>
        <w:rPr>
          <w:b w:val="0"/>
          <w:bCs w:val="0"/>
          <w:iCs/>
          <w:lang w:val="en-GB"/>
        </w:rPr>
      </w:pPr>
      <w:r w:rsidRPr="00206CC8">
        <w:rPr>
          <w:b w:val="0"/>
          <w:bCs w:val="0"/>
          <w:iCs/>
          <w:lang w:val="en-GB"/>
        </w:rPr>
        <w:t>"6.2.2.1.2.1.</w:t>
      </w:r>
      <w:r w:rsidRPr="00206CC8">
        <w:rPr>
          <w:b w:val="0"/>
          <w:bCs w:val="0"/>
          <w:iCs/>
          <w:lang w:val="en-GB"/>
        </w:rPr>
        <w:tab/>
        <w:t>The dimension of the projection of a component which is mounted on a convex surface may be determined either directly or by reference to a</w:t>
      </w:r>
      <w:r w:rsidRPr="00166466">
        <w:rPr>
          <w:b w:val="0"/>
          <w:bCs w:val="0"/>
          <w:iCs/>
          <w:lang w:val="en-GB"/>
        </w:rPr>
        <w:t xml:space="preserve"> </w:t>
      </w:r>
      <w:r w:rsidRPr="00206CC8">
        <w:rPr>
          <w:b w:val="0"/>
          <w:bCs w:val="0"/>
          <w:iCs/>
          <w:lang w:val="en-GB"/>
        </w:rPr>
        <w:t>drawing of an appropriate section of this component in its installed condition."</w:t>
      </w:r>
    </w:p>
    <w:p w14:paraId="635DFC70" w14:textId="77777777" w:rsidR="007A684B" w:rsidRPr="00206CC8" w:rsidRDefault="007A684B" w:rsidP="007A684B">
      <w:pPr>
        <w:pStyle w:val="Flietext0"/>
        <w:spacing w:before="120"/>
        <w:ind w:left="2268" w:right="1134" w:hanging="1134"/>
        <w:jc w:val="both"/>
        <w:rPr>
          <w:b w:val="0"/>
          <w:bCs w:val="0"/>
          <w:iCs/>
          <w:lang w:val="en-GB"/>
        </w:rPr>
      </w:pPr>
      <w:r w:rsidRPr="00532F4E">
        <w:rPr>
          <w:b w:val="0"/>
          <w:bCs w:val="0"/>
          <w:i/>
          <w:lang w:val="en-GB"/>
        </w:rPr>
        <w:t>Insert a new paragraph 6.2.2.1.2.2.,</w:t>
      </w:r>
      <w:r w:rsidRPr="00206CC8">
        <w:rPr>
          <w:b w:val="0"/>
          <w:bCs w:val="0"/>
          <w:iCs/>
          <w:lang w:val="en-GB"/>
        </w:rPr>
        <w:t xml:space="preserve"> to read:</w:t>
      </w:r>
    </w:p>
    <w:p w14:paraId="27AA4B4D" w14:textId="77777777" w:rsidR="007A684B" w:rsidRPr="00206CC8" w:rsidRDefault="007A684B" w:rsidP="007A684B">
      <w:pPr>
        <w:pStyle w:val="Flietext0"/>
        <w:tabs>
          <w:tab w:val="left" w:pos="2236"/>
        </w:tabs>
        <w:spacing w:after="0"/>
        <w:ind w:left="2268" w:right="1133" w:hanging="1134"/>
        <w:jc w:val="both"/>
        <w:rPr>
          <w:b w:val="0"/>
          <w:bCs w:val="0"/>
          <w:iCs/>
          <w:strike/>
          <w:lang w:val="en-GB"/>
        </w:rPr>
      </w:pPr>
      <w:r w:rsidRPr="00206CC8">
        <w:rPr>
          <w:b w:val="0"/>
          <w:bCs w:val="0"/>
          <w:iCs/>
          <w:lang w:val="en-GB"/>
        </w:rPr>
        <w:t>"6.2.2.1.2.2.</w:t>
      </w:r>
      <w:r w:rsidRPr="00206CC8">
        <w:rPr>
          <w:b w:val="0"/>
          <w:bCs w:val="0"/>
          <w:iCs/>
          <w:lang w:val="en-GB"/>
        </w:rPr>
        <w:tab/>
        <w:t>If the dimension of the projection of a component which is mounted on a</w:t>
      </w:r>
      <w:r w:rsidRPr="00206CC8">
        <w:rPr>
          <w:b w:val="0"/>
          <w:bCs w:val="0"/>
          <w:iCs/>
          <w:strike/>
          <w:lang w:val="en-GB"/>
        </w:rPr>
        <w:t xml:space="preserve"> </w:t>
      </w:r>
      <w:r w:rsidRPr="00206CC8">
        <w:rPr>
          <w:b w:val="0"/>
          <w:bCs w:val="0"/>
          <w:iCs/>
          <w:lang w:val="en-GB"/>
        </w:rPr>
        <w:t>surface other than convex cannot be determined by simple measurement, it shall be determined by the maximum variation of the distance of the centre of a 100 mm diameter sphere from the nominal line of the panel when the sphere is moved over and is in constant contact with that component. Figure 1 shows an example of the use of this procedure.</w:t>
      </w:r>
    </w:p>
    <w:p w14:paraId="4B17910E" w14:textId="77777777" w:rsidR="007A684B" w:rsidRPr="00206CC8" w:rsidRDefault="007A684B" w:rsidP="007A684B">
      <w:pPr>
        <w:pStyle w:val="Flietext0"/>
        <w:tabs>
          <w:tab w:val="left" w:pos="2236"/>
        </w:tabs>
        <w:spacing w:after="0"/>
        <w:ind w:left="2268" w:hanging="1134"/>
        <w:jc w:val="both"/>
        <w:rPr>
          <w:b w:val="0"/>
          <w:bCs w:val="0"/>
          <w:iCs/>
          <w:lang w:val="en-GB"/>
        </w:rPr>
      </w:pPr>
    </w:p>
    <w:p w14:paraId="622495E2" w14:textId="77777777" w:rsidR="007A684B" w:rsidRPr="00206CC8" w:rsidRDefault="007A684B" w:rsidP="007A684B">
      <w:pPr>
        <w:pStyle w:val="Flietext0"/>
        <w:tabs>
          <w:tab w:val="left" w:pos="2236"/>
        </w:tabs>
        <w:spacing w:after="0"/>
        <w:ind w:left="2268"/>
        <w:jc w:val="both"/>
        <w:rPr>
          <w:b w:val="0"/>
          <w:bCs w:val="0"/>
          <w:iCs/>
          <w:lang w:val="en-GB"/>
        </w:rPr>
      </w:pPr>
      <w:r w:rsidRPr="00206CC8">
        <w:rPr>
          <w:b w:val="0"/>
          <w:bCs w:val="0"/>
          <w:iCs/>
          <w:lang w:val="en-GB"/>
        </w:rPr>
        <w:t>Figure 1</w:t>
      </w:r>
    </w:p>
    <w:p w14:paraId="3096EA1A" w14:textId="77777777" w:rsidR="007A684B" w:rsidRPr="00D954A9" w:rsidRDefault="007A684B" w:rsidP="007A684B">
      <w:pPr>
        <w:pStyle w:val="Flietext0"/>
        <w:tabs>
          <w:tab w:val="left" w:pos="2236"/>
        </w:tabs>
        <w:spacing w:after="0"/>
        <w:ind w:left="2268"/>
        <w:jc w:val="both"/>
        <w:rPr>
          <w:iCs/>
          <w:lang w:val="en-GB"/>
        </w:rPr>
      </w:pPr>
      <w:r w:rsidRPr="00D954A9">
        <w:rPr>
          <w:iCs/>
          <w:noProof/>
          <w:lang w:val="en-GB" w:eastAsia="de-DE"/>
        </w:rPr>
        <w:drawing>
          <wp:anchor distT="0" distB="0" distL="114300" distR="114300" simplePos="0" relativeHeight="251658241" behindDoc="1" locked="0" layoutInCell="1" allowOverlap="1" wp14:anchorId="5F331B78" wp14:editId="46B1AFAC">
            <wp:simplePos x="0" y="0"/>
            <wp:positionH relativeFrom="margin">
              <wp:posOffset>1410970</wp:posOffset>
            </wp:positionH>
            <wp:positionV relativeFrom="paragraph">
              <wp:posOffset>141301</wp:posOffset>
            </wp:positionV>
            <wp:extent cx="3409950" cy="1552575"/>
            <wp:effectExtent l="0" t="0" r="0" b="9525"/>
            <wp:wrapNone/>
            <wp:docPr id="6" name="Picture 4"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picture containing athletic game, spo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4A9">
        <w:rPr>
          <w:iCs/>
          <w:lang w:val="en-GB"/>
        </w:rPr>
        <w:t>Example for the measurement by maximum variation</w:t>
      </w:r>
    </w:p>
    <w:p w14:paraId="289FA99C" w14:textId="77777777" w:rsidR="007A684B" w:rsidRPr="00206CC8" w:rsidRDefault="007A684B" w:rsidP="007A684B">
      <w:pPr>
        <w:pStyle w:val="Flietext0"/>
        <w:spacing w:after="0"/>
        <w:ind w:left="2268"/>
        <w:jc w:val="both"/>
        <w:rPr>
          <w:b w:val="0"/>
          <w:bCs w:val="0"/>
          <w:iCs/>
          <w:lang w:val="en-GB"/>
        </w:rPr>
      </w:pPr>
    </w:p>
    <w:p w14:paraId="103A8810" w14:textId="77777777" w:rsidR="007A684B" w:rsidRPr="00206CC8" w:rsidRDefault="007A684B" w:rsidP="007A684B">
      <w:pPr>
        <w:pStyle w:val="Flietext0"/>
        <w:ind w:left="2268"/>
        <w:jc w:val="both"/>
        <w:rPr>
          <w:b w:val="0"/>
          <w:bCs w:val="0"/>
          <w:iCs/>
          <w:lang w:val="en-GB"/>
        </w:rPr>
      </w:pPr>
    </w:p>
    <w:p w14:paraId="30827EBE" w14:textId="77777777" w:rsidR="007A684B" w:rsidRPr="00206CC8" w:rsidRDefault="007A684B" w:rsidP="007A684B">
      <w:pPr>
        <w:pStyle w:val="Flietext0"/>
        <w:spacing w:after="60"/>
        <w:ind w:left="2268"/>
        <w:jc w:val="both"/>
        <w:rPr>
          <w:b w:val="0"/>
          <w:bCs w:val="0"/>
          <w:iCs/>
          <w:sz w:val="16"/>
          <w:szCs w:val="16"/>
          <w:lang w:val="en-GB"/>
        </w:rPr>
      </w:pPr>
    </w:p>
    <w:p w14:paraId="194509F4" w14:textId="77777777" w:rsidR="007A684B" w:rsidRPr="00206CC8" w:rsidRDefault="007A684B" w:rsidP="007A684B">
      <w:pPr>
        <w:pStyle w:val="Flietext0"/>
        <w:ind w:left="2268"/>
        <w:jc w:val="both"/>
        <w:rPr>
          <w:b w:val="0"/>
          <w:bCs w:val="0"/>
          <w:iCs/>
          <w:lang w:val="en-GB"/>
        </w:rPr>
      </w:pPr>
    </w:p>
    <w:p w14:paraId="089BA1B2" w14:textId="77777777" w:rsidR="007A684B" w:rsidRPr="00206CC8" w:rsidRDefault="007A684B" w:rsidP="007A684B">
      <w:pPr>
        <w:pStyle w:val="Flietext0"/>
        <w:ind w:left="2268"/>
        <w:jc w:val="both"/>
        <w:rPr>
          <w:b w:val="0"/>
          <w:bCs w:val="0"/>
          <w:iCs/>
          <w:lang w:val="en-GB"/>
        </w:rPr>
      </w:pPr>
    </w:p>
    <w:p w14:paraId="5596EB27" w14:textId="77777777" w:rsidR="007A684B" w:rsidRPr="00206CC8" w:rsidRDefault="007A684B" w:rsidP="007A684B">
      <w:pPr>
        <w:pStyle w:val="Flietext0"/>
        <w:ind w:left="2268"/>
        <w:jc w:val="both"/>
        <w:rPr>
          <w:b w:val="0"/>
          <w:bCs w:val="0"/>
          <w:iCs/>
          <w:lang w:val="en-GB"/>
        </w:rPr>
      </w:pPr>
    </w:p>
    <w:p w14:paraId="19C80792" w14:textId="77777777" w:rsidR="007A684B" w:rsidRPr="00206CC8" w:rsidRDefault="007A684B" w:rsidP="007A684B">
      <w:pPr>
        <w:pStyle w:val="Flietext0"/>
        <w:spacing w:after="0"/>
        <w:ind w:left="2268" w:right="2268" w:hanging="1134"/>
        <w:jc w:val="right"/>
        <w:rPr>
          <w:b w:val="0"/>
          <w:bCs w:val="0"/>
          <w:iCs/>
          <w:lang w:val="en-GB"/>
        </w:rPr>
      </w:pPr>
      <w:r w:rsidRPr="00206CC8">
        <w:rPr>
          <w:b w:val="0"/>
          <w:bCs w:val="0"/>
          <w:iCs/>
          <w:lang w:val="en-GB"/>
        </w:rPr>
        <w:t>"</w:t>
      </w:r>
    </w:p>
    <w:p w14:paraId="192742D5" w14:textId="77777777" w:rsidR="00D954A9" w:rsidRDefault="00D954A9" w:rsidP="007A684B">
      <w:pPr>
        <w:pStyle w:val="Flietext0"/>
        <w:ind w:left="2268" w:hanging="1134"/>
        <w:jc w:val="both"/>
        <w:rPr>
          <w:b w:val="0"/>
          <w:bCs w:val="0"/>
          <w:i/>
          <w:lang w:val="en-GB"/>
        </w:rPr>
      </w:pPr>
    </w:p>
    <w:p w14:paraId="29D71BB2" w14:textId="10975868" w:rsidR="007A684B" w:rsidRPr="00206CC8" w:rsidRDefault="007A684B" w:rsidP="007A684B">
      <w:pPr>
        <w:pStyle w:val="Flietext0"/>
        <w:ind w:left="2268" w:hanging="1134"/>
        <w:jc w:val="both"/>
        <w:rPr>
          <w:b w:val="0"/>
          <w:bCs w:val="0"/>
          <w:iCs/>
          <w:lang w:val="en-GB"/>
        </w:rPr>
      </w:pPr>
      <w:r w:rsidRPr="00532F4E">
        <w:rPr>
          <w:b w:val="0"/>
          <w:bCs w:val="0"/>
          <w:i/>
          <w:lang w:val="en-GB"/>
        </w:rPr>
        <w:t>Paragraph 6.2.2.1.3.</w:t>
      </w:r>
      <w:r w:rsidRPr="00206CC8">
        <w:rPr>
          <w:b w:val="0"/>
          <w:bCs w:val="0"/>
          <w:iCs/>
          <w:lang w:val="en-GB"/>
        </w:rPr>
        <w:t>, amend to read:</w:t>
      </w:r>
    </w:p>
    <w:p w14:paraId="2175A718" w14:textId="57BA081D" w:rsidR="007A684B" w:rsidRPr="00206CC8" w:rsidRDefault="007A684B" w:rsidP="00340114">
      <w:pPr>
        <w:pStyle w:val="Flietext0"/>
        <w:tabs>
          <w:tab w:val="left" w:pos="2236"/>
        </w:tabs>
        <w:spacing w:after="0"/>
        <w:ind w:left="2268" w:right="1133" w:hanging="1134"/>
        <w:jc w:val="both"/>
        <w:rPr>
          <w:b w:val="0"/>
          <w:bCs w:val="0"/>
          <w:iCs/>
          <w:lang w:val="en-GB"/>
        </w:rPr>
      </w:pPr>
      <w:r w:rsidRPr="00206CC8">
        <w:rPr>
          <w:b w:val="0"/>
          <w:bCs w:val="0"/>
          <w:iCs/>
          <w:lang w:val="en-GB"/>
        </w:rPr>
        <w:t>"6.2.2.1.3.</w:t>
      </w:r>
      <w:r w:rsidRPr="00206CC8">
        <w:rPr>
          <w:b w:val="0"/>
          <w:bCs w:val="0"/>
          <w:iCs/>
          <w:lang w:val="en-GB"/>
        </w:rPr>
        <w:tab/>
        <w:t>Edges of fixing holes or recesses of which the diameter or longest diagonal is less than 12 mm are exempt from the radius requirements of paragraph 6.2.2.1.1. above provided that they are blunted."</w:t>
      </w:r>
    </w:p>
    <w:p w14:paraId="2FDB50BF" w14:textId="77777777" w:rsidR="00340114" w:rsidRPr="00206CC8" w:rsidRDefault="00340114" w:rsidP="00340114">
      <w:pPr>
        <w:pStyle w:val="Flietext0"/>
        <w:tabs>
          <w:tab w:val="left" w:pos="2236"/>
        </w:tabs>
        <w:spacing w:after="0"/>
        <w:ind w:left="2268" w:right="1133" w:hanging="1134"/>
        <w:jc w:val="both"/>
        <w:rPr>
          <w:b w:val="0"/>
          <w:bCs w:val="0"/>
          <w:iCs/>
          <w:strike/>
          <w:lang w:val="en-GB"/>
        </w:rPr>
      </w:pPr>
    </w:p>
    <w:p w14:paraId="3997FED7" w14:textId="77777777" w:rsidR="007A684B" w:rsidRPr="00206CC8" w:rsidRDefault="007A684B" w:rsidP="007A684B">
      <w:pPr>
        <w:pStyle w:val="Flietext0"/>
        <w:spacing w:before="120"/>
        <w:ind w:left="2268" w:hanging="1134"/>
        <w:jc w:val="both"/>
        <w:rPr>
          <w:b w:val="0"/>
          <w:bCs w:val="0"/>
          <w:iCs/>
          <w:lang w:val="en-GB"/>
        </w:rPr>
      </w:pPr>
      <w:r w:rsidRPr="00532F4E">
        <w:rPr>
          <w:b w:val="0"/>
          <w:bCs w:val="0"/>
          <w:i/>
          <w:lang w:val="en-GB"/>
        </w:rPr>
        <w:lastRenderedPageBreak/>
        <w:t>Insert a new paragraph 6.2.2.1.4.,</w:t>
      </w:r>
      <w:r w:rsidRPr="00206CC8">
        <w:rPr>
          <w:b w:val="0"/>
          <w:bCs w:val="0"/>
          <w:iCs/>
          <w:lang w:val="en-GB"/>
        </w:rPr>
        <w:t xml:space="preserve"> to read:</w:t>
      </w:r>
    </w:p>
    <w:p w14:paraId="4F0ABFFB" w14:textId="0CC8FA91" w:rsidR="00340114" w:rsidRPr="00A77C92" w:rsidRDefault="007A684B" w:rsidP="00A77C92">
      <w:pPr>
        <w:pStyle w:val="Flietext0"/>
        <w:tabs>
          <w:tab w:val="left" w:pos="2236"/>
        </w:tabs>
        <w:ind w:left="2268" w:right="1134" w:hanging="1134"/>
        <w:jc w:val="both"/>
        <w:rPr>
          <w:rFonts w:asciiTheme="majorBidi" w:hAnsiTheme="majorBidi" w:cstheme="majorBidi"/>
          <w:b w:val="0"/>
          <w:bCs w:val="0"/>
          <w:iCs/>
          <w:noProof/>
          <w:lang w:val="en-GB"/>
        </w:rPr>
      </w:pPr>
      <w:r w:rsidRPr="00206CC8">
        <w:rPr>
          <w:b w:val="0"/>
          <w:bCs w:val="0"/>
          <w:iCs/>
          <w:lang w:val="en-GB"/>
        </w:rPr>
        <w:t>"6.2.2.1.4.</w:t>
      </w:r>
      <w:r w:rsidRPr="00206CC8">
        <w:rPr>
          <w:b w:val="0"/>
          <w:bCs w:val="0"/>
          <w:iCs/>
          <w:lang w:val="en-GB"/>
        </w:rPr>
        <w:tab/>
        <w:t>For parts of the camera and the monitor which are made of a material with a Shore A hardness of less than 60 and which are mounted on a rigid support, the requirements of paragraph 6.2.2.1.1. above shall only apply to the support.</w:t>
      </w:r>
      <w:r w:rsidRPr="00206CC8">
        <w:rPr>
          <w:rFonts w:asciiTheme="majorBidi" w:hAnsiTheme="majorBidi" w:cstheme="majorBidi"/>
          <w:b w:val="0"/>
          <w:bCs w:val="0"/>
          <w:iCs/>
          <w:noProof/>
          <w:lang w:val="en-GB"/>
        </w:rPr>
        <w:t>"</w:t>
      </w:r>
    </w:p>
    <w:p w14:paraId="1801BDFB" w14:textId="77777777" w:rsidR="007A684B" w:rsidRPr="00206CC8" w:rsidRDefault="007A684B" w:rsidP="007A684B">
      <w:pPr>
        <w:pStyle w:val="Flietext0"/>
        <w:spacing w:before="120"/>
        <w:ind w:left="2268" w:hanging="1134"/>
        <w:jc w:val="both"/>
        <w:rPr>
          <w:b w:val="0"/>
          <w:bCs w:val="0"/>
          <w:iCs/>
          <w:lang w:val="en-GB"/>
        </w:rPr>
      </w:pPr>
      <w:r w:rsidRPr="00532F4E">
        <w:rPr>
          <w:b w:val="0"/>
          <w:bCs w:val="0"/>
          <w:i/>
          <w:lang w:val="en-GB"/>
        </w:rPr>
        <w:t>Insert a new paragraph 6.2.2.1.5.</w:t>
      </w:r>
      <w:r w:rsidRPr="00206CC8">
        <w:rPr>
          <w:b w:val="0"/>
          <w:bCs w:val="0"/>
          <w:iCs/>
          <w:lang w:val="en-GB"/>
        </w:rPr>
        <w:t>, to read:</w:t>
      </w:r>
    </w:p>
    <w:p w14:paraId="7C9F05E5" w14:textId="5CA42D2D" w:rsidR="00340114" w:rsidRPr="00206CC8" w:rsidRDefault="007A684B" w:rsidP="00262D42">
      <w:pPr>
        <w:tabs>
          <w:tab w:val="left" w:pos="8505"/>
        </w:tabs>
        <w:ind w:left="2268" w:right="1134" w:hanging="1134"/>
        <w:jc w:val="both"/>
        <w:rPr>
          <w:rFonts w:asciiTheme="majorBidi" w:hAnsiTheme="majorBidi" w:cstheme="majorBidi"/>
          <w:iCs/>
          <w:noProof/>
        </w:rPr>
      </w:pPr>
      <w:r w:rsidRPr="00206CC8">
        <w:rPr>
          <w:iCs/>
        </w:rPr>
        <w:t>"6.2.2.1.5.</w:t>
      </w:r>
      <w:r w:rsidRPr="00206CC8">
        <w:rPr>
          <w:rFonts w:asciiTheme="majorBidi" w:hAnsiTheme="majorBidi" w:cstheme="majorBidi"/>
          <w:iCs/>
          <w:noProof/>
        </w:rPr>
        <w:tab/>
        <w:t>The requirements of paragraph 6.2.2.1.1. do not apply to CMS if their lower edge is mounted not less than 2 m above the ground when the vehicle is under a load corresponding to its maximum technical permissible mass."</w:t>
      </w:r>
    </w:p>
    <w:p w14:paraId="1D300C28" w14:textId="77777777" w:rsidR="007A684B" w:rsidRPr="00206CC8" w:rsidRDefault="007A684B" w:rsidP="007A684B">
      <w:pPr>
        <w:pStyle w:val="Flietext0"/>
        <w:spacing w:before="120"/>
        <w:ind w:left="2268" w:hanging="1134"/>
        <w:jc w:val="both"/>
        <w:rPr>
          <w:b w:val="0"/>
          <w:bCs w:val="0"/>
          <w:iCs/>
          <w:lang w:val="en-GB"/>
        </w:rPr>
      </w:pPr>
      <w:r w:rsidRPr="00532F4E">
        <w:rPr>
          <w:b w:val="0"/>
          <w:bCs w:val="0"/>
          <w:i/>
          <w:lang w:val="en-GB"/>
        </w:rPr>
        <w:t>Paragraph 6.3.1.1.</w:t>
      </w:r>
      <w:r w:rsidRPr="00206CC8">
        <w:rPr>
          <w:b w:val="0"/>
          <w:bCs w:val="0"/>
          <w:iCs/>
          <w:lang w:val="en-GB"/>
        </w:rPr>
        <w:t>, amend to read:</w:t>
      </w:r>
    </w:p>
    <w:p w14:paraId="574F2EC0" w14:textId="7BB22730" w:rsidR="007A684B" w:rsidRPr="00206CC8" w:rsidRDefault="007A684B" w:rsidP="007A684B">
      <w:pPr>
        <w:spacing w:after="120"/>
        <w:ind w:left="2268" w:right="1134" w:hanging="1134"/>
        <w:jc w:val="both"/>
        <w:rPr>
          <w:iCs/>
          <w:noProof/>
        </w:rPr>
      </w:pPr>
      <w:r w:rsidRPr="00206CC8">
        <w:rPr>
          <w:iCs/>
          <w:noProof/>
        </w:rPr>
        <w:t>"6.3.1.1.</w:t>
      </w:r>
      <w:r w:rsidRPr="00206CC8">
        <w:rPr>
          <w:iCs/>
          <w:noProof/>
        </w:rPr>
        <w:tab/>
        <w:t>The test provided for in paragraph 6.3.2. below shall not be required in the case of any Class II to VI</w:t>
      </w:r>
      <w:r w:rsidRPr="00206CC8">
        <w:rPr>
          <w:iCs/>
          <w:noProof/>
          <w:color w:val="FF0000"/>
        </w:rPr>
        <w:t xml:space="preserve"> </w:t>
      </w:r>
      <w:r w:rsidRPr="00206CC8">
        <w:rPr>
          <w:iCs/>
          <w:noProof/>
        </w:rPr>
        <w:t>exterior device for indirect vision of which no part is less than 2 m from the ground, regardless of the adjustment position, when the vehicle is under a load corresponding to its maximum technically permissible mass.</w:t>
      </w:r>
    </w:p>
    <w:p w14:paraId="13C15BE3" w14:textId="77777777" w:rsidR="007A684B" w:rsidRPr="00206CC8" w:rsidRDefault="007A684B" w:rsidP="007A684B">
      <w:pPr>
        <w:spacing w:after="120"/>
        <w:ind w:left="2268" w:right="1134"/>
        <w:jc w:val="both"/>
        <w:rPr>
          <w:iCs/>
          <w:noProof/>
        </w:rPr>
      </w:pPr>
      <w:r w:rsidRPr="00206CC8">
        <w:rPr>
          <w:iCs/>
          <w:noProof/>
        </w:rPr>
        <w:t>This derogation also applies to the attachments of devices for indirect vision (attachment plates, arms, swivel joints, etc.) which are situated less than 2 m from the ground and which do not project beyond the overall width of the vehicle, measured in the transverse plane passing through the lowest mirror attachments or any other point forward of this plane if this configuration produces a greater overall width.</w:t>
      </w:r>
    </w:p>
    <w:p w14:paraId="7BEEC8A9" w14:textId="77777777" w:rsidR="007A684B" w:rsidRPr="00206CC8" w:rsidRDefault="007A684B" w:rsidP="007A684B">
      <w:pPr>
        <w:spacing w:after="120"/>
        <w:ind w:left="2268" w:right="1134"/>
        <w:jc w:val="both"/>
        <w:rPr>
          <w:iCs/>
          <w:noProof/>
        </w:rPr>
      </w:pPr>
      <w:r w:rsidRPr="00206CC8">
        <w:rPr>
          <w:iCs/>
          <w:noProof/>
        </w:rPr>
        <w:t>In such cases, a description specifying that the device for indirect vision shall be mounted so as to conform to the above-mentioned conditions for the positioning of its attachments on the vehicle shall be provided.</w:t>
      </w:r>
    </w:p>
    <w:p w14:paraId="1294FA40" w14:textId="77777777" w:rsidR="007A684B" w:rsidRPr="00206CC8" w:rsidRDefault="007A684B" w:rsidP="007A684B">
      <w:pPr>
        <w:spacing w:after="120"/>
        <w:ind w:left="2268" w:right="1134"/>
        <w:jc w:val="both"/>
        <w:rPr>
          <w:iCs/>
          <w:noProof/>
        </w:rPr>
      </w:pPr>
      <w:r w:rsidRPr="00206CC8">
        <w:rPr>
          <w:iCs/>
          <w:noProof/>
          <w:lang w:eastAsia="de-DE"/>
        </w:rPr>
        <w:drawing>
          <wp:anchor distT="0" distB="0" distL="114300" distR="114300" simplePos="0" relativeHeight="251658240" behindDoc="1" locked="0" layoutInCell="1" allowOverlap="1" wp14:anchorId="29AD3499" wp14:editId="74C7A69F">
            <wp:simplePos x="0" y="0"/>
            <wp:positionH relativeFrom="column">
              <wp:posOffset>3326130</wp:posOffset>
            </wp:positionH>
            <wp:positionV relativeFrom="paragraph">
              <wp:posOffset>295910</wp:posOffset>
            </wp:positionV>
            <wp:extent cx="252095" cy="349250"/>
            <wp:effectExtent l="0" t="0" r="0" b="0"/>
            <wp:wrapThrough wrapText="bothSides">
              <wp:wrapPolygon edited="0">
                <wp:start x="6529" y="0"/>
                <wp:lineTo x="0" y="9425"/>
                <wp:lineTo x="0" y="20029"/>
                <wp:lineTo x="19587" y="20029"/>
                <wp:lineTo x="14690" y="0"/>
                <wp:lineTo x="652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sidRPr="00206CC8">
        <w:rPr>
          <w:iCs/>
          <w:noProof/>
        </w:rPr>
        <w:t>Where advantage is taken of this derogation, the arm shall be indelibly marked with the symbol</w:t>
      </w:r>
    </w:p>
    <w:p w14:paraId="785130A7" w14:textId="77777777" w:rsidR="007A684B" w:rsidRPr="00206CC8" w:rsidRDefault="007A684B" w:rsidP="007A684B">
      <w:pPr>
        <w:ind w:left="2268" w:hanging="1134"/>
        <w:jc w:val="center"/>
        <w:rPr>
          <w:iCs/>
          <w:noProof/>
        </w:rPr>
      </w:pPr>
    </w:p>
    <w:p w14:paraId="5DC47AD7" w14:textId="77777777" w:rsidR="007A684B" w:rsidRPr="00206CC8" w:rsidRDefault="007A684B" w:rsidP="007A684B">
      <w:pPr>
        <w:ind w:left="2268" w:hanging="1134"/>
        <w:jc w:val="center"/>
        <w:rPr>
          <w:iCs/>
          <w:noProof/>
        </w:rPr>
      </w:pPr>
    </w:p>
    <w:p w14:paraId="55A973D4" w14:textId="77777777" w:rsidR="007A684B" w:rsidRPr="00206CC8" w:rsidRDefault="007A684B" w:rsidP="007A684B">
      <w:pPr>
        <w:spacing w:after="120"/>
        <w:ind w:left="2268" w:right="1134"/>
        <w:jc w:val="both"/>
        <w:rPr>
          <w:iCs/>
          <w:noProof/>
        </w:rPr>
      </w:pPr>
      <w:r w:rsidRPr="00206CC8">
        <w:rPr>
          <w:iCs/>
          <w:noProof/>
        </w:rPr>
        <w:t>and the type approval certificate shall be endorsed to this effect."</w:t>
      </w:r>
    </w:p>
    <w:p w14:paraId="2C0E7820" w14:textId="77777777" w:rsidR="00340114" w:rsidRPr="00206CC8" w:rsidRDefault="00340114" w:rsidP="007A684B">
      <w:pPr>
        <w:spacing w:after="120"/>
        <w:ind w:left="2268" w:right="1134"/>
        <w:jc w:val="both"/>
        <w:rPr>
          <w:iCs/>
          <w:noProof/>
        </w:rPr>
      </w:pPr>
    </w:p>
    <w:p w14:paraId="60CD712B" w14:textId="77777777" w:rsidR="007A684B" w:rsidRPr="00206CC8" w:rsidRDefault="007A684B" w:rsidP="007A684B">
      <w:pPr>
        <w:pStyle w:val="Default"/>
        <w:spacing w:after="120" w:line="240" w:lineRule="atLeast"/>
        <w:ind w:left="1134"/>
        <w:rPr>
          <w:iCs/>
          <w:noProof/>
          <w:color w:val="auto"/>
          <w:sz w:val="20"/>
          <w:szCs w:val="20"/>
          <w:lang w:val="en-GB"/>
        </w:rPr>
      </w:pPr>
      <w:r w:rsidRPr="00532F4E">
        <w:rPr>
          <w:i/>
          <w:noProof/>
          <w:color w:val="auto"/>
          <w:sz w:val="20"/>
          <w:szCs w:val="20"/>
          <w:lang w:val="en-GB"/>
        </w:rPr>
        <w:t>Paragraph 16.1.1</w:t>
      </w:r>
      <w:r w:rsidRPr="00206CC8">
        <w:rPr>
          <w:iCs/>
          <w:noProof/>
          <w:color w:val="auto"/>
          <w:sz w:val="20"/>
          <w:szCs w:val="20"/>
          <w:lang w:val="en-GB"/>
        </w:rPr>
        <w:t>., amend to read:</w:t>
      </w:r>
    </w:p>
    <w:p w14:paraId="447B60B4" w14:textId="77777777" w:rsidR="007A684B" w:rsidRPr="00206CC8" w:rsidRDefault="007A684B" w:rsidP="007A684B">
      <w:pPr>
        <w:pStyle w:val="Default"/>
        <w:spacing w:after="120"/>
        <w:ind w:left="1134" w:right="1133"/>
        <w:jc w:val="both"/>
        <w:rPr>
          <w:iCs/>
          <w:noProof/>
          <w:color w:val="auto"/>
          <w:sz w:val="20"/>
          <w:szCs w:val="20"/>
          <w:lang w:val="en-GB"/>
        </w:rPr>
      </w:pPr>
      <w:r w:rsidRPr="00206CC8">
        <w:rPr>
          <w:iCs/>
          <w:noProof/>
          <w:color w:val="auto"/>
          <w:sz w:val="20"/>
          <w:szCs w:val="20"/>
          <w:lang w:val="en-GB"/>
        </w:rPr>
        <w:t>"16.1.1.</w:t>
      </w:r>
      <w:r w:rsidRPr="00206CC8">
        <w:rPr>
          <w:iCs/>
          <w:noProof/>
          <w:color w:val="auto"/>
          <w:sz w:val="20"/>
          <w:szCs w:val="20"/>
          <w:lang w:val="en-GB"/>
        </w:rPr>
        <w:tab/>
        <w:t xml:space="preserve">Intended use, activation and deactivation </w:t>
      </w:r>
    </w:p>
    <w:p w14:paraId="4C39AA50" w14:textId="77777777" w:rsidR="007A684B" w:rsidRPr="00206CC8" w:rsidRDefault="007A684B" w:rsidP="007A684B">
      <w:pPr>
        <w:pStyle w:val="Default"/>
        <w:spacing w:after="120"/>
        <w:ind w:left="2268" w:right="1133"/>
        <w:jc w:val="both"/>
        <w:rPr>
          <w:iCs/>
          <w:noProof/>
          <w:color w:val="auto"/>
          <w:sz w:val="20"/>
          <w:szCs w:val="20"/>
          <w:lang w:val="en-GB"/>
        </w:rPr>
      </w:pPr>
      <w:r w:rsidRPr="00206CC8">
        <w:rPr>
          <w:iCs/>
          <w:noProof/>
          <w:color w:val="auto"/>
          <w:sz w:val="20"/>
          <w:szCs w:val="20"/>
          <w:lang w:val="en-GB"/>
        </w:rPr>
        <w:t xml:space="preserve">The intended use shall be mentioned within the operator's manual. The procedure for activation and deactivation of the CMS of Classes II and III shall allow a safe use of the vehicle. </w:t>
      </w:r>
    </w:p>
    <w:p w14:paraId="5B479F7E" w14:textId="77777777" w:rsidR="007A684B" w:rsidRPr="00206CC8" w:rsidRDefault="007A684B" w:rsidP="007A684B">
      <w:pPr>
        <w:pStyle w:val="Default"/>
        <w:spacing w:after="120"/>
        <w:ind w:left="2268" w:right="1133"/>
        <w:jc w:val="both"/>
        <w:rPr>
          <w:iCs/>
          <w:noProof/>
          <w:color w:val="auto"/>
          <w:sz w:val="20"/>
          <w:szCs w:val="20"/>
          <w:lang w:val="en-GB"/>
        </w:rPr>
      </w:pPr>
      <w:r w:rsidRPr="00206CC8">
        <w:rPr>
          <w:iCs/>
          <w:noProof/>
          <w:color w:val="auto"/>
          <w:sz w:val="20"/>
          <w:szCs w:val="20"/>
          <w:lang w:val="en-GB"/>
        </w:rPr>
        <w:t xml:space="preserve">The CMS shall be activated when the vehicle is opened (e.g. unlocking of the doors, opening of a front door or any other means by the choice of the manufacturer). </w:t>
      </w:r>
    </w:p>
    <w:p w14:paraId="65BE9C35" w14:textId="77777777" w:rsidR="007A684B" w:rsidRPr="00206CC8" w:rsidRDefault="007A684B" w:rsidP="007A684B">
      <w:pPr>
        <w:pStyle w:val="Default"/>
        <w:spacing w:after="120"/>
        <w:ind w:left="2268" w:right="1133"/>
        <w:jc w:val="both"/>
        <w:rPr>
          <w:iCs/>
          <w:noProof/>
          <w:color w:val="auto"/>
          <w:sz w:val="20"/>
          <w:szCs w:val="20"/>
          <w:lang w:val="en-GB"/>
        </w:rPr>
      </w:pPr>
      <w:r w:rsidRPr="00206CC8">
        <w:rPr>
          <w:iCs/>
          <w:noProof/>
          <w:color w:val="auto"/>
          <w:sz w:val="20"/>
          <w:szCs w:val="20"/>
          <w:lang w:val="en-GB"/>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(e.g. by initiating any front door opening process). </w:t>
      </w:r>
    </w:p>
    <w:p w14:paraId="22DBE773" w14:textId="1CF3C1F1" w:rsidR="002A404A" w:rsidRPr="00206CC8" w:rsidRDefault="007A684B" w:rsidP="00262D42">
      <w:pPr>
        <w:pStyle w:val="Default"/>
        <w:spacing w:after="120" w:line="240" w:lineRule="atLeast"/>
        <w:ind w:left="2268" w:right="1133"/>
        <w:jc w:val="both"/>
        <w:rPr>
          <w:iCs/>
          <w:noProof/>
          <w:color w:val="auto"/>
          <w:sz w:val="20"/>
          <w:szCs w:val="20"/>
          <w:lang w:val="en-GB"/>
        </w:rPr>
      </w:pPr>
      <w:r w:rsidRPr="00206CC8">
        <w:rPr>
          <w:iCs/>
          <w:noProof/>
          <w:color w:val="auto"/>
          <w:sz w:val="20"/>
          <w:szCs w:val="20"/>
          <w:lang w:val="en-GB"/>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p>
    <w:p w14:paraId="0AA841F5" w14:textId="5C422F7E" w:rsidR="007A684B" w:rsidRPr="00206CC8" w:rsidRDefault="007A684B" w:rsidP="00850104">
      <w:pPr>
        <w:keepNext/>
        <w:keepLines/>
        <w:spacing w:after="120"/>
        <w:ind w:left="2268" w:right="1134" w:hanging="1134"/>
        <w:jc w:val="both"/>
        <w:rPr>
          <w:iCs/>
          <w:noProof/>
        </w:rPr>
      </w:pPr>
      <w:r w:rsidRPr="00532F4E">
        <w:rPr>
          <w:i/>
          <w:noProof/>
        </w:rPr>
        <w:lastRenderedPageBreak/>
        <w:t>Insert new paragraphs 22.18. to 22.2</w:t>
      </w:r>
      <w:r w:rsidR="00A30443" w:rsidRPr="00532F4E">
        <w:rPr>
          <w:i/>
          <w:noProof/>
        </w:rPr>
        <w:t>5</w:t>
      </w:r>
      <w:r w:rsidRPr="00532F4E">
        <w:rPr>
          <w:i/>
          <w:noProof/>
        </w:rPr>
        <w:t>.</w:t>
      </w:r>
      <w:r w:rsidRPr="00206CC8">
        <w:rPr>
          <w:iCs/>
          <w:noProof/>
        </w:rPr>
        <w:t>, to read:</w:t>
      </w:r>
    </w:p>
    <w:p w14:paraId="73F71CC2" w14:textId="77777777" w:rsidR="007A684B" w:rsidRPr="00206CC8" w:rsidRDefault="007A684B" w:rsidP="007A684B">
      <w:pPr>
        <w:spacing w:after="120"/>
        <w:ind w:left="2259" w:right="1134" w:hanging="1125"/>
        <w:jc w:val="both"/>
        <w:rPr>
          <w:iCs/>
          <w:noProof/>
        </w:rPr>
      </w:pPr>
      <w:r w:rsidRPr="00206CC8">
        <w:rPr>
          <w:iCs/>
          <w:noProof/>
        </w:rPr>
        <w:t>"22.18.</w:t>
      </w:r>
      <w:r w:rsidRPr="00206CC8">
        <w:rPr>
          <w:iCs/>
          <w:noProof/>
        </w:rPr>
        <w:tab/>
        <w:t>As from the official date of entry into force of the 05 series of amendments, no Contracting Party applying this Regulation shall refuse to grant or refuse to accept type approvals under this Regulation as amended by the 05 series of amendments.</w:t>
      </w:r>
    </w:p>
    <w:p w14:paraId="6A1726A0" w14:textId="77777777" w:rsidR="007A684B" w:rsidRPr="00206CC8" w:rsidRDefault="007A684B" w:rsidP="007A684B">
      <w:pPr>
        <w:spacing w:after="120"/>
        <w:ind w:left="2259" w:right="1134" w:hanging="1125"/>
        <w:jc w:val="both"/>
        <w:rPr>
          <w:iCs/>
          <w:noProof/>
        </w:rPr>
      </w:pPr>
      <w:r w:rsidRPr="00206CC8">
        <w:rPr>
          <w:iCs/>
          <w:noProof/>
        </w:rPr>
        <w:t>22.19.</w:t>
      </w:r>
      <w:r w:rsidRPr="00206CC8">
        <w:rPr>
          <w:iCs/>
          <w:noProof/>
        </w:rPr>
        <w:tab/>
      </w:r>
      <w:r w:rsidRPr="00206CC8">
        <w:rPr>
          <w:iCs/>
          <w:noProof/>
        </w:rPr>
        <w:tab/>
        <w:t>As from 1 September 2024 Contracting Parties applying this Regulation shall not be obliged to accept type approvals to the preceding series of amendments, first issued after 1 September 2024.</w:t>
      </w:r>
    </w:p>
    <w:p w14:paraId="1531B48D" w14:textId="77777777" w:rsidR="007A684B" w:rsidRPr="00206CC8" w:rsidRDefault="007A684B" w:rsidP="007A684B">
      <w:pPr>
        <w:spacing w:after="120"/>
        <w:ind w:left="2259" w:right="1134" w:hanging="1125"/>
        <w:jc w:val="both"/>
        <w:rPr>
          <w:iCs/>
          <w:noProof/>
        </w:rPr>
      </w:pPr>
      <w:r w:rsidRPr="00206CC8">
        <w:rPr>
          <w:iCs/>
          <w:noProof/>
        </w:rPr>
        <w:t>22.20.</w:t>
      </w:r>
      <w:r w:rsidRPr="00206CC8">
        <w:rPr>
          <w:iCs/>
          <w:noProof/>
        </w:rPr>
        <w:tab/>
        <w:t>Until 1 September 2026, Contracting Parties applying this Regulation shall accept type approvals to the preceding series of amendments, first issued before 1 September 2024.</w:t>
      </w:r>
    </w:p>
    <w:p w14:paraId="2EE83255" w14:textId="77777777" w:rsidR="007A684B" w:rsidRPr="00206CC8" w:rsidRDefault="007A684B" w:rsidP="007A684B">
      <w:pPr>
        <w:spacing w:after="120"/>
        <w:ind w:left="2259" w:right="1134" w:hanging="1125"/>
        <w:jc w:val="both"/>
        <w:rPr>
          <w:iCs/>
          <w:noProof/>
        </w:rPr>
      </w:pPr>
      <w:r w:rsidRPr="00206CC8">
        <w:rPr>
          <w:iCs/>
          <w:noProof/>
        </w:rPr>
        <w:t>22.21.</w:t>
      </w:r>
      <w:r w:rsidRPr="00206CC8">
        <w:rPr>
          <w:iCs/>
          <w:noProof/>
        </w:rPr>
        <w:tab/>
        <w:t>As from 1 September 2026, Contracting Parties applying this Regulation shall not be obliged to accept type approvals issued to the preceding series of amendments to this Regulation.</w:t>
      </w:r>
    </w:p>
    <w:p w14:paraId="1CDFA7B2" w14:textId="6E2770EB" w:rsidR="007A684B" w:rsidRPr="00206CC8" w:rsidRDefault="007A684B" w:rsidP="007A684B">
      <w:pPr>
        <w:spacing w:after="120"/>
        <w:ind w:left="2259" w:right="1134" w:hanging="1125"/>
        <w:jc w:val="both"/>
        <w:rPr>
          <w:iCs/>
          <w:noProof/>
        </w:rPr>
      </w:pPr>
      <w:r w:rsidRPr="00206CC8">
        <w:rPr>
          <w:iCs/>
          <w:noProof/>
        </w:rPr>
        <w:t>22.22.</w:t>
      </w:r>
      <w:r w:rsidRPr="00206CC8">
        <w:rPr>
          <w:iCs/>
          <w:noProof/>
        </w:rPr>
        <w:tab/>
      </w:r>
      <w:r w:rsidR="00995F1D" w:rsidRPr="002C4331">
        <w:rPr>
          <w:bCs/>
          <w:iCs/>
          <w:noProof/>
        </w:rPr>
        <w:t>Notwithstanding paragraph 22.21., Contracting Parties applying this Regulation shall continue to accept type approvals of device</w:t>
      </w:r>
      <w:r w:rsidR="00995F1D" w:rsidRPr="0073565A">
        <w:rPr>
          <w:iCs/>
          <w:noProof/>
          <w:color w:val="000000" w:themeColor="text1"/>
        </w:rPr>
        <w:t>s</w:t>
      </w:r>
      <w:r w:rsidR="00995F1D" w:rsidRPr="002C4331">
        <w:rPr>
          <w:bCs/>
          <w:iCs/>
          <w:noProof/>
        </w:rPr>
        <w:t xml:space="preserve"> for indirect vision</w:t>
      </w:r>
      <w:r w:rsidR="00995F1D">
        <w:rPr>
          <w:bCs/>
          <w:iCs/>
          <w:noProof/>
        </w:rPr>
        <w:t xml:space="preserve"> </w:t>
      </w:r>
      <w:r w:rsidR="00995F1D" w:rsidRPr="0073565A">
        <w:rPr>
          <w:iCs/>
          <w:noProof/>
          <w:color w:val="000000" w:themeColor="text1"/>
        </w:rPr>
        <w:t>other than CMS</w:t>
      </w:r>
      <w:r w:rsidR="00995F1D" w:rsidRPr="0073565A">
        <w:rPr>
          <w:bCs/>
          <w:iCs/>
          <w:noProof/>
          <w:color w:val="000000" w:themeColor="text1"/>
        </w:rPr>
        <w:t xml:space="preserve"> </w:t>
      </w:r>
      <w:r w:rsidR="00995F1D" w:rsidRPr="002C4331">
        <w:rPr>
          <w:bCs/>
          <w:iCs/>
          <w:noProof/>
        </w:rPr>
        <w:t>issued according to the preceding series of amendments to this Regulation.</w:t>
      </w:r>
    </w:p>
    <w:p w14:paraId="56216A7A" w14:textId="25EA9143" w:rsidR="00795252" w:rsidRPr="00D82B7F" w:rsidRDefault="007A684B" w:rsidP="00D82B7F">
      <w:pPr>
        <w:spacing w:after="120"/>
        <w:ind w:left="2259" w:right="1134" w:hanging="1125"/>
        <w:jc w:val="both"/>
        <w:rPr>
          <w:b/>
          <w:noProof/>
          <w:color w:val="000000" w:themeColor="text1"/>
        </w:rPr>
      </w:pPr>
      <w:r w:rsidRPr="00206CC8">
        <w:rPr>
          <w:iCs/>
          <w:noProof/>
        </w:rPr>
        <w:t>22.23.</w:t>
      </w:r>
      <w:r w:rsidRPr="00206CC8">
        <w:rPr>
          <w:iCs/>
          <w:noProof/>
        </w:rPr>
        <w:tab/>
      </w:r>
      <w:r w:rsidR="00795252" w:rsidRPr="00795252">
        <w:rPr>
          <w:bCs/>
          <w:iCs/>
          <w:noProof/>
          <w:color w:val="000000" w:themeColor="text1"/>
        </w:rPr>
        <w:t>Notwithstanding paragraph 22.21, Contracting Parties applying this Regulation shall continue to accept type approvals issued according to the preceding series of amendments to this Regulation, for the vehicles and CMS which are not affected by the changes introduced by the 05 series of amendments</w:t>
      </w:r>
    </w:p>
    <w:p w14:paraId="4B310FB6" w14:textId="29403489" w:rsidR="007A684B" w:rsidRPr="00206CC8" w:rsidRDefault="00D82B7F" w:rsidP="007A684B">
      <w:pPr>
        <w:spacing w:after="120"/>
        <w:ind w:left="2259" w:right="1134" w:hanging="1125"/>
        <w:jc w:val="both"/>
        <w:rPr>
          <w:iCs/>
          <w:noProof/>
        </w:rPr>
      </w:pPr>
      <w:r>
        <w:rPr>
          <w:iCs/>
          <w:noProof/>
        </w:rPr>
        <w:t>22.24.</w:t>
      </w:r>
      <w:r>
        <w:rPr>
          <w:iCs/>
          <w:noProof/>
        </w:rPr>
        <w:tab/>
      </w:r>
      <w:r w:rsidR="007A684B" w:rsidRPr="00206CC8">
        <w:rPr>
          <w:iCs/>
          <w:noProof/>
        </w:rPr>
        <w:t xml:space="preserve">Contracting Parties applying this Regulation may grant type approvals according to any preceding series of amendments to this Regulation. </w:t>
      </w:r>
    </w:p>
    <w:p w14:paraId="34348DDD" w14:textId="18FF7CF8" w:rsidR="007A684B" w:rsidRDefault="007A684B" w:rsidP="007A684B">
      <w:pPr>
        <w:spacing w:after="120"/>
        <w:ind w:left="2259" w:right="1134" w:hanging="1125"/>
        <w:jc w:val="both"/>
        <w:rPr>
          <w:iCs/>
          <w:noProof/>
        </w:rPr>
      </w:pPr>
      <w:r w:rsidRPr="00206CC8">
        <w:rPr>
          <w:iCs/>
          <w:noProof/>
        </w:rPr>
        <w:t>22.2</w:t>
      </w:r>
      <w:r w:rsidR="00D82B7F">
        <w:rPr>
          <w:iCs/>
          <w:noProof/>
        </w:rPr>
        <w:t>5</w:t>
      </w:r>
      <w:r w:rsidRPr="00206CC8">
        <w:rPr>
          <w:iCs/>
          <w:noProof/>
        </w:rPr>
        <w:t xml:space="preserve">. </w:t>
      </w:r>
      <w:r w:rsidRPr="00206CC8">
        <w:rPr>
          <w:iCs/>
          <w:noProof/>
        </w:rPr>
        <w:tab/>
        <w:t>Contracting Parties applying this Regulation shall continue to grant extensions of existing approvals to any preceding series of amendments to this Regulation"</w:t>
      </w:r>
    </w:p>
    <w:p w14:paraId="49627801" w14:textId="77777777" w:rsidR="00CF1359" w:rsidRDefault="00CF1359" w:rsidP="00CF1359">
      <w:pPr>
        <w:spacing w:after="120"/>
        <w:ind w:left="2268" w:right="1134" w:hanging="1134"/>
        <w:jc w:val="both"/>
        <w:rPr>
          <w:noProof/>
        </w:rPr>
      </w:pPr>
      <w:r>
        <w:rPr>
          <w:i/>
          <w:iCs/>
          <w:noProof/>
        </w:rPr>
        <w:t>Annex 5;</w:t>
      </w:r>
      <w:r>
        <w:rPr>
          <w:noProof/>
        </w:rPr>
        <w:t xml:space="preserve"> amend to read:</w:t>
      </w:r>
    </w:p>
    <w:p w14:paraId="61A28BD6" w14:textId="77777777" w:rsidR="00CF1359" w:rsidRPr="00CF1359" w:rsidRDefault="00CF1359" w:rsidP="00CF1359">
      <w:pPr>
        <w:pStyle w:val="HChG"/>
        <w:rPr>
          <w:b w:val="0"/>
          <w:bCs/>
        </w:rPr>
      </w:pPr>
      <w:bookmarkStart w:id="0" w:name="_Toc437351638"/>
      <w:r w:rsidRPr="00CF1359">
        <w:rPr>
          <w:b w:val="0"/>
          <w:bCs/>
        </w:rPr>
        <w:t>"</w:t>
      </w:r>
      <w:r w:rsidRPr="00E559A0">
        <w:t>Annex 5</w:t>
      </w:r>
      <w:bookmarkEnd w:id="0"/>
    </w:p>
    <w:p w14:paraId="33DB89E7" w14:textId="77777777" w:rsidR="00CF1359" w:rsidRPr="00E559A0" w:rsidRDefault="00CF1359" w:rsidP="00CF1359">
      <w:pPr>
        <w:pStyle w:val="HChG"/>
      </w:pPr>
      <w:r w:rsidRPr="00CF1359">
        <w:rPr>
          <w:b w:val="0"/>
          <w:bCs/>
        </w:rPr>
        <w:tab/>
      </w:r>
      <w:r w:rsidRPr="00CF1359">
        <w:rPr>
          <w:b w:val="0"/>
          <w:bCs/>
        </w:rPr>
        <w:tab/>
      </w:r>
      <w:bookmarkStart w:id="1" w:name="_Toc437351639"/>
      <w:r w:rsidRPr="00E559A0">
        <w:t>Arrangement of approval mark of a device for indirect vision</w:t>
      </w:r>
      <w:bookmarkEnd w:id="1"/>
    </w:p>
    <w:p w14:paraId="084631BF" w14:textId="77777777" w:rsidR="00CF1359" w:rsidRPr="00CF1359" w:rsidRDefault="00CF1359" w:rsidP="00CF1359">
      <w:pPr>
        <w:spacing w:after="120"/>
        <w:ind w:left="1134" w:right="1134"/>
        <w:jc w:val="both"/>
        <w:rPr>
          <w:bCs/>
        </w:rPr>
      </w:pPr>
      <w:r w:rsidRPr="00CF1359">
        <w:rPr>
          <w:bCs/>
        </w:rPr>
        <w:t>(See paragraph 5.4. of the Regulation)</w:t>
      </w:r>
    </w:p>
    <w:p w14:paraId="07EF232A" w14:textId="77777777" w:rsidR="00CF1359" w:rsidRPr="00CF1359" w:rsidRDefault="00CF1359" w:rsidP="00CF1359">
      <w:pPr>
        <w:spacing w:after="120"/>
        <w:ind w:left="1134" w:right="1134"/>
        <w:jc w:val="center"/>
        <w:rPr>
          <w:bCs/>
        </w:rPr>
      </w:pPr>
      <w:r w:rsidRPr="004742F8">
        <w:rPr>
          <w:bCs/>
          <w:noProof/>
          <w:lang w:val="en-US"/>
        </w:rPr>
        <mc:AlternateContent>
          <mc:Choice Requires="wps">
            <w:drawing>
              <wp:anchor distT="0" distB="0" distL="114300" distR="114300" simplePos="0" relativeHeight="251658243" behindDoc="0" locked="0" layoutInCell="1" allowOverlap="1" wp14:anchorId="7F024BE9" wp14:editId="1627213C">
                <wp:simplePos x="0" y="0"/>
                <wp:positionH relativeFrom="column">
                  <wp:posOffset>3314700</wp:posOffset>
                </wp:positionH>
                <wp:positionV relativeFrom="paragraph">
                  <wp:posOffset>86995</wp:posOffset>
                </wp:positionV>
                <wp:extent cx="1270000" cy="243840"/>
                <wp:effectExtent l="0" t="4445" r="1270" b="0"/>
                <wp:wrapNone/>
                <wp:docPr id="1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D07FB" w14:textId="77777777" w:rsidR="00CF1359" w:rsidRPr="005D656C" w:rsidRDefault="00CF1359" w:rsidP="00CF1359">
                            <w:pPr>
                              <w:rPr>
                                <w:sz w:val="18"/>
                                <w:szCs w:val="18"/>
                                <w:lang w:val="de-DE"/>
                              </w:rPr>
                            </w:pPr>
                            <w:r w:rsidRPr="005D656C">
                              <w:rPr>
                                <w:sz w:val="18"/>
                                <w:szCs w:val="18"/>
                              </w:rPr>
                              <w:t>a = 5 mm min</w:t>
                            </w:r>
                            <w:r>
                              <w:rPr>
                                <w:sz w:val="18"/>
                                <w:szCs w:val="18"/>
                              </w:rPr>
                              <w:t>imum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024BE9" id="_x0000_t202" coordsize="21600,21600" o:spt="202" path="m,l,21600r21600,l21600,xe">
                <v:stroke joinstyle="miter"/>
                <v:path gradientshapeok="t" o:connecttype="rect"/>
              </v:shapetype>
              <v:shape id="Textfeld 2" o:spid="_x0000_s1026" type="#_x0000_t202" style="position:absolute;left:0;text-align:left;margin-left:261pt;margin-top:6.85pt;width:100pt;height:19.2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" stroked="f">
                <v:textbox style="mso-fit-shape-to-text:t">
                  <w:txbxContent>
                    <w:p w14:paraId="074D07FB" w14:textId="77777777" w:rsidR="00CF1359" w:rsidRPr="005D656C" w:rsidRDefault="00CF1359" w:rsidP="00CF1359">
                      <w:pPr>
                        <w:rPr>
                          <w:sz w:val="18"/>
                          <w:szCs w:val="18"/>
                          <w:lang w:val="de-DE"/>
                        </w:rPr>
                      </w:pPr>
                      <w:r w:rsidRPr="005D656C">
                        <w:rPr>
                          <w:sz w:val="18"/>
                          <w:szCs w:val="18"/>
                        </w:rPr>
                        <w:t>a = 5 mm min</w:t>
                      </w:r>
                      <w:r>
                        <w:rPr>
                          <w:sz w:val="18"/>
                          <w:szCs w:val="18"/>
                        </w:rPr>
                        <w:t>imum</w:t>
                      </w:r>
                    </w:p>
                  </w:txbxContent>
                </v:textbox>
              </v:shape>
            </w:pict>
          </mc:Fallback>
        </mc:AlternateContent>
      </w:r>
      <w:r w:rsidRPr="004742F8">
        <w:rPr>
          <w:bCs/>
          <w:noProof/>
        </w:rPr>
        <w:drawing>
          <wp:anchor distT="0" distB="0" distL="114300" distR="114300" simplePos="0" relativeHeight="251658244" behindDoc="0" locked="0" layoutInCell="1" allowOverlap="1" wp14:anchorId="7632AA60" wp14:editId="10BF0BD4">
            <wp:simplePos x="0" y="0"/>
            <wp:positionH relativeFrom="column">
              <wp:posOffset>2086610</wp:posOffset>
            </wp:positionH>
            <wp:positionV relativeFrom="paragraph">
              <wp:posOffset>1861820</wp:posOffset>
            </wp:positionV>
            <wp:extent cx="1092200" cy="347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2200" cy="347980"/>
                    </a:xfrm>
                    <a:prstGeom prst="rect">
                      <a:avLst/>
                    </a:prstGeom>
                  </pic:spPr>
                </pic:pic>
              </a:graphicData>
            </a:graphic>
            <wp14:sizeRelH relativeFrom="page">
              <wp14:pctWidth>0</wp14:pctWidth>
            </wp14:sizeRelH>
            <wp14:sizeRelV relativeFrom="page">
              <wp14:pctHeight>0</wp14:pctHeight>
            </wp14:sizeRelV>
          </wp:anchor>
        </w:drawing>
      </w:r>
      <w:r w:rsidRPr="00CF1359">
        <w:rPr>
          <w:bCs/>
          <w:noProof/>
          <w:lang w:val="en-US"/>
        </w:rPr>
        <w:drawing>
          <wp:inline distT="0" distB="0" distL="0" distR="0" wp14:anchorId="0C358DAC" wp14:editId="7D88C829">
            <wp:extent cx="3048000" cy="22764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r w:rsidRPr="00CF1359">
        <w:rPr>
          <w:bCs/>
          <w:noProof/>
        </w:rPr>
        <w:t xml:space="preserve"> </w:t>
      </w:r>
      <w:r w:rsidRPr="00CF1359">
        <w:rPr>
          <w:bCs/>
          <w:noProof/>
          <w:lang w:val="en-US"/>
        </w:rPr>
        <mc:AlternateContent>
          <mc:Choice Requires="wps">
            <w:drawing>
              <wp:anchor distT="0" distB="0" distL="114300" distR="114300" simplePos="0" relativeHeight="251658242" behindDoc="0" locked="0" layoutInCell="1" allowOverlap="1" wp14:anchorId="0373D472" wp14:editId="0DA9BD29">
                <wp:simplePos x="0" y="0"/>
                <wp:positionH relativeFrom="column">
                  <wp:posOffset>3385185</wp:posOffset>
                </wp:positionH>
                <wp:positionV relativeFrom="paragraph">
                  <wp:posOffset>212725</wp:posOffset>
                </wp:positionV>
                <wp:extent cx="662940" cy="22225"/>
                <wp:effectExtent l="9525" t="12700" r="13335" b="12700"/>
                <wp:wrapNone/>
                <wp:docPr id="1225"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222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3D35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2" o:spid="_x0000_s1026" type="#_x0000_t34" style="position:absolute;margin-left:266.55pt;margin-top:16.75pt;width:52.2pt;height:1.7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"/>
            </w:pict>
          </mc:Fallback>
        </mc:AlternateContent>
      </w:r>
    </w:p>
    <w:p w14:paraId="7C24AD43" w14:textId="77777777" w:rsidR="00CF1359" w:rsidRPr="00CF1359" w:rsidRDefault="00CF1359" w:rsidP="00CF1359">
      <w:pPr>
        <w:spacing w:after="120"/>
        <w:ind w:left="1134" w:right="1133"/>
        <w:jc w:val="both"/>
        <w:rPr>
          <w:bCs/>
        </w:rPr>
      </w:pPr>
      <w:r w:rsidRPr="00CF1359">
        <w:rPr>
          <w:bCs/>
        </w:rPr>
        <w:t xml:space="preserve">The above approval mark affixed to a device for indirect vision indicates that the device is a main rear-view device, of Class II, which has been approved in the Netherlands (E 4) pursuant </w:t>
      </w:r>
      <w:r w:rsidRPr="00CF1359">
        <w:rPr>
          <w:bCs/>
        </w:rPr>
        <w:lastRenderedPageBreak/>
        <w:t>to Regulation No. 46 and under approval number 052439. The first two digits of the approval number indicate that Regulation No. 46 already included the 05 series of amendments when the approval was granted.</w:t>
      </w:r>
    </w:p>
    <w:p w14:paraId="2617ED96" w14:textId="77777777" w:rsidR="00CF1359" w:rsidRPr="00CF1359" w:rsidRDefault="00CF1359" w:rsidP="00CF1359">
      <w:pPr>
        <w:spacing w:after="120"/>
        <w:ind w:left="1134" w:right="1133"/>
        <w:jc w:val="both"/>
        <w:rPr>
          <w:bCs/>
        </w:rPr>
      </w:pPr>
      <w:r w:rsidRPr="00CF1359">
        <w:rPr>
          <w:bCs/>
          <w:i/>
        </w:rPr>
        <w:t>Note</w:t>
      </w:r>
      <w:r w:rsidRPr="00CF1359">
        <w:rPr>
          <w:bCs/>
        </w:rPr>
        <w:t xml:space="preserve">: </w:t>
      </w:r>
      <w:r w:rsidRPr="00CF1359">
        <w:rPr>
          <w:bCs/>
        </w:rPr>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r w:rsidRPr="00CF1359">
        <w:rPr>
          <w:bCs/>
          <w:iCs/>
          <w:noProof/>
        </w:rPr>
        <w:t>"</w:t>
      </w:r>
    </w:p>
    <w:p w14:paraId="46632573" w14:textId="2AB34829" w:rsidR="00DF37FA" w:rsidRPr="00CF1359" w:rsidRDefault="00DF37FA" w:rsidP="00DF37FA">
      <w:pPr>
        <w:spacing w:after="120"/>
        <w:ind w:left="2268" w:right="1134" w:hanging="1134"/>
        <w:jc w:val="center"/>
        <w:rPr>
          <w:bCs/>
          <w:iCs/>
          <w:noProof/>
        </w:rPr>
      </w:pPr>
      <w:r>
        <w:rPr>
          <w:bCs/>
          <w:iCs/>
          <w:noProof/>
        </w:rPr>
        <w:t>_________</w:t>
      </w:r>
    </w:p>
    <w:p w14:paraId="43E7FB10" w14:textId="6D9EBD12" w:rsidR="001C6663" w:rsidRPr="00CF1359" w:rsidRDefault="001C6663" w:rsidP="00907B8E">
      <w:pPr>
        <w:pStyle w:val="SingleTxtG"/>
        <w:rPr>
          <w:bCs/>
        </w:rPr>
      </w:pPr>
    </w:p>
    <w:sectPr w:rsidR="001C6663" w:rsidRPr="00CF1359" w:rsidSect="006B3551">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18E6" w14:textId="77777777" w:rsidR="003041A7" w:rsidRDefault="003041A7"/>
  </w:endnote>
  <w:endnote w:type="continuationSeparator" w:id="0">
    <w:p w14:paraId="7746705D" w14:textId="77777777" w:rsidR="003041A7" w:rsidRDefault="003041A7"/>
  </w:endnote>
  <w:endnote w:type="continuationNotice" w:id="1">
    <w:p w14:paraId="2A1782CC" w14:textId="77777777" w:rsidR="003041A7" w:rsidRDefault="00304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B8E5" w14:textId="4BD87061" w:rsidR="003641E0" w:rsidRDefault="003641E0" w:rsidP="003641E0">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029D44F9" wp14:editId="666BACF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5C1D7E" w14:textId="742504A8" w:rsidR="003641E0" w:rsidRPr="003641E0" w:rsidRDefault="003641E0" w:rsidP="003641E0">
    <w:pPr>
      <w:pStyle w:val="Footer"/>
      <w:ind w:right="1134"/>
      <w:rPr>
        <w:sz w:val="20"/>
      </w:rPr>
    </w:pPr>
    <w:r>
      <w:rPr>
        <w:sz w:val="20"/>
      </w:rPr>
      <w:t>GE.22-00702(E)</w:t>
    </w:r>
    <w:r>
      <w:rPr>
        <w:noProof/>
        <w:sz w:val="20"/>
      </w:rPr>
      <w:drawing>
        <wp:anchor distT="0" distB="0" distL="114300" distR="114300" simplePos="0" relativeHeight="251660288" behindDoc="0" locked="0" layoutInCell="1" allowOverlap="1" wp14:anchorId="3BE7DBBA" wp14:editId="41E5B8A4">
          <wp:simplePos x="0" y="0"/>
          <wp:positionH relativeFrom="margin">
            <wp:posOffset>5615940</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4006" w14:textId="77777777" w:rsidR="003041A7" w:rsidRPr="000B175B" w:rsidRDefault="003041A7" w:rsidP="000B175B">
      <w:pPr>
        <w:tabs>
          <w:tab w:val="right" w:pos="2155"/>
        </w:tabs>
        <w:spacing w:after="80"/>
        <w:ind w:left="680"/>
        <w:rPr>
          <w:u w:val="single"/>
        </w:rPr>
      </w:pPr>
      <w:r>
        <w:rPr>
          <w:u w:val="single"/>
        </w:rPr>
        <w:tab/>
      </w:r>
    </w:p>
  </w:footnote>
  <w:footnote w:type="continuationSeparator" w:id="0">
    <w:p w14:paraId="091D175F" w14:textId="77777777" w:rsidR="003041A7" w:rsidRPr="00FC68B7" w:rsidRDefault="003041A7" w:rsidP="00FC68B7">
      <w:pPr>
        <w:tabs>
          <w:tab w:val="left" w:pos="2155"/>
        </w:tabs>
        <w:spacing w:after="80"/>
        <w:ind w:left="680"/>
        <w:rPr>
          <w:u w:val="single"/>
        </w:rPr>
      </w:pPr>
      <w:r>
        <w:rPr>
          <w:u w:val="single"/>
        </w:rPr>
        <w:tab/>
      </w:r>
    </w:p>
  </w:footnote>
  <w:footnote w:type="continuationNotice" w:id="1">
    <w:p w14:paraId="3D4D88D5" w14:textId="77777777" w:rsidR="003041A7" w:rsidRDefault="003041A7"/>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F0E6B55" w:rsidR="006B3551" w:rsidRPr="006B3551" w:rsidRDefault="006B3551">
    <w:pPr>
      <w:pStyle w:val="Header"/>
    </w:pPr>
    <w:r>
      <w:t>ECE/TRANS/WP.29/202</w:t>
    </w:r>
    <w:r w:rsidR="00720F52">
      <w:t>2</w:t>
    </w:r>
    <w:r>
      <w:t>/</w:t>
    </w:r>
    <w:r w:rsidR="000E0B1C">
      <w:t>5</w:t>
    </w:r>
    <w:r w:rsidR="00FB5E9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504C8B0F" w:rsidR="006B3551" w:rsidRPr="006B3551" w:rsidRDefault="006B3551" w:rsidP="006B3551">
    <w:pPr>
      <w:pStyle w:val="Header"/>
      <w:jc w:val="right"/>
    </w:pPr>
    <w:r>
      <w:t>ECE/TRANS/WP.29/202</w:t>
    </w:r>
    <w:r w:rsidR="0029684D">
      <w:t>2</w:t>
    </w:r>
    <w:r>
      <w:t>/</w:t>
    </w:r>
    <w:r w:rsidR="000E0B1C">
      <w:t>5</w:t>
    </w:r>
    <w:r w:rsidR="00170BC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323"/>
    <w:rsid w:val="000038A8"/>
    <w:rsid w:val="00005DF3"/>
    <w:rsid w:val="00006790"/>
    <w:rsid w:val="000111F1"/>
    <w:rsid w:val="00027624"/>
    <w:rsid w:val="00035389"/>
    <w:rsid w:val="00050F6B"/>
    <w:rsid w:val="0005427D"/>
    <w:rsid w:val="00054B33"/>
    <w:rsid w:val="000563D5"/>
    <w:rsid w:val="000678CD"/>
    <w:rsid w:val="00067E11"/>
    <w:rsid w:val="00072C8C"/>
    <w:rsid w:val="00081CE0"/>
    <w:rsid w:val="00084D30"/>
    <w:rsid w:val="00090320"/>
    <w:rsid w:val="000931C0"/>
    <w:rsid w:val="00097003"/>
    <w:rsid w:val="000A2E09"/>
    <w:rsid w:val="000B175B"/>
    <w:rsid w:val="000B3A0F"/>
    <w:rsid w:val="000E0415"/>
    <w:rsid w:val="000E0B1C"/>
    <w:rsid w:val="000F7715"/>
    <w:rsid w:val="00156B99"/>
    <w:rsid w:val="00166124"/>
    <w:rsid w:val="00166466"/>
    <w:rsid w:val="00170BCD"/>
    <w:rsid w:val="00184DDA"/>
    <w:rsid w:val="001900CD"/>
    <w:rsid w:val="001A0452"/>
    <w:rsid w:val="001B4B04"/>
    <w:rsid w:val="001B5875"/>
    <w:rsid w:val="001C4B9C"/>
    <w:rsid w:val="001C6663"/>
    <w:rsid w:val="001C727A"/>
    <w:rsid w:val="001C7895"/>
    <w:rsid w:val="001D26DF"/>
    <w:rsid w:val="001F1599"/>
    <w:rsid w:val="001F19C4"/>
    <w:rsid w:val="00202D4A"/>
    <w:rsid w:val="002043F0"/>
    <w:rsid w:val="00206CC8"/>
    <w:rsid w:val="00211E0B"/>
    <w:rsid w:val="00216128"/>
    <w:rsid w:val="00232575"/>
    <w:rsid w:val="002358D3"/>
    <w:rsid w:val="00247258"/>
    <w:rsid w:val="00257CAC"/>
    <w:rsid w:val="00262D42"/>
    <w:rsid w:val="0027237A"/>
    <w:rsid w:val="0029684D"/>
    <w:rsid w:val="002974E9"/>
    <w:rsid w:val="002A306B"/>
    <w:rsid w:val="002A404A"/>
    <w:rsid w:val="002A7F94"/>
    <w:rsid w:val="002B109A"/>
    <w:rsid w:val="002C6D45"/>
    <w:rsid w:val="002D6E53"/>
    <w:rsid w:val="002E7BD4"/>
    <w:rsid w:val="002F046D"/>
    <w:rsid w:val="002F3023"/>
    <w:rsid w:val="00301764"/>
    <w:rsid w:val="003022DA"/>
    <w:rsid w:val="003041A7"/>
    <w:rsid w:val="003229D8"/>
    <w:rsid w:val="00336C97"/>
    <w:rsid w:val="00337F88"/>
    <w:rsid w:val="00340114"/>
    <w:rsid w:val="00342432"/>
    <w:rsid w:val="0035223F"/>
    <w:rsid w:val="00352D4B"/>
    <w:rsid w:val="0035638C"/>
    <w:rsid w:val="003641E0"/>
    <w:rsid w:val="003A1557"/>
    <w:rsid w:val="003A46BB"/>
    <w:rsid w:val="003A4EC7"/>
    <w:rsid w:val="003A7295"/>
    <w:rsid w:val="003B1F60"/>
    <w:rsid w:val="003C2CC4"/>
    <w:rsid w:val="003D4B23"/>
    <w:rsid w:val="003E278A"/>
    <w:rsid w:val="003F4164"/>
    <w:rsid w:val="00411BAE"/>
    <w:rsid w:val="00413520"/>
    <w:rsid w:val="004325CB"/>
    <w:rsid w:val="00440A07"/>
    <w:rsid w:val="00462880"/>
    <w:rsid w:val="00467B66"/>
    <w:rsid w:val="004742F8"/>
    <w:rsid w:val="00476F24"/>
    <w:rsid w:val="004A5D33"/>
    <w:rsid w:val="004C55B0"/>
    <w:rsid w:val="004F6BA0"/>
    <w:rsid w:val="004F79CC"/>
    <w:rsid w:val="00500804"/>
    <w:rsid w:val="00503BEA"/>
    <w:rsid w:val="005178E4"/>
    <w:rsid w:val="00517F2C"/>
    <w:rsid w:val="00532F4E"/>
    <w:rsid w:val="00533616"/>
    <w:rsid w:val="00535ABA"/>
    <w:rsid w:val="0053768B"/>
    <w:rsid w:val="005420F2"/>
    <w:rsid w:val="0054285C"/>
    <w:rsid w:val="00543424"/>
    <w:rsid w:val="0056553E"/>
    <w:rsid w:val="00572EC7"/>
    <w:rsid w:val="005802BA"/>
    <w:rsid w:val="00584173"/>
    <w:rsid w:val="005845BB"/>
    <w:rsid w:val="00595520"/>
    <w:rsid w:val="005A05C8"/>
    <w:rsid w:val="005A44B9"/>
    <w:rsid w:val="005B1BA0"/>
    <w:rsid w:val="005B3DB3"/>
    <w:rsid w:val="005C0268"/>
    <w:rsid w:val="005D15CA"/>
    <w:rsid w:val="005F08DF"/>
    <w:rsid w:val="005F3066"/>
    <w:rsid w:val="005F3E61"/>
    <w:rsid w:val="00604DDD"/>
    <w:rsid w:val="00606C26"/>
    <w:rsid w:val="006115CC"/>
    <w:rsid w:val="00611FC4"/>
    <w:rsid w:val="006176FB"/>
    <w:rsid w:val="00623CBE"/>
    <w:rsid w:val="00630FCB"/>
    <w:rsid w:val="00640B26"/>
    <w:rsid w:val="0064161E"/>
    <w:rsid w:val="0065766B"/>
    <w:rsid w:val="006770B2"/>
    <w:rsid w:val="00686A48"/>
    <w:rsid w:val="0068763C"/>
    <w:rsid w:val="006940E1"/>
    <w:rsid w:val="006A3C72"/>
    <w:rsid w:val="006A7392"/>
    <w:rsid w:val="006B03A1"/>
    <w:rsid w:val="006B1019"/>
    <w:rsid w:val="006B3551"/>
    <w:rsid w:val="006B67D9"/>
    <w:rsid w:val="006C5535"/>
    <w:rsid w:val="006D0589"/>
    <w:rsid w:val="006D31DA"/>
    <w:rsid w:val="006D707A"/>
    <w:rsid w:val="006E0C3B"/>
    <w:rsid w:val="006E3FA1"/>
    <w:rsid w:val="006E564B"/>
    <w:rsid w:val="006E6CE7"/>
    <w:rsid w:val="006E7154"/>
    <w:rsid w:val="006F0280"/>
    <w:rsid w:val="006F5CE9"/>
    <w:rsid w:val="007003CD"/>
    <w:rsid w:val="0070701E"/>
    <w:rsid w:val="00720F52"/>
    <w:rsid w:val="0072632A"/>
    <w:rsid w:val="007358E8"/>
    <w:rsid w:val="00736ECE"/>
    <w:rsid w:val="0074533B"/>
    <w:rsid w:val="007643BC"/>
    <w:rsid w:val="00780C68"/>
    <w:rsid w:val="0078793E"/>
    <w:rsid w:val="00795252"/>
    <w:rsid w:val="007959FE"/>
    <w:rsid w:val="007A0CF1"/>
    <w:rsid w:val="007A684B"/>
    <w:rsid w:val="007B6BA5"/>
    <w:rsid w:val="007C3390"/>
    <w:rsid w:val="007C42D8"/>
    <w:rsid w:val="007C4F4B"/>
    <w:rsid w:val="007D6F65"/>
    <w:rsid w:val="007D7362"/>
    <w:rsid w:val="007F3892"/>
    <w:rsid w:val="007F5CE2"/>
    <w:rsid w:val="007F6611"/>
    <w:rsid w:val="00810BAC"/>
    <w:rsid w:val="008127A0"/>
    <w:rsid w:val="008175E9"/>
    <w:rsid w:val="008242D7"/>
    <w:rsid w:val="0082577B"/>
    <w:rsid w:val="00825CB5"/>
    <w:rsid w:val="00850104"/>
    <w:rsid w:val="00866893"/>
    <w:rsid w:val="00866F02"/>
    <w:rsid w:val="00867D18"/>
    <w:rsid w:val="00871F9A"/>
    <w:rsid w:val="00871FD5"/>
    <w:rsid w:val="0088172E"/>
    <w:rsid w:val="00881EFA"/>
    <w:rsid w:val="008879CB"/>
    <w:rsid w:val="00891E16"/>
    <w:rsid w:val="008979B1"/>
    <w:rsid w:val="008A6B25"/>
    <w:rsid w:val="008A6C4F"/>
    <w:rsid w:val="008B389E"/>
    <w:rsid w:val="008D045E"/>
    <w:rsid w:val="008D3F25"/>
    <w:rsid w:val="008D4D82"/>
    <w:rsid w:val="008E0E46"/>
    <w:rsid w:val="008E7116"/>
    <w:rsid w:val="008F143B"/>
    <w:rsid w:val="008F3882"/>
    <w:rsid w:val="008F4B7C"/>
    <w:rsid w:val="00905E5C"/>
    <w:rsid w:val="00907B8E"/>
    <w:rsid w:val="00926E47"/>
    <w:rsid w:val="00933D80"/>
    <w:rsid w:val="009468F0"/>
    <w:rsid w:val="00947162"/>
    <w:rsid w:val="009610D0"/>
    <w:rsid w:val="0096375C"/>
    <w:rsid w:val="009662E6"/>
    <w:rsid w:val="0097095E"/>
    <w:rsid w:val="0098592B"/>
    <w:rsid w:val="00985FC4"/>
    <w:rsid w:val="0098662E"/>
    <w:rsid w:val="00990766"/>
    <w:rsid w:val="00991261"/>
    <w:rsid w:val="00995F1D"/>
    <w:rsid w:val="009964C4"/>
    <w:rsid w:val="009A7B81"/>
    <w:rsid w:val="009B7EB7"/>
    <w:rsid w:val="009D01C0"/>
    <w:rsid w:val="009D6A08"/>
    <w:rsid w:val="009E0A16"/>
    <w:rsid w:val="009E29B0"/>
    <w:rsid w:val="009E6CB7"/>
    <w:rsid w:val="009E7970"/>
    <w:rsid w:val="009F2EAC"/>
    <w:rsid w:val="009F57E3"/>
    <w:rsid w:val="00A00171"/>
    <w:rsid w:val="00A10F4F"/>
    <w:rsid w:val="00A11067"/>
    <w:rsid w:val="00A1704A"/>
    <w:rsid w:val="00A30443"/>
    <w:rsid w:val="00A36AC2"/>
    <w:rsid w:val="00A425EB"/>
    <w:rsid w:val="00A62486"/>
    <w:rsid w:val="00A72F22"/>
    <w:rsid w:val="00A733BC"/>
    <w:rsid w:val="00A748A6"/>
    <w:rsid w:val="00A76A69"/>
    <w:rsid w:val="00A77C92"/>
    <w:rsid w:val="00A879A4"/>
    <w:rsid w:val="00AA0FF8"/>
    <w:rsid w:val="00AA1644"/>
    <w:rsid w:val="00AB42BF"/>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37FD"/>
    <w:rsid w:val="00B81E12"/>
    <w:rsid w:val="00B83565"/>
    <w:rsid w:val="00BA24C5"/>
    <w:rsid w:val="00BA339B"/>
    <w:rsid w:val="00BB23CC"/>
    <w:rsid w:val="00BB4868"/>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7CCE"/>
    <w:rsid w:val="00C978F5"/>
    <w:rsid w:val="00CA24A4"/>
    <w:rsid w:val="00CA4509"/>
    <w:rsid w:val="00CB348D"/>
    <w:rsid w:val="00CB5EE4"/>
    <w:rsid w:val="00CD46F5"/>
    <w:rsid w:val="00CE4A8F"/>
    <w:rsid w:val="00CF071D"/>
    <w:rsid w:val="00CF1359"/>
    <w:rsid w:val="00D0123D"/>
    <w:rsid w:val="00D15B04"/>
    <w:rsid w:val="00D2031B"/>
    <w:rsid w:val="00D25FE2"/>
    <w:rsid w:val="00D37C03"/>
    <w:rsid w:val="00D37DA9"/>
    <w:rsid w:val="00D406A7"/>
    <w:rsid w:val="00D43252"/>
    <w:rsid w:val="00D44D86"/>
    <w:rsid w:val="00D50B7D"/>
    <w:rsid w:val="00D52012"/>
    <w:rsid w:val="00D704E5"/>
    <w:rsid w:val="00D72727"/>
    <w:rsid w:val="00D82B7F"/>
    <w:rsid w:val="00D954A9"/>
    <w:rsid w:val="00D978C6"/>
    <w:rsid w:val="00DA0956"/>
    <w:rsid w:val="00DA357F"/>
    <w:rsid w:val="00DA3E12"/>
    <w:rsid w:val="00DC18AD"/>
    <w:rsid w:val="00DD7B52"/>
    <w:rsid w:val="00DF37FA"/>
    <w:rsid w:val="00DF7CAE"/>
    <w:rsid w:val="00E423C0"/>
    <w:rsid w:val="00E559A0"/>
    <w:rsid w:val="00E61042"/>
    <w:rsid w:val="00E6414C"/>
    <w:rsid w:val="00E7260F"/>
    <w:rsid w:val="00E854EC"/>
    <w:rsid w:val="00E8702D"/>
    <w:rsid w:val="00E905F4"/>
    <w:rsid w:val="00E916A9"/>
    <w:rsid w:val="00E916DE"/>
    <w:rsid w:val="00E925AD"/>
    <w:rsid w:val="00E96630"/>
    <w:rsid w:val="00EA0E9F"/>
    <w:rsid w:val="00ED18DC"/>
    <w:rsid w:val="00ED6201"/>
    <w:rsid w:val="00ED6874"/>
    <w:rsid w:val="00ED7A2A"/>
    <w:rsid w:val="00EF1D7F"/>
    <w:rsid w:val="00F0137E"/>
    <w:rsid w:val="00F04E44"/>
    <w:rsid w:val="00F056DD"/>
    <w:rsid w:val="00F17B1E"/>
    <w:rsid w:val="00F21786"/>
    <w:rsid w:val="00F25D06"/>
    <w:rsid w:val="00F31CFF"/>
    <w:rsid w:val="00F3742B"/>
    <w:rsid w:val="00F41FDB"/>
    <w:rsid w:val="00F50597"/>
    <w:rsid w:val="00F51FFD"/>
    <w:rsid w:val="00F56D63"/>
    <w:rsid w:val="00F609A9"/>
    <w:rsid w:val="00F65548"/>
    <w:rsid w:val="00F80C99"/>
    <w:rsid w:val="00F867EC"/>
    <w:rsid w:val="00F91B2B"/>
    <w:rsid w:val="00FB5E9D"/>
    <w:rsid w:val="00FB670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paragraph" w:customStyle="1" w:styleId="Default">
    <w:name w:val="Default"/>
    <w:rsid w:val="0064161E"/>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7A684B"/>
    <w:rPr>
      <w:b/>
      <w:bCs/>
    </w:rPr>
  </w:style>
  <w:style w:type="paragraph" w:customStyle="1" w:styleId="Flietext0">
    <w:name w:val="Fließtext"/>
    <w:basedOn w:val="Normal"/>
    <w:link w:val="Flietext"/>
    <w:rsid w:val="007A684B"/>
    <w:pPr>
      <w:widowControl w:val="0"/>
      <w:suppressAutoHyphens w:val="0"/>
      <w:spacing w:after="120" w:line="240" w:lineRule="auto"/>
    </w:pPr>
    <w:rPr>
      <w:b/>
      <w:bCs/>
      <w:lang w:val="fr-FR"/>
    </w:rPr>
  </w:style>
  <w:style w:type="character" w:customStyle="1" w:styleId="HChGChar">
    <w:name w:val="_ H _Ch_G Char"/>
    <w:link w:val="HChG"/>
    <w:locked/>
    <w:rsid w:val="00CF1359"/>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7856</Characters>
  <Application>Microsoft Office Word</Application>
  <DocSecurity>0</DocSecurity>
  <Lines>172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ECE/TRANS/WP.29/2022/52</dc:title>
  <dc:subject>2200702</dc:subject>
  <dc:creator>Lucille</dc:creator>
  <cp:keywords/>
  <dc:description/>
  <cp:lastModifiedBy>Anni Vi Tirol</cp:lastModifiedBy>
  <cp:revision>2</cp:revision>
  <cp:lastPrinted>2009-02-18T09:36:00Z</cp:lastPrinted>
  <dcterms:created xsi:type="dcterms:W3CDTF">2022-01-21T11:01:00Z</dcterms:created>
  <dcterms:modified xsi:type="dcterms:W3CDTF">2022-01-21T11:01:00Z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