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F9715B7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B3A287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6EF627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E5F93B" w14:textId="2D65D60F" w:rsidR="001433FD" w:rsidRPr="008A3741" w:rsidRDefault="008A3741" w:rsidP="008A3741">
            <w:pPr>
              <w:jc w:val="right"/>
            </w:pPr>
            <w:r w:rsidRPr="008A3741">
              <w:rPr>
                <w:sz w:val="40"/>
              </w:rPr>
              <w:t>ECE</w:t>
            </w:r>
            <w:r>
              <w:t>/TRANS/WP.11/2022/3</w:t>
            </w:r>
          </w:p>
        </w:tc>
      </w:tr>
      <w:tr w:rsidR="001433FD" w:rsidRPr="00DB58B5" w14:paraId="52A08303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28D9AF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7B45FFF" wp14:editId="2DD370B6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33DDFF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D86E28" w14:textId="77777777" w:rsidR="0001207F" w:rsidRDefault="00017B1C" w:rsidP="00017B1C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E06CB4C" w14:textId="45615ECF" w:rsidR="00017B1C" w:rsidRDefault="001056DC" w:rsidP="00017B1C">
            <w:pPr>
              <w:spacing w:line="240" w:lineRule="exact"/>
            </w:pPr>
            <w:r>
              <w:t>8</w:t>
            </w:r>
            <w:r w:rsidR="00017B1C">
              <w:t xml:space="preserve"> février 2022</w:t>
            </w:r>
          </w:p>
          <w:p w14:paraId="15B2097D" w14:textId="77777777" w:rsidR="00017B1C" w:rsidRDefault="00017B1C" w:rsidP="00017B1C">
            <w:pPr>
              <w:spacing w:line="240" w:lineRule="exact"/>
            </w:pPr>
          </w:p>
          <w:p w14:paraId="6A22C305" w14:textId="77777777" w:rsidR="00017B1C" w:rsidRPr="00DB58B5" w:rsidRDefault="00017B1C" w:rsidP="00017B1C">
            <w:pPr>
              <w:spacing w:line="240" w:lineRule="exact"/>
            </w:pPr>
            <w:r>
              <w:t>Original : français</w:t>
            </w:r>
          </w:p>
        </w:tc>
      </w:tr>
    </w:tbl>
    <w:p w14:paraId="72CEEF04" w14:textId="77777777" w:rsidR="00564657" w:rsidRDefault="00564657" w:rsidP="00017B1C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FE29F7A" w14:textId="77777777" w:rsidR="00095470" w:rsidRDefault="00095470" w:rsidP="0009547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140CFD11" w14:textId="77777777" w:rsidR="00095470" w:rsidRDefault="00095470" w:rsidP="0009547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</w:t>
      </w:r>
      <w:r>
        <w:rPr>
          <w:b/>
          <w:sz w:val="24"/>
          <w:szCs w:val="24"/>
        </w:rPr>
        <w:br/>
        <w:t>des denrées périssables</w:t>
      </w:r>
    </w:p>
    <w:p w14:paraId="51551E50" w14:textId="77777777" w:rsidR="00095470" w:rsidRPr="003D1E16" w:rsidRDefault="00095470" w:rsidP="00095470">
      <w:pPr>
        <w:spacing w:before="120"/>
        <w:rPr>
          <w:b/>
          <w:bCs/>
        </w:rPr>
      </w:pPr>
      <w:r w:rsidRPr="003D1E16">
        <w:rPr>
          <w:b/>
          <w:bCs/>
        </w:rPr>
        <w:t>Soixante-dix-huitième session</w:t>
      </w:r>
    </w:p>
    <w:p w14:paraId="4978B230" w14:textId="77777777" w:rsidR="00095470" w:rsidRPr="003D1E16" w:rsidRDefault="00095470" w:rsidP="00095470">
      <w:pPr>
        <w:rPr>
          <w:b/>
          <w:bCs/>
        </w:rPr>
      </w:pPr>
      <w:r w:rsidRPr="003D1E16">
        <w:rPr>
          <w:b/>
          <w:bCs/>
        </w:rPr>
        <w:t>Genève, 3-6 mai 2022</w:t>
      </w:r>
    </w:p>
    <w:p w14:paraId="3658AE16" w14:textId="77777777" w:rsidR="00095470" w:rsidRPr="00135131" w:rsidRDefault="00095470" w:rsidP="00095470">
      <w:r w:rsidRPr="00135131">
        <w:t>Point 5 b) de l'ordre du jour provisoire</w:t>
      </w:r>
    </w:p>
    <w:p w14:paraId="031B42E2" w14:textId="77777777" w:rsidR="00095470" w:rsidRDefault="00095470" w:rsidP="00095470">
      <w:pPr>
        <w:pStyle w:val="Standard"/>
        <w:rPr>
          <w:b/>
          <w:lang w:val="fr-FR"/>
        </w:rPr>
      </w:pPr>
      <w:r>
        <w:rPr>
          <w:b/>
          <w:lang w:val="fr-FR"/>
        </w:rPr>
        <w:t>Propositions d’amendements à l’ATP :</w:t>
      </w:r>
    </w:p>
    <w:p w14:paraId="47E1971E" w14:textId="77777777" w:rsidR="00095470" w:rsidRDefault="00095470" w:rsidP="00095470">
      <w:pPr>
        <w:rPr>
          <w:b/>
          <w:bCs/>
          <w:lang w:val="fr-FR"/>
        </w:rPr>
      </w:pPr>
      <w:r w:rsidRPr="007130D1">
        <w:rPr>
          <w:b/>
          <w:bCs/>
        </w:rPr>
        <w:t>nouvelles propositions</w:t>
      </w:r>
      <w:r>
        <w:t xml:space="preserve"> </w:t>
      </w:r>
    </w:p>
    <w:p w14:paraId="7EA3684B" w14:textId="21413B49" w:rsidR="0000534F" w:rsidRPr="00F4604C" w:rsidRDefault="002E23F9" w:rsidP="002E23F9">
      <w:pPr>
        <w:pStyle w:val="HChG"/>
      </w:pPr>
      <w:r>
        <w:tab/>
      </w:r>
      <w:r>
        <w:tab/>
      </w:r>
      <w:r w:rsidR="0000534F" w:rsidRPr="002E23F9">
        <w:t>Proposition</w:t>
      </w:r>
      <w:r w:rsidR="0000534F">
        <w:rPr>
          <w:lang w:val="fr-FR"/>
        </w:rPr>
        <w:t xml:space="preserve"> d’amendements au paragraphe 7.3.7</w:t>
      </w:r>
      <w:r w:rsidR="0000534F" w:rsidRPr="009D3460">
        <w:rPr>
          <w:lang w:val="fr-FR"/>
        </w:rPr>
        <w:t xml:space="preserve"> </w:t>
      </w:r>
      <w:r w:rsidR="002341FA">
        <w:rPr>
          <w:lang w:val="fr-FR"/>
        </w:rPr>
        <w:br/>
      </w:r>
      <w:r w:rsidR="0000534F" w:rsidRPr="009D3460">
        <w:rPr>
          <w:lang w:val="fr-FR"/>
        </w:rPr>
        <w:t>de l’appendice 2 de l’annexe 1</w:t>
      </w:r>
    </w:p>
    <w:p w14:paraId="5DE4FD6E" w14:textId="214C4E08" w:rsidR="0000534F" w:rsidRDefault="002E23F9" w:rsidP="002E23F9">
      <w:pPr>
        <w:pStyle w:val="H1G"/>
        <w:rPr>
          <w:rStyle w:val="Policepardfaut1"/>
          <w:lang w:val="fr-FR"/>
        </w:rPr>
      </w:pPr>
      <w:r>
        <w:rPr>
          <w:rStyle w:val="Policepardfaut1"/>
        </w:rPr>
        <w:tab/>
      </w:r>
      <w:r>
        <w:rPr>
          <w:rStyle w:val="Policepardfaut1"/>
        </w:rPr>
        <w:tab/>
      </w:r>
      <w:r w:rsidR="0000534F" w:rsidRPr="002E23F9">
        <w:rPr>
          <w:rStyle w:val="Policepardfaut1"/>
        </w:rPr>
        <w:t>Communication</w:t>
      </w:r>
      <w:r w:rsidR="0000534F">
        <w:rPr>
          <w:rStyle w:val="Policepardfaut1"/>
          <w:lang w:val="fr-FR"/>
        </w:rPr>
        <w:t xml:space="preserve"> du </w:t>
      </w:r>
      <w:r w:rsidR="0000534F">
        <w:t>Gouvernement</w:t>
      </w:r>
      <w:r w:rsidR="0000534F">
        <w:rPr>
          <w:rStyle w:val="Policepardfaut1"/>
          <w:lang w:val="fr-FR"/>
        </w:rPr>
        <w:t xml:space="preserve"> de la France</w:t>
      </w:r>
    </w:p>
    <w:tbl>
      <w:tblPr>
        <w:tblStyle w:val="Grilledutableau"/>
        <w:tblW w:w="9645" w:type="dxa"/>
        <w:jc w:val="center"/>
        <w:tblBorders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645"/>
      </w:tblGrid>
      <w:tr w:rsidR="0000534F" w14:paraId="5C0A78DD" w14:textId="77777777" w:rsidTr="00204DA3">
        <w:trPr>
          <w:jc w:val="center"/>
        </w:trPr>
        <w:tc>
          <w:tcPr>
            <w:tcW w:w="9645" w:type="dxa"/>
            <w:shd w:val="clear" w:color="auto" w:fill="auto"/>
          </w:tcPr>
          <w:p w14:paraId="34DB4C4A" w14:textId="77777777" w:rsidR="0000534F" w:rsidRPr="00C6263E" w:rsidRDefault="0000534F" w:rsidP="000C490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00534F" w14:paraId="40D9C61C" w14:textId="77777777" w:rsidTr="00204DA3">
        <w:trPr>
          <w:jc w:val="center"/>
        </w:trPr>
        <w:tc>
          <w:tcPr>
            <w:tcW w:w="9645" w:type="dxa"/>
            <w:shd w:val="clear" w:color="auto" w:fill="auto"/>
          </w:tcPr>
          <w:tbl>
            <w:tblPr>
              <w:tblW w:w="9630" w:type="dxa"/>
              <w:jc w:val="center"/>
              <w:tblBorders>
                <w:right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00534F" w14:paraId="5825021A" w14:textId="77777777" w:rsidTr="00E41E13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18CBA927" w14:textId="77777777" w:rsidR="0000534F" w:rsidRDefault="0000534F" w:rsidP="000C4906">
                  <w:pPr>
                    <w:pStyle w:val="SingleTxtG"/>
                    <w:spacing w:before="120"/>
                    <w:ind w:left="2269" w:hanging="1985"/>
                  </w:pPr>
                  <w:r>
                    <w:rPr>
                      <w:b/>
                    </w:rPr>
                    <w:t>Résumé analytique </w:t>
                  </w:r>
                  <w:r>
                    <w:t>:</w:t>
                  </w:r>
                  <w:r>
                    <w:rPr>
                      <w:b/>
                    </w:rPr>
                    <w:tab/>
                  </w:r>
                  <w:r w:rsidRPr="002E23F9">
                    <w:rPr>
                      <w:bCs/>
                    </w:rPr>
                    <w:t>Proposition visant à compléter le paragraphe 7.3.7 de l’appendice 2 de l’annexe 1 en y ajoutant une définition des différentes typologies de cloisons internes</w:t>
                  </w:r>
                </w:p>
              </w:tc>
            </w:tr>
            <w:tr w:rsidR="0000534F" w14:paraId="72B0AFF2" w14:textId="77777777" w:rsidTr="00E41E13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1ECE7D7C" w14:textId="77777777" w:rsidR="0000534F" w:rsidRPr="009D3460" w:rsidRDefault="0000534F" w:rsidP="000C4906">
                  <w:pPr>
                    <w:pStyle w:val="SingleTxtG"/>
                    <w:spacing w:before="120"/>
                    <w:ind w:left="2269" w:hanging="1985"/>
                  </w:pPr>
                  <w:r>
                    <w:rPr>
                      <w:b/>
                    </w:rPr>
                    <w:t>Mesure à prendre </w:t>
                  </w:r>
                  <w:r>
                    <w:t>:</w:t>
                  </w:r>
                  <w:r>
                    <w:rPr>
                      <w:b/>
                    </w:rPr>
                    <w:tab/>
                  </w:r>
                  <w:r w:rsidRPr="002E23F9">
                    <w:rPr>
                      <w:bCs/>
                    </w:rPr>
                    <w:t>Compléter le paragraphe 7.3.7 de l’appendice 2 de l’annexe 1</w:t>
                  </w:r>
                </w:p>
              </w:tc>
            </w:tr>
            <w:tr w:rsidR="0000534F" w14:paraId="5AD32D74" w14:textId="77777777" w:rsidTr="00E41E13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7F5AD610" w14:textId="77777777" w:rsidR="0000534F" w:rsidRDefault="0000534F" w:rsidP="000C4906">
                  <w:pPr>
                    <w:pStyle w:val="SingleTxtG"/>
                    <w:ind w:left="2552" w:hanging="2268"/>
                    <w:jc w:val="left"/>
                  </w:pPr>
                  <w:r>
                    <w:rPr>
                      <w:b/>
                    </w:rPr>
                    <w:t>Documents connexes </w:t>
                  </w:r>
                  <w:r>
                    <w:t>:</w:t>
                  </w:r>
                  <w:r>
                    <w:rPr>
                      <w:b/>
                    </w:rPr>
                    <w:tab/>
                  </w:r>
                  <w:r>
                    <w:t>Aucun.</w:t>
                  </w:r>
                </w:p>
              </w:tc>
            </w:tr>
          </w:tbl>
          <w:p w14:paraId="7283AEE7" w14:textId="77777777" w:rsidR="0000534F" w:rsidRDefault="0000534F" w:rsidP="000C4906"/>
        </w:tc>
      </w:tr>
    </w:tbl>
    <w:p w14:paraId="7D91F31D" w14:textId="21EC049A" w:rsidR="0000534F" w:rsidRDefault="007D4087" w:rsidP="007D4087">
      <w:pPr>
        <w:pStyle w:val="HChG"/>
      </w:pPr>
      <w:r>
        <w:tab/>
      </w:r>
      <w:r>
        <w:tab/>
      </w:r>
      <w:r w:rsidR="0000534F" w:rsidRPr="007D4087">
        <w:t>Introduction</w:t>
      </w:r>
    </w:p>
    <w:p w14:paraId="6328A2A8" w14:textId="76795A24" w:rsidR="0000534F" w:rsidRDefault="0000534F" w:rsidP="0000534F">
      <w:pPr>
        <w:pStyle w:val="SingleTxtG"/>
        <w:tabs>
          <w:tab w:val="righ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Pr="002F7CD2">
        <w:rPr>
          <w:rFonts w:eastAsia="Calibri"/>
          <w:lang w:eastAsia="en-US"/>
        </w:rPr>
        <w:t>Le paragraphe 7.3.7 de l’appendice 2 de l’annexe 1 évoque les déperditions thermiques des cloisons internes pour lesquelles seuls deux types sont représentés par les termes « Longitudinale » et « Transversale ». Ces termes ne suffisent pas à distinguer l’ensemble des solutions technologiques proposées par les carrossiers constructeurs</w:t>
      </w:r>
    </w:p>
    <w:p w14:paraId="28F50271" w14:textId="28840885" w:rsidR="0000534F" w:rsidRDefault="0000534F" w:rsidP="0000534F">
      <w:pPr>
        <w:pStyle w:val="SingleTxtG"/>
        <w:tabs>
          <w:tab w:val="righ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La présente proposition vise à introduire une définition précise des différentes typologies de cloison rencontrées et de compléter l</w:t>
      </w:r>
      <w:r w:rsidRPr="00A91A78">
        <w:rPr>
          <w:rFonts w:eastAsia="Calibri"/>
          <w:lang w:eastAsia="en-US"/>
        </w:rPr>
        <w:t>e paragraphe 7.3.7 de l’appendice 2 de l’annexe 1</w:t>
      </w:r>
    </w:p>
    <w:p w14:paraId="5A6B62BF" w14:textId="77777777" w:rsidR="0000534F" w:rsidRDefault="0000534F" w:rsidP="0000534F">
      <w:pPr>
        <w:pStyle w:val="HChG"/>
      </w:pPr>
      <w:r>
        <w:rPr>
          <w:rFonts w:eastAsia="Calibri"/>
          <w:lang w:eastAsia="en-US"/>
        </w:rPr>
        <w:br w:type="page"/>
      </w:r>
      <w:r>
        <w:lastRenderedPageBreak/>
        <w:tab/>
        <w:t>I.</w:t>
      </w:r>
      <w:r>
        <w:tab/>
      </w:r>
      <w:r w:rsidRPr="005E5CCF">
        <w:t>Proposition</w:t>
      </w:r>
    </w:p>
    <w:p w14:paraId="64B80DFB" w14:textId="46ACE6F2" w:rsidR="0000534F" w:rsidRDefault="008979F2" w:rsidP="0000534F">
      <w:pPr>
        <w:pStyle w:val="SingleTxtG"/>
        <w:tabs>
          <w:tab w:val="righ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0534F">
        <w:rPr>
          <w:rFonts w:eastAsia="Calibri"/>
          <w:lang w:eastAsia="en-US"/>
        </w:rPr>
        <w:t>.</w:t>
      </w:r>
      <w:r w:rsidR="0000534F">
        <w:rPr>
          <w:rFonts w:eastAsia="Calibri"/>
          <w:lang w:eastAsia="en-US"/>
        </w:rPr>
        <w:tab/>
        <w:t>Introduire les définitions suivantes au sein du paragraphe 7.3.7 de l’appendice 2 de l’annexe 1 :</w:t>
      </w:r>
    </w:p>
    <w:p w14:paraId="03FD32CD" w14:textId="07510C8E" w:rsidR="0000534F" w:rsidRDefault="0000534F" w:rsidP="008979F2">
      <w:pPr>
        <w:pStyle w:val="Bullet1G"/>
        <w:rPr>
          <w:rFonts w:eastAsia="Calibri"/>
          <w:lang w:eastAsia="en-US"/>
        </w:rPr>
      </w:pPr>
      <w:r>
        <w:rPr>
          <w:rFonts w:eastAsia="Calibri"/>
          <w:lang w:eastAsia="en-US"/>
        </w:rPr>
        <w:t>Cloison longitudinale : Cloison de séparation partielle ou totale sur la longueur du compartiment.</w:t>
      </w:r>
    </w:p>
    <w:p w14:paraId="23928312" w14:textId="09D4763D" w:rsidR="0000534F" w:rsidRDefault="0000534F" w:rsidP="008979F2">
      <w:pPr>
        <w:pStyle w:val="Bullet1G"/>
        <w:rPr>
          <w:rFonts w:eastAsia="Calibri"/>
          <w:lang w:eastAsia="en-US"/>
        </w:rPr>
      </w:pPr>
      <w:r>
        <w:rPr>
          <w:rFonts w:eastAsia="Calibri"/>
          <w:lang w:eastAsia="en-US"/>
        </w:rPr>
        <w:t>Cloison transversale : Cloison de séparation sur la largeur du compartiment.</w:t>
      </w:r>
    </w:p>
    <w:p w14:paraId="46BAFD8A" w14:textId="4D855908" w:rsidR="0000534F" w:rsidRDefault="0000534F" w:rsidP="008979F2">
      <w:pPr>
        <w:pStyle w:val="Bullet1G"/>
        <w:rPr>
          <w:rFonts w:eastAsia="Calibri"/>
          <w:lang w:eastAsia="en-US"/>
        </w:rPr>
      </w:pPr>
      <w:r>
        <w:rPr>
          <w:rFonts w:eastAsia="Calibri"/>
          <w:lang w:eastAsia="en-US"/>
        </w:rPr>
        <w:t>Cloison étanche : Paroi permettant d’empêcher les flux d’air entre deux compartiments (</w:t>
      </w:r>
      <w:r w:rsidRPr="004D7A49">
        <w:rPr>
          <w:rFonts w:eastAsia="Calibri"/>
          <w:lang w:eastAsia="en-US"/>
        </w:rPr>
        <w:t>tout système de ventilation inter-compartiment intégré à la cloison étant banni</w:t>
      </w:r>
      <w:r>
        <w:rPr>
          <w:rFonts w:eastAsia="Calibri"/>
          <w:lang w:eastAsia="en-US"/>
        </w:rPr>
        <w:t>).</w:t>
      </w:r>
    </w:p>
    <w:p w14:paraId="0E9D7339" w14:textId="3E25BA88" w:rsidR="0000534F" w:rsidRDefault="0000534F" w:rsidP="008979F2">
      <w:pPr>
        <w:pStyle w:val="Bullet1G"/>
        <w:rPr>
          <w:rFonts w:eastAsia="Calibri"/>
          <w:lang w:eastAsia="en-US"/>
        </w:rPr>
      </w:pPr>
      <w:r>
        <w:rPr>
          <w:rFonts w:eastAsia="Calibri"/>
          <w:lang w:eastAsia="en-US"/>
        </w:rPr>
        <w:t>Cloison isotherme : Cloison étanche composée de matériaux isolants permettant de limiter l’échange thermique entre deux compartiments.</w:t>
      </w:r>
    </w:p>
    <w:p w14:paraId="495A0E40" w14:textId="4F85AAF3" w:rsidR="0000534F" w:rsidRDefault="0000534F" w:rsidP="008979F2">
      <w:pPr>
        <w:pStyle w:val="Bullet1G"/>
        <w:rPr>
          <w:rFonts w:eastAsia="Calibri"/>
          <w:lang w:eastAsia="en-US"/>
        </w:rPr>
      </w:pPr>
      <w:r>
        <w:rPr>
          <w:rFonts w:eastAsia="Calibri"/>
          <w:lang w:eastAsia="en-US"/>
        </w:rPr>
        <w:t>Cloison fixe : Cloison n’ayant aucun degré de liberté (Cette cloison est considérée comme non relevable).</w:t>
      </w:r>
    </w:p>
    <w:p w14:paraId="1EE17E1A" w14:textId="3F332DB4" w:rsidR="0000534F" w:rsidRDefault="0000534F" w:rsidP="008979F2">
      <w:pPr>
        <w:pStyle w:val="Bullet1G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Cloison mobile : </w:t>
      </w:r>
      <w:r>
        <w:rPr>
          <w:rStyle w:val="fontstyle01"/>
        </w:rPr>
        <w:t xml:space="preserve">Cloison solidaire de l’engin par une liaison mécanique, </w:t>
      </w:r>
      <w:r w:rsidRPr="009F1DC3">
        <w:rPr>
          <w:rStyle w:val="fontstyle01"/>
        </w:rPr>
        <w:t>soit</w:t>
      </w:r>
      <w:r>
        <w:rPr>
          <w:rStyle w:val="fontstyle01"/>
        </w:rPr>
        <w:t xml:space="preserve">  articulée sur un axe charnière, </w:t>
      </w:r>
      <w:r w:rsidRPr="009F1DC3">
        <w:rPr>
          <w:rStyle w:val="fontstyle01"/>
        </w:rPr>
        <w:t>soit coulissante, et</w:t>
      </w:r>
      <w:r>
        <w:rPr>
          <w:rStyle w:val="fontstyle01"/>
        </w:rPr>
        <w:t xml:space="preserve"> équipée d’un joint périphérique permettant de limiter au maximum les flux d’air entre deux compartiments.</w:t>
      </w:r>
    </w:p>
    <w:p w14:paraId="4BAF5E8C" w14:textId="59BA2276" w:rsidR="0000534F" w:rsidRDefault="0000534F" w:rsidP="008979F2">
      <w:pPr>
        <w:pStyle w:val="Bullet1G"/>
        <w:rPr>
          <w:rFonts w:eastAsia="Calibri"/>
          <w:lang w:eastAsia="en-US"/>
        </w:rPr>
      </w:pPr>
      <w:r>
        <w:rPr>
          <w:rFonts w:eastAsia="Calibri"/>
          <w:lang w:eastAsia="en-US"/>
        </w:rPr>
        <w:t>Cloison amovible : Cloison non solidaire de l’engin, pouvant faire l’objet d’un démontage sans nécessiter d’outillage et permettant un stockage extérieur à l’engin.</w:t>
      </w:r>
    </w:p>
    <w:p w14:paraId="21CAF60E" w14:textId="2B822F1B" w:rsidR="0000534F" w:rsidRDefault="0000534F" w:rsidP="008979F2">
      <w:pPr>
        <w:pStyle w:val="Bullet1G"/>
      </w:pPr>
      <w:r>
        <w:rPr>
          <w:rFonts w:eastAsia="Calibri"/>
          <w:lang w:eastAsia="en-US"/>
        </w:rPr>
        <w:t>Autre cloison : Cloison ne répondant pas aux définitions ci-dessus</w:t>
      </w:r>
      <w:r w:rsidR="008979F2">
        <w:rPr>
          <w:rFonts w:eastAsia="Calibri"/>
          <w:lang w:eastAsia="en-US"/>
        </w:rPr>
        <w:t>.</w:t>
      </w:r>
    </w:p>
    <w:p w14:paraId="024E3EB9" w14:textId="77777777" w:rsidR="0000534F" w:rsidRDefault="0000534F" w:rsidP="008979F2">
      <w:pPr>
        <w:pStyle w:val="HChG"/>
      </w:pPr>
      <w:r>
        <w:tab/>
        <w:t>II.</w:t>
      </w:r>
      <w:r>
        <w:tab/>
        <w:t>Incidence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68"/>
        <w:gridCol w:w="2285"/>
      </w:tblGrid>
      <w:tr w:rsidR="0000534F" w14:paraId="3ED4EDF6" w14:textId="77777777" w:rsidTr="000C4906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0EC8E533" w14:textId="77777777" w:rsidR="0000534F" w:rsidRDefault="0000534F" w:rsidP="000C4906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Coût : </w:t>
            </w:r>
          </w:p>
        </w:tc>
        <w:tc>
          <w:tcPr>
            <w:tcW w:w="3668" w:type="dxa"/>
          </w:tcPr>
          <w:p w14:paraId="4C0D8C87" w14:textId="77777777" w:rsidR="0000534F" w:rsidRDefault="0000534F" w:rsidP="000C4906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00534F" w14:paraId="0E2C481C" w14:textId="77777777" w:rsidTr="000C4906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09B9C4D2" w14:textId="77777777" w:rsidR="0000534F" w:rsidRDefault="0000534F" w:rsidP="000C4906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Environnement : </w:t>
            </w:r>
          </w:p>
        </w:tc>
        <w:tc>
          <w:tcPr>
            <w:tcW w:w="3668" w:type="dxa"/>
          </w:tcPr>
          <w:p w14:paraId="36C06696" w14:textId="77777777" w:rsidR="0000534F" w:rsidRDefault="0000534F" w:rsidP="000C4906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00534F" w14:paraId="4F96E84B" w14:textId="77777777" w:rsidTr="000C4906">
        <w:trPr>
          <w:trHeight w:val="210"/>
        </w:trPr>
        <w:tc>
          <w:tcPr>
            <w:tcW w:w="2802" w:type="dxa"/>
          </w:tcPr>
          <w:p w14:paraId="53D715D0" w14:textId="77777777" w:rsidR="0000534F" w:rsidRDefault="0000534F" w:rsidP="000C4906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Faisabilité : </w:t>
            </w:r>
          </w:p>
        </w:tc>
        <w:tc>
          <w:tcPr>
            <w:tcW w:w="5953" w:type="dxa"/>
            <w:gridSpan w:val="2"/>
          </w:tcPr>
          <w:p w14:paraId="7D6CBCE0" w14:textId="77777777" w:rsidR="0000534F" w:rsidRDefault="0000534F" w:rsidP="000C4906">
            <w:pPr>
              <w:pStyle w:val="Default"/>
              <w:tabs>
                <w:tab w:val="right" w:pos="851"/>
              </w:tabs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L’amendement proposé peut aisément être introduit dans l’ATP. Il n’est pas nécessaire de prévoir une période de transition.</w:t>
            </w:r>
          </w:p>
        </w:tc>
      </w:tr>
      <w:tr w:rsidR="0000534F" w14:paraId="0664D06C" w14:textId="77777777" w:rsidTr="000C4906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6B5A5617" w14:textId="77777777" w:rsidR="0000534F" w:rsidRDefault="0000534F" w:rsidP="000C4906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Applicabilité : </w:t>
            </w:r>
          </w:p>
        </w:tc>
        <w:tc>
          <w:tcPr>
            <w:tcW w:w="3668" w:type="dxa"/>
          </w:tcPr>
          <w:p w14:paraId="03A5B030" w14:textId="77777777" w:rsidR="0000534F" w:rsidRDefault="0000534F" w:rsidP="000C4906">
            <w:pPr>
              <w:pStyle w:val="Default"/>
              <w:tabs>
                <w:tab w:val="right" w:pos="851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difficulté n’est à prévoir. </w:t>
            </w:r>
          </w:p>
        </w:tc>
      </w:tr>
    </w:tbl>
    <w:p w14:paraId="649C6E70" w14:textId="2492A591" w:rsidR="0000534F" w:rsidRPr="008979F2" w:rsidRDefault="008979F2" w:rsidP="008979F2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0534F" w:rsidRPr="008979F2" w:rsidSect="00017B1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0B79" w14:textId="77777777" w:rsidR="008D7F5D" w:rsidRDefault="008D7F5D" w:rsidP="00F95C08">
      <w:pPr>
        <w:spacing w:line="240" w:lineRule="auto"/>
      </w:pPr>
    </w:p>
  </w:endnote>
  <w:endnote w:type="continuationSeparator" w:id="0">
    <w:p w14:paraId="4D196685" w14:textId="77777777" w:rsidR="008D7F5D" w:rsidRPr="00AC3823" w:rsidRDefault="008D7F5D" w:rsidP="00AC3823">
      <w:pPr>
        <w:pStyle w:val="Pieddepage"/>
      </w:pPr>
    </w:p>
  </w:endnote>
  <w:endnote w:type="continuationNotice" w:id="1">
    <w:p w14:paraId="38B67983" w14:textId="77777777" w:rsidR="008D7F5D" w:rsidRDefault="008D7F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7ABB" w14:textId="77777777" w:rsidR="00017B1C" w:rsidRPr="00017B1C" w:rsidRDefault="00017B1C" w:rsidP="00017B1C">
    <w:pPr>
      <w:pStyle w:val="Pieddepage"/>
      <w:tabs>
        <w:tab w:val="right" w:pos="9638"/>
      </w:tabs>
      <w:rPr>
        <w:sz w:val="18"/>
      </w:rPr>
    </w:pPr>
    <w:r w:rsidRPr="00017B1C">
      <w:rPr>
        <w:b/>
        <w:sz w:val="18"/>
      </w:rPr>
      <w:fldChar w:fldCharType="begin"/>
    </w:r>
    <w:r w:rsidRPr="00017B1C">
      <w:rPr>
        <w:b/>
        <w:sz w:val="18"/>
      </w:rPr>
      <w:instrText xml:space="preserve"> PAGE  \* MERGEFORMAT </w:instrText>
    </w:r>
    <w:r w:rsidRPr="00017B1C">
      <w:rPr>
        <w:b/>
        <w:sz w:val="18"/>
      </w:rPr>
      <w:fldChar w:fldCharType="separate"/>
    </w:r>
    <w:r w:rsidRPr="00017B1C">
      <w:rPr>
        <w:b/>
        <w:noProof/>
        <w:sz w:val="18"/>
      </w:rPr>
      <w:t>2</w:t>
    </w:r>
    <w:r w:rsidRPr="00017B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212A" w14:textId="77777777" w:rsidR="00017B1C" w:rsidRPr="00017B1C" w:rsidRDefault="00017B1C" w:rsidP="00017B1C">
    <w:pPr>
      <w:pStyle w:val="Pieddepage"/>
      <w:tabs>
        <w:tab w:val="right" w:pos="9638"/>
      </w:tabs>
      <w:rPr>
        <w:b/>
        <w:sz w:val="18"/>
      </w:rPr>
    </w:pPr>
    <w:r>
      <w:tab/>
    </w:r>
    <w:r w:rsidRPr="00017B1C">
      <w:rPr>
        <w:b/>
        <w:sz w:val="18"/>
      </w:rPr>
      <w:fldChar w:fldCharType="begin"/>
    </w:r>
    <w:r w:rsidRPr="00017B1C">
      <w:rPr>
        <w:b/>
        <w:sz w:val="18"/>
      </w:rPr>
      <w:instrText xml:space="preserve"> PAGE  \* MERGEFORMAT </w:instrText>
    </w:r>
    <w:r w:rsidRPr="00017B1C">
      <w:rPr>
        <w:b/>
        <w:sz w:val="18"/>
      </w:rPr>
      <w:fldChar w:fldCharType="separate"/>
    </w:r>
    <w:r w:rsidRPr="00017B1C">
      <w:rPr>
        <w:b/>
        <w:noProof/>
        <w:sz w:val="18"/>
      </w:rPr>
      <w:t>3</w:t>
    </w:r>
    <w:r w:rsidRPr="00017B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A324" w14:textId="6EFF3EE7" w:rsidR="000D3EE9" w:rsidRPr="008A3741" w:rsidRDefault="008A3741" w:rsidP="008A3741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GE.22-01682  (F)</w:t>
    </w:r>
    <w:bookmarkStart w:id="0" w:name="_GoBack"/>
    <w:bookmarkEnd w:id="0"/>
    <w:r>
      <w:rPr>
        <w:sz w:val="20"/>
      </w:rPr>
      <w:tab/>
    </w:r>
    <w:r w:rsidRPr="008A3741">
      <w:rPr>
        <w:noProof/>
        <w:sz w:val="20"/>
        <w:lang w:eastAsia="fr-CH"/>
      </w:rPr>
      <w:drawing>
        <wp:inline distT="0" distB="0" distL="0" distR="0" wp14:anchorId="4905079E" wp14:editId="61021E99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DEDF03F" wp14:editId="3756F3B9">
          <wp:extent cx="636270" cy="6362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DA06" w14:textId="77777777" w:rsidR="008D7F5D" w:rsidRPr="00AC3823" w:rsidRDefault="008D7F5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753E72" w14:textId="77777777" w:rsidR="008D7F5D" w:rsidRPr="00AC3823" w:rsidRDefault="008D7F5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E7BD67" w14:textId="77777777" w:rsidR="008D7F5D" w:rsidRPr="00AC3823" w:rsidRDefault="008D7F5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B082" w14:textId="6DC91978" w:rsidR="00017B1C" w:rsidRPr="00017B1C" w:rsidRDefault="001056DC">
    <w:pPr>
      <w:pStyle w:val="En-tte"/>
    </w:pPr>
    <w:fldSimple w:instr=" TITLE  \* MERGEFORMAT ">
      <w:r w:rsidR="00E41E13">
        <w:t>ECE/TRANS/WP.11/2022/3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4DD0" w14:textId="5C8A3C00" w:rsidR="00017B1C" w:rsidRPr="00017B1C" w:rsidRDefault="001056DC" w:rsidP="00017B1C">
    <w:pPr>
      <w:pStyle w:val="En-tte"/>
      <w:jc w:val="right"/>
    </w:pPr>
    <w:fldSimple w:instr=" TITLE  \* MERGEFORMAT ">
      <w:r w:rsidR="00E41E13">
        <w:t>ECE/TRANS/WP.11/2022/3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C"/>
    <w:rsid w:val="0000534F"/>
    <w:rsid w:val="0001207F"/>
    <w:rsid w:val="00017B1C"/>
    <w:rsid w:val="00017F94"/>
    <w:rsid w:val="00023842"/>
    <w:rsid w:val="000334F9"/>
    <w:rsid w:val="0007796D"/>
    <w:rsid w:val="000942EE"/>
    <w:rsid w:val="00095470"/>
    <w:rsid w:val="000A52BF"/>
    <w:rsid w:val="000B7790"/>
    <w:rsid w:val="000D3EE9"/>
    <w:rsid w:val="000D62F3"/>
    <w:rsid w:val="001056DC"/>
    <w:rsid w:val="00111F2F"/>
    <w:rsid w:val="001433FD"/>
    <w:rsid w:val="0014365E"/>
    <w:rsid w:val="001541D3"/>
    <w:rsid w:val="00176178"/>
    <w:rsid w:val="001A064B"/>
    <w:rsid w:val="001D400F"/>
    <w:rsid w:val="001F525A"/>
    <w:rsid w:val="00204DA3"/>
    <w:rsid w:val="00223272"/>
    <w:rsid w:val="002341FA"/>
    <w:rsid w:val="00240333"/>
    <w:rsid w:val="0024779E"/>
    <w:rsid w:val="002832AC"/>
    <w:rsid w:val="002834A0"/>
    <w:rsid w:val="002D7C93"/>
    <w:rsid w:val="002E23F9"/>
    <w:rsid w:val="00343829"/>
    <w:rsid w:val="0037241C"/>
    <w:rsid w:val="00441C3B"/>
    <w:rsid w:val="00446B0A"/>
    <w:rsid w:val="00446FE5"/>
    <w:rsid w:val="00452396"/>
    <w:rsid w:val="004E468C"/>
    <w:rsid w:val="004F2920"/>
    <w:rsid w:val="005316B0"/>
    <w:rsid w:val="005505B7"/>
    <w:rsid w:val="00564657"/>
    <w:rsid w:val="00573BE5"/>
    <w:rsid w:val="00586ED3"/>
    <w:rsid w:val="00596AA9"/>
    <w:rsid w:val="006E2F73"/>
    <w:rsid w:val="00703D0F"/>
    <w:rsid w:val="00706363"/>
    <w:rsid w:val="0071601D"/>
    <w:rsid w:val="007A62E6"/>
    <w:rsid w:val="007D4087"/>
    <w:rsid w:val="0080684C"/>
    <w:rsid w:val="008204DA"/>
    <w:rsid w:val="0083123A"/>
    <w:rsid w:val="00871C75"/>
    <w:rsid w:val="008767E8"/>
    <w:rsid w:val="008776DC"/>
    <w:rsid w:val="008979F2"/>
    <w:rsid w:val="008A3741"/>
    <w:rsid w:val="008D7F5D"/>
    <w:rsid w:val="00915979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B00181"/>
    <w:rsid w:val="00B00B0D"/>
    <w:rsid w:val="00B07F65"/>
    <w:rsid w:val="00B30069"/>
    <w:rsid w:val="00B50E25"/>
    <w:rsid w:val="00B64918"/>
    <w:rsid w:val="00B765F7"/>
    <w:rsid w:val="00BA0CA9"/>
    <w:rsid w:val="00C02897"/>
    <w:rsid w:val="00C7616F"/>
    <w:rsid w:val="00CB16B5"/>
    <w:rsid w:val="00CE0608"/>
    <w:rsid w:val="00D3439C"/>
    <w:rsid w:val="00D44CF3"/>
    <w:rsid w:val="00D56E9A"/>
    <w:rsid w:val="00D70306"/>
    <w:rsid w:val="00DA6C5E"/>
    <w:rsid w:val="00DB1831"/>
    <w:rsid w:val="00DD3BFD"/>
    <w:rsid w:val="00DF431C"/>
    <w:rsid w:val="00DF6678"/>
    <w:rsid w:val="00E41E13"/>
    <w:rsid w:val="00E939CE"/>
    <w:rsid w:val="00EF2E22"/>
    <w:rsid w:val="00F0592C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DE122D1"/>
  <w15:docId w15:val="{6510AC7B-2194-4986-A7A6-CC6EA3E5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Standard">
    <w:name w:val="Standard"/>
    <w:rsid w:val="00095470"/>
    <w:pPr>
      <w:suppressAutoHyphens/>
      <w:autoSpaceDN w:val="0"/>
      <w:snapToGrid w:val="0"/>
      <w:spacing w:after="0" w:line="240" w:lineRule="atLeast"/>
      <w:textAlignment w:val="baseline"/>
    </w:pPr>
    <w:rPr>
      <w:rFonts w:eastAsia="Calibri"/>
      <w:kern w:val="3"/>
      <w:lang w:eastAsia="en-US"/>
    </w:rPr>
  </w:style>
  <w:style w:type="character" w:customStyle="1" w:styleId="Policepardfaut1">
    <w:name w:val="Police par défaut1"/>
    <w:rsid w:val="0000534F"/>
  </w:style>
  <w:style w:type="paragraph" w:customStyle="1" w:styleId="Default">
    <w:name w:val="Default"/>
    <w:rsid w:val="0000534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fr-FR"/>
    </w:rPr>
  </w:style>
  <w:style w:type="character" w:customStyle="1" w:styleId="fontstyle01">
    <w:name w:val="fontstyle01"/>
    <w:basedOn w:val="Policepardfaut"/>
    <w:rsid w:val="000053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AEAD0-CEAB-4949-A65C-1BB7D20D7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5C48C-1EA7-4572-8C17-7D916C6A6DB1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BAEA539-272D-4C56-A972-B58D8D36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2416</Characters>
  <Application>Microsoft Office Word</Application>
  <DocSecurity>0</DocSecurity>
  <Lines>69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ECE/TRANS/WP.11/2022/3</vt:lpstr>
    </vt:vector>
  </TitlesOfParts>
  <Company>DCM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ECE/TRANS/WP.11/2022/3</dc:title>
  <dc:subject>FINAL</dc:subject>
  <dc:creator>2022/R.2/Add.3</dc:creator>
  <cp:keywords/>
  <dc:description/>
  <cp:lastModifiedBy>Nathalie Vittoz</cp:lastModifiedBy>
  <cp:revision>3</cp:revision>
  <cp:lastPrinted>2022-02-09T07:15:00Z</cp:lastPrinted>
  <dcterms:created xsi:type="dcterms:W3CDTF">2022-02-09T07:15:00Z</dcterms:created>
  <dcterms:modified xsi:type="dcterms:W3CDTF">2022-02-09T07:16:00Z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