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6E5AA0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523670" w14:textId="77777777" w:rsidR="00F35BAF" w:rsidRPr="00DB58B5" w:rsidRDefault="00F35BAF" w:rsidP="00A1587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FF357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B1DFDB" w14:textId="47B13888" w:rsidR="00F35BAF" w:rsidRPr="00DB58B5" w:rsidRDefault="00A15871" w:rsidP="00A15871">
            <w:pPr>
              <w:jc w:val="right"/>
            </w:pPr>
            <w:r w:rsidRPr="00A15871">
              <w:rPr>
                <w:sz w:val="40"/>
              </w:rPr>
              <w:t>ECE</w:t>
            </w:r>
            <w:r>
              <w:t>/TRANS/WP.15/2022/5</w:t>
            </w:r>
          </w:p>
        </w:tc>
      </w:tr>
      <w:tr w:rsidR="00F35BAF" w:rsidRPr="00DB58B5" w14:paraId="5A51EE9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B9983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0D724D" wp14:editId="6CE6B8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11CB4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68941F" w14:textId="77777777" w:rsidR="00F35BAF" w:rsidRDefault="00A15871" w:rsidP="00C97039">
            <w:pPr>
              <w:spacing w:before="240"/>
            </w:pPr>
            <w:r>
              <w:t>Distr. générale</w:t>
            </w:r>
          </w:p>
          <w:p w14:paraId="59B0C93B" w14:textId="77777777" w:rsidR="00A15871" w:rsidRDefault="00A15871" w:rsidP="00A15871">
            <w:pPr>
              <w:spacing w:line="240" w:lineRule="exact"/>
            </w:pPr>
            <w:r>
              <w:t>21 février 2022</w:t>
            </w:r>
          </w:p>
          <w:p w14:paraId="31506810" w14:textId="77777777" w:rsidR="00A15871" w:rsidRDefault="00A15871" w:rsidP="00A15871">
            <w:pPr>
              <w:spacing w:line="240" w:lineRule="exact"/>
            </w:pPr>
            <w:r>
              <w:t>Français</w:t>
            </w:r>
          </w:p>
          <w:p w14:paraId="4FB127D5" w14:textId="60F8F792" w:rsidR="00A15871" w:rsidRPr="00DB58B5" w:rsidRDefault="00A15871" w:rsidP="00A15871">
            <w:pPr>
              <w:spacing w:line="240" w:lineRule="exact"/>
            </w:pPr>
            <w:r>
              <w:t>Original : anglais</w:t>
            </w:r>
          </w:p>
        </w:tc>
      </w:tr>
    </w:tbl>
    <w:p w14:paraId="143A28D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63E674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0A7F2F" w14:textId="77777777" w:rsidR="00A15871" w:rsidRPr="009E01B8" w:rsidRDefault="00A1587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D156516" w14:textId="77777777" w:rsidR="00A15871" w:rsidRPr="00424C54" w:rsidRDefault="00A15871" w:rsidP="00A15871">
      <w:pPr>
        <w:spacing w:before="120"/>
        <w:rPr>
          <w:rFonts w:eastAsia="SimSun"/>
          <w:b/>
          <w:lang w:val="fr-FR"/>
        </w:rPr>
      </w:pPr>
      <w:r w:rsidRPr="00424C54">
        <w:rPr>
          <w:b/>
          <w:bCs/>
          <w:lang w:val="fr-FR"/>
        </w:rPr>
        <w:t>111</w:t>
      </w:r>
      <w:r w:rsidRPr="00424C54">
        <w:rPr>
          <w:b/>
          <w:bCs/>
          <w:vertAlign w:val="superscript"/>
          <w:lang w:val="fr-FR"/>
        </w:rPr>
        <w:t>e</w:t>
      </w:r>
      <w:r w:rsidRPr="00424C54">
        <w:rPr>
          <w:b/>
          <w:bCs/>
          <w:lang w:val="fr-FR"/>
        </w:rPr>
        <w:t xml:space="preserve"> session</w:t>
      </w:r>
      <w:r w:rsidRPr="00424C54">
        <w:rPr>
          <w:lang w:val="fr-FR"/>
        </w:rPr>
        <w:t xml:space="preserve"> </w:t>
      </w:r>
    </w:p>
    <w:p w14:paraId="18D3E778" w14:textId="77777777" w:rsidR="00A15871" w:rsidRPr="00424C54" w:rsidRDefault="00A15871" w:rsidP="00A15871">
      <w:pPr>
        <w:rPr>
          <w:rFonts w:eastAsia="SimSun"/>
          <w:lang w:val="fr-FR"/>
        </w:rPr>
      </w:pPr>
      <w:r w:rsidRPr="00424C54">
        <w:rPr>
          <w:lang w:val="fr-FR"/>
        </w:rPr>
        <w:t>Genève, 9-13 mai 2022</w:t>
      </w:r>
    </w:p>
    <w:p w14:paraId="14639E58" w14:textId="77777777" w:rsidR="00A15871" w:rsidRPr="00424C54" w:rsidRDefault="00A15871" w:rsidP="00A15871">
      <w:pPr>
        <w:rPr>
          <w:lang w:val="fr-FR"/>
        </w:rPr>
      </w:pPr>
      <w:r w:rsidRPr="00424C54">
        <w:rPr>
          <w:lang w:val="fr-FR"/>
        </w:rPr>
        <w:t>Point 5 a) de l</w:t>
      </w:r>
      <w:r>
        <w:rPr>
          <w:lang w:val="fr-FR"/>
        </w:rPr>
        <w:t>’</w:t>
      </w:r>
      <w:r w:rsidRPr="00424C54">
        <w:rPr>
          <w:lang w:val="fr-FR"/>
        </w:rPr>
        <w:t>ordre du jour provisoire</w:t>
      </w:r>
    </w:p>
    <w:p w14:paraId="4CBE4ED7" w14:textId="77777777" w:rsidR="00A15871" w:rsidRPr="00424C54" w:rsidRDefault="00A15871" w:rsidP="00A15871">
      <w:pPr>
        <w:rPr>
          <w:b/>
          <w:bCs/>
          <w:lang w:val="fr-FR"/>
        </w:rPr>
      </w:pPr>
      <w:r w:rsidRPr="00424C54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24C54"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 w:rsidRPr="00424C54">
        <w:rPr>
          <w:b/>
          <w:bCs/>
          <w:lang w:val="fr-FR"/>
        </w:rPr>
        <w:t>ADR</w:t>
      </w:r>
    </w:p>
    <w:p w14:paraId="3BE362C6" w14:textId="77777777" w:rsidR="00A15871" w:rsidRPr="00424C54" w:rsidRDefault="00A15871" w:rsidP="00A15871">
      <w:pPr>
        <w:rPr>
          <w:lang w:val="fr-FR"/>
        </w:rPr>
      </w:pPr>
      <w:r w:rsidRPr="00424C54">
        <w:rPr>
          <w:b/>
          <w:bCs/>
          <w:lang w:val="fr-FR"/>
        </w:rPr>
        <w:t>Construction et agrément des véhicules</w:t>
      </w:r>
    </w:p>
    <w:p w14:paraId="1D512983" w14:textId="77777777" w:rsidR="00A15871" w:rsidRPr="00424C54" w:rsidRDefault="00A15871" w:rsidP="003E1DB2">
      <w:pPr>
        <w:pStyle w:val="HChG"/>
        <w:rPr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>Véhicules électriques à batterie</w:t>
      </w:r>
    </w:p>
    <w:p w14:paraId="4DB2496D" w14:textId="0626A726" w:rsidR="00A15871" w:rsidRPr="00424C54" w:rsidRDefault="00A15871" w:rsidP="003E1DB2">
      <w:pPr>
        <w:pStyle w:val="H1G"/>
        <w:rPr>
          <w:sz w:val="20"/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 xml:space="preserve">Communication du Gouvernement néerlandais au nom du groupe </w:t>
      </w:r>
      <w:r w:rsidR="003E1DB2">
        <w:rPr>
          <w:lang w:val="fr-FR"/>
        </w:rPr>
        <w:br/>
      </w:r>
      <w:r w:rsidRPr="00424C54">
        <w:rPr>
          <w:lang w:val="fr-FR"/>
        </w:rPr>
        <w:t>de travail informel des véhicules électrifiés</w:t>
      </w:r>
      <w:r w:rsidRPr="003E1DB2">
        <w:rPr>
          <w:b w:val="0"/>
          <w:bCs/>
          <w:sz w:val="20"/>
          <w:lang w:val="fr-FR"/>
        </w:rPr>
        <w:footnoteReference w:customMarkFollows="1" w:id="2"/>
        <w:sym w:font="Symbol" w:char="F02A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15871" w14:paraId="1BBDC72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DE16A75" w14:textId="77777777" w:rsidR="00A15871" w:rsidRDefault="00A15871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15871" w14:paraId="65E47C9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A8CC814" w14:textId="7CE10862" w:rsidR="00A15871" w:rsidRDefault="00A15871" w:rsidP="00A15871">
            <w:pPr>
              <w:pStyle w:val="SingleTxtG"/>
              <w:ind w:left="3119" w:hanging="1985"/>
            </w:pPr>
            <w:r w:rsidRPr="00424C54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424C54">
              <w:rPr>
                <w:b/>
                <w:bCs/>
                <w:lang w:val="fr-FR"/>
              </w:rPr>
              <w:t>:</w:t>
            </w:r>
            <w:r w:rsidRPr="00424C54">
              <w:rPr>
                <w:lang w:val="fr-FR"/>
              </w:rPr>
              <w:tab/>
              <w:t>De nouvelles dispositions doivent être intégrées dans la réglementation afin de permettre l</w:t>
            </w:r>
            <w:r>
              <w:rPr>
                <w:lang w:val="fr-FR"/>
              </w:rPr>
              <w:t>’</w:t>
            </w:r>
            <w:r w:rsidRPr="00424C54">
              <w:rPr>
                <w:lang w:val="fr-FR"/>
              </w:rPr>
              <w:t>utilisation de véhicules électriques à batterie</w:t>
            </w:r>
            <w:r w:rsidRPr="00424C54">
              <w:rPr>
                <w:i/>
                <w:iCs/>
                <w:lang w:val="fr-FR"/>
              </w:rPr>
              <w:t xml:space="preserve"> </w:t>
            </w:r>
            <w:r w:rsidRPr="00424C54">
              <w:rPr>
                <w:lang w:val="fr-FR"/>
              </w:rPr>
              <w:t>et de véhicules à pile à combustible à hydrogène pour le transport de marchandises dangereuses dans les véhicules EX, AT et FL. Le groupe de travail informel des véhicules électrifiés a étudié les systèmes concernés et évalué les risques liés à ceux-ci.</w:t>
            </w:r>
          </w:p>
        </w:tc>
      </w:tr>
      <w:tr w:rsidR="00A15871" w14:paraId="1DD71AB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DD8B652" w14:textId="3D4CD54A" w:rsidR="00A15871" w:rsidRPr="00424C54" w:rsidRDefault="00A15871" w:rsidP="00A15871">
            <w:pPr>
              <w:pStyle w:val="SingleTxtG"/>
              <w:ind w:left="3119" w:hanging="1985"/>
              <w:rPr>
                <w:b/>
                <w:bCs/>
                <w:lang w:val="fr-FR"/>
              </w:rPr>
            </w:pPr>
            <w:r w:rsidRPr="00424C54">
              <w:rPr>
                <w:b/>
                <w:bCs/>
                <w:lang w:val="fr-FR"/>
              </w:rPr>
              <w:t>Mesure à prendre</w:t>
            </w:r>
            <w:r>
              <w:rPr>
                <w:b/>
                <w:bCs/>
                <w:lang w:val="fr-FR"/>
              </w:rPr>
              <w:t> </w:t>
            </w:r>
            <w:r w:rsidRPr="00424C54">
              <w:rPr>
                <w:b/>
                <w:bCs/>
                <w:lang w:val="fr-FR"/>
              </w:rPr>
              <w:t>:</w:t>
            </w:r>
            <w:r w:rsidRPr="00424C54">
              <w:rPr>
                <w:lang w:val="fr-FR"/>
              </w:rPr>
              <w:tab/>
              <w:t>Adopter les dispositions figurant dans les annexes I et II du présent document afin de permettre l</w:t>
            </w:r>
            <w:r>
              <w:rPr>
                <w:lang w:val="fr-FR"/>
              </w:rPr>
              <w:t>’</w:t>
            </w:r>
            <w:r w:rsidRPr="00424C54">
              <w:rPr>
                <w:lang w:val="fr-FR"/>
              </w:rPr>
              <w:t>utilisation de véhicules électriques à batterie en tant que véhicules AT et FL, selon qu</w:t>
            </w:r>
            <w:r>
              <w:rPr>
                <w:lang w:val="fr-FR"/>
              </w:rPr>
              <w:t>’</w:t>
            </w:r>
            <w:r w:rsidRPr="00424C54">
              <w:rPr>
                <w:lang w:val="fr-FR"/>
              </w:rPr>
              <w:t>il convient.</w:t>
            </w:r>
          </w:p>
        </w:tc>
      </w:tr>
      <w:tr w:rsidR="00A15871" w14:paraId="413A610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0741AF1" w14:textId="2B40BBB2" w:rsidR="00A15871" w:rsidRPr="00424C54" w:rsidRDefault="00A15871" w:rsidP="00A15871">
            <w:pPr>
              <w:pStyle w:val="SingleTxtG"/>
              <w:ind w:left="3119" w:hanging="1985"/>
              <w:rPr>
                <w:b/>
                <w:bCs/>
                <w:lang w:val="fr-FR"/>
              </w:rPr>
            </w:pPr>
            <w:r w:rsidRPr="00424C54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 w:rsidRPr="00424C54">
              <w:rPr>
                <w:b/>
                <w:bCs/>
                <w:lang w:val="fr-FR"/>
              </w:rPr>
              <w:t>:</w:t>
            </w:r>
            <w:r w:rsidRPr="00424C54">
              <w:rPr>
                <w:lang w:val="fr-FR"/>
              </w:rPr>
              <w:t xml:space="preserve"> </w:t>
            </w:r>
            <w:r w:rsidRPr="00424C54">
              <w:rPr>
                <w:lang w:val="fr-FR"/>
              </w:rPr>
              <w:tab/>
              <w:t>Document informel INF.13 (105</w:t>
            </w:r>
            <w:r w:rsidRPr="00424C54">
              <w:rPr>
                <w:vertAlign w:val="superscript"/>
                <w:lang w:val="fr-FR"/>
              </w:rPr>
              <w:t>e</w:t>
            </w:r>
            <w:r w:rsidRPr="00424C54">
              <w:rPr>
                <w:lang w:val="fr-FR"/>
              </w:rPr>
              <w:t xml:space="preserve"> session)</w:t>
            </w:r>
            <w:r w:rsidR="003E1DB2">
              <w:rPr>
                <w:lang w:val="fr-FR"/>
              </w:rPr>
              <w:t> </w:t>
            </w:r>
            <w:r w:rsidRPr="00424C54">
              <w:rPr>
                <w:lang w:val="fr-FR"/>
              </w:rPr>
              <w:t>; document informel INF.10 (107</w:t>
            </w:r>
            <w:r w:rsidRPr="00424C54">
              <w:rPr>
                <w:vertAlign w:val="superscript"/>
                <w:lang w:val="fr-FR"/>
              </w:rPr>
              <w:t>e</w:t>
            </w:r>
            <w:r w:rsidRPr="00424C54">
              <w:rPr>
                <w:lang w:val="fr-FR"/>
              </w:rPr>
              <w:t xml:space="preserve"> session)</w:t>
            </w:r>
            <w:r w:rsidR="003E1DB2">
              <w:rPr>
                <w:lang w:val="fr-FR"/>
              </w:rPr>
              <w:t> </w:t>
            </w:r>
            <w:r w:rsidRPr="00424C54">
              <w:rPr>
                <w:lang w:val="fr-FR"/>
              </w:rPr>
              <w:t>; documents informels INF.16 et INF.17 (109</w:t>
            </w:r>
            <w:r w:rsidRPr="00424C54">
              <w:rPr>
                <w:vertAlign w:val="superscript"/>
                <w:lang w:val="fr-FR"/>
              </w:rPr>
              <w:t>e</w:t>
            </w:r>
            <w:r w:rsidRPr="00424C54">
              <w:rPr>
                <w:lang w:val="fr-FR"/>
              </w:rPr>
              <w:t xml:space="preserve"> session) ; documents informels INF.14 et INF.20 (110</w:t>
            </w:r>
            <w:r w:rsidRPr="00424C54">
              <w:rPr>
                <w:vertAlign w:val="superscript"/>
                <w:lang w:val="fr-FR"/>
              </w:rPr>
              <w:t>e</w:t>
            </w:r>
            <w:r w:rsidR="003E1DB2">
              <w:rPr>
                <w:vertAlign w:val="superscript"/>
                <w:lang w:val="fr-FR"/>
              </w:rPr>
              <w:t> </w:t>
            </w:r>
            <w:r w:rsidRPr="00424C54">
              <w:rPr>
                <w:lang w:val="fr-FR"/>
              </w:rPr>
              <w:t>session).</w:t>
            </w:r>
          </w:p>
        </w:tc>
      </w:tr>
      <w:tr w:rsidR="00A15871" w14:paraId="0B3308A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98D423E" w14:textId="77777777" w:rsidR="00A15871" w:rsidRDefault="00A15871"/>
        </w:tc>
      </w:tr>
    </w:tbl>
    <w:p w14:paraId="12CAF70B" w14:textId="77777777" w:rsidR="00A15871" w:rsidRPr="00424C54" w:rsidRDefault="00A15871" w:rsidP="003E1DB2">
      <w:pPr>
        <w:pStyle w:val="HChG"/>
        <w:rPr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>Introduction</w:t>
      </w:r>
    </w:p>
    <w:p w14:paraId="0F7416DF" w14:textId="77777777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1.</w:t>
      </w:r>
      <w:r w:rsidRPr="00424C54">
        <w:rPr>
          <w:lang w:val="fr-FR"/>
        </w:rPr>
        <w:tab/>
        <w:t>Le groupe de travail informel des véhicules électrifiés a été créé par le Groupe de travail des transports de marchandises dangereuses au cours de sa session de mai 2021 afin d</w:t>
      </w:r>
      <w:r>
        <w:rPr>
          <w:lang w:val="fr-FR"/>
        </w:rPr>
        <w:t>’</w:t>
      </w:r>
      <w:r w:rsidRPr="00424C54">
        <w:rPr>
          <w:lang w:val="fr-FR"/>
        </w:rPr>
        <w:t>ajouter dans la réglementation les véhicules dotés d</w:t>
      </w:r>
      <w:r>
        <w:rPr>
          <w:lang w:val="fr-FR"/>
        </w:rPr>
        <w:t>’</w:t>
      </w:r>
      <w:r w:rsidRPr="00424C54">
        <w:rPr>
          <w:lang w:val="fr-FR"/>
        </w:rPr>
        <w:t>un système d</w:t>
      </w:r>
      <w:r>
        <w:rPr>
          <w:lang w:val="fr-FR"/>
        </w:rPr>
        <w:t>’</w:t>
      </w:r>
      <w:r w:rsidRPr="00424C54">
        <w:rPr>
          <w:lang w:val="fr-FR"/>
        </w:rPr>
        <w:t xml:space="preserve">entraînement électrique. </w:t>
      </w:r>
      <w:r w:rsidRPr="00424C54">
        <w:rPr>
          <w:lang w:val="fr-FR"/>
        </w:rPr>
        <w:lastRenderedPageBreak/>
        <w:t>Cet ajout devrait se fonder sur une évaluation des risques que de tels véhicules présentent pour leur chargement.</w:t>
      </w:r>
    </w:p>
    <w:p w14:paraId="739E337D" w14:textId="6BB062EC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2.</w:t>
      </w:r>
      <w:r w:rsidRPr="00424C54">
        <w:rPr>
          <w:lang w:val="fr-FR"/>
        </w:rPr>
        <w:tab/>
        <w:t>Il s</w:t>
      </w:r>
      <w:r>
        <w:rPr>
          <w:lang w:val="fr-FR"/>
        </w:rPr>
        <w:t>’</w:t>
      </w:r>
      <w:r w:rsidRPr="00424C54">
        <w:rPr>
          <w:lang w:val="fr-FR"/>
        </w:rPr>
        <w:t>agit d</w:t>
      </w:r>
      <w:r>
        <w:rPr>
          <w:lang w:val="fr-FR"/>
        </w:rPr>
        <w:t>’</w:t>
      </w:r>
      <w:r w:rsidRPr="00424C54">
        <w:rPr>
          <w:lang w:val="fr-FR"/>
        </w:rPr>
        <w:t>un travail complexe car ces véhicules sont encore en phase de développement. Pour remédier à cela, les activités ont été réparties entre plusieurs sous</w:t>
      </w:r>
      <w:r w:rsidR="003E1DB2">
        <w:rPr>
          <w:lang w:val="fr-FR"/>
        </w:rPr>
        <w:noBreakHyphen/>
      </w:r>
      <w:r w:rsidRPr="00424C54">
        <w:rPr>
          <w:lang w:val="fr-FR"/>
        </w:rPr>
        <w:t>groupes, dont certains n</w:t>
      </w:r>
      <w:r>
        <w:rPr>
          <w:lang w:val="fr-FR"/>
        </w:rPr>
        <w:t>’</w:t>
      </w:r>
      <w:r w:rsidRPr="00424C54">
        <w:rPr>
          <w:lang w:val="fr-FR"/>
        </w:rPr>
        <w:t>ont pas encore fourni de résultats en raison de l</w:t>
      </w:r>
      <w:r>
        <w:rPr>
          <w:lang w:val="fr-FR"/>
        </w:rPr>
        <w:t>’</w:t>
      </w:r>
      <w:r w:rsidRPr="00424C54">
        <w:rPr>
          <w:lang w:val="fr-FR"/>
        </w:rPr>
        <w:t>importance de la charge de travail. Cependant, malgré l</w:t>
      </w:r>
      <w:r>
        <w:rPr>
          <w:lang w:val="fr-FR"/>
        </w:rPr>
        <w:t>’</w:t>
      </w:r>
      <w:r w:rsidRPr="00424C54">
        <w:rPr>
          <w:lang w:val="fr-FR"/>
        </w:rPr>
        <w:t xml:space="preserve">ampleur de la tâche, des progrès substantiels ont </w:t>
      </w:r>
      <w:r>
        <w:rPr>
          <w:lang w:val="fr-FR"/>
        </w:rPr>
        <w:t xml:space="preserve">été </w:t>
      </w:r>
      <w:r w:rsidRPr="00424C54">
        <w:rPr>
          <w:lang w:val="fr-FR"/>
        </w:rPr>
        <w:t>réalisés en ce qui concerne la définition précise des spécifications des véhicules, le fonctionnement des différents composants et les analyses de risques.</w:t>
      </w:r>
    </w:p>
    <w:p w14:paraId="172A3162" w14:textId="77777777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3.</w:t>
      </w:r>
      <w:r w:rsidRPr="00424C54">
        <w:rPr>
          <w:lang w:val="fr-FR"/>
        </w:rPr>
        <w:tab/>
        <w:t>Étant donné que, selon toute vraisemblance, la mise sur le marché des véhicules à pile à hydrogène prendra plus de temps que celle des véhicules électriques à batterie, l</w:t>
      </w:r>
      <w:r>
        <w:rPr>
          <w:lang w:val="fr-FR"/>
        </w:rPr>
        <w:t>’</w:t>
      </w:r>
      <w:r w:rsidRPr="00424C54">
        <w:rPr>
          <w:lang w:val="fr-FR"/>
        </w:rPr>
        <w:t>accent a été mis sur ce deuxième type de véhicules.</w:t>
      </w:r>
    </w:p>
    <w:p w14:paraId="48B53087" w14:textId="68CFEF65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4.</w:t>
      </w:r>
      <w:r w:rsidRPr="00424C54">
        <w:rPr>
          <w:lang w:val="fr-FR"/>
        </w:rPr>
        <w:tab/>
        <w:t>En général, on peut conclure que les systèmes d</w:t>
      </w:r>
      <w:r>
        <w:rPr>
          <w:lang w:val="fr-FR"/>
        </w:rPr>
        <w:t>’</w:t>
      </w:r>
      <w:r w:rsidRPr="00424C54">
        <w:rPr>
          <w:lang w:val="fr-FR"/>
        </w:rPr>
        <w:t>entraînement électriques sont aussi sûrs, voire plus sûrs, que les système</w:t>
      </w:r>
      <w:r>
        <w:rPr>
          <w:lang w:val="fr-FR"/>
        </w:rPr>
        <w:t>s</w:t>
      </w:r>
      <w:r w:rsidRPr="00424C54">
        <w:rPr>
          <w:lang w:val="fr-FR"/>
        </w:rPr>
        <w:t xml:space="preserve"> d</w:t>
      </w:r>
      <w:r>
        <w:rPr>
          <w:lang w:val="fr-FR"/>
        </w:rPr>
        <w:t>’</w:t>
      </w:r>
      <w:r w:rsidRPr="00424C54">
        <w:rPr>
          <w:lang w:val="fr-FR"/>
        </w:rPr>
        <w:t>entraînement utilisant un moteur à combustion interne. Non seulement l</w:t>
      </w:r>
      <w:r>
        <w:rPr>
          <w:lang w:val="fr-FR"/>
        </w:rPr>
        <w:t>’</w:t>
      </w:r>
      <w:r w:rsidRPr="00424C54">
        <w:rPr>
          <w:lang w:val="fr-FR"/>
        </w:rPr>
        <w:t>énergie résiduelle qu</w:t>
      </w:r>
      <w:r>
        <w:rPr>
          <w:lang w:val="fr-FR"/>
        </w:rPr>
        <w:t>’</w:t>
      </w:r>
      <w:r w:rsidRPr="00424C54">
        <w:rPr>
          <w:lang w:val="fr-FR"/>
        </w:rPr>
        <w:t>ils produisent présente un avantage (moindre dégagement de chaleur), mais la température de leurs composants est également beaucoup plus basse. Les batteries au lithium-ion, en tant que source d</w:t>
      </w:r>
      <w:r>
        <w:rPr>
          <w:lang w:val="fr-FR"/>
        </w:rPr>
        <w:t>’</w:t>
      </w:r>
      <w:r w:rsidRPr="00424C54">
        <w:rPr>
          <w:lang w:val="fr-FR"/>
        </w:rPr>
        <w:t>énergie pour les systèmes d</w:t>
      </w:r>
      <w:r>
        <w:rPr>
          <w:lang w:val="fr-FR"/>
        </w:rPr>
        <w:t>’</w:t>
      </w:r>
      <w:r w:rsidRPr="00424C54">
        <w:rPr>
          <w:lang w:val="fr-FR"/>
        </w:rPr>
        <w:t>entraînement électriques, peuvent susciter quelques préoccupations, mais elles se sont avérées fiables sur d</w:t>
      </w:r>
      <w:r>
        <w:rPr>
          <w:lang w:val="fr-FR"/>
        </w:rPr>
        <w:t>’</w:t>
      </w:r>
      <w:r w:rsidRPr="00424C54">
        <w:rPr>
          <w:lang w:val="fr-FR"/>
        </w:rPr>
        <w:t xml:space="preserve">autres types de véhicules, comme les voitures particulières et les autobus, qui sont déjà utilisés depuis plusieurs années. Étant donné que, selon </w:t>
      </w:r>
      <w:r>
        <w:rPr>
          <w:lang w:val="fr-FR"/>
        </w:rPr>
        <w:t xml:space="preserve">la </w:t>
      </w:r>
      <w:r w:rsidRPr="00424C54">
        <w:rPr>
          <w:lang w:val="fr-FR"/>
        </w:rPr>
        <w:t>réglementation actuelle, les risques d</w:t>
      </w:r>
      <w:r>
        <w:rPr>
          <w:lang w:val="fr-FR"/>
        </w:rPr>
        <w:t>’</w:t>
      </w:r>
      <w:r w:rsidRPr="00424C54">
        <w:rPr>
          <w:lang w:val="fr-FR"/>
        </w:rPr>
        <w:t>incendie sont d</w:t>
      </w:r>
      <w:r>
        <w:rPr>
          <w:lang w:val="fr-FR"/>
        </w:rPr>
        <w:t>’</w:t>
      </w:r>
      <w:r w:rsidRPr="00424C54">
        <w:rPr>
          <w:lang w:val="fr-FR"/>
        </w:rPr>
        <w:t>un niveau inférieur pour les véhicules AT, il a semblé approprié de proposer l</w:t>
      </w:r>
      <w:r>
        <w:rPr>
          <w:lang w:val="fr-FR"/>
        </w:rPr>
        <w:t>’</w:t>
      </w:r>
      <w:r w:rsidRPr="00424C54">
        <w:rPr>
          <w:lang w:val="fr-FR"/>
        </w:rPr>
        <w:t xml:space="preserve">ajout de cette catégorie de véhicules dans </w:t>
      </w:r>
      <w:r>
        <w:rPr>
          <w:lang w:val="fr-FR"/>
        </w:rPr>
        <w:t xml:space="preserve">l’édition 2023 de </w:t>
      </w:r>
      <w:r w:rsidRPr="00424C54">
        <w:rPr>
          <w:lang w:val="fr-FR"/>
        </w:rPr>
        <w:t>l</w:t>
      </w:r>
      <w:r>
        <w:rPr>
          <w:lang w:val="fr-FR"/>
        </w:rPr>
        <w:t>’</w:t>
      </w:r>
      <w:r w:rsidRPr="00424C54">
        <w:rPr>
          <w:lang w:val="fr-FR"/>
        </w:rPr>
        <w:t>Accord européen relatif au transport international des marchandises dangereuses par route (ADR)</w:t>
      </w:r>
      <w:r>
        <w:rPr>
          <w:lang w:val="fr-FR"/>
        </w:rPr>
        <w:t>,</w:t>
      </w:r>
      <w:r w:rsidRPr="00424C54">
        <w:rPr>
          <w:lang w:val="fr-FR"/>
        </w:rPr>
        <w:t xml:space="preserve"> dans les meilleurs délais. Leur inclusion dans l</w:t>
      </w:r>
      <w:r>
        <w:rPr>
          <w:lang w:val="fr-FR"/>
        </w:rPr>
        <w:t>’</w:t>
      </w:r>
      <w:r w:rsidRPr="00424C54">
        <w:rPr>
          <w:lang w:val="fr-FR"/>
        </w:rPr>
        <w:t>ADR 2023 permettra d</w:t>
      </w:r>
      <w:r>
        <w:rPr>
          <w:lang w:val="fr-FR"/>
        </w:rPr>
        <w:t>’</w:t>
      </w:r>
      <w:r w:rsidRPr="00424C54">
        <w:rPr>
          <w:lang w:val="fr-FR"/>
        </w:rPr>
        <w:t>acquérir une meilleure connaissance de ces véhicules. Les propositions relatives à l</w:t>
      </w:r>
      <w:r>
        <w:rPr>
          <w:lang w:val="fr-FR"/>
        </w:rPr>
        <w:t>’</w:t>
      </w:r>
      <w:r w:rsidRPr="00424C54">
        <w:rPr>
          <w:lang w:val="fr-FR"/>
        </w:rPr>
        <w:t>inclusion des véhicules AT figurent à l</w:t>
      </w:r>
      <w:r>
        <w:rPr>
          <w:lang w:val="fr-FR"/>
        </w:rPr>
        <w:t>’</w:t>
      </w:r>
      <w:r w:rsidRPr="00424C54">
        <w:rPr>
          <w:lang w:val="fr-FR"/>
        </w:rPr>
        <w:t>annexe I du présent document.</w:t>
      </w:r>
    </w:p>
    <w:p w14:paraId="6A138029" w14:textId="0C1FD2AE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5.</w:t>
      </w:r>
      <w:r w:rsidRPr="00424C54">
        <w:rPr>
          <w:lang w:val="fr-FR"/>
        </w:rPr>
        <w:tab/>
        <w:t>Pour les véhicules FL, plusieurs questions (par exemple, le risque d</w:t>
      </w:r>
      <w:r>
        <w:rPr>
          <w:lang w:val="fr-FR"/>
        </w:rPr>
        <w:t>’</w:t>
      </w:r>
      <w:r w:rsidRPr="00424C54">
        <w:rPr>
          <w:lang w:val="fr-FR"/>
        </w:rPr>
        <w:t>incendie lié aux batteries et la sécurité en atmosphère explosive) n</w:t>
      </w:r>
      <w:r>
        <w:rPr>
          <w:lang w:val="fr-FR"/>
        </w:rPr>
        <w:t>’avaie</w:t>
      </w:r>
      <w:r w:rsidRPr="00424C54">
        <w:rPr>
          <w:lang w:val="fr-FR"/>
        </w:rPr>
        <w:t>nt pas encore trouvé de réponse au moment de l</w:t>
      </w:r>
      <w:r>
        <w:rPr>
          <w:lang w:val="fr-FR"/>
        </w:rPr>
        <w:t>’</w:t>
      </w:r>
      <w:r w:rsidRPr="00424C54">
        <w:rPr>
          <w:lang w:val="fr-FR"/>
        </w:rPr>
        <w:t>établissement du présent document, qui devait être achevé avant la date limite de soumission des documents officiels pour la 111</w:t>
      </w:r>
      <w:r w:rsidRPr="00424C54">
        <w:rPr>
          <w:vertAlign w:val="superscript"/>
          <w:lang w:val="fr-FR"/>
        </w:rPr>
        <w:t>e</w:t>
      </w:r>
      <w:r w:rsidRPr="00424C54">
        <w:rPr>
          <w:lang w:val="fr-FR"/>
        </w:rPr>
        <w:t xml:space="preserve"> session du Groupe de travail. Étant donné que les travaux se poursuivent au sein du groupe de travail informel, ces questions pourraient être résolues avant la 111</w:t>
      </w:r>
      <w:r w:rsidRPr="00424C54">
        <w:rPr>
          <w:vertAlign w:val="superscript"/>
          <w:lang w:val="fr-FR"/>
        </w:rPr>
        <w:t>e</w:t>
      </w:r>
      <w:r w:rsidRPr="00424C54">
        <w:rPr>
          <w:lang w:val="fr-FR"/>
        </w:rPr>
        <w:t xml:space="preserve"> session. Afin d</w:t>
      </w:r>
      <w:r>
        <w:rPr>
          <w:lang w:val="fr-FR"/>
        </w:rPr>
        <w:t>’</w:t>
      </w:r>
      <w:r w:rsidRPr="00424C54">
        <w:rPr>
          <w:lang w:val="fr-FR"/>
        </w:rPr>
        <w:t>en tenir compte, des propositions supplémentaires concernant les véhicules FL sont présentées à l</w:t>
      </w:r>
      <w:r>
        <w:rPr>
          <w:lang w:val="fr-FR"/>
        </w:rPr>
        <w:t>’</w:t>
      </w:r>
      <w:r w:rsidRPr="00424C54">
        <w:rPr>
          <w:lang w:val="fr-FR"/>
        </w:rPr>
        <w:t xml:space="preserve">annexe II </w:t>
      </w:r>
      <w:r>
        <w:rPr>
          <w:lang w:val="fr-FR"/>
        </w:rPr>
        <w:t>ci-après</w:t>
      </w:r>
      <w:r w:rsidRPr="00424C54">
        <w:rPr>
          <w:lang w:val="fr-FR"/>
        </w:rPr>
        <w:t xml:space="preserve"> en vue de modifier et de compléter les propositions figurant à l</w:t>
      </w:r>
      <w:r>
        <w:rPr>
          <w:lang w:val="fr-FR"/>
        </w:rPr>
        <w:t>’</w:t>
      </w:r>
      <w:r w:rsidRPr="00424C54">
        <w:rPr>
          <w:lang w:val="fr-FR"/>
        </w:rPr>
        <w:t xml:space="preserve">annexe I. Des précisions supplémentaires pourront </w:t>
      </w:r>
      <w:r>
        <w:rPr>
          <w:lang w:val="fr-FR"/>
        </w:rPr>
        <w:t xml:space="preserve">en outre </w:t>
      </w:r>
      <w:r w:rsidRPr="00424C54">
        <w:rPr>
          <w:lang w:val="fr-FR"/>
        </w:rPr>
        <w:t>être apportées dans les documents informels à venir.</w:t>
      </w:r>
    </w:p>
    <w:p w14:paraId="09288BED" w14:textId="77777777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6.</w:t>
      </w:r>
      <w:r w:rsidRPr="00424C54">
        <w:rPr>
          <w:lang w:val="fr-FR"/>
        </w:rPr>
        <w:tab/>
        <w:t>Les débats relatifs à l</w:t>
      </w:r>
      <w:r>
        <w:rPr>
          <w:lang w:val="fr-FR"/>
        </w:rPr>
        <w:t>’</w:t>
      </w:r>
      <w:r w:rsidRPr="00424C54">
        <w:rPr>
          <w:lang w:val="fr-FR"/>
        </w:rPr>
        <w:t>utilisation des véhicules électriques à batterie en tant que véhicules EX homologués sont toujours en cours, de même que ceux qui portent sur l</w:t>
      </w:r>
      <w:r>
        <w:rPr>
          <w:lang w:val="fr-FR"/>
        </w:rPr>
        <w:t>’</w:t>
      </w:r>
      <w:r w:rsidRPr="00424C54">
        <w:rPr>
          <w:lang w:val="fr-FR"/>
        </w:rPr>
        <w:t>utilisation des véhicules à pile à combustible à hydrogène.</w:t>
      </w:r>
    </w:p>
    <w:p w14:paraId="738CAD34" w14:textId="6D0B460F" w:rsidR="00A15871" w:rsidRPr="00424C54" w:rsidRDefault="00A15871" w:rsidP="00A15871">
      <w:pPr>
        <w:pStyle w:val="SingleTxtG"/>
        <w:tabs>
          <w:tab w:val="left" w:pos="1701"/>
        </w:tabs>
        <w:rPr>
          <w:lang w:val="fr-FR"/>
        </w:rPr>
      </w:pPr>
      <w:r w:rsidRPr="00424C54">
        <w:rPr>
          <w:lang w:val="fr-FR"/>
        </w:rPr>
        <w:t>7.</w:t>
      </w:r>
      <w:r w:rsidRPr="00424C54">
        <w:rPr>
          <w:lang w:val="fr-FR"/>
        </w:rPr>
        <w:tab/>
        <w:t>Décisions concrètes concernant les amendements proposés</w:t>
      </w:r>
      <w:r w:rsidR="003E1DB2">
        <w:rPr>
          <w:lang w:val="fr-FR"/>
        </w:rPr>
        <w:t> </w:t>
      </w:r>
      <w:r w:rsidRPr="00424C54">
        <w:rPr>
          <w:lang w:val="fr-FR"/>
        </w:rPr>
        <w:t>:</w:t>
      </w:r>
    </w:p>
    <w:p w14:paraId="76DDA73D" w14:textId="7DE7EB3C" w:rsidR="00A15871" w:rsidRPr="00424C54" w:rsidRDefault="00A15871" w:rsidP="00A1587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424C54">
        <w:rPr>
          <w:lang w:val="fr-FR"/>
        </w:rPr>
        <w:t>•</w:t>
      </w:r>
      <w:r w:rsidRPr="00424C54">
        <w:rPr>
          <w:lang w:val="fr-FR"/>
        </w:rPr>
        <w:tab/>
        <w:t xml:space="preserve">Une référence au Règlement ONU </w:t>
      </w:r>
      <w:r w:rsidR="003E1DB2" w:rsidRPr="003E1DB2">
        <w:rPr>
          <w:rFonts w:eastAsia="MS Mincho"/>
          <w:lang w:val="fr-FR"/>
        </w:rPr>
        <w:t>n</w:t>
      </w:r>
      <w:r w:rsidR="003E1DB2" w:rsidRPr="003E1DB2">
        <w:rPr>
          <w:rFonts w:eastAsia="MS Mincho"/>
          <w:vertAlign w:val="superscript"/>
          <w:lang w:val="fr-FR"/>
        </w:rPr>
        <w:t>o</w:t>
      </w:r>
      <w:r w:rsidR="003E1DB2">
        <w:rPr>
          <w:lang w:val="fr-FR"/>
        </w:rPr>
        <w:t xml:space="preserve"> </w:t>
      </w:r>
      <w:r w:rsidRPr="00424C54">
        <w:rPr>
          <w:lang w:val="fr-FR"/>
        </w:rPr>
        <w:t>13 (révision 11) est ajoutée afin de garantir la bonne application des prescriptions relatives au freinage des véhicules équipés d</w:t>
      </w:r>
      <w:r>
        <w:rPr>
          <w:lang w:val="fr-FR"/>
        </w:rPr>
        <w:t>’</w:t>
      </w:r>
      <w:r w:rsidRPr="00424C54">
        <w:rPr>
          <w:lang w:val="fr-FR"/>
        </w:rPr>
        <w:t>un système d</w:t>
      </w:r>
      <w:r>
        <w:rPr>
          <w:lang w:val="fr-FR"/>
        </w:rPr>
        <w:t>’</w:t>
      </w:r>
      <w:r w:rsidRPr="00424C54">
        <w:rPr>
          <w:lang w:val="fr-FR"/>
        </w:rPr>
        <w:t>entraînement électrique dans la phase initiale de mise sur le marché</w:t>
      </w:r>
      <w:r w:rsidR="003E1DB2">
        <w:rPr>
          <w:lang w:val="fr-FR"/>
        </w:rPr>
        <w:t> ;</w:t>
      </w:r>
    </w:p>
    <w:p w14:paraId="3065B909" w14:textId="01331F8C" w:rsidR="00A15871" w:rsidRPr="00424C54" w:rsidRDefault="00A15871" w:rsidP="00A1587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424C54">
        <w:rPr>
          <w:lang w:val="fr-FR"/>
        </w:rPr>
        <w:t>•</w:t>
      </w:r>
      <w:r w:rsidRPr="00424C54">
        <w:rPr>
          <w:lang w:val="fr-FR"/>
        </w:rPr>
        <w:tab/>
        <w:t>Il a été décidé d</w:t>
      </w:r>
      <w:r>
        <w:rPr>
          <w:lang w:val="fr-FR"/>
        </w:rPr>
        <w:t>’</w:t>
      </w:r>
      <w:r w:rsidRPr="00424C54">
        <w:rPr>
          <w:lang w:val="fr-FR"/>
        </w:rPr>
        <w:t>exclure du 9.2.2 le système d</w:t>
      </w:r>
      <w:r>
        <w:rPr>
          <w:lang w:val="fr-FR"/>
        </w:rPr>
        <w:t>’</w:t>
      </w:r>
      <w:r w:rsidRPr="00424C54">
        <w:rPr>
          <w:lang w:val="fr-FR"/>
        </w:rPr>
        <w:t>entraînement électrique à haute tension. Cependant, d</w:t>
      </w:r>
      <w:r>
        <w:rPr>
          <w:lang w:val="fr-FR"/>
        </w:rPr>
        <w:t>’</w:t>
      </w:r>
      <w:r w:rsidRPr="00424C54">
        <w:rPr>
          <w:lang w:val="fr-FR"/>
        </w:rPr>
        <w:t>autres équipements à haute tension tels que la direction assistée, le système d</w:t>
      </w:r>
      <w:r>
        <w:rPr>
          <w:lang w:val="fr-FR"/>
        </w:rPr>
        <w:t>’</w:t>
      </w:r>
      <w:r w:rsidRPr="00424C54">
        <w:rPr>
          <w:lang w:val="fr-FR"/>
        </w:rPr>
        <w:t>entraînement du compresseur des freins à air comprimé et le chauffage sont inclus dans le 9.2.2. Il convient de noter que le 9.2.2.7, concernant la tension, ne s</w:t>
      </w:r>
      <w:r>
        <w:rPr>
          <w:lang w:val="fr-FR"/>
        </w:rPr>
        <w:t>’</w:t>
      </w:r>
      <w:r w:rsidRPr="00424C54">
        <w:rPr>
          <w:lang w:val="fr-FR"/>
        </w:rPr>
        <w:t>applique qu</w:t>
      </w:r>
      <w:r>
        <w:rPr>
          <w:lang w:val="fr-FR"/>
        </w:rPr>
        <w:t>’</w:t>
      </w:r>
      <w:r w:rsidRPr="00424C54">
        <w:rPr>
          <w:lang w:val="fr-FR"/>
        </w:rPr>
        <w:t>aux véhicules EX</w:t>
      </w:r>
      <w:r w:rsidR="003E1DB2">
        <w:rPr>
          <w:lang w:val="fr-FR"/>
        </w:rPr>
        <w:t> ;</w:t>
      </w:r>
    </w:p>
    <w:p w14:paraId="49785B12" w14:textId="2CD0337E" w:rsidR="00A15871" w:rsidRPr="00424C54" w:rsidRDefault="00A15871" w:rsidP="00A1587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424C54">
        <w:rPr>
          <w:lang w:val="fr-FR"/>
        </w:rPr>
        <w:t>•</w:t>
      </w:r>
      <w:r w:rsidRPr="00424C54">
        <w:rPr>
          <w:lang w:val="fr-FR"/>
        </w:rPr>
        <w:tab/>
        <w:t>Un nouveau 9.2.4.6 a été ajouté afin d</w:t>
      </w:r>
      <w:r>
        <w:rPr>
          <w:lang w:val="fr-FR"/>
        </w:rPr>
        <w:t>’</w:t>
      </w:r>
      <w:r w:rsidRPr="00424C54">
        <w:rPr>
          <w:lang w:val="fr-FR"/>
        </w:rPr>
        <w:t>énoncer des dispositions relatives à l</w:t>
      </w:r>
      <w:r>
        <w:rPr>
          <w:lang w:val="fr-FR"/>
        </w:rPr>
        <w:t>’</w:t>
      </w:r>
      <w:r w:rsidRPr="00424C54">
        <w:rPr>
          <w:lang w:val="fr-FR"/>
        </w:rPr>
        <w:t>inclusion des véhicules électriques à batterie</w:t>
      </w:r>
      <w:r w:rsidR="003E1DB2">
        <w:rPr>
          <w:lang w:val="fr-FR"/>
        </w:rPr>
        <w:t> ;</w:t>
      </w:r>
    </w:p>
    <w:p w14:paraId="294AA259" w14:textId="5ED1DB9F" w:rsidR="00A15871" w:rsidRPr="00424C54" w:rsidRDefault="00A15871" w:rsidP="00A1587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424C54">
        <w:rPr>
          <w:lang w:val="fr-FR"/>
        </w:rPr>
        <w:t>•</w:t>
      </w:r>
      <w:r w:rsidRPr="00424C54">
        <w:rPr>
          <w:lang w:val="fr-FR"/>
        </w:rPr>
        <w:tab/>
        <w:t>Les 9.2.4.3 et 9.2.4.4 et le nouveau 9.2.4.6 sont accompagnés d</w:t>
      </w:r>
      <w:r>
        <w:rPr>
          <w:lang w:val="fr-FR"/>
        </w:rPr>
        <w:t>’</w:t>
      </w:r>
      <w:r w:rsidRPr="00424C54">
        <w:rPr>
          <w:lang w:val="fr-FR"/>
        </w:rPr>
        <w:t>un nota concernant l</w:t>
      </w:r>
      <w:r>
        <w:rPr>
          <w:lang w:val="fr-FR"/>
        </w:rPr>
        <w:t>’</w:t>
      </w:r>
      <w:r w:rsidRPr="00424C54">
        <w:rPr>
          <w:lang w:val="fr-FR"/>
        </w:rPr>
        <w:t>utilisation éventuelle de véhicules hybrides, dans diverses configurations, équipés d</w:t>
      </w:r>
      <w:r>
        <w:rPr>
          <w:lang w:val="fr-FR"/>
        </w:rPr>
        <w:t>’</w:t>
      </w:r>
      <w:r w:rsidRPr="00424C54">
        <w:rPr>
          <w:lang w:val="fr-FR"/>
        </w:rPr>
        <w:t>un moteur à combustion et d</w:t>
      </w:r>
      <w:r>
        <w:rPr>
          <w:lang w:val="fr-FR"/>
        </w:rPr>
        <w:t>’</w:t>
      </w:r>
      <w:r w:rsidRPr="00424C54">
        <w:rPr>
          <w:lang w:val="fr-FR"/>
        </w:rPr>
        <w:t>un système d</w:t>
      </w:r>
      <w:r>
        <w:rPr>
          <w:lang w:val="fr-FR"/>
        </w:rPr>
        <w:t>’</w:t>
      </w:r>
      <w:r w:rsidRPr="00424C54">
        <w:rPr>
          <w:lang w:val="fr-FR"/>
        </w:rPr>
        <w:t>entraînement électrique</w:t>
      </w:r>
      <w:r w:rsidR="003E1DB2">
        <w:rPr>
          <w:lang w:val="fr-FR"/>
        </w:rPr>
        <w:t> ;</w:t>
      </w:r>
    </w:p>
    <w:p w14:paraId="2F42FDE2" w14:textId="77777777" w:rsidR="00A15871" w:rsidRPr="00424C54" w:rsidRDefault="00A15871" w:rsidP="00A15871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spacing w:line="240" w:lineRule="auto"/>
        <w:ind w:left="1701" w:hanging="170"/>
        <w:rPr>
          <w:u w:val="single"/>
          <w:lang w:val="fr-FR"/>
        </w:rPr>
      </w:pPr>
      <w:r w:rsidRPr="00424C54">
        <w:rPr>
          <w:lang w:val="fr-FR"/>
        </w:rPr>
        <w:t>•</w:t>
      </w:r>
      <w:r w:rsidRPr="00424C54">
        <w:rPr>
          <w:lang w:val="fr-FR"/>
        </w:rPr>
        <w:tab/>
        <w:t>Le 9.2.4.7 (renuméroté 9.2.4.8) est modifié de manière à inclure les chauffages électriques (à haute tension).</w:t>
      </w:r>
      <w:r w:rsidRPr="00424C54">
        <w:rPr>
          <w:u w:val="single"/>
          <w:lang w:val="fr-FR"/>
        </w:rPr>
        <w:br w:type="page"/>
      </w:r>
    </w:p>
    <w:p w14:paraId="3812A0DE" w14:textId="77777777" w:rsidR="00A15871" w:rsidRPr="00424C54" w:rsidRDefault="00A15871" w:rsidP="003E1DB2">
      <w:pPr>
        <w:pStyle w:val="HChG"/>
        <w:rPr>
          <w:lang w:val="fr-FR"/>
        </w:rPr>
      </w:pPr>
      <w:r w:rsidRPr="00424C54">
        <w:rPr>
          <w:lang w:val="fr-FR"/>
        </w:rPr>
        <w:lastRenderedPageBreak/>
        <w:tab/>
      </w:r>
      <w:r w:rsidRPr="00424C54">
        <w:rPr>
          <w:lang w:val="fr-FR"/>
        </w:rPr>
        <w:tab/>
        <w:t>Annexe I</w:t>
      </w:r>
    </w:p>
    <w:p w14:paraId="3DB22F5A" w14:textId="77777777" w:rsidR="00A15871" w:rsidRPr="00424C54" w:rsidRDefault="00A15871" w:rsidP="003E1DB2">
      <w:pPr>
        <w:pStyle w:val="H1G"/>
        <w:rPr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>Propositions relatives à l</w:t>
      </w:r>
      <w:r>
        <w:rPr>
          <w:lang w:val="fr-FR"/>
        </w:rPr>
        <w:t>’</w:t>
      </w:r>
      <w:r w:rsidRPr="00424C54">
        <w:rPr>
          <w:lang w:val="fr-FR"/>
        </w:rPr>
        <w:t>ajout, au 9.2 de l</w:t>
      </w:r>
      <w:r>
        <w:rPr>
          <w:lang w:val="fr-FR"/>
        </w:rPr>
        <w:t>’</w:t>
      </w:r>
      <w:r w:rsidRPr="00424C54">
        <w:rPr>
          <w:lang w:val="fr-FR"/>
        </w:rPr>
        <w:t>ADR, des véhicules électriques à batterie en tant que véhicules de la catégorie AT</w:t>
      </w:r>
    </w:p>
    <w:p w14:paraId="7ADD028C" w14:textId="17179C00" w:rsidR="00911E31" w:rsidRPr="00424C54" w:rsidRDefault="00A15871" w:rsidP="00911E3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1.</w:t>
      </w:r>
      <w:r w:rsidRPr="00424C54">
        <w:rPr>
          <w:lang w:val="fr-FR"/>
        </w:rPr>
        <w:tab/>
      </w:r>
      <w:r w:rsidR="00911E31" w:rsidRPr="00424C54">
        <w:rPr>
          <w:lang w:val="fr-FR"/>
        </w:rPr>
        <w:t xml:space="preserve">Dans le tableau du 9.2.1.1, ajouter un nouveau 9.2.4.6 et renuméroter les actuels 9.2.4.6 et 9.2.4.7 </w:t>
      </w:r>
      <w:r w:rsidR="00911E31">
        <w:rPr>
          <w:lang w:val="fr-FR"/>
        </w:rPr>
        <w:t xml:space="preserve">en </w:t>
      </w:r>
      <w:r w:rsidR="00911E31" w:rsidRPr="00424C54">
        <w:rPr>
          <w:lang w:val="fr-FR"/>
        </w:rPr>
        <w:t xml:space="preserve">9.2.4.7 et 9.2.4.8, et les actuels 9.2.4.7.1 à 9.2.4.7.6 </w:t>
      </w:r>
      <w:r w:rsidR="00911E31">
        <w:rPr>
          <w:lang w:val="fr-FR"/>
        </w:rPr>
        <w:t xml:space="preserve">en </w:t>
      </w:r>
      <w:r w:rsidR="00911E31" w:rsidRPr="00424C54">
        <w:rPr>
          <w:lang w:val="fr-FR"/>
        </w:rPr>
        <w:t>9.2.4.8.1 à 9.2.4.8.6</w:t>
      </w:r>
      <w:r w:rsidR="00911E31">
        <w:rPr>
          <w:lang w:val="fr-FR"/>
        </w:rPr>
        <w:t> </w:t>
      </w:r>
      <w:r w:rsidR="00911E31" w:rsidRPr="00424C54">
        <w:rPr>
          <w:lang w:val="fr-FR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43"/>
        <w:gridCol w:w="366"/>
        <w:gridCol w:w="425"/>
        <w:gridCol w:w="284"/>
        <w:gridCol w:w="2409"/>
      </w:tblGrid>
      <w:tr w:rsidR="00A15871" w:rsidRPr="00424C54" w14:paraId="7D6BBACF" w14:textId="77777777" w:rsidTr="00EC34C0">
        <w:trPr>
          <w:jc w:val="center"/>
        </w:trPr>
        <w:tc>
          <w:tcPr>
            <w:tcW w:w="846" w:type="dxa"/>
          </w:tcPr>
          <w:p w14:paraId="6B9D581A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9.2.4.6</w:t>
            </w:r>
          </w:p>
        </w:tc>
        <w:tc>
          <w:tcPr>
            <w:tcW w:w="2693" w:type="dxa"/>
          </w:tcPr>
          <w:p w14:paraId="0E49D329" w14:textId="77777777" w:rsidR="00A15871" w:rsidRPr="00424C54" w:rsidRDefault="00A15871" w:rsidP="00EC34C0">
            <w:pPr>
              <w:spacing w:before="60" w:after="60"/>
              <w:rPr>
                <w:i/>
                <w:iCs/>
                <w:u w:val="single"/>
                <w:lang w:val="fr-FR"/>
              </w:rPr>
            </w:pPr>
            <w:r w:rsidRPr="00424C54">
              <w:rPr>
                <w:i/>
                <w:iCs/>
                <w:u w:val="single"/>
                <w:lang w:val="fr-FR"/>
              </w:rPr>
              <w:t>Système d</w:t>
            </w:r>
            <w:r>
              <w:rPr>
                <w:i/>
                <w:iCs/>
                <w:u w:val="single"/>
                <w:lang w:val="fr-FR"/>
              </w:rPr>
              <w:t>’</w:t>
            </w:r>
            <w:r w:rsidRPr="00424C54">
              <w:rPr>
                <w:i/>
                <w:iCs/>
                <w:u w:val="single"/>
                <w:lang w:val="fr-FR"/>
              </w:rPr>
              <w:t>entraînement électrique</w:t>
            </w:r>
          </w:p>
        </w:tc>
        <w:tc>
          <w:tcPr>
            <w:tcW w:w="343" w:type="dxa"/>
          </w:tcPr>
          <w:p w14:paraId="41368D28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366" w:type="dxa"/>
          </w:tcPr>
          <w:p w14:paraId="64D21963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6B24CD58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X</w:t>
            </w:r>
          </w:p>
        </w:tc>
        <w:tc>
          <w:tcPr>
            <w:tcW w:w="284" w:type="dxa"/>
          </w:tcPr>
          <w:p w14:paraId="7DE695C3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2409" w:type="dxa"/>
          </w:tcPr>
          <w:p w14:paraId="120C5028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</w:tr>
    </w:tbl>
    <w:p w14:paraId="28EAA4D1" w14:textId="77777777" w:rsidR="00A15871" w:rsidRPr="00424C54" w:rsidRDefault="00A15871" w:rsidP="00695DBD">
      <w:pPr>
        <w:pStyle w:val="SingleTxtG"/>
        <w:spacing w:before="240"/>
        <w:rPr>
          <w:lang w:val="fr-FR"/>
        </w:rPr>
      </w:pPr>
      <w:r w:rsidRPr="00424C54">
        <w:rPr>
          <w:lang w:val="fr-FR"/>
        </w:rPr>
        <w:t>2.</w:t>
      </w:r>
      <w:r w:rsidRPr="00424C54">
        <w:rPr>
          <w:lang w:val="fr-FR"/>
        </w:rPr>
        <w:tab/>
        <w:t>Dans le tableau du 9.2.1.1, modifier le libellé du nouveau 9.2.4.8 comme suit 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43"/>
        <w:gridCol w:w="366"/>
        <w:gridCol w:w="425"/>
        <w:gridCol w:w="284"/>
        <w:gridCol w:w="2409"/>
      </w:tblGrid>
      <w:tr w:rsidR="00A15871" w:rsidRPr="00110364" w14:paraId="5435EBDC" w14:textId="77777777" w:rsidTr="00EC34C0">
        <w:trPr>
          <w:jc w:val="center"/>
        </w:trPr>
        <w:tc>
          <w:tcPr>
            <w:tcW w:w="846" w:type="dxa"/>
          </w:tcPr>
          <w:p w14:paraId="4CC1A517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9.2.4.8</w:t>
            </w:r>
          </w:p>
        </w:tc>
        <w:tc>
          <w:tcPr>
            <w:tcW w:w="2693" w:type="dxa"/>
          </w:tcPr>
          <w:p w14:paraId="3BE741EA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 xml:space="preserve">Chauffages à combustion </w:t>
            </w:r>
            <w:r w:rsidRPr="00424C54">
              <w:rPr>
                <w:i/>
                <w:iCs/>
                <w:u w:val="single"/>
                <w:lang w:val="fr-FR"/>
              </w:rPr>
              <w:t>et chauffages électriques</w:t>
            </w:r>
          </w:p>
        </w:tc>
        <w:tc>
          <w:tcPr>
            <w:tcW w:w="343" w:type="dxa"/>
          </w:tcPr>
          <w:p w14:paraId="31D890B1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366" w:type="dxa"/>
          </w:tcPr>
          <w:p w14:paraId="5C33923E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417E3A5A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284" w:type="dxa"/>
          </w:tcPr>
          <w:p w14:paraId="229162C4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  <w:tc>
          <w:tcPr>
            <w:tcW w:w="2409" w:type="dxa"/>
          </w:tcPr>
          <w:p w14:paraId="3E86CB66" w14:textId="77777777" w:rsidR="00A15871" w:rsidRPr="00424C54" w:rsidRDefault="00A15871" w:rsidP="00EC34C0">
            <w:pPr>
              <w:spacing w:before="60" w:after="60"/>
              <w:rPr>
                <w:i/>
                <w:iCs/>
                <w:lang w:val="fr-FR"/>
              </w:rPr>
            </w:pPr>
          </w:p>
        </w:tc>
      </w:tr>
    </w:tbl>
    <w:p w14:paraId="33A62EAA" w14:textId="2E7B060B" w:rsidR="00A15871" w:rsidRPr="00424C54" w:rsidRDefault="00A15871" w:rsidP="00695DBD">
      <w:pPr>
        <w:pStyle w:val="SingleTxtG"/>
        <w:spacing w:before="240"/>
        <w:rPr>
          <w:lang w:val="fr-FR"/>
        </w:rPr>
      </w:pPr>
      <w:r w:rsidRPr="00424C54">
        <w:rPr>
          <w:lang w:val="fr-FR"/>
        </w:rPr>
        <w:t>3.</w:t>
      </w:r>
      <w:r w:rsidRPr="00424C54">
        <w:rPr>
          <w:lang w:val="fr-FR"/>
        </w:rPr>
        <w:tab/>
      </w:r>
      <w:r w:rsidRPr="00110364">
        <w:rPr>
          <w:lang w:val="fr-FR"/>
        </w:rPr>
        <w:t>Section 9.2.2.1, deuxième paragraphe</w:t>
      </w:r>
      <w:r w:rsidRPr="00424C54">
        <w:rPr>
          <w:lang w:val="fr-FR"/>
        </w:rPr>
        <w:t>, lire (l</w:t>
      </w:r>
      <w:r>
        <w:rPr>
          <w:lang w:val="fr-FR"/>
        </w:rPr>
        <w:t>’</w:t>
      </w:r>
      <w:r w:rsidRPr="00424C54">
        <w:rPr>
          <w:lang w:val="fr-FR"/>
        </w:rPr>
        <w:t>ajout est souligné)</w:t>
      </w:r>
      <w:r w:rsidR="00695DBD">
        <w:rPr>
          <w:lang w:val="fr-FR"/>
        </w:rPr>
        <w:t> </w:t>
      </w:r>
      <w:r w:rsidRPr="00424C54">
        <w:rPr>
          <w:lang w:val="fr-FR"/>
        </w:rPr>
        <w:t>:</w:t>
      </w:r>
    </w:p>
    <w:p w14:paraId="0958FE23" w14:textId="7FDB6296" w:rsidR="00A15871" w:rsidRPr="00424C54" w:rsidRDefault="00695DBD" w:rsidP="00A15871">
      <w:pPr>
        <w:pStyle w:val="SingleTxtG"/>
        <w:spacing w:before="120"/>
        <w:rPr>
          <w:lang w:val="fr-FR"/>
        </w:rPr>
      </w:pPr>
      <w:r>
        <w:rPr>
          <w:lang w:val="fr-FR"/>
        </w:rPr>
        <w:t>« </w:t>
      </w:r>
      <w:r w:rsidR="00A15871" w:rsidRPr="00424C54">
        <w:rPr>
          <w:lang w:val="fr-FR"/>
        </w:rPr>
        <w:t>L</w:t>
      </w:r>
      <w:r w:rsidR="00A15871">
        <w:rPr>
          <w:lang w:val="fr-FR"/>
        </w:rPr>
        <w:t>’</w:t>
      </w:r>
      <w:r w:rsidR="00A15871" w:rsidRPr="00424C54">
        <w:rPr>
          <w:lang w:val="fr-FR"/>
        </w:rPr>
        <w:t>installation électrique</w:t>
      </w:r>
      <w:r w:rsidR="00A15871" w:rsidRPr="00424C54">
        <w:rPr>
          <w:strike/>
          <w:lang w:val="fr-FR"/>
        </w:rPr>
        <w:t xml:space="preserve"> dans son ensemble</w:t>
      </w:r>
      <w:r w:rsidR="00A15871" w:rsidRPr="00424C54">
        <w:rPr>
          <w:u w:val="single"/>
          <w:lang w:val="fr-FR"/>
        </w:rPr>
        <w:t>, à l</w:t>
      </w:r>
      <w:r w:rsidR="00A15871">
        <w:rPr>
          <w:u w:val="single"/>
          <w:lang w:val="fr-FR"/>
        </w:rPr>
        <w:t>’</w:t>
      </w:r>
      <w:r w:rsidR="00A15871" w:rsidRPr="00424C54">
        <w:rPr>
          <w:u w:val="single"/>
          <w:lang w:val="fr-FR"/>
        </w:rPr>
        <w:t>exception du système d</w:t>
      </w:r>
      <w:r w:rsidR="00A15871">
        <w:rPr>
          <w:u w:val="single"/>
          <w:lang w:val="fr-FR"/>
        </w:rPr>
        <w:t>’</w:t>
      </w:r>
      <w:r w:rsidR="00A15871" w:rsidRPr="00424C54">
        <w:rPr>
          <w:u w:val="single"/>
          <w:lang w:val="fr-FR"/>
        </w:rPr>
        <w:t xml:space="preserve">entraînement à haute tension conforme aux prescriptions techniques du Règlement ONU </w:t>
      </w:r>
      <w:r w:rsidRPr="00695DBD">
        <w:rPr>
          <w:rFonts w:eastAsia="MS Mincho"/>
          <w:u w:val="single"/>
          <w:lang w:val="fr-FR"/>
        </w:rPr>
        <w:t>n</w:t>
      </w:r>
      <w:r w:rsidRPr="00695DBD">
        <w:rPr>
          <w:rFonts w:eastAsia="MS Mincho"/>
          <w:u w:val="single"/>
          <w:vertAlign w:val="superscript"/>
          <w:lang w:val="fr-FR"/>
        </w:rPr>
        <w:t>o</w:t>
      </w:r>
      <w:r>
        <w:rPr>
          <w:u w:val="single"/>
          <w:lang w:val="fr-FR"/>
        </w:rPr>
        <w:t xml:space="preserve"> </w:t>
      </w:r>
      <w:r w:rsidR="00A15871" w:rsidRPr="00424C54">
        <w:rPr>
          <w:u w:val="single"/>
          <w:lang w:val="fr-FR"/>
        </w:rPr>
        <w:t xml:space="preserve">100, </w:t>
      </w:r>
      <w:r w:rsidR="00A15871" w:rsidRPr="00424C54">
        <w:rPr>
          <w:lang w:val="fr-FR"/>
        </w:rPr>
        <w:t>doit satisfaire aux dispositions des 9.2.2.2 à 9.2.2.9, conformément au tableau du 9.2.1.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361A380B" w14:textId="3217558D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4.</w:t>
      </w:r>
      <w:r w:rsidRPr="00424C54">
        <w:rPr>
          <w:lang w:val="fr-FR"/>
        </w:rPr>
        <w:tab/>
      </w:r>
      <w:r w:rsidRPr="00110364">
        <w:rPr>
          <w:lang w:val="fr-FR"/>
        </w:rPr>
        <w:t>Paragraphe 9.2.3.1.1</w:t>
      </w:r>
      <w:r w:rsidRPr="00424C54">
        <w:rPr>
          <w:lang w:val="fr-FR"/>
        </w:rPr>
        <w:t>, lire (l</w:t>
      </w:r>
      <w:r>
        <w:rPr>
          <w:lang w:val="fr-FR"/>
        </w:rPr>
        <w:t>’</w:t>
      </w:r>
      <w:r w:rsidRPr="00424C54">
        <w:rPr>
          <w:lang w:val="fr-FR"/>
        </w:rPr>
        <w:t>ajout est souligné)</w:t>
      </w:r>
      <w:r w:rsidR="00695DBD">
        <w:rPr>
          <w:lang w:val="fr-FR"/>
        </w:rPr>
        <w:t> </w:t>
      </w:r>
      <w:r w:rsidRPr="00424C54">
        <w:rPr>
          <w:lang w:val="fr-FR"/>
        </w:rPr>
        <w:t>:</w:t>
      </w:r>
    </w:p>
    <w:p w14:paraId="26E4C1BC" w14:textId="4B6A7D30" w:rsidR="00A15871" w:rsidRPr="00424C54" w:rsidRDefault="00695DBD" w:rsidP="00A15871">
      <w:pPr>
        <w:pStyle w:val="SingleTxtG"/>
        <w:spacing w:before="120"/>
        <w:rPr>
          <w:lang w:val="fr-FR"/>
        </w:rPr>
      </w:pPr>
      <w:r w:rsidRPr="00911E31">
        <w:rPr>
          <w:lang w:val="fr-FR"/>
        </w:rPr>
        <w:t>« </w:t>
      </w:r>
      <w:r w:rsidR="00A15871" w:rsidRPr="00911E31">
        <w:rPr>
          <w:lang w:val="fr-FR"/>
        </w:rPr>
        <w:t>Les véhicules à moteur et les remorques destinés à constituer une unité de transport de marchandises dangereuses</w:t>
      </w:r>
      <w:r w:rsidR="00A15871" w:rsidRPr="00424C54">
        <w:rPr>
          <w:lang w:val="fr-FR"/>
        </w:rPr>
        <w:t xml:space="preserve"> doivent satisfaire à toutes les prescriptions techniques pertinentes du Règlement ONU </w:t>
      </w:r>
      <w:r w:rsidR="00911E31" w:rsidRPr="00911E31">
        <w:rPr>
          <w:rFonts w:eastAsia="MS Mincho"/>
          <w:lang w:val="fr-FR"/>
        </w:rPr>
        <w:t>n</w:t>
      </w:r>
      <w:r w:rsidR="00911E31" w:rsidRPr="00911E31">
        <w:rPr>
          <w:rFonts w:eastAsia="MS Mincho"/>
          <w:vertAlign w:val="superscript"/>
          <w:lang w:val="fr-FR"/>
        </w:rPr>
        <w:t>o</w:t>
      </w:r>
      <w:r w:rsidR="00911E31">
        <w:rPr>
          <w:lang w:val="fr-FR"/>
        </w:rPr>
        <w:t xml:space="preserve"> </w:t>
      </w:r>
      <w:r w:rsidR="00A15871" w:rsidRPr="00424C54">
        <w:rPr>
          <w:lang w:val="fr-FR"/>
        </w:rPr>
        <w:t>13</w:t>
      </w:r>
      <w:r w:rsidR="00A15871" w:rsidRPr="00424C54">
        <w:rPr>
          <w:vertAlign w:val="superscript"/>
          <w:lang w:val="fr-FR"/>
        </w:rPr>
        <w:t xml:space="preserve">4 </w:t>
      </w:r>
      <w:r w:rsidR="00A15871" w:rsidRPr="00424C54">
        <w:rPr>
          <w:lang w:val="fr-FR"/>
        </w:rPr>
        <w:t>tel que modifié, conformément aux dates d</w:t>
      </w:r>
      <w:r w:rsidR="00A15871">
        <w:rPr>
          <w:lang w:val="fr-FR"/>
        </w:rPr>
        <w:t>’</w:t>
      </w:r>
      <w:r w:rsidR="00A15871" w:rsidRPr="00424C54">
        <w:rPr>
          <w:lang w:val="fr-FR"/>
        </w:rPr>
        <w:t xml:space="preserve">application qui y sont spécifiées. </w:t>
      </w:r>
      <w:r w:rsidR="00A15871" w:rsidRPr="00424C54">
        <w:rPr>
          <w:u w:val="single"/>
          <w:lang w:val="fr-FR"/>
        </w:rPr>
        <w:t>Les véhicules électriques à batterie doivent satisfaire à toutes les prescriptions techniques pertinentes de la révision 11 ou d</w:t>
      </w:r>
      <w:r w:rsidR="00A15871">
        <w:rPr>
          <w:u w:val="single"/>
          <w:lang w:val="fr-FR"/>
        </w:rPr>
        <w:t>’</w:t>
      </w:r>
      <w:r w:rsidR="00A15871" w:rsidRPr="00424C54">
        <w:rPr>
          <w:u w:val="single"/>
          <w:lang w:val="fr-FR"/>
        </w:rPr>
        <w:t>une révision plus récente</w:t>
      </w:r>
      <w:r w:rsidR="00A15871" w:rsidRPr="00424C54">
        <w:rPr>
          <w:b/>
          <w:bCs/>
          <w:u w:val="single"/>
          <w:lang w:val="fr-FR"/>
        </w:rPr>
        <w:t xml:space="preserve"> </w:t>
      </w:r>
      <w:r w:rsidR="00A15871" w:rsidRPr="00424C54">
        <w:rPr>
          <w:u w:val="single"/>
          <w:lang w:val="fr-FR"/>
        </w:rPr>
        <w:t xml:space="preserve">du Règlement ONU </w:t>
      </w:r>
      <w:r w:rsidR="00911E31" w:rsidRPr="00911E31">
        <w:rPr>
          <w:rFonts w:eastAsia="MS Mincho"/>
          <w:u w:val="single"/>
          <w:lang w:val="fr-FR"/>
        </w:rPr>
        <w:t>n</w:t>
      </w:r>
      <w:r w:rsidR="00911E31" w:rsidRPr="00911E31">
        <w:rPr>
          <w:rFonts w:eastAsia="MS Mincho"/>
          <w:u w:val="single"/>
          <w:vertAlign w:val="superscript"/>
          <w:lang w:val="fr-FR"/>
        </w:rPr>
        <w:t>o</w:t>
      </w:r>
      <w:r w:rsidR="00911E31">
        <w:rPr>
          <w:u w:val="single"/>
          <w:lang w:val="fr-FR"/>
        </w:rPr>
        <w:t> </w:t>
      </w:r>
      <w:r w:rsidR="00A15871" w:rsidRPr="00424C54">
        <w:rPr>
          <w:u w:val="single"/>
          <w:lang w:val="fr-FR"/>
        </w:rPr>
        <w:t>13, selon qu</w:t>
      </w:r>
      <w:r w:rsidR="00A15871">
        <w:rPr>
          <w:u w:val="single"/>
          <w:lang w:val="fr-FR"/>
        </w:rPr>
        <w:t>’</w:t>
      </w:r>
      <w:r w:rsidR="00A15871" w:rsidRPr="00424C54">
        <w:rPr>
          <w:u w:val="single"/>
          <w:lang w:val="fr-FR"/>
        </w:rPr>
        <w:t>il convient.</w:t>
      </w:r>
      <w:r w:rsidR="00911E31">
        <w:rPr>
          <w:lang w:val="fr-FR"/>
        </w:rPr>
        <w:t> »</w:t>
      </w:r>
      <w:r w:rsidR="00A15871">
        <w:rPr>
          <w:lang w:val="fr-FR"/>
        </w:rPr>
        <w:t>.</w:t>
      </w:r>
    </w:p>
    <w:p w14:paraId="30E90491" w14:textId="05D1F7D8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5.</w:t>
      </w:r>
      <w:r w:rsidRPr="00424C54">
        <w:rPr>
          <w:lang w:val="fr-FR"/>
        </w:rPr>
        <w:tab/>
      </w:r>
      <w:r w:rsidRPr="00110364">
        <w:rPr>
          <w:lang w:val="fr-FR"/>
        </w:rPr>
        <w:t>Après le titre figurant au 9.2.4.3</w:t>
      </w:r>
      <w:r w:rsidRPr="00424C54">
        <w:rPr>
          <w:lang w:val="fr-FR"/>
        </w:rPr>
        <w:t>, ajouter un nouveau nota libellé comme suit</w:t>
      </w:r>
      <w:r w:rsidR="00911E31">
        <w:rPr>
          <w:lang w:val="fr-FR"/>
        </w:rPr>
        <w:t> </w:t>
      </w:r>
      <w:r w:rsidRPr="00424C54">
        <w:rPr>
          <w:lang w:val="fr-FR"/>
        </w:rPr>
        <w:t>:</w:t>
      </w:r>
    </w:p>
    <w:p w14:paraId="7660FC26" w14:textId="5F030D1A" w:rsidR="00A15871" w:rsidRPr="00424C54" w:rsidRDefault="00911E31" w:rsidP="00A15871">
      <w:pPr>
        <w:pStyle w:val="SingleTxtG"/>
        <w:spacing w:before="120"/>
        <w:rPr>
          <w:lang w:val="fr-FR"/>
        </w:rPr>
      </w:pPr>
      <w:r>
        <w:rPr>
          <w:lang w:val="fr-FR"/>
        </w:rPr>
        <w:t>« </w:t>
      </w:r>
      <w:r w:rsidR="00A15871" w:rsidRPr="00424C54">
        <w:rPr>
          <w:b/>
          <w:bCs/>
          <w:i/>
          <w:iCs/>
          <w:lang w:val="fr-FR"/>
        </w:rPr>
        <w:t>NOTA</w:t>
      </w:r>
      <w:r>
        <w:rPr>
          <w:b/>
          <w:bCs/>
          <w:i/>
          <w:iCs/>
          <w:lang w:val="fr-FR"/>
        </w:rPr>
        <w:t> </w:t>
      </w:r>
      <w:r w:rsidR="00A15871" w:rsidRPr="00424C54">
        <w:rPr>
          <w:b/>
          <w:bCs/>
          <w:i/>
          <w:iCs/>
          <w:lang w:val="fr-FR"/>
        </w:rPr>
        <w:t>:</w:t>
      </w:r>
      <w:r w:rsidR="00A15871" w:rsidRPr="00424C54">
        <w:rPr>
          <w:i/>
          <w:iCs/>
          <w:lang w:val="fr-FR"/>
        </w:rPr>
        <w:t xml:space="preserve"> Le 9.2.4.3 s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applique également aux réservoirs et bouteilles de carburant utilisés pour les véhicules hybrides qui sont équipés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un système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entraînement électrique associé à la transmission mécanique du moteur à combustion interne</w:t>
      </w:r>
      <w:r w:rsidR="00A15871">
        <w:rPr>
          <w:i/>
          <w:iCs/>
          <w:lang w:val="fr-FR"/>
        </w:rPr>
        <w:t>,</w:t>
      </w:r>
      <w:r w:rsidR="00A15871" w:rsidRPr="00424C54">
        <w:rPr>
          <w:i/>
          <w:iCs/>
          <w:lang w:val="fr-FR"/>
        </w:rPr>
        <w:t xml:space="preserve"> ou qui utilisent un moteur à combustion interne pour entraîner un générateur afin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alimenter le système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entraînement électrique.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01B636F8" w14:textId="7A6B4FD8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6.</w:t>
      </w:r>
      <w:r w:rsidRPr="00424C54">
        <w:rPr>
          <w:lang w:val="fr-FR"/>
        </w:rPr>
        <w:tab/>
      </w:r>
      <w:r w:rsidRPr="00110364">
        <w:rPr>
          <w:lang w:val="fr-FR"/>
        </w:rPr>
        <w:t>Après le titre figurant au 9.2.4.4</w:t>
      </w:r>
      <w:r w:rsidRPr="00424C54">
        <w:rPr>
          <w:lang w:val="fr-FR"/>
        </w:rPr>
        <w:t>, ajouter un nouveau nota libellé comme suit</w:t>
      </w:r>
      <w:r w:rsidR="00911E31">
        <w:rPr>
          <w:lang w:val="fr-FR"/>
        </w:rPr>
        <w:t> </w:t>
      </w:r>
      <w:r w:rsidRPr="00424C54">
        <w:rPr>
          <w:lang w:val="fr-FR"/>
        </w:rPr>
        <w:t>:</w:t>
      </w:r>
    </w:p>
    <w:p w14:paraId="466770A1" w14:textId="4570D28F" w:rsidR="00A15871" w:rsidRPr="00424C54" w:rsidRDefault="00911E31" w:rsidP="00A15871">
      <w:pPr>
        <w:pStyle w:val="SingleTxtG"/>
        <w:spacing w:before="120"/>
        <w:rPr>
          <w:i/>
          <w:iCs/>
          <w:lang w:val="fr-FR"/>
        </w:rPr>
      </w:pPr>
      <w:r>
        <w:rPr>
          <w:lang w:val="fr-FR"/>
        </w:rPr>
        <w:t>« </w:t>
      </w:r>
      <w:r w:rsidR="00A15871" w:rsidRPr="00424C54">
        <w:rPr>
          <w:b/>
          <w:bCs/>
          <w:i/>
          <w:iCs/>
          <w:lang w:val="fr-FR"/>
        </w:rPr>
        <w:t>NOTA</w:t>
      </w:r>
      <w:r>
        <w:rPr>
          <w:b/>
          <w:bCs/>
          <w:i/>
          <w:iCs/>
          <w:lang w:val="fr-FR"/>
        </w:rPr>
        <w:t> </w:t>
      </w:r>
      <w:r w:rsidR="00A15871" w:rsidRPr="00424C54">
        <w:rPr>
          <w:b/>
          <w:bCs/>
          <w:i/>
          <w:iCs/>
          <w:lang w:val="fr-FR"/>
        </w:rPr>
        <w:t xml:space="preserve">: </w:t>
      </w:r>
      <w:r w:rsidR="00A15871" w:rsidRPr="00424C54">
        <w:rPr>
          <w:i/>
          <w:iCs/>
          <w:lang w:val="fr-FR"/>
        </w:rPr>
        <w:t>Le 9.2.4.4 s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applique également aux véhicules hybrides qui sont équipés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un système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 xml:space="preserve">entraînement électrique associé à </w:t>
      </w:r>
      <w:r w:rsidR="00A15871">
        <w:rPr>
          <w:i/>
          <w:iCs/>
          <w:lang w:val="fr-FR"/>
        </w:rPr>
        <w:t xml:space="preserve">la </w:t>
      </w:r>
      <w:r w:rsidR="00A15871" w:rsidRPr="00424C54">
        <w:rPr>
          <w:i/>
          <w:iCs/>
          <w:lang w:val="fr-FR"/>
        </w:rPr>
        <w:t>transmission mécanique du moteur à combustion interne</w:t>
      </w:r>
      <w:r w:rsidR="00A15871">
        <w:rPr>
          <w:i/>
          <w:iCs/>
          <w:lang w:val="fr-FR"/>
        </w:rPr>
        <w:t>,</w:t>
      </w:r>
      <w:r w:rsidR="00A15871" w:rsidRPr="00424C54">
        <w:rPr>
          <w:i/>
          <w:iCs/>
          <w:lang w:val="fr-FR"/>
        </w:rPr>
        <w:t xml:space="preserve"> ou qui utilisent un moteur à combustion interne pour entraîner un générateur afin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alimenter le système d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entraînement électrique.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0958B499" w14:textId="0DD2EC85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7.</w:t>
      </w:r>
      <w:r w:rsidRPr="00424C54">
        <w:rPr>
          <w:lang w:val="fr-FR"/>
        </w:rPr>
        <w:tab/>
        <w:t>Ajouter un nouveau</w:t>
      </w:r>
      <w:r w:rsidRPr="00424C54">
        <w:rPr>
          <w:b/>
          <w:bCs/>
          <w:lang w:val="fr-FR"/>
        </w:rPr>
        <w:t xml:space="preserve"> </w:t>
      </w:r>
      <w:r w:rsidRPr="00424C54">
        <w:rPr>
          <w:lang w:val="fr-FR"/>
        </w:rPr>
        <w:t>9.2.4.6, libellé comme suit</w:t>
      </w:r>
      <w:r w:rsidR="00911E31">
        <w:rPr>
          <w:lang w:val="fr-FR"/>
        </w:rPr>
        <w:t> </w:t>
      </w:r>
      <w:r w:rsidRPr="00424C54">
        <w:rPr>
          <w:lang w:val="fr-FR"/>
        </w:rPr>
        <w:t>:</w:t>
      </w:r>
    </w:p>
    <w:p w14:paraId="2B150F79" w14:textId="437A95CD" w:rsidR="00A15871" w:rsidRPr="00424C54" w:rsidRDefault="00911E31" w:rsidP="00A15871">
      <w:pPr>
        <w:pStyle w:val="SingleTxtG"/>
        <w:spacing w:before="120"/>
        <w:rPr>
          <w:rFonts w:eastAsia="SimSun"/>
          <w:b/>
          <w:i/>
          <w:iCs/>
          <w:lang w:val="fr-FR"/>
        </w:rPr>
      </w:pPr>
      <w:r>
        <w:rPr>
          <w:lang w:val="fr-FR"/>
        </w:rPr>
        <w:t>« </w:t>
      </w:r>
      <w:r w:rsidR="00A15871" w:rsidRPr="00424C54">
        <w:rPr>
          <w:b/>
          <w:bCs/>
          <w:lang w:val="fr-FR"/>
        </w:rPr>
        <w:t>9.2.4.6</w:t>
      </w:r>
      <w:r w:rsidR="00A15871" w:rsidRPr="00424C54">
        <w:rPr>
          <w:lang w:val="fr-FR"/>
        </w:rPr>
        <w:tab/>
      </w:r>
      <w:r w:rsidR="00A15871" w:rsidRPr="00424C54">
        <w:rPr>
          <w:b/>
          <w:bCs/>
          <w:i/>
          <w:iCs/>
          <w:lang w:val="fr-FR"/>
        </w:rPr>
        <w:t>Système d</w:t>
      </w:r>
      <w:r w:rsidR="00A15871">
        <w:rPr>
          <w:b/>
          <w:bCs/>
          <w:i/>
          <w:iCs/>
          <w:lang w:val="fr-FR"/>
        </w:rPr>
        <w:t>’</w:t>
      </w:r>
      <w:r w:rsidR="00A15871" w:rsidRPr="00424C54">
        <w:rPr>
          <w:b/>
          <w:bCs/>
          <w:i/>
          <w:iCs/>
          <w:lang w:val="fr-FR"/>
        </w:rPr>
        <w:t>entraînement électrique</w:t>
      </w:r>
    </w:p>
    <w:p w14:paraId="61FF7025" w14:textId="18125327" w:rsidR="00A15871" w:rsidRPr="00424C54" w:rsidRDefault="00A15871" w:rsidP="00A5506D">
      <w:pPr>
        <w:pStyle w:val="SingleTxtG"/>
        <w:spacing w:before="120"/>
        <w:ind w:left="2268"/>
        <w:rPr>
          <w:lang w:val="fr-FR"/>
        </w:rPr>
      </w:pPr>
      <w:r w:rsidRPr="00424C54">
        <w:rPr>
          <w:b/>
          <w:bCs/>
          <w:i/>
          <w:iCs/>
          <w:lang w:val="fr-FR"/>
        </w:rPr>
        <w:t>NOTA</w:t>
      </w:r>
      <w:r w:rsidR="00911E31">
        <w:rPr>
          <w:b/>
          <w:bCs/>
          <w:i/>
          <w:iCs/>
          <w:lang w:val="fr-FR"/>
        </w:rPr>
        <w:t> </w:t>
      </w:r>
      <w:r w:rsidRPr="00424C54">
        <w:rPr>
          <w:b/>
          <w:bCs/>
          <w:i/>
          <w:iCs/>
          <w:lang w:val="fr-FR"/>
        </w:rPr>
        <w:t>:</w:t>
      </w:r>
      <w:r w:rsidRPr="00424C54">
        <w:rPr>
          <w:i/>
          <w:iCs/>
          <w:lang w:val="fr-FR"/>
        </w:rPr>
        <w:t xml:space="preserve"> Le 9.2.4.6 s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applique également aux véhicules hybrides qui sont équipés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un système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 associé</w:t>
      </w:r>
      <w:r w:rsidRPr="00424C54">
        <w:rPr>
          <w:b/>
          <w:bCs/>
          <w:i/>
          <w:iCs/>
          <w:lang w:val="fr-FR"/>
        </w:rPr>
        <w:t xml:space="preserve"> </w:t>
      </w:r>
      <w:r w:rsidRPr="00424C54">
        <w:rPr>
          <w:i/>
          <w:iCs/>
          <w:lang w:val="fr-FR"/>
        </w:rPr>
        <w:t>à la transmission mécanique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un moteur à combustion interne.</w:t>
      </w:r>
      <w:r w:rsidRPr="00424C54">
        <w:rPr>
          <w:lang w:val="fr-FR"/>
        </w:rPr>
        <w:t xml:space="preserve"> </w:t>
      </w:r>
      <w:r w:rsidRPr="00424C54">
        <w:rPr>
          <w:i/>
          <w:iCs/>
          <w:lang w:val="fr-FR"/>
        </w:rPr>
        <w:t>Les systèmes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électriques ne doivent pas être utilisés pour les véhicules EX et FL.</w:t>
      </w:r>
      <w:r w:rsidRPr="00424C54">
        <w:rPr>
          <w:lang w:val="fr-FR"/>
        </w:rPr>
        <w:t xml:space="preserve"> </w:t>
      </w:r>
      <w:r w:rsidRPr="00424C54">
        <w:rPr>
          <w:i/>
          <w:iCs/>
          <w:lang w:val="fr-FR"/>
        </w:rPr>
        <w:t>[L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 ne doit être utilisé que sur les véhicules tracteurs pour semi-remorques</w:t>
      </w:r>
      <w:r>
        <w:rPr>
          <w:i/>
          <w:iCs/>
          <w:lang w:val="fr-FR"/>
        </w:rPr>
        <w:t>.</w:t>
      </w:r>
      <w:r w:rsidRPr="00424C54">
        <w:rPr>
          <w:i/>
          <w:iCs/>
          <w:lang w:val="fr-FR"/>
        </w:rPr>
        <w:t>]</w:t>
      </w:r>
    </w:p>
    <w:p w14:paraId="1F7E1775" w14:textId="2CCFA137" w:rsidR="00A15871" w:rsidRPr="00424C54" w:rsidRDefault="00A15871" w:rsidP="00A5506D">
      <w:pPr>
        <w:pStyle w:val="SingleTxtG"/>
        <w:spacing w:before="120"/>
        <w:ind w:left="2268"/>
        <w:rPr>
          <w:lang w:val="fr-FR"/>
        </w:rPr>
      </w:pPr>
      <w:r w:rsidRPr="00424C54">
        <w:rPr>
          <w:lang w:val="fr-FR"/>
        </w:rPr>
        <w:tab/>
        <w:t>Le système d</w:t>
      </w:r>
      <w:r>
        <w:rPr>
          <w:lang w:val="fr-FR"/>
        </w:rPr>
        <w:t>’</w:t>
      </w:r>
      <w:r w:rsidRPr="00424C54">
        <w:rPr>
          <w:lang w:val="fr-FR"/>
        </w:rPr>
        <w:t>entraînement électrique doit satisfaire aux prescriptions énoncées</w:t>
      </w:r>
      <w:r w:rsidRPr="00424C54">
        <w:rPr>
          <w:i/>
          <w:iCs/>
          <w:lang w:val="fr-FR"/>
        </w:rPr>
        <w:t xml:space="preserve"> </w:t>
      </w:r>
      <w:r w:rsidRPr="00424C54">
        <w:rPr>
          <w:lang w:val="fr-FR"/>
        </w:rPr>
        <w:t xml:space="preserve">dans le Règlement ONU </w:t>
      </w:r>
      <w:r w:rsidR="00A5506D" w:rsidRPr="00A5506D">
        <w:rPr>
          <w:rFonts w:eastAsia="MS Mincho"/>
          <w:lang w:val="fr-FR"/>
        </w:rPr>
        <w:t>n</w:t>
      </w:r>
      <w:r w:rsidR="00A5506D" w:rsidRPr="00A5506D">
        <w:rPr>
          <w:rFonts w:eastAsia="MS Mincho"/>
          <w:vertAlign w:val="superscript"/>
          <w:lang w:val="fr-FR"/>
        </w:rPr>
        <w:t>o</w:t>
      </w:r>
      <w:r w:rsidR="00A5506D">
        <w:rPr>
          <w:lang w:val="fr-FR"/>
        </w:rPr>
        <w:t xml:space="preserve"> </w:t>
      </w:r>
      <w:r w:rsidRPr="00424C54">
        <w:rPr>
          <w:lang w:val="fr-FR"/>
        </w:rPr>
        <w:t>100</w:t>
      </w:r>
      <w:r w:rsidRPr="00424C54">
        <w:rPr>
          <w:vertAlign w:val="superscript"/>
          <w:lang w:val="fr-FR"/>
        </w:rPr>
        <w:t>8</w:t>
      </w:r>
      <w:r w:rsidRPr="00424C54">
        <w:rPr>
          <w:lang w:val="fr-FR"/>
        </w:rPr>
        <w:t>. Des mesures doivent être prises pour éviter tout danger pour le chargement à la suite d</w:t>
      </w:r>
      <w:r>
        <w:rPr>
          <w:lang w:val="fr-FR"/>
        </w:rPr>
        <w:t xml:space="preserve">’un </w:t>
      </w:r>
      <w:r w:rsidRPr="00424C54">
        <w:rPr>
          <w:lang w:val="fr-FR"/>
        </w:rPr>
        <w:t>échauffement ou d</w:t>
      </w:r>
      <w:r>
        <w:rPr>
          <w:lang w:val="fr-FR"/>
        </w:rPr>
        <w:t xml:space="preserve">’une </w:t>
      </w:r>
      <w:r w:rsidRPr="00424C54">
        <w:rPr>
          <w:lang w:val="fr-FR"/>
        </w:rPr>
        <w:t>inflammation.</w:t>
      </w:r>
      <w:r w:rsidR="00A5506D">
        <w:rPr>
          <w:lang w:val="fr-FR"/>
        </w:rPr>
        <w:t> »</w:t>
      </w:r>
      <w:r>
        <w:rPr>
          <w:lang w:val="fr-FR"/>
        </w:rPr>
        <w:t>.</w:t>
      </w:r>
    </w:p>
    <w:p w14:paraId="43569914" w14:textId="77777777" w:rsidR="00A15871" w:rsidRPr="00424C54" w:rsidRDefault="00A15871" w:rsidP="00A5506D">
      <w:pPr>
        <w:pStyle w:val="SingleTxtG"/>
        <w:keepNext/>
        <w:spacing w:before="120"/>
        <w:rPr>
          <w:i/>
          <w:iCs/>
          <w:lang w:val="fr-FR"/>
        </w:rPr>
      </w:pPr>
      <w:r w:rsidRPr="00424C54">
        <w:rPr>
          <w:lang w:val="fr-FR"/>
        </w:rPr>
        <w:lastRenderedPageBreak/>
        <w:tab/>
      </w:r>
      <w:r w:rsidRPr="00424C54">
        <w:rPr>
          <w:lang w:val="fr-FR"/>
        </w:rPr>
        <w:tab/>
        <w:t xml:space="preserve">La note de bas de page 8 est libellée comme suit : </w:t>
      </w:r>
    </w:p>
    <w:p w14:paraId="6C3B693B" w14:textId="673E3357" w:rsidR="00A15871" w:rsidRPr="00424C54" w:rsidRDefault="00A5506D" w:rsidP="00A15871">
      <w:pPr>
        <w:pStyle w:val="SingleTxtG"/>
        <w:spacing w:before="120"/>
        <w:ind w:left="2268" w:hanging="1134"/>
        <w:rPr>
          <w:i/>
          <w:iCs/>
          <w:lang w:val="fr-FR"/>
        </w:rPr>
      </w:pPr>
      <w:r>
        <w:rPr>
          <w:lang w:val="fr-FR"/>
        </w:rPr>
        <w:t>« </w:t>
      </w:r>
      <w:r w:rsidR="00A15871" w:rsidRPr="00424C54">
        <w:rPr>
          <w:vertAlign w:val="superscript"/>
          <w:lang w:val="fr-FR"/>
        </w:rPr>
        <w:t>8</w:t>
      </w:r>
      <w:r w:rsidR="00A15871" w:rsidRPr="00424C54">
        <w:rPr>
          <w:lang w:val="fr-FR"/>
        </w:rPr>
        <w:tab/>
      </w:r>
      <w:r w:rsidR="00A15871" w:rsidRPr="00424C54">
        <w:rPr>
          <w:i/>
          <w:iCs/>
          <w:lang w:val="fr-FR"/>
        </w:rPr>
        <w:t xml:space="preserve">Règlement ONU </w:t>
      </w:r>
      <w:r w:rsidRPr="00A5506D">
        <w:rPr>
          <w:rFonts w:eastAsia="MS Mincho"/>
          <w:i/>
          <w:iCs/>
          <w:lang w:val="fr-FR"/>
        </w:rPr>
        <w:t>n</w:t>
      </w:r>
      <w:r w:rsidRPr="00A5506D">
        <w:rPr>
          <w:rFonts w:eastAsia="MS Mincho"/>
          <w:i/>
          <w:iCs/>
          <w:vertAlign w:val="superscript"/>
          <w:lang w:val="fr-FR"/>
        </w:rPr>
        <w:t>o</w:t>
      </w:r>
      <w:r>
        <w:rPr>
          <w:i/>
          <w:iCs/>
          <w:lang w:val="fr-FR"/>
        </w:rPr>
        <w:t xml:space="preserve"> </w:t>
      </w:r>
      <w:r w:rsidR="00A15871" w:rsidRPr="00424C54">
        <w:rPr>
          <w:i/>
          <w:iCs/>
          <w:lang w:val="fr-FR"/>
        </w:rPr>
        <w:t>100 (Prescriptions uniformes relatives à l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homologation des véhicules en ce qui concerne les prescriptions particulières applicables à la chaîne de traction électrique).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3E40FBE3" w14:textId="77777777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i/>
          <w:iCs/>
          <w:lang w:val="fr-FR"/>
        </w:rPr>
        <w:tab/>
      </w:r>
      <w:r w:rsidRPr="00424C54">
        <w:rPr>
          <w:i/>
          <w:iCs/>
          <w:lang w:val="fr-FR"/>
        </w:rPr>
        <w:tab/>
      </w:r>
      <w:r w:rsidRPr="00110364">
        <w:rPr>
          <w:lang w:val="fr-FR"/>
        </w:rPr>
        <w:t xml:space="preserve">Au </w:t>
      </w:r>
      <w:r>
        <w:rPr>
          <w:lang w:val="fr-FR"/>
        </w:rPr>
        <w:t xml:space="preserve">chapitre </w:t>
      </w:r>
      <w:r w:rsidRPr="00110364">
        <w:rPr>
          <w:lang w:val="fr-FR"/>
        </w:rPr>
        <w:t>9.2</w:t>
      </w:r>
      <w:r w:rsidRPr="00424C54">
        <w:rPr>
          <w:lang w:val="fr-FR"/>
        </w:rPr>
        <w:t xml:space="preserve">, renuméroter en conséquence les notes de bas de page suivantes. </w:t>
      </w:r>
    </w:p>
    <w:p w14:paraId="5E0C0C41" w14:textId="69439528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8.</w:t>
      </w:r>
      <w:r w:rsidRPr="00424C54">
        <w:rPr>
          <w:lang w:val="fr-FR"/>
        </w:rPr>
        <w:tab/>
        <w:t>Les 9.2.4.6 et 9.2.4.7 deviennent les 9.2.4.7 et 9.2.4.8. À la suite du</w:t>
      </w:r>
      <w:r w:rsidRPr="00424C54">
        <w:rPr>
          <w:b/>
          <w:bCs/>
          <w:lang w:val="fr-FR"/>
        </w:rPr>
        <w:t xml:space="preserve"> </w:t>
      </w:r>
      <w:r w:rsidRPr="00424C54">
        <w:rPr>
          <w:lang w:val="fr-FR"/>
        </w:rPr>
        <w:t xml:space="preserve">9.2.4.7, renuméroter en conséquence les paragraphes et les renvois. Au 9.3.2.2, remplacer </w:t>
      </w:r>
      <w:r w:rsidR="00A5506D">
        <w:rPr>
          <w:lang w:val="fr-FR"/>
        </w:rPr>
        <w:t>« </w:t>
      </w:r>
      <w:r w:rsidRPr="00424C54">
        <w:rPr>
          <w:lang w:val="fr-FR"/>
        </w:rPr>
        <w:t>9.2.4.7.1, 9.2.4.7.2, 9.2.4.7.5 et 9.2.4.7.6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 par </w:t>
      </w:r>
      <w:r w:rsidR="00A5506D">
        <w:rPr>
          <w:lang w:val="fr-FR"/>
        </w:rPr>
        <w:t>« </w:t>
      </w:r>
      <w:r w:rsidRPr="00424C54">
        <w:rPr>
          <w:lang w:val="fr-FR"/>
        </w:rPr>
        <w:t>9.2.4.8.1, 9.2.4.8.2, 9.2.4.8.5 et 9.2.4.8.6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. Au 9.7.7.1, dans la première phrase, remplacer </w:t>
      </w:r>
      <w:r w:rsidR="00A5506D">
        <w:rPr>
          <w:lang w:val="fr-FR"/>
        </w:rPr>
        <w:t>« </w:t>
      </w:r>
      <w:r w:rsidRPr="00424C54">
        <w:rPr>
          <w:lang w:val="fr-FR"/>
        </w:rPr>
        <w:t>9.2.4.7.1, 9.2.4.7.2, 9.2.4.7.5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 par </w:t>
      </w:r>
      <w:r w:rsidR="00A5506D">
        <w:rPr>
          <w:lang w:val="fr-FR"/>
        </w:rPr>
        <w:t>« </w:t>
      </w:r>
      <w:r w:rsidRPr="00424C54">
        <w:rPr>
          <w:lang w:val="fr-FR"/>
        </w:rPr>
        <w:t>9.2.4.8.1, 9.2.4.8.2, 9.2.4.8.5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. Au 9.7.7.1, dans la dernière phrase, remplacer </w:t>
      </w:r>
      <w:r w:rsidR="00A5506D">
        <w:rPr>
          <w:lang w:val="fr-FR"/>
        </w:rPr>
        <w:t>« </w:t>
      </w:r>
      <w:r w:rsidRPr="00424C54">
        <w:rPr>
          <w:lang w:val="fr-FR"/>
        </w:rPr>
        <w:t>9.2.4.7.3 et 9.2.4.7.4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 par </w:t>
      </w:r>
      <w:r w:rsidR="00A5506D">
        <w:rPr>
          <w:lang w:val="fr-FR"/>
        </w:rPr>
        <w:t>« </w:t>
      </w:r>
      <w:r w:rsidRPr="00424C54">
        <w:rPr>
          <w:lang w:val="fr-FR"/>
        </w:rPr>
        <w:t>9.2.4.8.3 et 9.2.4.8.4</w:t>
      </w:r>
      <w:r w:rsidR="00A5506D">
        <w:rPr>
          <w:lang w:val="fr-FR"/>
        </w:rPr>
        <w:t> »</w:t>
      </w:r>
      <w:r w:rsidRPr="00424C54">
        <w:rPr>
          <w:lang w:val="fr-FR"/>
        </w:rPr>
        <w:t xml:space="preserve">. Au 9.8.6.1, remplacer </w:t>
      </w:r>
      <w:r w:rsidR="00B7722D">
        <w:rPr>
          <w:lang w:val="fr-FR"/>
        </w:rPr>
        <w:t>« </w:t>
      </w:r>
      <w:r w:rsidRPr="00424C54">
        <w:rPr>
          <w:lang w:val="fr-FR"/>
        </w:rPr>
        <w:t>9.2.4.7.1, 9.2.4.7.2, 9.2.4.7.5, 9.2.4.7.6</w:t>
      </w:r>
      <w:r w:rsidR="00B7722D">
        <w:rPr>
          <w:lang w:val="fr-FR"/>
        </w:rPr>
        <w:t> »</w:t>
      </w:r>
      <w:r w:rsidRPr="00424C54">
        <w:rPr>
          <w:lang w:val="fr-FR"/>
        </w:rPr>
        <w:t xml:space="preserve"> par </w:t>
      </w:r>
      <w:r w:rsidR="00B7722D">
        <w:rPr>
          <w:lang w:val="fr-FR"/>
        </w:rPr>
        <w:t>« </w:t>
      </w:r>
      <w:r w:rsidRPr="00424C54">
        <w:rPr>
          <w:lang w:val="fr-FR"/>
        </w:rPr>
        <w:t>9.2.4.8.1, 9.2.4.8.2, 9.2.4.8.5, 9.2.4.8.6</w:t>
      </w:r>
      <w:r>
        <w:rPr>
          <w:lang w:val="fr-FR"/>
        </w:rPr>
        <w:t>.</w:t>
      </w:r>
      <w:r w:rsidR="00B7722D">
        <w:rPr>
          <w:lang w:val="fr-FR"/>
        </w:rPr>
        <w:t> »</w:t>
      </w:r>
      <w:r w:rsidRPr="00424C54">
        <w:rPr>
          <w:lang w:val="fr-FR"/>
        </w:rPr>
        <w:t>.</w:t>
      </w:r>
    </w:p>
    <w:p w14:paraId="0F3EFCD2" w14:textId="7753124C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9.</w:t>
      </w:r>
      <w:r w:rsidRPr="00424C54">
        <w:rPr>
          <w:lang w:val="fr-FR"/>
        </w:rPr>
        <w:tab/>
        <w:t>Modifier le libellé du nouveau 9.2.4.8 comme suit</w:t>
      </w:r>
      <w:r w:rsidR="00B7722D">
        <w:rPr>
          <w:lang w:val="fr-FR"/>
        </w:rPr>
        <w:t> </w:t>
      </w:r>
      <w:r w:rsidRPr="00424C54">
        <w:rPr>
          <w:lang w:val="fr-FR"/>
        </w:rPr>
        <w:t>:</w:t>
      </w:r>
    </w:p>
    <w:p w14:paraId="7E75CAA5" w14:textId="0D0BCDD9" w:rsidR="00A15871" w:rsidRPr="00424C54" w:rsidRDefault="00B7722D" w:rsidP="00A15871">
      <w:pPr>
        <w:pStyle w:val="SingleTxtG"/>
        <w:spacing w:before="120"/>
        <w:rPr>
          <w:i/>
          <w:lang w:val="fr-FR"/>
        </w:rPr>
      </w:pPr>
      <w:r>
        <w:rPr>
          <w:lang w:val="fr-FR"/>
        </w:rPr>
        <w:t>« </w:t>
      </w:r>
      <w:r w:rsidR="00A15871" w:rsidRPr="00424C54">
        <w:rPr>
          <w:b/>
          <w:bCs/>
          <w:i/>
          <w:iCs/>
          <w:lang w:val="fr-FR"/>
        </w:rPr>
        <w:t xml:space="preserve">Chauffages à combustion </w:t>
      </w:r>
      <w:r w:rsidR="00A15871" w:rsidRPr="00424C54">
        <w:rPr>
          <w:b/>
          <w:bCs/>
          <w:i/>
          <w:iCs/>
          <w:u w:val="single"/>
          <w:lang w:val="fr-FR"/>
        </w:rPr>
        <w:t>et chauffages électriques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07EC0B4A" w14:textId="77777777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10.</w:t>
      </w:r>
      <w:r w:rsidRPr="00424C54">
        <w:rPr>
          <w:lang w:val="fr-FR"/>
        </w:rPr>
        <w:tab/>
        <w:t>Modifier le nouveau 9.2.4.8.1 comme suit (l</w:t>
      </w:r>
      <w:r>
        <w:rPr>
          <w:lang w:val="fr-FR"/>
        </w:rPr>
        <w:t>’</w:t>
      </w:r>
      <w:r w:rsidRPr="00424C54">
        <w:rPr>
          <w:lang w:val="fr-FR"/>
        </w:rPr>
        <w:t>ajout est souligné)</w:t>
      </w:r>
      <w:r>
        <w:rPr>
          <w:lang w:val="fr-FR"/>
        </w:rPr>
        <w:t>.</w:t>
      </w:r>
      <w:r w:rsidRPr="00424C54">
        <w:rPr>
          <w:lang w:val="fr-FR"/>
        </w:rPr>
        <w:t xml:space="preserve"> La note de bas de page 8 est renumérotée en tant que note de bas de page 9.</w:t>
      </w:r>
    </w:p>
    <w:p w14:paraId="0579C65E" w14:textId="0EDEC97F" w:rsidR="00A15871" w:rsidRPr="00424C54" w:rsidRDefault="00B7722D" w:rsidP="00A15871">
      <w:pPr>
        <w:pStyle w:val="SingleTxtG"/>
        <w:spacing w:before="120"/>
        <w:ind w:left="2268" w:hanging="1134"/>
        <w:rPr>
          <w:lang w:val="fr-FR"/>
        </w:rPr>
      </w:pPr>
      <w:r>
        <w:rPr>
          <w:lang w:val="fr-FR"/>
        </w:rPr>
        <w:t>« </w:t>
      </w:r>
      <w:r w:rsidR="00A15871" w:rsidRPr="00424C54">
        <w:rPr>
          <w:lang w:val="fr-FR"/>
        </w:rPr>
        <w:t>9.2.4.8.1</w:t>
      </w:r>
      <w:r w:rsidR="00A15871" w:rsidRPr="00424C54">
        <w:rPr>
          <w:lang w:val="fr-FR"/>
        </w:rPr>
        <w:tab/>
        <w:t xml:space="preserve">Les chauffages à combustion </w:t>
      </w:r>
      <w:r w:rsidR="00A15871" w:rsidRPr="00424C54">
        <w:rPr>
          <w:u w:val="single"/>
          <w:lang w:val="fr-FR"/>
        </w:rPr>
        <w:t xml:space="preserve">et les chauffages électriques </w:t>
      </w:r>
      <w:r w:rsidR="00A15871" w:rsidRPr="00424C54">
        <w:rPr>
          <w:lang w:val="fr-FR"/>
        </w:rPr>
        <w:t xml:space="preserve">doivent satisfaire aux prescriptions techniques pertinentes du Règlement ONU </w:t>
      </w:r>
      <w:r w:rsidRPr="00B7722D">
        <w:rPr>
          <w:rFonts w:eastAsia="MS Mincho"/>
          <w:lang w:val="fr-FR"/>
        </w:rPr>
        <w:t>n</w:t>
      </w:r>
      <w:r w:rsidRPr="00B7722D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="00A15871" w:rsidRPr="00424C54">
        <w:rPr>
          <w:lang w:val="fr-FR"/>
        </w:rPr>
        <w:t>122</w:t>
      </w:r>
      <w:r w:rsidR="00A15871" w:rsidRPr="00424C54">
        <w:rPr>
          <w:vertAlign w:val="superscript"/>
          <w:lang w:val="fr-FR"/>
        </w:rPr>
        <w:t>9</w:t>
      </w:r>
      <w:r w:rsidR="00A15871" w:rsidRPr="00424C54">
        <w:rPr>
          <w:lang w:val="fr-FR"/>
        </w:rPr>
        <w:t>, tel que modifié, conformément aux dates d</w:t>
      </w:r>
      <w:r w:rsidR="00A15871">
        <w:rPr>
          <w:lang w:val="fr-FR"/>
        </w:rPr>
        <w:t>’</w:t>
      </w:r>
      <w:r w:rsidR="00A15871" w:rsidRPr="00424C54">
        <w:rPr>
          <w:lang w:val="fr-FR"/>
        </w:rPr>
        <w:t>application qui y sont spécifiées, ainsi qu</w:t>
      </w:r>
      <w:r w:rsidR="00A15871">
        <w:rPr>
          <w:lang w:val="fr-FR"/>
        </w:rPr>
        <w:t>’</w:t>
      </w:r>
      <w:r w:rsidR="00A15871" w:rsidRPr="00424C54">
        <w:rPr>
          <w:lang w:val="fr-FR"/>
        </w:rPr>
        <w:t>aux prescriptions des 9.2.4.8.2 à 9.2.4.8.6 applicables selon le tableau du 9.2.1.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2BBBA545" w14:textId="77777777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11.</w:t>
      </w:r>
      <w:r w:rsidRPr="00424C54">
        <w:rPr>
          <w:lang w:val="fr-FR"/>
        </w:rPr>
        <w:tab/>
        <w:t>Modifier le nouveau 9.2.4.8.5 comme suit (l</w:t>
      </w:r>
      <w:r>
        <w:rPr>
          <w:lang w:val="fr-FR"/>
        </w:rPr>
        <w:t>’</w:t>
      </w:r>
      <w:r w:rsidRPr="00424C54">
        <w:rPr>
          <w:lang w:val="fr-FR"/>
        </w:rPr>
        <w:t>ajout est souligné) :</w:t>
      </w:r>
    </w:p>
    <w:p w14:paraId="58C0067B" w14:textId="4C37281A" w:rsidR="00A15871" w:rsidRPr="00424C54" w:rsidRDefault="00B7722D" w:rsidP="00A15871">
      <w:pPr>
        <w:pStyle w:val="SingleTxtG"/>
        <w:spacing w:before="120"/>
        <w:ind w:left="2268" w:hanging="1134"/>
        <w:rPr>
          <w:lang w:val="fr-FR"/>
        </w:rPr>
      </w:pPr>
      <w:r>
        <w:rPr>
          <w:lang w:val="fr-FR"/>
        </w:rPr>
        <w:t>« </w:t>
      </w:r>
      <w:r w:rsidR="00A15871" w:rsidRPr="00424C54">
        <w:rPr>
          <w:lang w:val="fr-FR"/>
        </w:rPr>
        <w:t>9.2.4.8.5</w:t>
      </w:r>
      <w:r w:rsidR="00A15871" w:rsidRPr="00424C54">
        <w:rPr>
          <w:lang w:val="fr-FR"/>
        </w:rPr>
        <w:tab/>
        <w:t>Le chauffage à combustion</w:t>
      </w:r>
      <w:r w:rsidR="00A15871" w:rsidRPr="00424C54">
        <w:rPr>
          <w:u w:val="single"/>
          <w:lang w:val="fr-FR"/>
        </w:rPr>
        <w:t>, ou le chauffage électrique [dans la cabine du conducteur</w:t>
      </w:r>
      <w:r w:rsidR="00A15871" w:rsidRPr="00424C54">
        <w:rPr>
          <w:lang w:val="fr-FR"/>
        </w:rPr>
        <w:t>], doit être mis en marche manuellement. Les dispositifs de programmation sont interdits.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59C58249" w14:textId="77777777" w:rsidR="00A15871" w:rsidRPr="00424C54" w:rsidRDefault="00A15871" w:rsidP="00A15871">
      <w:pPr>
        <w:rPr>
          <w:lang w:val="fr-FR"/>
        </w:rPr>
      </w:pPr>
      <w:r w:rsidRPr="00424C54">
        <w:rPr>
          <w:lang w:val="fr-FR"/>
        </w:rPr>
        <w:br w:type="page"/>
      </w:r>
    </w:p>
    <w:p w14:paraId="0924100D" w14:textId="77777777" w:rsidR="00A15871" w:rsidRPr="00424C54" w:rsidRDefault="00A15871" w:rsidP="00B7722D">
      <w:pPr>
        <w:pStyle w:val="HChG"/>
        <w:rPr>
          <w:lang w:val="fr-FR"/>
        </w:rPr>
      </w:pPr>
      <w:r w:rsidRPr="00424C54">
        <w:rPr>
          <w:lang w:val="fr-FR"/>
        </w:rPr>
        <w:lastRenderedPageBreak/>
        <w:tab/>
      </w:r>
      <w:r w:rsidRPr="00424C54">
        <w:rPr>
          <w:lang w:val="fr-FR"/>
        </w:rPr>
        <w:tab/>
        <w:t>Annexe II</w:t>
      </w:r>
    </w:p>
    <w:p w14:paraId="47887AEB" w14:textId="77777777" w:rsidR="00A15871" w:rsidRPr="00424C54" w:rsidRDefault="00A15871" w:rsidP="00B7722D">
      <w:pPr>
        <w:pStyle w:val="HChG"/>
        <w:rPr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>Propositions d</w:t>
      </w:r>
      <w:r>
        <w:rPr>
          <w:lang w:val="fr-FR"/>
        </w:rPr>
        <w:t>’</w:t>
      </w:r>
      <w:r w:rsidRPr="00424C54">
        <w:rPr>
          <w:lang w:val="fr-FR"/>
        </w:rPr>
        <w:t>ajouts et de modifications aux amendements proposés à l</w:t>
      </w:r>
      <w:r>
        <w:rPr>
          <w:lang w:val="fr-FR"/>
        </w:rPr>
        <w:t>’</w:t>
      </w:r>
      <w:r w:rsidRPr="00424C54">
        <w:rPr>
          <w:lang w:val="fr-FR"/>
        </w:rPr>
        <w:t>annexe I en vue de l</w:t>
      </w:r>
      <w:r>
        <w:rPr>
          <w:lang w:val="fr-FR"/>
        </w:rPr>
        <w:t>’</w:t>
      </w:r>
      <w:r w:rsidRPr="00424C54">
        <w:rPr>
          <w:lang w:val="fr-FR"/>
        </w:rPr>
        <w:t>introduction des véhicules électriques à batterie en tant que véhicules de la catégorie FL</w:t>
      </w:r>
    </w:p>
    <w:p w14:paraId="59E06C0D" w14:textId="0A35C721" w:rsidR="00A15871" w:rsidRPr="00424C54" w:rsidRDefault="00A15871" w:rsidP="00A15871">
      <w:pPr>
        <w:pStyle w:val="SingleTxtG"/>
        <w:rPr>
          <w:lang w:val="fr-FR"/>
        </w:rPr>
      </w:pPr>
      <w:r w:rsidRPr="00424C54">
        <w:rPr>
          <w:lang w:val="fr-FR"/>
        </w:rPr>
        <w:t>1.</w:t>
      </w:r>
      <w:r w:rsidRPr="00424C54">
        <w:rPr>
          <w:lang w:val="fr-FR"/>
        </w:rPr>
        <w:tab/>
        <w:t>(Modification du paragraphe 1 de l</w:t>
      </w:r>
      <w:r>
        <w:rPr>
          <w:lang w:val="fr-FR"/>
        </w:rPr>
        <w:t>’</w:t>
      </w:r>
      <w:r w:rsidRPr="00424C54">
        <w:rPr>
          <w:lang w:val="fr-FR"/>
        </w:rPr>
        <w:t xml:space="preserve">annexe I) Dans le tableau du 9.2.1.1, ajouter un nouveau 9.2.4.6 et renuméroter les actuels 9.2.4.6 et 9.2.4.7 </w:t>
      </w:r>
      <w:r w:rsidR="00B7722D">
        <w:rPr>
          <w:lang w:val="fr-FR"/>
        </w:rPr>
        <w:t xml:space="preserve">en </w:t>
      </w:r>
      <w:r w:rsidRPr="00424C54">
        <w:rPr>
          <w:lang w:val="fr-FR"/>
        </w:rPr>
        <w:t xml:space="preserve">9.2.4.7 et 9.2.4.8, et les actuels 9.2.4.7.1 à 9.2.4.7.6 </w:t>
      </w:r>
      <w:r w:rsidR="00B7722D">
        <w:rPr>
          <w:lang w:val="fr-FR"/>
        </w:rPr>
        <w:t xml:space="preserve">en </w:t>
      </w:r>
      <w:r w:rsidRPr="00424C54">
        <w:rPr>
          <w:lang w:val="fr-FR"/>
        </w:rPr>
        <w:t>9.2.4.8.1 à 9.2.4.8.6.</w:t>
      </w:r>
    </w:p>
    <w:tbl>
      <w:tblPr>
        <w:tblStyle w:val="TableGrid"/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847"/>
        <w:gridCol w:w="2834"/>
        <w:gridCol w:w="425"/>
        <w:gridCol w:w="425"/>
        <w:gridCol w:w="425"/>
        <w:gridCol w:w="426"/>
        <w:gridCol w:w="1989"/>
      </w:tblGrid>
      <w:tr w:rsidR="00A15871" w:rsidRPr="00424C54" w14:paraId="17B85445" w14:textId="77777777" w:rsidTr="00B7722D">
        <w:tc>
          <w:tcPr>
            <w:tcW w:w="847" w:type="dxa"/>
          </w:tcPr>
          <w:p w14:paraId="119E1108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2834" w:type="dxa"/>
          </w:tcPr>
          <w:p w14:paraId="78001F5E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u w:val="single"/>
                <w:lang w:val="fr-FR"/>
              </w:rPr>
            </w:pPr>
          </w:p>
        </w:tc>
        <w:tc>
          <w:tcPr>
            <w:tcW w:w="425" w:type="dxa"/>
          </w:tcPr>
          <w:p w14:paraId="37C05395" w14:textId="77777777" w:rsidR="00A15871" w:rsidRPr="00B7722D" w:rsidRDefault="00A15871" w:rsidP="00EC34C0">
            <w:pPr>
              <w:spacing w:before="60" w:after="60"/>
              <w:ind w:left="57"/>
              <w:rPr>
                <w:i/>
                <w:iCs/>
                <w:spacing w:val="-4"/>
                <w:lang w:val="fr-FR"/>
              </w:rPr>
            </w:pPr>
          </w:p>
        </w:tc>
        <w:tc>
          <w:tcPr>
            <w:tcW w:w="425" w:type="dxa"/>
          </w:tcPr>
          <w:p w14:paraId="68534D79" w14:textId="77777777" w:rsidR="00A15871" w:rsidRPr="00B7722D" w:rsidRDefault="00A15871" w:rsidP="00EC34C0">
            <w:pPr>
              <w:spacing w:before="60" w:after="60"/>
              <w:ind w:left="57"/>
              <w:rPr>
                <w:i/>
                <w:iCs/>
                <w:spacing w:val="-4"/>
                <w:lang w:val="fr-FR"/>
              </w:rPr>
            </w:pPr>
          </w:p>
        </w:tc>
        <w:tc>
          <w:tcPr>
            <w:tcW w:w="425" w:type="dxa"/>
          </w:tcPr>
          <w:p w14:paraId="5ED00CB2" w14:textId="77777777" w:rsidR="00A15871" w:rsidRPr="00B7722D" w:rsidRDefault="00A15871" w:rsidP="00EC34C0">
            <w:pPr>
              <w:spacing w:before="60" w:after="60"/>
              <w:ind w:left="57"/>
              <w:rPr>
                <w:i/>
                <w:iCs/>
                <w:spacing w:val="-4"/>
                <w:lang w:val="fr-FR"/>
              </w:rPr>
            </w:pPr>
            <w:r w:rsidRPr="00B7722D">
              <w:rPr>
                <w:i/>
                <w:iCs/>
                <w:spacing w:val="-4"/>
                <w:lang w:val="fr-FR"/>
              </w:rPr>
              <w:t>(AT)</w:t>
            </w:r>
          </w:p>
        </w:tc>
        <w:tc>
          <w:tcPr>
            <w:tcW w:w="426" w:type="dxa"/>
          </w:tcPr>
          <w:p w14:paraId="6E83FE86" w14:textId="77777777" w:rsidR="00A15871" w:rsidRPr="00B7722D" w:rsidRDefault="00A15871" w:rsidP="00EC34C0">
            <w:pPr>
              <w:spacing w:before="60" w:after="60"/>
              <w:ind w:left="57"/>
              <w:rPr>
                <w:i/>
                <w:iCs/>
                <w:spacing w:val="-4"/>
                <w:lang w:val="fr-FR"/>
              </w:rPr>
            </w:pPr>
            <w:r w:rsidRPr="00B7722D">
              <w:rPr>
                <w:i/>
                <w:iCs/>
                <w:spacing w:val="-4"/>
                <w:lang w:val="fr-FR"/>
              </w:rPr>
              <w:t>(FL)</w:t>
            </w:r>
          </w:p>
        </w:tc>
        <w:tc>
          <w:tcPr>
            <w:tcW w:w="1989" w:type="dxa"/>
          </w:tcPr>
          <w:p w14:paraId="58C8502B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</w:tr>
      <w:tr w:rsidR="00A15871" w:rsidRPr="00424C54" w14:paraId="17C8A97B" w14:textId="77777777" w:rsidTr="00B7722D">
        <w:tc>
          <w:tcPr>
            <w:tcW w:w="847" w:type="dxa"/>
          </w:tcPr>
          <w:p w14:paraId="15859BF5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9.2.4.6</w:t>
            </w:r>
          </w:p>
        </w:tc>
        <w:tc>
          <w:tcPr>
            <w:tcW w:w="2834" w:type="dxa"/>
          </w:tcPr>
          <w:p w14:paraId="41BCC505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u w:val="single"/>
                <w:lang w:val="fr-FR"/>
              </w:rPr>
            </w:pPr>
            <w:r w:rsidRPr="00424C54">
              <w:rPr>
                <w:i/>
                <w:iCs/>
                <w:u w:val="single"/>
                <w:lang w:val="fr-FR"/>
              </w:rPr>
              <w:t>Système d</w:t>
            </w:r>
            <w:r>
              <w:rPr>
                <w:i/>
                <w:iCs/>
                <w:u w:val="single"/>
                <w:lang w:val="fr-FR"/>
              </w:rPr>
              <w:t>’</w:t>
            </w:r>
            <w:r w:rsidRPr="00424C54">
              <w:rPr>
                <w:i/>
                <w:iCs/>
                <w:u w:val="single"/>
                <w:lang w:val="fr-FR"/>
              </w:rPr>
              <w:t>entraînement électrique</w:t>
            </w:r>
          </w:p>
        </w:tc>
        <w:tc>
          <w:tcPr>
            <w:tcW w:w="425" w:type="dxa"/>
          </w:tcPr>
          <w:p w14:paraId="01DF2172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6812B09C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00E323B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2BA9DEF2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1989" w:type="dxa"/>
          </w:tcPr>
          <w:p w14:paraId="2EDAB7C4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</w:tr>
      <w:tr w:rsidR="00A15871" w:rsidRPr="00424C54" w14:paraId="43768D38" w14:textId="77777777" w:rsidTr="00B7722D">
        <w:tc>
          <w:tcPr>
            <w:tcW w:w="847" w:type="dxa"/>
          </w:tcPr>
          <w:p w14:paraId="081A8DE8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9.2.4.6.1</w:t>
            </w:r>
          </w:p>
        </w:tc>
        <w:tc>
          <w:tcPr>
            <w:tcW w:w="2834" w:type="dxa"/>
          </w:tcPr>
          <w:p w14:paraId="7DC2B5EC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u w:val="single"/>
                <w:lang w:val="fr-FR"/>
              </w:rPr>
            </w:pPr>
          </w:p>
        </w:tc>
        <w:tc>
          <w:tcPr>
            <w:tcW w:w="425" w:type="dxa"/>
          </w:tcPr>
          <w:p w14:paraId="31CA2B3A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33E919BA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108CBD41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X</w:t>
            </w:r>
          </w:p>
        </w:tc>
        <w:tc>
          <w:tcPr>
            <w:tcW w:w="426" w:type="dxa"/>
          </w:tcPr>
          <w:p w14:paraId="02452170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1989" w:type="dxa"/>
          </w:tcPr>
          <w:p w14:paraId="3120695B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</w:tr>
      <w:tr w:rsidR="00A15871" w:rsidRPr="00424C54" w14:paraId="4521AF28" w14:textId="77777777" w:rsidTr="00B7722D">
        <w:tc>
          <w:tcPr>
            <w:tcW w:w="847" w:type="dxa"/>
          </w:tcPr>
          <w:p w14:paraId="361480ED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9.2.4.6.2</w:t>
            </w:r>
          </w:p>
        </w:tc>
        <w:tc>
          <w:tcPr>
            <w:tcW w:w="2834" w:type="dxa"/>
          </w:tcPr>
          <w:p w14:paraId="4BA2C6EF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u w:val="single"/>
                <w:lang w:val="fr-FR"/>
              </w:rPr>
            </w:pPr>
          </w:p>
        </w:tc>
        <w:tc>
          <w:tcPr>
            <w:tcW w:w="425" w:type="dxa"/>
          </w:tcPr>
          <w:p w14:paraId="3EB69990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7E2E01E0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5" w:type="dxa"/>
          </w:tcPr>
          <w:p w14:paraId="460AE30A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  <w:tc>
          <w:tcPr>
            <w:tcW w:w="426" w:type="dxa"/>
          </w:tcPr>
          <w:p w14:paraId="2AB4C96E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  <w:r w:rsidRPr="00424C54">
              <w:rPr>
                <w:i/>
                <w:iCs/>
                <w:lang w:val="fr-FR"/>
              </w:rPr>
              <w:t>X</w:t>
            </w:r>
          </w:p>
        </w:tc>
        <w:tc>
          <w:tcPr>
            <w:tcW w:w="1989" w:type="dxa"/>
          </w:tcPr>
          <w:p w14:paraId="74A04FC8" w14:textId="77777777" w:rsidR="00A15871" w:rsidRPr="00424C54" w:rsidRDefault="00A15871" w:rsidP="00EC34C0">
            <w:pPr>
              <w:spacing w:before="60" w:after="60"/>
              <w:ind w:left="57"/>
              <w:rPr>
                <w:i/>
                <w:iCs/>
                <w:lang w:val="fr-FR"/>
              </w:rPr>
            </w:pPr>
          </w:p>
        </w:tc>
      </w:tr>
    </w:tbl>
    <w:p w14:paraId="384962FB" w14:textId="2D9DEE28" w:rsidR="00A15871" w:rsidRPr="00424C54" w:rsidRDefault="00A15871" w:rsidP="00B7722D">
      <w:pPr>
        <w:pStyle w:val="SingleTxtG"/>
        <w:spacing w:before="240"/>
        <w:rPr>
          <w:lang w:val="fr-FR"/>
        </w:rPr>
      </w:pPr>
      <w:r w:rsidRPr="00424C54">
        <w:rPr>
          <w:lang w:val="fr-FR"/>
        </w:rPr>
        <w:t>2.</w:t>
      </w:r>
      <w:r w:rsidRPr="00424C54">
        <w:rPr>
          <w:lang w:val="fr-FR"/>
        </w:rPr>
        <w:tab/>
        <w:t>Dans le tableau du 9.2.1.1, modifier le libellé du nouveau 9.2.4.8.6 comme suit</w:t>
      </w:r>
      <w:r w:rsidR="00B7722D">
        <w:rPr>
          <w:lang w:val="fr-FR"/>
        </w:rPr>
        <w:t> </w:t>
      </w:r>
      <w:r w:rsidRPr="00424C54">
        <w:rPr>
          <w:lang w:val="fr-FR"/>
        </w:rPr>
        <w:t>:</w:t>
      </w:r>
    </w:p>
    <w:tbl>
      <w:tblPr>
        <w:tblStyle w:val="TableGrid"/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91"/>
        <w:gridCol w:w="2390"/>
        <w:gridCol w:w="427"/>
        <w:gridCol w:w="427"/>
        <w:gridCol w:w="427"/>
        <w:gridCol w:w="427"/>
        <w:gridCol w:w="1982"/>
      </w:tblGrid>
      <w:tr w:rsidR="00A15871" w:rsidRPr="00110364" w14:paraId="42390417" w14:textId="77777777" w:rsidTr="00B7722D">
        <w:tc>
          <w:tcPr>
            <w:tcW w:w="1291" w:type="dxa"/>
          </w:tcPr>
          <w:p w14:paraId="7266FBAA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  <w:r w:rsidRPr="00424C54">
              <w:rPr>
                <w:lang w:val="fr-FR"/>
              </w:rPr>
              <w:t>9.2.4.8.6</w:t>
            </w:r>
          </w:p>
        </w:tc>
        <w:tc>
          <w:tcPr>
            <w:tcW w:w="2390" w:type="dxa"/>
          </w:tcPr>
          <w:p w14:paraId="73D1A9B5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</w:p>
        </w:tc>
        <w:tc>
          <w:tcPr>
            <w:tcW w:w="427" w:type="dxa"/>
          </w:tcPr>
          <w:p w14:paraId="4D6875D2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  <w:r w:rsidRPr="00424C54">
              <w:rPr>
                <w:lang w:val="fr-FR"/>
              </w:rPr>
              <w:t>X</w:t>
            </w:r>
          </w:p>
        </w:tc>
        <w:tc>
          <w:tcPr>
            <w:tcW w:w="427" w:type="dxa"/>
          </w:tcPr>
          <w:p w14:paraId="3B7CD6E0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  <w:r w:rsidRPr="00424C54">
              <w:rPr>
                <w:lang w:val="fr-FR"/>
              </w:rPr>
              <w:t>X</w:t>
            </w:r>
          </w:p>
        </w:tc>
        <w:tc>
          <w:tcPr>
            <w:tcW w:w="427" w:type="dxa"/>
          </w:tcPr>
          <w:p w14:paraId="3F4C2432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  <w:r w:rsidRPr="00424C54">
              <w:rPr>
                <w:lang w:val="fr-FR"/>
              </w:rPr>
              <w:t>X</w:t>
            </w:r>
            <w:r w:rsidRPr="00424C54">
              <w:rPr>
                <w:vertAlign w:val="superscript"/>
                <w:lang w:val="fr-FR"/>
              </w:rPr>
              <w:t>y</w:t>
            </w:r>
          </w:p>
        </w:tc>
        <w:tc>
          <w:tcPr>
            <w:tcW w:w="427" w:type="dxa"/>
          </w:tcPr>
          <w:p w14:paraId="67155D51" w14:textId="77777777" w:rsidR="00A15871" w:rsidRPr="00424C54" w:rsidRDefault="00A15871" w:rsidP="00EC34C0">
            <w:pPr>
              <w:spacing w:before="60" w:after="60"/>
              <w:ind w:left="57"/>
              <w:rPr>
                <w:lang w:val="fr-FR"/>
              </w:rPr>
            </w:pPr>
            <w:r w:rsidRPr="00424C54">
              <w:rPr>
                <w:lang w:val="fr-FR"/>
              </w:rPr>
              <w:t>X</w:t>
            </w:r>
            <w:r w:rsidRPr="00424C54">
              <w:rPr>
                <w:vertAlign w:val="superscript"/>
                <w:lang w:val="fr-FR"/>
              </w:rPr>
              <w:t>y</w:t>
            </w:r>
          </w:p>
        </w:tc>
        <w:tc>
          <w:tcPr>
            <w:tcW w:w="1982" w:type="dxa"/>
          </w:tcPr>
          <w:p w14:paraId="39A9CD62" w14:textId="77777777" w:rsidR="00A15871" w:rsidRPr="00B7722D" w:rsidRDefault="00A15871" w:rsidP="00B7722D">
            <w:pPr>
              <w:spacing w:before="60" w:after="60"/>
              <w:ind w:left="57" w:right="57"/>
              <w:rPr>
                <w:spacing w:val="-4"/>
                <w:lang w:val="fr-FR"/>
              </w:rPr>
            </w:pPr>
            <w:r w:rsidRPr="00B7722D">
              <w:rPr>
                <w:spacing w:val="-4"/>
                <w:vertAlign w:val="superscript"/>
                <w:lang w:val="fr-FR"/>
              </w:rPr>
              <w:t>y</w:t>
            </w:r>
            <w:r w:rsidRPr="00B7722D">
              <w:rPr>
                <w:spacing w:val="-4"/>
                <w:lang w:val="fr-FR"/>
              </w:rPr>
              <w:t xml:space="preserve"> Applicable aux véhicules à moteur équipés après le 30 juin 2023. La date de la première immatriculation du véhicule doit être utilisée lorsque la date à laquelle le véhicule a été équipé n’est pas disponible.</w:t>
            </w:r>
          </w:p>
        </w:tc>
      </w:tr>
    </w:tbl>
    <w:p w14:paraId="205EB7E1" w14:textId="2824C540" w:rsidR="00A15871" w:rsidRPr="00424C54" w:rsidRDefault="00A15871" w:rsidP="00B7722D">
      <w:pPr>
        <w:pStyle w:val="SingleTxtG"/>
        <w:spacing w:before="240"/>
        <w:rPr>
          <w:lang w:val="fr-FR"/>
        </w:rPr>
      </w:pPr>
      <w:r w:rsidRPr="00424C54">
        <w:rPr>
          <w:lang w:val="fr-FR"/>
        </w:rPr>
        <w:t>3.</w:t>
      </w:r>
      <w:r w:rsidRPr="00424C54">
        <w:rPr>
          <w:lang w:val="fr-FR"/>
        </w:rPr>
        <w:tab/>
        <w:t>(Modification du paragraphe 7 de l</w:t>
      </w:r>
      <w:r>
        <w:rPr>
          <w:lang w:val="fr-FR"/>
        </w:rPr>
        <w:t>’</w:t>
      </w:r>
      <w:r w:rsidRPr="00424C54">
        <w:rPr>
          <w:lang w:val="fr-FR"/>
        </w:rPr>
        <w:t>annexe I) Ajouter un nouveau 9.2.4.6 libellé comme suit</w:t>
      </w:r>
      <w:r w:rsidR="00B7722D">
        <w:rPr>
          <w:lang w:val="fr-FR"/>
        </w:rPr>
        <w:t> </w:t>
      </w:r>
      <w:r w:rsidRPr="00424C54">
        <w:rPr>
          <w:lang w:val="fr-FR"/>
        </w:rPr>
        <w:t>:</w:t>
      </w:r>
    </w:p>
    <w:p w14:paraId="6CC0FE30" w14:textId="5A9B9DB8" w:rsidR="00A15871" w:rsidRPr="00424C54" w:rsidRDefault="00B7722D" w:rsidP="00B7722D">
      <w:pPr>
        <w:pStyle w:val="SingleTxtG"/>
        <w:spacing w:before="120"/>
        <w:ind w:left="2268" w:hanging="1134"/>
        <w:rPr>
          <w:rFonts w:eastAsia="SimSun"/>
          <w:b/>
          <w:i/>
          <w:lang w:val="fr-FR"/>
        </w:rPr>
      </w:pPr>
      <w:r>
        <w:rPr>
          <w:lang w:val="fr-FR"/>
        </w:rPr>
        <w:t>« </w:t>
      </w:r>
      <w:r w:rsidR="00A15871" w:rsidRPr="00424C54">
        <w:rPr>
          <w:b/>
          <w:bCs/>
          <w:lang w:val="fr-FR"/>
        </w:rPr>
        <w:t>9.2.4.6</w:t>
      </w:r>
      <w:r w:rsidR="00A15871" w:rsidRPr="00424C54">
        <w:rPr>
          <w:lang w:val="fr-FR"/>
        </w:rPr>
        <w:tab/>
      </w:r>
      <w:r w:rsidR="00A15871" w:rsidRPr="00424C54">
        <w:rPr>
          <w:b/>
          <w:bCs/>
          <w:i/>
          <w:iCs/>
          <w:lang w:val="fr-FR"/>
        </w:rPr>
        <w:t>Système d</w:t>
      </w:r>
      <w:r w:rsidR="00A15871">
        <w:rPr>
          <w:b/>
          <w:bCs/>
          <w:i/>
          <w:iCs/>
          <w:lang w:val="fr-FR"/>
        </w:rPr>
        <w:t>’</w:t>
      </w:r>
      <w:r w:rsidR="00A15871" w:rsidRPr="00424C54">
        <w:rPr>
          <w:b/>
          <w:bCs/>
          <w:i/>
          <w:iCs/>
          <w:lang w:val="fr-FR"/>
        </w:rPr>
        <w:t>entraînement électrique</w:t>
      </w:r>
    </w:p>
    <w:p w14:paraId="42E47445" w14:textId="7CCC7C4D" w:rsidR="00A15871" w:rsidRPr="00424C54" w:rsidRDefault="00A15871" w:rsidP="00B7722D">
      <w:pPr>
        <w:pStyle w:val="SingleTxtG"/>
        <w:spacing w:before="120"/>
        <w:ind w:left="2268"/>
        <w:rPr>
          <w:lang w:val="fr-FR"/>
        </w:rPr>
      </w:pPr>
      <w:r w:rsidRPr="00424C54">
        <w:rPr>
          <w:b/>
          <w:bCs/>
          <w:i/>
          <w:iCs/>
          <w:lang w:val="fr-FR"/>
        </w:rPr>
        <w:t>NOTA</w:t>
      </w:r>
      <w:r w:rsidR="00B7722D">
        <w:rPr>
          <w:b/>
          <w:bCs/>
          <w:i/>
          <w:iCs/>
          <w:lang w:val="fr-FR"/>
        </w:rPr>
        <w:t> </w:t>
      </w:r>
      <w:r w:rsidRPr="00424C54">
        <w:rPr>
          <w:b/>
          <w:bCs/>
          <w:i/>
          <w:iCs/>
          <w:lang w:val="fr-FR"/>
        </w:rPr>
        <w:t>:</w:t>
      </w:r>
      <w:r w:rsidRPr="00424C54">
        <w:rPr>
          <w:i/>
          <w:iCs/>
          <w:lang w:val="fr-FR"/>
        </w:rPr>
        <w:t xml:space="preserve"> Le 9.2.4.6 s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applique également aux véhicules hybrides qui sont équipés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un système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 associé à la transmission mécanique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un moteur à combustion interne.</w:t>
      </w:r>
      <w:r w:rsidRPr="00424C54">
        <w:rPr>
          <w:lang w:val="fr-FR"/>
        </w:rPr>
        <w:t xml:space="preserve"> </w:t>
      </w:r>
      <w:r w:rsidRPr="00424C54">
        <w:rPr>
          <w:i/>
          <w:iCs/>
          <w:lang w:val="fr-FR"/>
        </w:rPr>
        <w:t>Les systèmes d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</w:t>
      </w:r>
      <w:r>
        <w:rPr>
          <w:i/>
          <w:iCs/>
          <w:lang w:val="fr-FR"/>
        </w:rPr>
        <w:t>s</w:t>
      </w:r>
      <w:r w:rsidRPr="00424C54">
        <w:rPr>
          <w:i/>
          <w:iCs/>
          <w:lang w:val="fr-FR"/>
        </w:rPr>
        <w:t xml:space="preserve"> ne doivent pas être utilisés pour les véhicules EX. [L</w:t>
      </w:r>
      <w:r>
        <w:rPr>
          <w:i/>
          <w:iCs/>
          <w:lang w:val="fr-FR"/>
        </w:rPr>
        <w:t>’</w:t>
      </w:r>
      <w:r w:rsidRPr="00424C54">
        <w:rPr>
          <w:i/>
          <w:iCs/>
          <w:lang w:val="fr-FR"/>
        </w:rPr>
        <w:t>entraînement électrique ne doit être utilisé que sur les véhicules tracteurs FL pour semi</w:t>
      </w:r>
      <w:r w:rsidR="00B7722D">
        <w:rPr>
          <w:i/>
          <w:iCs/>
          <w:lang w:val="fr-FR"/>
        </w:rPr>
        <w:noBreakHyphen/>
      </w:r>
      <w:r w:rsidRPr="00424C54">
        <w:rPr>
          <w:i/>
          <w:iCs/>
          <w:lang w:val="fr-FR"/>
        </w:rPr>
        <w:t>remorques</w:t>
      </w:r>
      <w:r>
        <w:rPr>
          <w:i/>
          <w:iCs/>
          <w:lang w:val="fr-FR"/>
        </w:rPr>
        <w:t>.</w:t>
      </w:r>
      <w:r w:rsidRPr="00424C54">
        <w:rPr>
          <w:i/>
          <w:iCs/>
          <w:lang w:val="fr-FR"/>
        </w:rPr>
        <w:t>]</w:t>
      </w:r>
    </w:p>
    <w:p w14:paraId="514D4638" w14:textId="0B3DE2A2" w:rsidR="00A15871" w:rsidRPr="00424C54" w:rsidRDefault="00A15871" w:rsidP="00B7722D">
      <w:pPr>
        <w:pStyle w:val="SingleTxtG"/>
        <w:spacing w:before="120"/>
        <w:ind w:left="2268" w:hanging="1134"/>
        <w:rPr>
          <w:lang w:val="fr-FR"/>
        </w:rPr>
      </w:pPr>
      <w:r w:rsidRPr="00424C54">
        <w:rPr>
          <w:lang w:val="fr-FR"/>
        </w:rPr>
        <w:t>9.2.4.6.1</w:t>
      </w:r>
      <w:r w:rsidRPr="00424C54">
        <w:rPr>
          <w:lang w:val="fr-FR"/>
        </w:rPr>
        <w:tab/>
        <w:t>Le système d</w:t>
      </w:r>
      <w:r>
        <w:rPr>
          <w:lang w:val="fr-FR"/>
        </w:rPr>
        <w:t>’</w:t>
      </w:r>
      <w:r w:rsidRPr="00424C54">
        <w:rPr>
          <w:lang w:val="fr-FR"/>
        </w:rPr>
        <w:t xml:space="preserve">entraînement électrique doit satisfaire aux prescriptions énoncées dans le Règlement ONU </w:t>
      </w:r>
      <w:r w:rsidR="00F9758A" w:rsidRPr="00F9758A">
        <w:rPr>
          <w:rFonts w:eastAsia="MS Mincho"/>
          <w:lang w:val="fr-FR"/>
        </w:rPr>
        <w:t>n</w:t>
      </w:r>
      <w:r w:rsidR="00F9758A" w:rsidRPr="00F9758A">
        <w:rPr>
          <w:rFonts w:eastAsia="MS Mincho"/>
          <w:vertAlign w:val="superscript"/>
          <w:lang w:val="fr-FR"/>
        </w:rPr>
        <w:t>o</w:t>
      </w:r>
      <w:r w:rsidR="00F9758A">
        <w:rPr>
          <w:lang w:val="fr-FR"/>
        </w:rPr>
        <w:t xml:space="preserve"> </w:t>
      </w:r>
      <w:r w:rsidRPr="00424C54">
        <w:rPr>
          <w:lang w:val="fr-FR"/>
        </w:rPr>
        <w:t>100</w:t>
      </w:r>
      <w:r w:rsidRPr="00424C54">
        <w:rPr>
          <w:vertAlign w:val="superscript"/>
          <w:lang w:val="fr-FR"/>
        </w:rPr>
        <w:t>8</w:t>
      </w:r>
      <w:r w:rsidRPr="00424C54">
        <w:rPr>
          <w:lang w:val="fr-FR"/>
        </w:rPr>
        <w:t>. Des mesures doivent être prises pour éviter tout danger pour le chargement à la suite d</w:t>
      </w:r>
      <w:r>
        <w:rPr>
          <w:lang w:val="fr-FR"/>
        </w:rPr>
        <w:t xml:space="preserve">’un </w:t>
      </w:r>
      <w:r w:rsidRPr="00424C54">
        <w:rPr>
          <w:lang w:val="fr-FR"/>
        </w:rPr>
        <w:t>échauffement ou d</w:t>
      </w:r>
      <w:r>
        <w:rPr>
          <w:lang w:val="fr-FR"/>
        </w:rPr>
        <w:t xml:space="preserve">’une </w:t>
      </w:r>
      <w:r w:rsidRPr="00424C54">
        <w:rPr>
          <w:lang w:val="fr-FR"/>
        </w:rPr>
        <w:t>inflammation.</w:t>
      </w:r>
    </w:p>
    <w:p w14:paraId="1C8BB34E" w14:textId="77777777" w:rsidR="00A15871" w:rsidRPr="00424C54" w:rsidRDefault="00A15871" w:rsidP="00B7722D">
      <w:pPr>
        <w:pStyle w:val="SingleTxtG"/>
        <w:spacing w:before="120"/>
        <w:ind w:left="2268" w:hanging="1134"/>
        <w:rPr>
          <w:lang w:val="fr-FR"/>
        </w:rPr>
      </w:pPr>
      <w:r w:rsidRPr="00424C54">
        <w:rPr>
          <w:lang w:val="fr-FR"/>
        </w:rPr>
        <w:t>9.2.4.6.2</w:t>
      </w:r>
      <w:r w:rsidRPr="00424C54">
        <w:rPr>
          <w:lang w:val="fr-FR"/>
        </w:rPr>
        <w:tab/>
        <w:t>Le système d</w:t>
      </w:r>
      <w:r>
        <w:rPr>
          <w:lang w:val="fr-FR"/>
        </w:rPr>
        <w:t>’</w:t>
      </w:r>
      <w:r w:rsidRPr="00424C54">
        <w:rPr>
          <w:lang w:val="fr-FR"/>
        </w:rPr>
        <w:t>entraînement électrique doit être pourvu d</w:t>
      </w:r>
      <w:r>
        <w:rPr>
          <w:lang w:val="fr-FR"/>
        </w:rPr>
        <w:t>’</w:t>
      </w:r>
      <w:r w:rsidRPr="00424C54">
        <w:rPr>
          <w:lang w:val="fr-FR"/>
        </w:rPr>
        <w:t>un coupe-circuit de batteries servant à couper les circuits électriques, qui doit être monté aussi près de la batterie que possible. Un dispositif de commande pour l</w:t>
      </w:r>
      <w:r>
        <w:rPr>
          <w:lang w:val="fr-FR"/>
        </w:rPr>
        <w:t>’</w:t>
      </w:r>
      <w:r w:rsidRPr="00424C54">
        <w:rPr>
          <w:lang w:val="fr-FR"/>
        </w:rPr>
        <w:t>ouverture et la fermeture de l</w:t>
      </w:r>
      <w:r>
        <w:rPr>
          <w:lang w:val="fr-FR"/>
        </w:rPr>
        <w:t>’</w:t>
      </w:r>
      <w:r w:rsidRPr="00424C54">
        <w:rPr>
          <w:lang w:val="fr-FR"/>
        </w:rPr>
        <w:t>interrupteur doit être installé dans la cabine de conduite. Il doit être facilement accessible au conducteur et signalé distinctement. Il doit être équipé soit d</w:t>
      </w:r>
      <w:r>
        <w:rPr>
          <w:lang w:val="fr-FR"/>
        </w:rPr>
        <w:t>’</w:t>
      </w:r>
      <w:r w:rsidRPr="00424C54">
        <w:rPr>
          <w:lang w:val="fr-FR"/>
        </w:rPr>
        <w:t>un couvercle de protection, soit d</w:t>
      </w:r>
      <w:r>
        <w:rPr>
          <w:lang w:val="fr-FR"/>
        </w:rPr>
        <w:t>’</w:t>
      </w:r>
      <w:r w:rsidRPr="00424C54">
        <w:rPr>
          <w:lang w:val="fr-FR"/>
        </w:rPr>
        <w:t>une commande à mouvement complexe, soit de tout autre dispositif évitant son déclenchement involontaire. Des dispositifs de commande additionnels peuvent être installés à condition d</w:t>
      </w:r>
      <w:r>
        <w:rPr>
          <w:lang w:val="fr-FR"/>
        </w:rPr>
        <w:t>’</w:t>
      </w:r>
      <w:r w:rsidRPr="00424C54">
        <w:rPr>
          <w:lang w:val="fr-FR"/>
        </w:rPr>
        <w:t>être marqués de manière distinctive et protégés contre une manœuvre intempestive. Si le ou les dispositifs de commande sont actionnés électriquement, leurs circuits sont soumis aux prescriptions du 9.2.2.9.</w:t>
      </w:r>
    </w:p>
    <w:p w14:paraId="366A6C76" w14:textId="75EE4C92" w:rsidR="00A15871" w:rsidRPr="00424C54" w:rsidRDefault="00A15871" w:rsidP="00F9758A">
      <w:pPr>
        <w:pStyle w:val="SingleTxtG"/>
        <w:spacing w:before="120"/>
        <w:ind w:left="2268"/>
        <w:rPr>
          <w:lang w:val="fr-FR"/>
        </w:rPr>
      </w:pPr>
      <w:r w:rsidRPr="00424C54">
        <w:rPr>
          <w:lang w:val="fr-FR"/>
        </w:rPr>
        <w:lastRenderedPageBreak/>
        <w:t xml:space="preserve">Les batteries placées près de la paroi extérieure du véhicule doivent être disposées dans des boîtiers de protection conçus de manière à offrir une protection contre les chocs mécaniques. Des mesures doivent être prises pour protéger le chargement en cas </w:t>
      </w:r>
      <w:r>
        <w:rPr>
          <w:lang w:val="fr-FR"/>
        </w:rPr>
        <w:t xml:space="preserve">d’inflammation </w:t>
      </w:r>
      <w:r w:rsidRPr="00424C54">
        <w:rPr>
          <w:lang w:val="fr-FR"/>
        </w:rPr>
        <w:t>de la batterie. Les batteries destinées à fournir de l</w:t>
      </w:r>
      <w:r>
        <w:rPr>
          <w:lang w:val="fr-FR"/>
        </w:rPr>
        <w:t>’</w:t>
      </w:r>
      <w:r w:rsidRPr="00424C54">
        <w:rPr>
          <w:lang w:val="fr-FR"/>
        </w:rPr>
        <w:t>énergie pour la traction ne doivent pas être montées sur une remorque.</w:t>
      </w:r>
      <w:r w:rsidR="00F9758A">
        <w:rPr>
          <w:lang w:val="fr-FR"/>
        </w:rPr>
        <w:t> »</w:t>
      </w:r>
      <w:r>
        <w:rPr>
          <w:lang w:val="fr-FR"/>
        </w:rPr>
        <w:t>.</w:t>
      </w:r>
    </w:p>
    <w:p w14:paraId="2BCFBC64" w14:textId="425CD931" w:rsidR="00A15871" w:rsidRPr="00424C54" w:rsidRDefault="00A15871" w:rsidP="00A15871">
      <w:pPr>
        <w:pStyle w:val="SingleTxtG"/>
        <w:spacing w:before="120"/>
        <w:rPr>
          <w:i/>
          <w:iCs/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  <w:t>La note de bas de page 8 est libellée comme suit</w:t>
      </w:r>
      <w:r w:rsidR="00F9758A">
        <w:rPr>
          <w:lang w:val="fr-FR"/>
        </w:rPr>
        <w:t> </w:t>
      </w:r>
      <w:r w:rsidRPr="00424C54">
        <w:rPr>
          <w:lang w:val="fr-FR"/>
        </w:rPr>
        <w:t xml:space="preserve">: </w:t>
      </w:r>
    </w:p>
    <w:p w14:paraId="5B7B13C8" w14:textId="18AA0290" w:rsidR="00A15871" w:rsidRPr="00424C54" w:rsidRDefault="00F9758A" w:rsidP="00A15871">
      <w:pPr>
        <w:pStyle w:val="SingleTxtG"/>
        <w:spacing w:before="120"/>
        <w:ind w:left="2268" w:hanging="1134"/>
        <w:rPr>
          <w:i/>
          <w:iCs/>
          <w:lang w:val="fr-FR"/>
        </w:rPr>
      </w:pPr>
      <w:r>
        <w:rPr>
          <w:lang w:val="fr-FR"/>
        </w:rPr>
        <w:t>« </w:t>
      </w:r>
      <w:r w:rsidR="00A15871" w:rsidRPr="00424C54">
        <w:rPr>
          <w:vertAlign w:val="superscript"/>
          <w:lang w:val="fr-FR"/>
        </w:rPr>
        <w:t>8</w:t>
      </w:r>
      <w:r w:rsidR="00A15871" w:rsidRPr="00424C54">
        <w:rPr>
          <w:lang w:val="fr-FR"/>
        </w:rPr>
        <w:tab/>
      </w:r>
      <w:r w:rsidR="00A15871" w:rsidRPr="00424C54">
        <w:rPr>
          <w:i/>
          <w:iCs/>
          <w:lang w:val="fr-FR"/>
        </w:rPr>
        <w:t xml:space="preserve">Règlement ONU </w:t>
      </w:r>
      <w:r w:rsidRPr="00F9758A">
        <w:rPr>
          <w:rFonts w:eastAsia="MS Mincho"/>
          <w:i/>
          <w:iCs/>
          <w:lang w:val="fr-FR"/>
        </w:rPr>
        <w:t>n</w:t>
      </w:r>
      <w:r w:rsidRPr="00F9758A">
        <w:rPr>
          <w:rFonts w:eastAsia="MS Mincho"/>
          <w:i/>
          <w:iCs/>
          <w:vertAlign w:val="superscript"/>
          <w:lang w:val="fr-FR"/>
        </w:rPr>
        <w:t>o</w:t>
      </w:r>
      <w:r>
        <w:rPr>
          <w:i/>
          <w:iCs/>
          <w:lang w:val="fr-FR"/>
        </w:rPr>
        <w:t xml:space="preserve"> </w:t>
      </w:r>
      <w:r w:rsidR="00A15871" w:rsidRPr="00424C54">
        <w:rPr>
          <w:i/>
          <w:iCs/>
          <w:lang w:val="fr-FR"/>
        </w:rPr>
        <w:t>100 (Prescriptions uniformes relatives à l</w:t>
      </w:r>
      <w:r w:rsidR="00A15871">
        <w:rPr>
          <w:i/>
          <w:iCs/>
          <w:lang w:val="fr-FR"/>
        </w:rPr>
        <w:t>’</w:t>
      </w:r>
      <w:r w:rsidR="00A15871" w:rsidRPr="00424C54">
        <w:rPr>
          <w:i/>
          <w:iCs/>
          <w:lang w:val="fr-FR"/>
        </w:rPr>
        <w:t>homologation des véhicules en ce qui concerne les prescriptions particulières applicables à la chaîne de traction électrique).</w:t>
      </w:r>
      <w:r>
        <w:rPr>
          <w:lang w:val="fr-FR"/>
        </w:rPr>
        <w:t> »</w:t>
      </w:r>
      <w:r w:rsidR="00A15871">
        <w:rPr>
          <w:lang w:val="fr-FR"/>
        </w:rPr>
        <w:t>.</w:t>
      </w:r>
    </w:p>
    <w:p w14:paraId="1BB2B620" w14:textId="77777777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ab/>
      </w:r>
      <w:r w:rsidRPr="00424C54">
        <w:rPr>
          <w:lang w:val="fr-FR"/>
        </w:rPr>
        <w:tab/>
      </w:r>
      <w:r w:rsidRPr="00110364">
        <w:rPr>
          <w:lang w:val="fr-FR"/>
        </w:rPr>
        <w:t xml:space="preserve">Au </w:t>
      </w:r>
      <w:r>
        <w:rPr>
          <w:lang w:val="fr-FR"/>
        </w:rPr>
        <w:t xml:space="preserve">chapitre </w:t>
      </w:r>
      <w:r w:rsidRPr="00110364">
        <w:rPr>
          <w:lang w:val="fr-FR"/>
        </w:rPr>
        <w:t>9.2</w:t>
      </w:r>
      <w:r w:rsidRPr="00424C54">
        <w:rPr>
          <w:lang w:val="fr-FR"/>
        </w:rPr>
        <w:t xml:space="preserve">, renuméroter en conséquence les notes de bas de page suivantes. </w:t>
      </w:r>
    </w:p>
    <w:p w14:paraId="3201B4A1" w14:textId="55765BF6" w:rsidR="00A15871" w:rsidRPr="00424C54" w:rsidRDefault="00A15871" w:rsidP="00A15871">
      <w:pPr>
        <w:pStyle w:val="SingleTxtG"/>
        <w:spacing w:before="120"/>
        <w:rPr>
          <w:lang w:val="fr-FR"/>
        </w:rPr>
      </w:pPr>
      <w:r w:rsidRPr="00424C54">
        <w:rPr>
          <w:lang w:val="fr-FR"/>
        </w:rPr>
        <w:t>4.</w:t>
      </w:r>
      <w:r w:rsidRPr="00424C54">
        <w:rPr>
          <w:lang w:val="fr-FR"/>
        </w:rPr>
        <w:tab/>
      </w:r>
      <w:r w:rsidRPr="00110364">
        <w:rPr>
          <w:lang w:val="fr-FR"/>
        </w:rPr>
        <w:t>Paragraphe 9.2.4.8.3, alinéa b)</w:t>
      </w:r>
      <w:r w:rsidRPr="00424C54">
        <w:rPr>
          <w:lang w:val="fr-FR"/>
        </w:rPr>
        <w:t>, lire (l</w:t>
      </w:r>
      <w:r>
        <w:rPr>
          <w:lang w:val="fr-FR"/>
        </w:rPr>
        <w:t>’</w:t>
      </w:r>
      <w:r w:rsidRPr="00424C54">
        <w:rPr>
          <w:lang w:val="fr-FR"/>
        </w:rPr>
        <w:t>ajout est souligné)</w:t>
      </w:r>
      <w:r w:rsidR="00062EE5">
        <w:rPr>
          <w:lang w:val="fr-FR"/>
        </w:rPr>
        <w:t> </w:t>
      </w:r>
      <w:r w:rsidRPr="00424C54">
        <w:rPr>
          <w:lang w:val="fr-FR"/>
        </w:rPr>
        <w:t>:</w:t>
      </w:r>
    </w:p>
    <w:p w14:paraId="067B5783" w14:textId="6DE77E30" w:rsidR="00A15871" w:rsidRPr="00424C54" w:rsidRDefault="00062EE5" w:rsidP="00A15871">
      <w:pPr>
        <w:pStyle w:val="SingleTxtG"/>
        <w:spacing w:before="120"/>
        <w:ind w:left="2268" w:hanging="567"/>
        <w:rPr>
          <w:lang w:val="fr-FR"/>
        </w:rPr>
      </w:pPr>
      <w:r>
        <w:rPr>
          <w:lang w:val="fr-FR"/>
        </w:rPr>
        <w:t>« </w:t>
      </w:r>
      <w:r w:rsidR="00A15871" w:rsidRPr="00424C54">
        <w:rPr>
          <w:lang w:val="fr-FR"/>
        </w:rPr>
        <w:t>b)</w:t>
      </w:r>
      <w:r w:rsidR="00A15871" w:rsidRPr="00424C54">
        <w:rPr>
          <w:lang w:val="fr-FR"/>
        </w:rPr>
        <w:tab/>
      </w:r>
      <w:r w:rsidRPr="00424C54">
        <w:rPr>
          <w:lang w:val="fr-FR"/>
        </w:rPr>
        <w:t>A</w:t>
      </w:r>
      <w:r w:rsidR="00A15871" w:rsidRPr="00424C54">
        <w:rPr>
          <w:lang w:val="fr-FR"/>
        </w:rPr>
        <w:t xml:space="preserve">rrêt du moteur du véhicule </w:t>
      </w:r>
      <w:r w:rsidR="00A15871" w:rsidRPr="00424C54">
        <w:rPr>
          <w:u w:val="single"/>
          <w:lang w:val="fr-FR"/>
        </w:rPr>
        <w:t>ou du mode conduite des véhicules électriques </w:t>
      </w:r>
      <w:r w:rsidR="00A15871" w:rsidRPr="00424C54">
        <w:rPr>
          <w:lang w:val="fr-FR"/>
        </w:rPr>
        <w:t>; dans ce cas</w:t>
      </w:r>
      <w:r w:rsidR="00A15871">
        <w:rPr>
          <w:lang w:val="fr-FR"/>
        </w:rPr>
        <w:t>,</w:t>
      </w:r>
      <w:r w:rsidR="00A15871" w:rsidRPr="00424C54">
        <w:rPr>
          <w:lang w:val="fr-FR"/>
        </w:rPr>
        <w:t xml:space="preserve"> l</w:t>
      </w:r>
      <w:r w:rsidR="00A15871">
        <w:rPr>
          <w:lang w:val="fr-FR"/>
        </w:rPr>
        <w:t>’</w:t>
      </w:r>
      <w:r w:rsidR="00A15871" w:rsidRPr="00424C54">
        <w:rPr>
          <w:lang w:val="fr-FR"/>
        </w:rPr>
        <w:t>appareil de chauffage peut être remis en marche manuellement par le conducteur</w:t>
      </w:r>
      <w:r>
        <w:rPr>
          <w:lang w:val="fr-FR"/>
        </w:rPr>
        <w:t> </w:t>
      </w:r>
      <w:r w:rsidR="00A15871" w:rsidRPr="00424C54">
        <w:rPr>
          <w:lang w:val="fr-FR"/>
        </w:rPr>
        <w:t>;</w:t>
      </w:r>
      <w:r w:rsidR="00A15871">
        <w:rPr>
          <w:lang w:val="fr-FR"/>
        </w:rPr>
        <w:t> ».</w:t>
      </w:r>
    </w:p>
    <w:p w14:paraId="44D8F9F5" w14:textId="77777777" w:rsidR="00A15871" w:rsidRPr="00424C54" w:rsidRDefault="00A15871" w:rsidP="00A15871">
      <w:pPr>
        <w:spacing w:before="240"/>
        <w:jc w:val="center"/>
        <w:rPr>
          <w:u w:val="single"/>
          <w:lang w:val="fr-FR"/>
        </w:rPr>
      </w:pPr>
      <w:r w:rsidRPr="00424C54">
        <w:rPr>
          <w:u w:val="single"/>
          <w:lang w:val="fr-FR"/>
        </w:rPr>
        <w:tab/>
      </w:r>
      <w:r w:rsidRPr="00424C54">
        <w:rPr>
          <w:u w:val="single"/>
          <w:lang w:val="fr-FR"/>
        </w:rPr>
        <w:tab/>
      </w:r>
      <w:r w:rsidRPr="00424C54">
        <w:rPr>
          <w:u w:val="single"/>
          <w:lang w:val="fr-FR"/>
        </w:rPr>
        <w:tab/>
      </w:r>
    </w:p>
    <w:p w14:paraId="5DE51B3F" w14:textId="77777777" w:rsidR="00F9573C" w:rsidRPr="00A15871" w:rsidRDefault="00F9573C" w:rsidP="00A15871">
      <w:pPr>
        <w:spacing w:before="120"/>
        <w:rPr>
          <w:lang w:val="fr-FR"/>
        </w:rPr>
      </w:pPr>
    </w:p>
    <w:sectPr w:rsidR="00F9573C" w:rsidRPr="00A15871" w:rsidSect="00A158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76D9" w14:textId="77777777" w:rsidR="0092689B" w:rsidRDefault="0092689B" w:rsidP="00F95C08">
      <w:pPr>
        <w:spacing w:line="240" w:lineRule="auto"/>
      </w:pPr>
    </w:p>
  </w:endnote>
  <w:endnote w:type="continuationSeparator" w:id="0">
    <w:p w14:paraId="78444712" w14:textId="77777777" w:rsidR="0092689B" w:rsidRPr="00AC3823" w:rsidRDefault="0092689B" w:rsidP="00AC3823">
      <w:pPr>
        <w:pStyle w:val="Footer"/>
      </w:pPr>
    </w:p>
  </w:endnote>
  <w:endnote w:type="continuationNotice" w:id="1">
    <w:p w14:paraId="1344344A" w14:textId="77777777" w:rsidR="0092689B" w:rsidRDefault="009268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B1AF" w14:textId="59736D94" w:rsidR="00A15871" w:rsidRPr="00A15871" w:rsidRDefault="00A15871" w:rsidP="00A15871">
    <w:pPr>
      <w:pStyle w:val="Footer"/>
      <w:tabs>
        <w:tab w:val="right" w:pos="9638"/>
      </w:tabs>
    </w:pPr>
    <w:r w:rsidRPr="00A15871">
      <w:rPr>
        <w:b/>
        <w:sz w:val="18"/>
      </w:rPr>
      <w:fldChar w:fldCharType="begin"/>
    </w:r>
    <w:r w:rsidRPr="00A15871">
      <w:rPr>
        <w:b/>
        <w:sz w:val="18"/>
      </w:rPr>
      <w:instrText xml:space="preserve"> PAGE  \* MERGEFORMAT </w:instrText>
    </w:r>
    <w:r w:rsidRPr="00A15871">
      <w:rPr>
        <w:b/>
        <w:sz w:val="18"/>
      </w:rPr>
      <w:fldChar w:fldCharType="separate"/>
    </w:r>
    <w:r w:rsidRPr="00A15871">
      <w:rPr>
        <w:b/>
        <w:noProof/>
        <w:sz w:val="18"/>
      </w:rPr>
      <w:t>2</w:t>
    </w:r>
    <w:r w:rsidRPr="00A15871">
      <w:rPr>
        <w:b/>
        <w:sz w:val="18"/>
      </w:rPr>
      <w:fldChar w:fldCharType="end"/>
    </w:r>
    <w:r>
      <w:rPr>
        <w:b/>
        <w:sz w:val="18"/>
      </w:rPr>
      <w:tab/>
    </w:r>
    <w:r>
      <w:t>GE.22-02413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CB65" w14:textId="52F05284" w:rsidR="00A15871" w:rsidRPr="00A15871" w:rsidRDefault="00A15871" w:rsidP="00A15871">
    <w:pPr>
      <w:pStyle w:val="Footer"/>
      <w:tabs>
        <w:tab w:val="right" w:pos="9638"/>
      </w:tabs>
      <w:rPr>
        <w:b/>
        <w:sz w:val="18"/>
      </w:rPr>
    </w:pPr>
    <w:r>
      <w:t>GE.22-02413</w:t>
    </w:r>
    <w:r>
      <w:tab/>
    </w:r>
    <w:r w:rsidRPr="00A15871">
      <w:rPr>
        <w:b/>
        <w:sz w:val="18"/>
      </w:rPr>
      <w:fldChar w:fldCharType="begin"/>
    </w:r>
    <w:r w:rsidRPr="00A15871">
      <w:rPr>
        <w:b/>
        <w:sz w:val="18"/>
      </w:rPr>
      <w:instrText xml:space="preserve"> PAGE  \* MERGEFORMAT </w:instrText>
    </w:r>
    <w:r w:rsidRPr="00A15871">
      <w:rPr>
        <w:b/>
        <w:sz w:val="18"/>
      </w:rPr>
      <w:fldChar w:fldCharType="separate"/>
    </w:r>
    <w:r w:rsidRPr="00A15871">
      <w:rPr>
        <w:b/>
        <w:noProof/>
        <w:sz w:val="18"/>
      </w:rPr>
      <w:t>3</w:t>
    </w:r>
    <w:r w:rsidRPr="00A158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2943" w14:textId="685FFB5A" w:rsidR="007F20FA" w:rsidRPr="00A15871" w:rsidRDefault="00A15871" w:rsidP="00A1587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882C976" wp14:editId="5BE3FE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22-02413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AB37DD7" wp14:editId="2C94A1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210322    220322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A2F" w14:textId="77777777" w:rsidR="0092689B" w:rsidRPr="00AC3823" w:rsidRDefault="009268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0AA84C" w14:textId="77777777" w:rsidR="0092689B" w:rsidRPr="00AC3823" w:rsidRDefault="009268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809694" w14:textId="77777777" w:rsidR="0092689B" w:rsidRPr="00AC3823" w:rsidRDefault="0092689B">
      <w:pPr>
        <w:spacing w:line="240" w:lineRule="auto"/>
        <w:rPr>
          <w:sz w:val="2"/>
          <w:szCs w:val="2"/>
        </w:rPr>
      </w:pPr>
    </w:p>
  </w:footnote>
  <w:footnote w:id="2">
    <w:p w14:paraId="4BB7B556" w14:textId="7BCF98BA" w:rsidR="00A15871" w:rsidRDefault="003E1DB2" w:rsidP="003E1DB2">
      <w:pPr>
        <w:pStyle w:val="FootnoteText"/>
      </w:pPr>
      <w:r>
        <w:rPr>
          <w:sz w:val="20"/>
          <w:lang w:val="fr-FR"/>
        </w:rPr>
        <w:tab/>
      </w:r>
      <w:r w:rsidR="00A15871" w:rsidRPr="003E1DB2">
        <w:rPr>
          <w:rStyle w:val="FootnoteReference"/>
          <w:sz w:val="20"/>
          <w:vertAlign w:val="baseline"/>
          <w:lang w:val="fr-FR"/>
        </w:rPr>
        <w:sym w:font="Symbol" w:char="F02A"/>
      </w:r>
      <w:r w:rsidR="00A15871">
        <w:rPr>
          <w:lang w:val="fr-FR"/>
        </w:rPr>
        <w:tab/>
        <w:t>A/76/6 (Sect. 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C0B0" w14:textId="29F5F5C4" w:rsidR="00A15871" w:rsidRPr="00A15871" w:rsidRDefault="004C43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5871">
      <w:t>ECE/TRANS/WP.15/2022/5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ADDA" w14:textId="7497EF73" w:rsidR="00A15871" w:rsidRPr="00A15871" w:rsidRDefault="004C431D" w:rsidP="00A1587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5871">
      <w:t>ECE/TRANS/WP.15/2022/5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9B"/>
    <w:rsid w:val="00017F94"/>
    <w:rsid w:val="00023842"/>
    <w:rsid w:val="000334F9"/>
    <w:rsid w:val="00045FEB"/>
    <w:rsid w:val="00062EE5"/>
    <w:rsid w:val="0007796D"/>
    <w:rsid w:val="000B7790"/>
    <w:rsid w:val="00111F2F"/>
    <w:rsid w:val="0014365E"/>
    <w:rsid w:val="00143C66"/>
    <w:rsid w:val="00145583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1DB2"/>
    <w:rsid w:val="00421996"/>
    <w:rsid w:val="00441C3B"/>
    <w:rsid w:val="00446FE5"/>
    <w:rsid w:val="00452396"/>
    <w:rsid w:val="00477EB2"/>
    <w:rsid w:val="004837D8"/>
    <w:rsid w:val="004C431D"/>
    <w:rsid w:val="004E2EED"/>
    <w:rsid w:val="004E468C"/>
    <w:rsid w:val="005505B7"/>
    <w:rsid w:val="00573BE5"/>
    <w:rsid w:val="00586ED3"/>
    <w:rsid w:val="00596AA9"/>
    <w:rsid w:val="00695DBD"/>
    <w:rsid w:val="0071601D"/>
    <w:rsid w:val="007A62E6"/>
    <w:rsid w:val="007F20FA"/>
    <w:rsid w:val="0080684C"/>
    <w:rsid w:val="00871C75"/>
    <w:rsid w:val="008776DC"/>
    <w:rsid w:val="008D5EF9"/>
    <w:rsid w:val="0090594C"/>
    <w:rsid w:val="00911E31"/>
    <w:rsid w:val="0092689B"/>
    <w:rsid w:val="009446C0"/>
    <w:rsid w:val="009705C8"/>
    <w:rsid w:val="009C1CF4"/>
    <w:rsid w:val="009F6B74"/>
    <w:rsid w:val="00A15871"/>
    <w:rsid w:val="00A3029F"/>
    <w:rsid w:val="00A30353"/>
    <w:rsid w:val="00A5506D"/>
    <w:rsid w:val="00AC3823"/>
    <w:rsid w:val="00AE323C"/>
    <w:rsid w:val="00AF0CB5"/>
    <w:rsid w:val="00B00181"/>
    <w:rsid w:val="00B00B0D"/>
    <w:rsid w:val="00B45F2E"/>
    <w:rsid w:val="00B765F7"/>
    <w:rsid w:val="00B7722D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6EB44"/>
  <w15:docId w15:val="{AC727615-D17A-4EB2-97AF-FCE09EB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A1587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A1587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1587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ECE/TRANS/WP.15/2022/5</vt:lpstr>
    </vt:vector>
  </TitlesOfParts>
  <Company>DCM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ECE/TRANS/WP.15/2022/5</dc:title>
  <dc:subject/>
  <dc:creator>Sandrine CLERE</dc:creator>
  <cp:keywords/>
  <cp:lastModifiedBy>Christine Barrio-Champeau</cp:lastModifiedBy>
  <cp:revision>2</cp:revision>
  <cp:lastPrinted>2014-05-14T10:59:00Z</cp:lastPrinted>
  <dcterms:created xsi:type="dcterms:W3CDTF">2022-03-22T16:17:00Z</dcterms:created>
  <dcterms:modified xsi:type="dcterms:W3CDTF">2022-03-22T16:17:00Z</dcterms:modified>
</cp:coreProperties>
</file>