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ADA4" w14:textId="77777777" w:rsidR="002F0B83" w:rsidRPr="00F95720" w:rsidRDefault="00A63EA8" w:rsidP="005362A8">
      <w:pPr>
        <w:spacing w:line="240" w:lineRule="auto"/>
        <w:rPr>
          <w:b/>
          <w:bCs/>
          <w:sz w:val="22"/>
          <w:szCs w:val="22"/>
        </w:rPr>
      </w:pPr>
      <w:r w:rsidRPr="00F95720">
        <w:rPr>
          <w:b/>
          <w:bCs/>
          <w:sz w:val="22"/>
          <w:szCs w:val="22"/>
        </w:rPr>
        <w:t>Economic Commission for Europe</w:t>
      </w:r>
    </w:p>
    <w:p w14:paraId="57386549" w14:textId="77777777" w:rsidR="002F0B83" w:rsidRPr="00F95720" w:rsidRDefault="00A63EA8" w:rsidP="005362A8">
      <w:pPr>
        <w:spacing w:line="240" w:lineRule="auto"/>
        <w:rPr>
          <w:sz w:val="22"/>
          <w:szCs w:val="22"/>
        </w:rPr>
      </w:pPr>
      <w:r w:rsidRPr="00F95720">
        <w:rPr>
          <w:sz w:val="22"/>
          <w:szCs w:val="22"/>
        </w:rPr>
        <w:t>Committee on Sustainable Energy</w:t>
      </w:r>
    </w:p>
    <w:p w14:paraId="29929356" w14:textId="77777777" w:rsidR="002F0B83" w:rsidRPr="00F95720" w:rsidRDefault="002F0B83" w:rsidP="005362A8">
      <w:pPr>
        <w:pStyle w:val="H1G"/>
        <w:spacing w:before="0" w:after="0" w:line="240" w:lineRule="auto"/>
        <w:ind w:left="0" w:right="0" w:firstLine="0"/>
        <w:rPr>
          <w:sz w:val="22"/>
          <w:szCs w:val="22"/>
        </w:rPr>
      </w:pPr>
    </w:p>
    <w:p w14:paraId="772B20B5" w14:textId="77777777" w:rsidR="002F0B83" w:rsidRPr="00F95720" w:rsidRDefault="00A63EA8" w:rsidP="005362A8">
      <w:pPr>
        <w:pStyle w:val="H1G"/>
        <w:spacing w:before="0" w:after="0" w:line="240" w:lineRule="auto"/>
        <w:ind w:left="0" w:right="0" w:firstLine="0"/>
        <w:rPr>
          <w:sz w:val="22"/>
          <w:szCs w:val="22"/>
        </w:rPr>
      </w:pPr>
      <w:r w:rsidRPr="00F95720">
        <w:rPr>
          <w:sz w:val="22"/>
          <w:szCs w:val="22"/>
        </w:rPr>
        <w:t>Group of Experts on Coal Mine Methane</w:t>
      </w:r>
    </w:p>
    <w:p w14:paraId="4C92B11F" w14:textId="77777777" w:rsidR="002F0B83" w:rsidRPr="00F95720" w:rsidRDefault="00A63EA8" w:rsidP="005362A8">
      <w:pPr>
        <w:spacing w:line="240" w:lineRule="auto"/>
        <w:outlineLvl w:val="0"/>
        <w:rPr>
          <w:b/>
          <w:bCs/>
          <w:sz w:val="22"/>
          <w:szCs w:val="22"/>
        </w:rPr>
      </w:pPr>
      <w:r w:rsidRPr="00F95720">
        <w:rPr>
          <w:b/>
          <w:bCs/>
          <w:sz w:val="22"/>
          <w:szCs w:val="22"/>
        </w:rPr>
        <w:t>Sixteenth session</w:t>
      </w:r>
    </w:p>
    <w:p w14:paraId="32A1C55C" w14:textId="350C63EC" w:rsidR="002F0B83" w:rsidRPr="00F95720" w:rsidRDefault="00A63EA8" w:rsidP="005362A8">
      <w:pPr>
        <w:spacing w:line="240" w:lineRule="auto"/>
        <w:outlineLvl w:val="0"/>
        <w:rPr>
          <w:sz w:val="22"/>
          <w:szCs w:val="22"/>
        </w:rPr>
      </w:pPr>
      <w:r w:rsidRPr="00F95720">
        <w:rPr>
          <w:sz w:val="22"/>
          <w:szCs w:val="22"/>
        </w:rPr>
        <w:t xml:space="preserve">Geneva, </w:t>
      </w:r>
      <w:r w:rsidR="00890B7E">
        <w:rPr>
          <w:sz w:val="22"/>
          <w:szCs w:val="22"/>
        </w:rPr>
        <w:t>21</w:t>
      </w:r>
      <w:r w:rsidRPr="00F95720">
        <w:rPr>
          <w:sz w:val="22"/>
          <w:szCs w:val="22"/>
        </w:rPr>
        <w:t>-</w:t>
      </w:r>
      <w:r w:rsidR="00890B7E">
        <w:rPr>
          <w:sz w:val="22"/>
          <w:szCs w:val="22"/>
        </w:rPr>
        <w:t>22</w:t>
      </w:r>
      <w:r w:rsidRPr="00F95720">
        <w:rPr>
          <w:sz w:val="22"/>
          <w:szCs w:val="22"/>
        </w:rPr>
        <w:t xml:space="preserve"> March 202</w:t>
      </w:r>
      <w:r w:rsidR="00890B7E">
        <w:rPr>
          <w:sz w:val="22"/>
          <w:szCs w:val="22"/>
        </w:rPr>
        <w:t>2</w:t>
      </w:r>
    </w:p>
    <w:p w14:paraId="031D1EC3" w14:textId="77777777" w:rsidR="002F0B83" w:rsidRPr="00F95720" w:rsidRDefault="00A63EA8" w:rsidP="005362A8">
      <w:pPr>
        <w:spacing w:line="240" w:lineRule="auto"/>
        <w:rPr>
          <w:b/>
          <w:bCs/>
          <w:sz w:val="22"/>
          <w:szCs w:val="22"/>
        </w:rPr>
      </w:pPr>
      <w:r w:rsidRPr="00F95720">
        <w:rPr>
          <w:sz w:val="22"/>
          <w:szCs w:val="22"/>
        </w:rPr>
        <w:t>Item 13 of the provisional agenda</w:t>
      </w:r>
    </w:p>
    <w:p w14:paraId="0F31C522" w14:textId="77777777" w:rsidR="002F0B83" w:rsidRPr="00F95720" w:rsidRDefault="00A63EA8" w:rsidP="005362A8">
      <w:pPr>
        <w:keepNext/>
        <w:keepLines/>
        <w:tabs>
          <w:tab w:val="right" w:pos="851"/>
        </w:tabs>
        <w:spacing w:line="240" w:lineRule="auto"/>
        <w:rPr>
          <w:b/>
          <w:bCs/>
          <w:sz w:val="22"/>
          <w:szCs w:val="22"/>
        </w:rPr>
      </w:pPr>
      <w:r w:rsidRPr="00F95720">
        <w:rPr>
          <w:b/>
          <w:bCs/>
          <w:sz w:val="22"/>
          <w:szCs w:val="22"/>
        </w:rPr>
        <w:t>Adoption of Conclusions and Recommendations</w:t>
      </w:r>
    </w:p>
    <w:p w14:paraId="036455DE" w14:textId="77777777" w:rsidR="002F0B83" w:rsidRPr="00F95720" w:rsidRDefault="002F0B83" w:rsidP="005362A8">
      <w:pPr>
        <w:pStyle w:val="H1G"/>
        <w:spacing w:before="0" w:after="0" w:line="240" w:lineRule="auto"/>
        <w:ind w:left="0" w:right="0" w:firstLine="0"/>
        <w:rPr>
          <w:b w:val="0"/>
          <w:bCs w:val="0"/>
          <w:sz w:val="22"/>
          <w:szCs w:val="22"/>
        </w:rPr>
      </w:pPr>
    </w:p>
    <w:p w14:paraId="08DE30A7" w14:textId="77777777" w:rsidR="00BA23EA" w:rsidRDefault="00BA23EA" w:rsidP="005362A8">
      <w:pPr>
        <w:pStyle w:val="H1G"/>
        <w:spacing w:before="0" w:after="0" w:line="240" w:lineRule="auto"/>
        <w:ind w:left="0" w:right="0" w:firstLine="0"/>
        <w:rPr>
          <w:sz w:val="22"/>
          <w:szCs w:val="22"/>
        </w:rPr>
      </w:pPr>
    </w:p>
    <w:p w14:paraId="3B3EC5B8" w14:textId="3458DB96" w:rsidR="002F0B83" w:rsidRPr="00F95720" w:rsidRDefault="007E489C" w:rsidP="005362A8">
      <w:pPr>
        <w:pStyle w:val="H1G"/>
        <w:spacing w:before="0" w:after="0" w:line="240" w:lineRule="auto"/>
        <w:ind w:left="0" w:right="0" w:firstLine="0"/>
        <w:rPr>
          <w:sz w:val="22"/>
          <w:szCs w:val="22"/>
        </w:rPr>
      </w:pPr>
      <w:r>
        <w:rPr>
          <w:sz w:val="22"/>
          <w:szCs w:val="22"/>
        </w:rPr>
        <w:t>DRAFT</w:t>
      </w:r>
      <w:r w:rsidR="00A63EA8" w:rsidRPr="00F95720">
        <w:rPr>
          <w:sz w:val="22"/>
          <w:szCs w:val="22"/>
        </w:rPr>
        <w:t xml:space="preserve"> Conclusions and Recommendations arising from the S</w:t>
      </w:r>
      <w:r w:rsidR="00D52393">
        <w:rPr>
          <w:sz w:val="22"/>
          <w:szCs w:val="22"/>
        </w:rPr>
        <w:t>event</w:t>
      </w:r>
      <w:r w:rsidR="00A63EA8" w:rsidRPr="00F95720">
        <w:rPr>
          <w:sz w:val="22"/>
          <w:szCs w:val="22"/>
        </w:rPr>
        <w:t>eenth Session of the Group of Experts on Coal Mine Methane</w:t>
      </w:r>
      <w:r w:rsidR="00D52393">
        <w:rPr>
          <w:sz w:val="22"/>
          <w:szCs w:val="22"/>
        </w:rPr>
        <w:t xml:space="preserve"> and Just Transition</w:t>
      </w:r>
    </w:p>
    <w:p w14:paraId="7233F3CA" w14:textId="77777777" w:rsidR="002F0B83" w:rsidRPr="00F95720" w:rsidRDefault="002F0B83" w:rsidP="005362A8">
      <w:pPr>
        <w:spacing w:line="240" w:lineRule="auto"/>
        <w:rPr>
          <w:color w:val="FF0000"/>
          <w:sz w:val="22"/>
          <w:szCs w:val="22"/>
          <w:u w:color="FF0000"/>
        </w:rPr>
      </w:pPr>
    </w:p>
    <w:p w14:paraId="67E2FA7A" w14:textId="5341399C" w:rsidR="002F0B83" w:rsidRPr="007C2222" w:rsidRDefault="00A63EA8" w:rsidP="005362A8">
      <w:pPr>
        <w:pStyle w:val="H1G"/>
        <w:tabs>
          <w:tab w:val="left" w:pos="1985"/>
        </w:tabs>
        <w:spacing w:before="0" w:after="0" w:line="240" w:lineRule="auto"/>
        <w:ind w:left="0" w:right="0" w:firstLine="0"/>
        <w:jc w:val="both"/>
        <w:rPr>
          <w:rFonts w:eastAsia="Cambria"/>
          <w:sz w:val="22"/>
          <w:szCs w:val="22"/>
        </w:rPr>
      </w:pPr>
      <w:bookmarkStart w:id="0" w:name="_Hlk62877019"/>
      <w:r w:rsidRPr="007C2222">
        <w:rPr>
          <w:sz w:val="22"/>
          <w:szCs w:val="22"/>
        </w:rPr>
        <w:t xml:space="preserve">Agenda Item </w:t>
      </w:r>
      <w:r w:rsidR="00DD4019" w:rsidRPr="007C2222">
        <w:rPr>
          <w:sz w:val="22"/>
          <w:szCs w:val="22"/>
        </w:rPr>
        <w:t>2</w:t>
      </w:r>
      <w:r w:rsidRPr="007C2222">
        <w:rPr>
          <w:sz w:val="22"/>
          <w:szCs w:val="22"/>
        </w:rPr>
        <w:t xml:space="preserve">: </w:t>
      </w:r>
      <w:bookmarkEnd w:id="0"/>
      <w:r w:rsidRPr="007C2222">
        <w:rPr>
          <w:sz w:val="22"/>
          <w:szCs w:val="22"/>
        </w:rPr>
        <w:t>Opening remarks</w:t>
      </w:r>
    </w:p>
    <w:p w14:paraId="0E649F9C" w14:textId="31C2A606" w:rsidR="002F0B83" w:rsidRDefault="00DD4019" w:rsidP="00DD4019">
      <w:pPr>
        <w:pStyle w:val="SingleTxtG"/>
        <w:ind w:left="0" w:right="20"/>
        <w:rPr>
          <w:sz w:val="22"/>
          <w:szCs w:val="22"/>
        </w:rPr>
      </w:pPr>
      <w:r w:rsidRPr="007C2222">
        <w:rPr>
          <w:color w:val="000000" w:themeColor="text1"/>
          <w:sz w:val="22"/>
          <w:szCs w:val="22"/>
        </w:rPr>
        <w:t>1.</w:t>
      </w:r>
      <w:r>
        <w:tab/>
      </w:r>
      <w:r w:rsidRPr="00DD4019">
        <w:rPr>
          <w:color w:val="000000" w:themeColor="text1"/>
          <w:sz w:val="22"/>
          <w:szCs w:val="22"/>
        </w:rPr>
        <w:t>The Group of Experts noted with appreciation the work of the Bureau and the secretariat and their efforts to manage and direct the Group’s work plan between annual sessions despite human and financial resource constraints and the difficult situation caused by the COVID-19 pandemic</w:t>
      </w:r>
      <w:r w:rsidR="00A63EA8" w:rsidRPr="00F95720">
        <w:rPr>
          <w:sz w:val="22"/>
          <w:szCs w:val="22"/>
        </w:rPr>
        <w:t xml:space="preserve">. </w:t>
      </w:r>
    </w:p>
    <w:p w14:paraId="18D35278" w14:textId="77777777" w:rsidR="00D01C77" w:rsidRPr="00DD4019" w:rsidRDefault="00D01C77" w:rsidP="00402505">
      <w:pPr>
        <w:pStyle w:val="SingleTxtG"/>
        <w:spacing w:after="0" w:line="240" w:lineRule="auto"/>
        <w:ind w:left="0" w:right="14"/>
        <w:rPr>
          <w:color w:val="000000" w:themeColor="text1"/>
          <w:sz w:val="22"/>
          <w:szCs w:val="22"/>
        </w:rPr>
      </w:pPr>
    </w:p>
    <w:p w14:paraId="454BD978" w14:textId="5D7CEA96" w:rsidR="002F0B83" w:rsidRPr="00F95720" w:rsidRDefault="00A63EA8" w:rsidP="005362A8">
      <w:pPr>
        <w:tabs>
          <w:tab w:val="left" w:pos="1985"/>
        </w:tabs>
        <w:suppressAutoHyphens w:val="0"/>
        <w:spacing w:line="240" w:lineRule="auto"/>
        <w:jc w:val="both"/>
        <w:rPr>
          <w:rFonts w:eastAsia="Cambria"/>
          <w:b/>
          <w:bCs/>
          <w:sz w:val="22"/>
          <w:szCs w:val="22"/>
        </w:rPr>
      </w:pPr>
      <w:r w:rsidRPr="00F95720">
        <w:rPr>
          <w:b/>
          <w:bCs/>
          <w:sz w:val="22"/>
          <w:szCs w:val="22"/>
        </w:rPr>
        <w:t xml:space="preserve">Agenda Item </w:t>
      </w:r>
      <w:r w:rsidR="00DD4019">
        <w:rPr>
          <w:b/>
          <w:bCs/>
          <w:sz w:val="22"/>
          <w:szCs w:val="22"/>
        </w:rPr>
        <w:t>3</w:t>
      </w:r>
      <w:r w:rsidRPr="00F95720">
        <w:rPr>
          <w:b/>
          <w:bCs/>
          <w:sz w:val="22"/>
          <w:szCs w:val="22"/>
        </w:rPr>
        <w:t>: Activities and priorities of the Committee on Sustainable Energy and matters for consideration by the Group of Experts</w:t>
      </w:r>
    </w:p>
    <w:p w14:paraId="4CD0FB22" w14:textId="0232387D" w:rsidR="00DD4019" w:rsidRPr="00DD4019" w:rsidRDefault="00DD4019" w:rsidP="00DD4019">
      <w:pPr>
        <w:pStyle w:val="SingleTxtG"/>
        <w:ind w:left="0" w:right="20"/>
        <w:rPr>
          <w:bCs/>
          <w:sz w:val="22"/>
          <w:szCs w:val="22"/>
        </w:rPr>
      </w:pPr>
      <w:r>
        <w:rPr>
          <w:bCs/>
          <w:sz w:val="24"/>
        </w:rPr>
        <w:t>(a)</w:t>
      </w:r>
      <w:r>
        <w:rPr>
          <w:bCs/>
          <w:sz w:val="24"/>
        </w:rPr>
        <w:tab/>
      </w:r>
      <w:r w:rsidRPr="00DD4019">
        <w:rPr>
          <w:bCs/>
          <w:sz w:val="24"/>
        </w:rPr>
        <w:t xml:space="preserve">Key messages and policy recommendations resulting from the </w:t>
      </w:r>
      <w:r w:rsidRPr="00DD4019">
        <w:rPr>
          <w:bCs/>
          <w:sz w:val="22"/>
          <w:szCs w:val="22"/>
        </w:rPr>
        <w:t>thirtieth session of the Committee on Sustainable Energy</w:t>
      </w:r>
      <w:r w:rsidRPr="00DD4019">
        <w:rPr>
          <w:bCs/>
          <w:sz w:val="28"/>
          <w:szCs w:val="22"/>
        </w:rPr>
        <w:t xml:space="preserve"> </w:t>
      </w:r>
    </w:p>
    <w:p w14:paraId="11F0B91C" w14:textId="5F448BE2" w:rsidR="001F325D" w:rsidRPr="001F325D" w:rsidRDefault="001F325D" w:rsidP="001F325D">
      <w:pPr>
        <w:pStyle w:val="SingleTxtG"/>
        <w:ind w:left="0" w:right="20"/>
        <w:rPr>
          <w:color w:val="000000" w:themeColor="text1"/>
          <w:sz w:val="22"/>
          <w:szCs w:val="22"/>
        </w:rPr>
      </w:pPr>
      <w:r w:rsidRPr="001F325D">
        <w:rPr>
          <w:color w:val="000000" w:themeColor="text1"/>
          <w:sz w:val="22"/>
          <w:szCs w:val="22"/>
        </w:rPr>
        <w:t>2.</w:t>
      </w:r>
      <w:r w:rsidRPr="001F325D">
        <w:rPr>
          <w:color w:val="000000" w:themeColor="text1"/>
          <w:sz w:val="22"/>
          <w:szCs w:val="22"/>
        </w:rPr>
        <w:tab/>
        <w:t xml:space="preserve">The Group of Experts noted with appreciation that the Committee had adopted the Group of Experts’ work plan for 2022-2023. </w:t>
      </w:r>
    </w:p>
    <w:p w14:paraId="5AFA2776" w14:textId="7861B707" w:rsidR="001F325D" w:rsidRPr="001F325D" w:rsidRDefault="001F325D" w:rsidP="001F325D">
      <w:pPr>
        <w:pStyle w:val="SingleTxtG"/>
        <w:ind w:left="0" w:right="20"/>
        <w:rPr>
          <w:color w:val="000000" w:themeColor="text1"/>
          <w:sz w:val="22"/>
          <w:szCs w:val="22"/>
        </w:rPr>
      </w:pPr>
      <w:r w:rsidRPr="001F325D">
        <w:rPr>
          <w:color w:val="000000" w:themeColor="text1"/>
          <w:sz w:val="22"/>
          <w:szCs w:val="22"/>
        </w:rPr>
        <w:t>3.</w:t>
      </w:r>
      <w:r w:rsidRPr="001F325D">
        <w:rPr>
          <w:color w:val="000000" w:themeColor="text1"/>
          <w:sz w:val="22"/>
          <w:szCs w:val="22"/>
        </w:rPr>
        <w:tab/>
        <w:t xml:space="preserve">The Group of Experts was informed about and supported the Committee’s endorsement of the revised strategic review of the ECE sustainable energy </w:t>
      </w:r>
      <w:proofErr w:type="spellStart"/>
      <w:r w:rsidRPr="001F325D">
        <w:rPr>
          <w:color w:val="000000" w:themeColor="text1"/>
          <w:sz w:val="22"/>
          <w:szCs w:val="22"/>
        </w:rPr>
        <w:t>subprogramme</w:t>
      </w:r>
      <w:proofErr w:type="spellEnd"/>
      <w:r w:rsidRPr="001F325D">
        <w:rPr>
          <w:color w:val="000000" w:themeColor="text1"/>
          <w:sz w:val="22"/>
          <w:szCs w:val="22"/>
        </w:rPr>
        <w:t xml:space="preserve"> (ECE/ENERGY/2021/4). The Group of Experts is committed to reflect the strategic review in its future work. The Group of Experts once again called on ECE member States to provide resources needed to accomplish activities that cannot be delivered through the regular budget.</w:t>
      </w:r>
    </w:p>
    <w:p w14:paraId="49C8ADDD" w14:textId="5AE9673C" w:rsidR="001F325D" w:rsidRPr="007C2222" w:rsidRDefault="001F325D" w:rsidP="007A4F10">
      <w:pPr>
        <w:pStyle w:val="SingleTxtG"/>
        <w:ind w:left="0" w:right="20"/>
        <w:rPr>
          <w:color w:val="000000" w:themeColor="text1"/>
          <w:sz w:val="22"/>
          <w:szCs w:val="22"/>
        </w:rPr>
      </w:pPr>
      <w:r w:rsidRPr="001F325D">
        <w:rPr>
          <w:color w:val="000000" w:themeColor="text1"/>
          <w:sz w:val="22"/>
          <w:szCs w:val="22"/>
        </w:rPr>
        <w:t>4.</w:t>
      </w:r>
      <w:r w:rsidRPr="001F325D">
        <w:rPr>
          <w:color w:val="000000" w:themeColor="text1"/>
          <w:sz w:val="22"/>
          <w:szCs w:val="22"/>
        </w:rPr>
        <w:tab/>
        <w:t xml:space="preserve">The Group of Experts was informed about the growing interest from member States to accelerate action to mitigate methane emissions. The Group of Experts is committed to support these activities throughout the coal value chain. </w:t>
      </w:r>
      <w:r w:rsidR="007A4F10" w:rsidRPr="00CC7605">
        <w:rPr>
          <w:sz w:val="22"/>
          <w:szCs w:val="22"/>
        </w:rPr>
        <w:t>The Group of Experts expressed its support for the Global Methane Pledge</w:t>
      </w:r>
      <w:r w:rsidR="007A4F10" w:rsidRPr="00CC7605">
        <w:rPr>
          <w:rStyle w:val="FootnoteReference"/>
          <w:sz w:val="22"/>
          <w:szCs w:val="22"/>
        </w:rPr>
        <w:footnoteReference w:id="1"/>
      </w:r>
      <w:r w:rsidR="007A4F10" w:rsidRPr="00CC7605">
        <w:rPr>
          <w:sz w:val="22"/>
          <w:szCs w:val="22"/>
        </w:rPr>
        <w:t>, congratulated member States that have joined the pledge and urged others to do so.</w:t>
      </w:r>
      <w:r w:rsidR="007A4F10">
        <w:rPr>
          <w:color w:val="000000" w:themeColor="text1"/>
          <w:sz w:val="22"/>
          <w:szCs w:val="22"/>
        </w:rPr>
        <w:t xml:space="preserve">  In support of the Global Methane Pledge, t</w:t>
      </w:r>
      <w:r w:rsidRPr="001F325D">
        <w:rPr>
          <w:color w:val="000000" w:themeColor="text1"/>
          <w:sz w:val="22"/>
          <w:szCs w:val="22"/>
        </w:rPr>
        <w:t xml:space="preserve">he Group of Experts recommended to member States to support a resolution at the United Nations General Assembly declaring an International Decade for Methane Management. The Group of Experts also recommended to continue hosting, co-hosting, and coordinating events that foster dialogue and information exchange about best practices in methane </w:t>
      </w:r>
      <w:r w:rsidRPr="007C2222">
        <w:rPr>
          <w:color w:val="000000" w:themeColor="text1"/>
          <w:sz w:val="22"/>
          <w:szCs w:val="22"/>
        </w:rPr>
        <w:t xml:space="preserve">emissions’ monitoring </w:t>
      </w:r>
      <w:r w:rsidR="00D01C77">
        <w:rPr>
          <w:color w:val="000000" w:themeColor="text1"/>
          <w:sz w:val="22"/>
          <w:szCs w:val="22"/>
        </w:rPr>
        <w:t xml:space="preserve">and </w:t>
      </w:r>
      <w:r w:rsidRPr="007C2222">
        <w:rPr>
          <w:color w:val="000000" w:themeColor="text1"/>
          <w:sz w:val="22"/>
          <w:szCs w:val="22"/>
        </w:rPr>
        <w:t>mitigation.</w:t>
      </w:r>
    </w:p>
    <w:p w14:paraId="49562C01" w14:textId="5BB82CD7" w:rsidR="002F0B83" w:rsidRPr="007C2222" w:rsidRDefault="00A63EA8" w:rsidP="005362A8">
      <w:pPr>
        <w:suppressAutoHyphens w:val="0"/>
        <w:spacing w:after="120" w:line="240" w:lineRule="auto"/>
        <w:jc w:val="both"/>
        <w:rPr>
          <w:rFonts w:eastAsia="Cambria"/>
          <w:sz w:val="22"/>
          <w:szCs w:val="22"/>
        </w:rPr>
      </w:pPr>
      <w:r w:rsidRPr="007C2222">
        <w:rPr>
          <w:sz w:val="22"/>
          <w:szCs w:val="22"/>
        </w:rPr>
        <w:t>(b)</w:t>
      </w:r>
      <w:r w:rsidRPr="007C2222">
        <w:rPr>
          <w:sz w:val="22"/>
          <w:szCs w:val="22"/>
        </w:rPr>
        <w:tab/>
      </w:r>
      <w:r w:rsidR="001F325D" w:rsidRPr="007C2222">
        <w:rPr>
          <w:sz w:val="22"/>
          <w:szCs w:val="22"/>
        </w:rPr>
        <w:t xml:space="preserve">Revision of the Group’s name, mandate, and terms of reference </w:t>
      </w:r>
    </w:p>
    <w:p w14:paraId="292DB43C" w14:textId="472A3C7E" w:rsidR="001F325D" w:rsidRPr="001F325D" w:rsidRDefault="001F325D" w:rsidP="001F325D">
      <w:pPr>
        <w:pStyle w:val="SingleTxtG"/>
        <w:ind w:left="0" w:right="20"/>
        <w:rPr>
          <w:sz w:val="22"/>
          <w:szCs w:val="22"/>
        </w:rPr>
      </w:pPr>
      <w:r>
        <w:rPr>
          <w:sz w:val="22"/>
          <w:szCs w:val="22"/>
        </w:rPr>
        <w:t>5</w:t>
      </w:r>
      <w:r w:rsidRPr="001F325D">
        <w:rPr>
          <w:sz w:val="22"/>
          <w:szCs w:val="22"/>
        </w:rPr>
        <w:t>.</w:t>
      </w:r>
      <w:r w:rsidRPr="001F325D">
        <w:rPr>
          <w:sz w:val="22"/>
          <w:szCs w:val="22"/>
        </w:rPr>
        <w:tab/>
        <w:t>The Group of Experts was informed that the Committee on Sustainable Energy at its thirtieth session approved the requested change of the name of the Group to the Group of Experts on Coal Mine Methane and Just Transition. The Committee also approved the change of the mandate and terms of reference of the Group pending requested clarifications on both.</w:t>
      </w:r>
      <w:r w:rsidRPr="001F325D">
        <w:rPr>
          <w:rStyle w:val="FootnoteReference"/>
          <w:sz w:val="22"/>
          <w:szCs w:val="22"/>
        </w:rPr>
        <w:footnoteReference w:id="2"/>
      </w:r>
      <w:r w:rsidRPr="001F325D">
        <w:rPr>
          <w:sz w:val="22"/>
          <w:szCs w:val="22"/>
        </w:rPr>
        <w:t xml:space="preserve">  </w:t>
      </w:r>
    </w:p>
    <w:p w14:paraId="59682801" w14:textId="1E191098" w:rsidR="001F325D" w:rsidRPr="001F325D" w:rsidRDefault="001F325D" w:rsidP="001F325D">
      <w:pPr>
        <w:pStyle w:val="SingleTxtG"/>
        <w:ind w:left="0" w:right="20"/>
        <w:rPr>
          <w:sz w:val="22"/>
          <w:szCs w:val="22"/>
        </w:rPr>
      </w:pPr>
      <w:r>
        <w:rPr>
          <w:sz w:val="22"/>
          <w:szCs w:val="22"/>
        </w:rPr>
        <w:t>6</w:t>
      </w:r>
      <w:r w:rsidRPr="001F325D">
        <w:rPr>
          <w:sz w:val="22"/>
          <w:szCs w:val="22"/>
        </w:rPr>
        <w:t>.</w:t>
      </w:r>
      <w:r w:rsidRPr="001F325D">
        <w:rPr>
          <w:sz w:val="22"/>
          <w:szCs w:val="22"/>
        </w:rPr>
        <w:tab/>
        <w:t>Subsequently, the Executive Committee of ECE endorsed the Committee’s decisions at its meeting on 26 January 2022 (ECE/EX/2022/L3 para 3. (d)).</w:t>
      </w:r>
    </w:p>
    <w:p w14:paraId="0BD38FC6" w14:textId="2E36D22A" w:rsidR="001F325D" w:rsidRPr="001F325D" w:rsidRDefault="001F325D" w:rsidP="001F325D">
      <w:pPr>
        <w:pStyle w:val="SingleTxtG"/>
        <w:ind w:left="0" w:right="20"/>
        <w:rPr>
          <w:sz w:val="22"/>
          <w:szCs w:val="22"/>
        </w:rPr>
      </w:pPr>
      <w:r>
        <w:rPr>
          <w:sz w:val="22"/>
          <w:szCs w:val="22"/>
        </w:rPr>
        <w:t>7</w:t>
      </w:r>
      <w:r w:rsidRPr="001F325D">
        <w:rPr>
          <w:sz w:val="22"/>
          <w:szCs w:val="22"/>
        </w:rPr>
        <w:t>.</w:t>
      </w:r>
      <w:r w:rsidRPr="001F325D">
        <w:rPr>
          <w:sz w:val="22"/>
          <w:szCs w:val="22"/>
        </w:rPr>
        <w:tab/>
        <w:t xml:space="preserve">The Committee on Sustainable Energy requested the Group of Experts to consider the suggested clarifications in its mandate and terms of reference at its seventeenth session. The Group of Experts discussed the Committee’s suggested clarifications to its mandate and terms of reference proposed </w:t>
      </w:r>
      <w:r w:rsidRPr="001F325D">
        <w:rPr>
          <w:sz w:val="22"/>
          <w:szCs w:val="22"/>
        </w:rPr>
        <w:lastRenderedPageBreak/>
        <w:t xml:space="preserve">changes and made </w:t>
      </w:r>
      <w:proofErr w:type="gramStart"/>
      <w:r w:rsidRPr="001F325D">
        <w:rPr>
          <w:sz w:val="22"/>
          <w:szCs w:val="22"/>
        </w:rPr>
        <w:t>a number of</w:t>
      </w:r>
      <w:proofErr w:type="gramEnd"/>
      <w:r w:rsidRPr="001F325D">
        <w:rPr>
          <w:sz w:val="22"/>
          <w:szCs w:val="22"/>
        </w:rPr>
        <w:t xml:space="preserve"> amendments to the text of its mandate and terms of reference, which will be presented to the Committee at its thirty-first session.</w:t>
      </w:r>
    </w:p>
    <w:p w14:paraId="4E3F5780" w14:textId="77777777" w:rsidR="001F325D" w:rsidRPr="001F325D" w:rsidRDefault="001F325D" w:rsidP="001F325D">
      <w:pPr>
        <w:pStyle w:val="SingleTxtG"/>
        <w:ind w:left="0" w:right="20"/>
        <w:rPr>
          <w:sz w:val="22"/>
          <w:szCs w:val="22"/>
        </w:rPr>
      </w:pPr>
      <w:r w:rsidRPr="001F325D">
        <w:rPr>
          <w:sz w:val="22"/>
          <w:szCs w:val="22"/>
        </w:rPr>
        <w:t>[Final agreed text of amendments to be included]</w:t>
      </w:r>
    </w:p>
    <w:p w14:paraId="37690872" w14:textId="77777777" w:rsidR="002F0B83" w:rsidRPr="00F95720" w:rsidRDefault="002F0B83" w:rsidP="005362A8">
      <w:pPr>
        <w:tabs>
          <w:tab w:val="left" w:pos="567"/>
          <w:tab w:val="left" w:pos="1985"/>
        </w:tabs>
        <w:suppressAutoHyphens w:val="0"/>
        <w:spacing w:line="240" w:lineRule="auto"/>
        <w:jc w:val="both"/>
        <w:rPr>
          <w:rFonts w:eastAsia="Cambria"/>
          <w:sz w:val="22"/>
          <w:szCs w:val="22"/>
        </w:rPr>
      </w:pPr>
    </w:p>
    <w:p w14:paraId="5375C8F1" w14:textId="3535A48E" w:rsidR="002F0B83" w:rsidRDefault="00A63EA8" w:rsidP="005362A8">
      <w:pPr>
        <w:tabs>
          <w:tab w:val="left" w:pos="1985"/>
        </w:tabs>
        <w:suppressAutoHyphens w:val="0"/>
        <w:spacing w:line="240" w:lineRule="auto"/>
        <w:jc w:val="both"/>
        <w:rPr>
          <w:b/>
          <w:bCs/>
          <w:color w:val="000000" w:themeColor="text1"/>
          <w:sz w:val="22"/>
          <w:szCs w:val="28"/>
        </w:rPr>
      </w:pPr>
      <w:r w:rsidRPr="00F95720">
        <w:rPr>
          <w:b/>
          <w:bCs/>
          <w:sz w:val="22"/>
          <w:szCs w:val="22"/>
        </w:rPr>
        <w:t xml:space="preserve">Agenda Item </w:t>
      </w:r>
      <w:r w:rsidR="00CC7605">
        <w:rPr>
          <w:b/>
          <w:bCs/>
          <w:sz w:val="22"/>
          <w:szCs w:val="22"/>
        </w:rPr>
        <w:t>4</w:t>
      </w:r>
      <w:r w:rsidRPr="00F95720">
        <w:rPr>
          <w:b/>
          <w:bCs/>
          <w:sz w:val="22"/>
          <w:szCs w:val="22"/>
        </w:rPr>
        <w:t xml:space="preserve">: </w:t>
      </w:r>
      <w:r w:rsidR="00CC7605" w:rsidRPr="00CC7605">
        <w:rPr>
          <w:b/>
          <w:bCs/>
          <w:color w:val="000000" w:themeColor="text1"/>
          <w:sz w:val="22"/>
          <w:szCs w:val="28"/>
        </w:rPr>
        <w:t>Report on implementation of the work plan for 2020-2021</w:t>
      </w:r>
    </w:p>
    <w:p w14:paraId="1968896B" w14:textId="3A5F837E" w:rsidR="00CC7605" w:rsidRPr="00CC7605" w:rsidRDefault="00CC7605" w:rsidP="00CC7605">
      <w:pPr>
        <w:pStyle w:val="SingleTxtG"/>
        <w:ind w:left="0" w:right="20"/>
        <w:rPr>
          <w:color w:val="000000" w:themeColor="text1"/>
          <w:sz w:val="22"/>
          <w:szCs w:val="22"/>
        </w:rPr>
      </w:pPr>
      <w:r>
        <w:rPr>
          <w:color w:val="000000" w:themeColor="text1"/>
          <w:sz w:val="22"/>
          <w:szCs w:val="22"/>
        </w:rPr>
        <w:t>8</w:t>
      </w:r>
      <w:r w:rsidRPr="00CC7605">
        <w:rPr>
          <w:color w:val="000000" w:themeColor="text1"/>
          <w:sz w:val="22"/>
          <w:szCs w:val="22"/>
        </w:rPr>
        <w:t>.</w:t>
      </w:r>
      <w:r w:rsidRPr="00CC7605">
        <w:rPr>
          <w:sz w:val="22"/>
          <w:szCs w:val="22"/>
        </w:rPr>
        <w:tab/>
      </w:r>
      <w:r w:rsidRPr="00CC7605">
        <w:rPr>
          <w:color w:val="000000" w:themeColor="text1"/>
          <w:sz w:val="22"/>
          <w:szCs w:val="22"/>
        </w:rPr>
        <w:t xml:space="preserve">The Group of Experts noted that its work plan for 2020-2021 was </w:t>
      </w:r>
      <w:r w:rsidR="00D01C77">
        <w:rPr>
          <w:color w:val="000000" w:themeColor="text1"/>
          <w:sz w:val="22"/>
          <w:szCs w:val="22"/>
        </w:rPr>
        <w:t>fully</w:t>
      </w:r>
      <w:r w:rsidR="00D01C77" w:rsidRPr="00CC7605">
        <w:rPr>
          <w:color w:val="000000" w:themeColor="text1"/>
          <w:sz w:val="22"/>
          <w:szCs w:val="22"/>
        </w:rPr>
        <w:t xml:space="preserve"> </w:t>
      </w:r>
      <w:r w:rsidRPr="00CC7605">
        <w:rPr>
          <w:color w:val="000000" w:themeColor="text1"/>
          <w:sz w:val="22"/>
          <w:szCs w:val="22"/>
        </w:rPr>
        <w:t>implemented. The Chair and the secretariat thanked the members of the Group for their contribution</w:t>
      </w:r>
      <w:r w:rsidR="00D01C77">
        <w:rPr>
          <w:color w:val="000000" w:themeColor="text1"/>
          <w:sz w:val="22"/>
          <w:szCs w:val="22"/>
        </w:rPr>
        <w:t>s</w:t>
      </w:r>
      <w:r w:rsidRPr="00CC7605">
        <w:rPr>
          <w:color w:val="000000" w:themeColor="text1"/>
          <w:sz w:val="22"/>
          <w:szCs w:val="22"/>
        </w:rPr>
        <w:t xml:space="preserve"> to delivering on the mandated activities.   </w:t>
      </w:r>
    </w:p>
    <w:p w14:paraId="5A6C7E46" w14:textId="57CB5538" w:rsidR="00CC7605" w:rsidRPr="00CC7605" w:rsidRDefault="00CC7605" w:rsidP="00CC7605">
      <w:pPr>
        <w:pStyle w:val="SingleTxtG"/>
        <w:ind w:left="0" w:right="20"/>
        <w:rPr>
          <w:color w:val="000000" w:themeColor="text1"/>
          <w:sz w:val="22"/>
          <w:szCs w:val="22"/>
        </w:rPr>
      </w:pPr>
      <w:r>
        <w:rPr>
          <w:color w:val="000000" w:themeColor="text1"/>
          <w:sz w:val="22"/>
          <w:szCs w:val="22"/>
        </w:rPr>
        <w:t>9</w:t>
      </w:r>
      <w:r w:rsidRPr="00CC7605">
        <w:rPr>
          <w:color w:val="000000" w:themeColor="text1"/>
          <w:sz w:val="22"/>
          <w:szCs w:val="22"/>
        </w:rPr>
        <w:t>.</w:t>
      </w:r>
      <w:r w:rsidRPr="00CC7605">
        <w:rPr>
          <w:sz w:val="22"/>
          <w:szCs w:val="22"/>
        </w:rPr>
        <w:tab/>
      </w:r>
      <w:r w:rsidRPr="00CC7605">
        <w:rPr>
          <w:color w:val="000000" w:themeColor="text1"/>
          <w:sz w:val="22"/>
          <w:szCs w:val="22"/>
        </w:rPr>
        <w:t xml:space="preserve">The Group of Experts thanked the International </w:t>
      </w:r>
      <w:proofErr w:type="spellStart"/>
      <w:r w:rsidRPr="00CC7605">
        <w:rPr>
          <w:color w:val="000000" w:themeColor="text1"/>
          <w:sz w:val="22"/>
          <w:szCs w:val="22"/>
        </w:rPr>
        <w:t>Centres</w:t>
      </w:r>
      <w:proofErr w:type="spellEnd"/>
      <w:r w:rsidRPr="00CC7605">
        <w:rPr>
          <w:color w:val="000000" w:themeColor="text1"/>
          <w:sz w:val="22"/>
          <w:szCs w:val="22"/>
        </w:rPr>
        <w:t xml:space="preserve"> of Excellence on Coal Mine Methane (ICE-CMM) in Poland and in China for their efforts and initiatives supporting the Group’s work on disseminating and promoting best practices in methane detection, monitoring, capture, and use, approved their annual reports for 2021, and approved their work plans for 2022. The Group of Experts further noted the encouragement from the Committee to establish additional </w:t>
      </w:r>
      <w:proofErr w:type="spellStart"/>
      <w:r w:rsidRPr="00CC7605">
        <w:rPr>
          <w:color w:val="000000" w:themeColor="text1"/>
          <w:sz w:val="22"/>
          <w:szCs w:val="22"/>
        </w:rPr>
        <w:t>centres</w:t>
      </w:r>
      <w:proofErr w:type="spellEnd"/>
      <w:r w:rsidRPr="00CC7605">
        <w:rPr>
          <w:color w:val="000000" w:themeColor="text1"/>
          <w:sz w:val="22"/>
          <w:szCs w:val="22"/>
        </w:rPr>
        <w:t xml:space="preserve"> and requested the secretariat to seek additional </w:t>
      </w:r>
      <w:r w:rsidR="00D01C77">
        <w:rPr>
          <w:color w:val="000000" w:themeColor="text1"/>
          <w:sz w:val="22"/>
          <w:szCs w:val="22"/>
        </w:rPr>
        <w:t xml:space="preserve">partners and </w:t>
      </w:r>
      <w:r w:rsidRPr="00CC7605">
        <w:rPr>
          <w:color w:val="000000" w:themeColor="text1"/>
          <w:sz w:val="22"/>
          <w:szCs w:val="22"/>
        </w:rPr>
        <w:t xml:space="preserve">extrabudgetary resources to this end. </w:t>
      </w:r>
    </w:p>
    <w:p w14:paraId="2B6CAF55" w14:textId="5D31A766" w:rsidR="002F0B83" w:rsidRPr="00F95720" w:rsidRDefault="00CC7605" w:rsidP="005362A8">
      <w:pPr>
        <w:tabs>
          <w:tab w:val="left" w:pos="1985"/>
        </w:tabs>
        <w:suppressAutoHyphens w:val="0"/>
        <w:spacing w:line="240" w:lineRule="auto"/>
        <w:jc w:val="both"/>
        <w:rPr>
          <w:rFonts w:eastAsia="Cambria"/>
          <w:b/>
          <w:bCs/>
          <w:sz w:val="22"/>
          <w:szCs w:val="22"/>
        </w:rPr>
      </w:pPr>
      <w:r w:rsidRPr="00CC7605">
        <w:rPr>
          <w:rFonts w:eastAsia="Cambria"/>
          <w:b/>
          <w:bCs/>
          <w:sz w:val="22"/>
          <w:szCs w:val="22"/>
        </w:rPr>
        <w:t>A</w:t>
      </w:r>
      <w:r w:rsidR="00A63EA8" w:rsidRPr="00F95720">
        <w:rPr>
          <w:b/>
          <w:bCs/>
          <w:sz w:val="22"/>
          <w:szCs w:val="22"/>
        </w:rPr>
        <w:t xml:space="preserve">genda Item </w:t>
      </w:r>
      <w:r>
        <w:rPr>
          <w:b/>
          <w:bCs/>
          <w:sz w:val="22"/>
          <w:szCs w:val="22"/>
        </w:rPr>
        <w:t>5</w:t>
      </w:r>
      <w:r w:rsidR="00A63EA8" w:rsidRPr="00F95720">
        <w:rPr>
          <w:b/>
          <w:bCs/>
          <w:sz w:val="22"/>
          <w:szCs w:val="22"/>
        </w:rPr>
        <w:t xml:space="preserve">: </w:t>
      </w:r>
      <w:r>
        <w:rPr>
          <w:b/>
          <w:bCs/>
          <w:sz w:val="22"/>
          <w:szCs w:val="22"/>
        </w:rPr>
        <w:t>Work P</w:t>
      </w:r>
      <w:r w:rsidR="00A63EA8" w:rsidRPr="00F95720">
        <w:rPr>
          <w:b/>
          <w:bCs/>
          <w:sz w:val="22"/>
          <w:szCs w:val="22"/>
        </w:rPr>
        <w:t>lan for 202</w:t>
      </w:r>
      <w:r>
        <w:rPr>
          <w:b/>
          <w:bCs/>
          <w:sz w:val="22"/>
          <w:szCs w:val="22"/>
        </w:rPr>
        <w:t>2</w:t>
      </w:r>
      <w:r w:rsidR="00A63EA8" w:rsidRPr="00F95720">
        <w:rPr>
          <w:b/>
          <w:bCs/>
          <w:sz w:val="22"/>
          <w:szCs w:val="22"/>
        </w:rPr>
        <w:t>-202</w:t>
      </w:r>
      <w:r>
        <w:rPr>
          <w:b/>
          <w:bCs/>
          <w:sz w:val="22"/>
          <w:szCs w:val="22"/>
        </w:rPr>
        <w:t>3</w:t>
      </w:r>
      <w:r w:rsidR="00A63EA8" w:rsidRPr="00F95720">
        <w:rPr>
          <w:b/>
          <w:bCs/>
          <w:sz w:val="22"/>
          <w:szCs w:val="22"/>
        </w:rPr>
        <w:t xml:space="preserve"> </w:t>
      </w:r>
    </w:p>
    <w:p w14:paraId="030FFB93" w14:textId="4DFC5982" w:rsidR="00CC7605" w:rsidRPr="00CC7605" w:rsidRDefault="00CC7605" w:rsidP="00CC7605">
      <w:pPr>
        <w:pStyle w:val="SingleTxtG"/>
        <w:ind w:left="0" w:right="20"/>
        <w:rPr>
          <w:color w:val="000000" w:themeColor="text1"/>
          <w:sz w:val="22"/>
          <w:szCs w:val="22"/>
        </w:rPr>
      </w:pPr>
      <w:r>
        <w:rPr>
          <w:color w:val="000000" w:themeColor="text1"/>
          <w:sz w:val="22"/>
          <w:szCs w:val="22"/>
        </w:rPr>
        <w:t>1</w:t>
      </w:r>
      <w:r w:rsidR="00354319">
        <w:rPr>
          <w:color w:val="000000" w:themeColor="text1"/>
          <w:sz w:val="22"/>
          <w:szCs w:val="22"/>
        </w:rPr>
        <w:t>0</w:t>
      </w:r>
      <w:r w:rsidRPr="00CC7605">
        <w:rPr>
          <w:color w:val="000000" w:themeColor="text1"/>
          <w:sz w:val="22"/>
          <w:szCs w:val="22"/>
        </w:rPr>
        <w:t>.</w:t>
      </w:r>
      <w:r w:rsidRPr="00CC7605">
        <w:rPr>
          <w:sz w:val="22"/>
          <w:szCs w:val="22"/>
        </w:rPr>
        <w:tab/>
      </w:r>
      <w:r w:rsidRPr="00CC7605">
        <w:rPr>
          <w:color w:val="000000" w:themeColor="text1"/>
          <w:sz w:val="22"/>
          <w:szCs w:val="22"/>
        </w:rPr>
        <w:t>The Chair of the Group of Experts encouraged all its members to engage actively in the work of the Group to assure timely and effective delivery of deliverables.</w:t>
      </w:r>
    </w:p>
    <w:p w14:paraId="1732E3BD" w14:textId="3431899B" w:rsidR="00CC7605" w:rsidRPr="00CC7605" w:rsidRDefault="00CC7605" w:rsidP="00CC7605">
      <w:pPr>
        <w:pStyle w:val="SingleTxtG"/>
        <w:ind w:left="0" w:right="20"/>
        <w:rPr>
          <w:color w:val="000000" w:themeColor="text1"/>
          <w:sz w:val="22"/>
          <w:szCs w:val="22"/>
        </w:rPr>
      </w:pPr>
      <w:r>
        <w:rPr>
          <w:color w:val="000000" w:themeColor="text1"/>
          <w:sz w:val="22"/>
          <w:szCs w:val="22"/>
        </w:rPr>
        <w:t>1</w:t>
      </w:r>
      <w:r w:rsidR="00354319">
        <w:rPr>
          <w:color w:val="000000" w:themeColor="text1"/>
          <w:sz w:val="22"/>
          <w:szCs w:val="22"/>
        </w:rPr>
        <w:t>1</w:t>
      </w:r>
      <w:r w:rsidRPr="00CC7605">
        <w:rPr>
          <w:color w:val="000000" w:themeColor="text1"/>
          <w:sz w:val="22"/>
          <w:szCs w:val="22"/>
        </w:rPr>
        <w:t>.</w:t>
      </w:r>
      <w:r w:rsidRPr="00CC7605">
        <w:rPr>
          <w:color w:val="000000" w:themeColor="text1"/>
          <w:sz w:val="22"/>
          <w:szCs w:val="22"/>
        </w:rPr>
        <w:tab/>
        <w:t xml:space="preserve">In view of the broadened mandate of the Group to </w:t>
      </w:r>
      <w:r w:rsidR="00D01C77">
        <w:rPr>
          <w:color w:val="000000" w:themeColor="text1"/>
          <w:sz w:val="22"/>
          <w:szCs w:val="22"/>
        </w:rPr>
        <w:t xml:space="preserve">address </w:t>
      </w:r>
      <w:r w:rsidRPr="00CC7605">
        <w:rPr>
          <w:color w:val="000000" w:themeColor="text1"/>
          <w:sz w:val="22"/>
          <w:szCs w:val="22"/>
        </w:rPr>
        <w:t>just transition issues, the Group discussed the need to expand its membership</w:t>
      </w:r>
      <w:r w:rsidR="00D01C77">
        <w:rPr>
          <w:color w:val="000000" w:themeColor="text1"/>
          <w:sz w:val="22"/>
          <w:szCs w:val="22"/>
        </w:rPr>
        <w:t xml:space="preserve"> to include relevant stakeholder groups</w:t>
      </w:r>
      <w:r w:rsidRPr="00CC7605">
        <w:rPr>
          <w:color w:val="000000" w:themeColor="text1"/>
          <w:sz w:val="22"/>
          <w:szCs w:val="22"/>
        </w:rPr>
        <w:t xml:space="preserve">. The Group requested the Bureau in cooperation with the secretariat to develop an outreach plan </w:t>
      </w:r>
      <w:r w:rsidR="00D01C77">
        <w:rPr>
          <w:color w:val="000000" w:themeColor="text1"/>
          <w:sz w:val="22"/>
          <w:szCs w:val="22"/>
        </w:rPr>
        <w:t>for</w:t>
      </w:r>
      <w:r w:rsidRPr="00CC7605">
        <w:rPr>
          <w:color w:val="000000" w:themeColor="text1"/>
          <w:sz w:val="22"/>
          <w:szCs w:val="22"/>
        </w:rPr>
        <w:t xml:space="preserve"> </w:t>
      </w:r>
      <w:r w:rsidR="00D01C77">
        <w:rPr>
          <w:color w:val="000000" w:themeColor="text1"/>
          <w:sz w:val="22"/>
          <w:szCs w:val="22"/>
        </w:rPr>
        <w:t xml:space="preserve">those </w:t>
      </w:r>
      <w:r w:rsidRPr="00CC7605">
        <w:rPr>
          <w:color w:val="000000" w:themeColor="text1"/>
          <w:sz w:val="22"/>
          <w:szCs w:val="22"/>
        </w:rPr>
        <w:t xml:space="preserve">groups. The Group discussed the value of establishing task forces or working groups to deliver on specific activities under the work plan and tasked the Bureau to implement this approach.  </w:t>
      </w:r>
    </w:p>
    <w:p w14:paraId="4AE20C94" w14:textId="75C81591" w:rsidR="002F0B83" w:rsidRDefault="00A63EA8" w:rsidP="00CC7605">
      <w:pPr>
        <w:pStyle w:val="SingleTxtG"/>
        <w:spacing w:after="0"/>
        <w:ind w:left="0" w:right="27"/>
        <w:rPr>
          <w:b/>
          <w:bCs/>
          <w:sz w:val="22"/>
          <w:szCs w:val="22"/>
        </w:rPr>
      </w:pPr>
      <w:r w:rsidRPr="00F95720">
        <w:rPr>
          <w:b/>
          <w:bCs/>
          <w:sz w:val="22"/>
          <w:szCs w:val="22"/>
        </w:rPr>
        <w:t xml:space="preserve">Agenda Item </w:t>
      </w:r>
      <w:r w:rsidR="00CC7605">
        <w:rPr>
          <w:b/>
          <w:bCs/>
          <w:sz w:val="22"/>
          <w:szCs w:val="22"/>
        </w:rPr>
        <w:t>6</w:t>
      </w:r>
      <w:r w:rsidRPr="00F95720">
        <w:rPr>
          <w:b/>
          <w:bCs/>
          <w:sz w:val="22"/>
          <w:szCs w:val="22"/>
        </w:rPr>
        <w:t xml:space="preserve">: </w:t>
      </w:r>
      <w:r w:rsidR="00CC7605" w:rsidRPr="00CC7605">
        <w:rPr>
          <w:b/>
          <w:bCs/>
          <w:sz w:val="22"/>
          <w:szCs w:val="22"/>
        </w:rPr>
        <w:t>Methane emissions from coal mines</w:t>
      </w:r>
    </w:p>
    <w:p w14:paraId="701B5DFD" w14:textId="1360B8D0" w:rsidR="00CC7605" w:rsidRPr="00CC7605" w:rsidRDefault="00CC7605" w:rsidP="00CC7605">
      <w:pPr>
        <w:pStyle w:val="SingleTxtG"/>
        <w:ind w:left="0" w:right="20"/>
        <w:rPr>
          <w:sz w:val="22"/>
          <w:szCs w:val="22"/>
        </w:rPr>
      </w:pPr>
      <w:r>
        <w:rPr>
          <w:color w:val="000000" w:themeColor="text1"/>
          <w:sz w:val="22"/>
          <w:szCs w:val="22"/>
        </w:rPr>
        <w:t>1</w:t>
      </w:r>
      <w:r w:rsidR="00354319">
        <w:rPr>
          <w:color w:val="000000" w:themeColor="text1"/>
          <w:sz w:val="22"/>
          <w:szCs w:val="22"/>
        </w:rPr>
        <w:t>2</w:t>
      </w:r>
      <w:r w:rsidRPr="00CC7605">
        <w:rPr>
          <w:color w:val="000000" w:themeColor="text1"/>
          <w:sz w:val="22"/>
          <w:szCs w:val="22"/>
        </w:rPr>
        <w:t>.</w:t>
      </w:r>
      <w:r w:rsidRPr="00CC7605">
        <w:rPr>
          <w:sz w:val="22"/>
          <w:szCs w:val="22"/>
        </w:rPr>
        <w:tab/>
        <w:t xml:space="preserve">The Group of Experts discussed proposed methane legislation presented by the European Commission in December 2021. Following the debate, the Group of Experts identified certain provisions of concern and requested the </w:t>
      </w:r>
      <w:r w:rsidR="00D01C77">
        <w:rPr>
          <w:sz w:val="22"/>
          <w:szCs w:val="22"/>
        </w:rPr>
        <w:t xml:space="preserve">Chair and the </w:t>
      </w:r>
      <w:r w:rsidRPr="00CC7605">
        <w:rPr>
          <w:sz w:val="22"/>
          <w:szCs w:val="22"/>
        </w:rPr>
        <w:t xml:space="preserve">secretariat to submit agreed feedback to the European Commission through </w:t>
      </w:r>
      <w:r w:rsidR="00D01C77">
        <w:rPr>
          <w:sz w:val="22"/>
          <w:szCs w:val="22"/>
        </w:rPr>
        <w:t>the</w:t>
      </w:r>
      <w:r w:rsidR="00D01C77" w:rsidRPr="00CC7605">
        <w:rPr>
          <w:sz w:val="22"/>
          <w:szCs w:val="22"/>
        </w:rPr>
        <w:t xml:space="preserve"> </w:t>
      </w:r>
      <w:r w:rsidRPr="00CC7605">
        <w:rPr>
          <w:sz w:val="22"/>
          <w:szCs w:val="22"/>
        </w:rPr>
        <w:t xml:space="preserve">consultation procedure established for that purpose. </w:t>
      </w:r>
    </w:p>
    <w:p w14:paraId="64F1B01D" w14:textId="62FAD6A6" w:rsidR="00CC7605" w:rsidRPr="00CC7605" w:rsidRDefault="00CC7605" w:rsidP="00CC7605">
      <w:pPr>
        <w:pStyle w:val="SingleTxtG"/>
        <w:ind w:left="0" w:right="20"/>
        <w:rPr>
          <w:sz w:val="22"/>
          <w:szCs w:val="22"/>
        </w:rPr>
      </w:pPr>
      <w:r>
        <w:rPr>
          <w:color w:val="000000" w:themeColor="text1"/>
          <w:sz w:val="22"/>
          <w:szCs w:val="22"/>
        </w:rPr>
        <w:t>1</w:t>
      </w:r>
      <w:r w:rsidR="00354319">
        <w:rPr>
          <w:color w:val="000000" w:themeColor="text1"/>
          <w:sz w:val="22"/>
          <w:szCs w:val="22"/>
        </w:rPr>
        <w:t>3</w:t>
      </w:r>
      <w:r w:rsidRPr="00CC7605">
        <w:rPr>
          <w:color w:val="000000" w:themeColor="text1"/>
          <w:sz w:val="22"/>
          <w:szCs w:val="22"/>
        </w:rPr>
        <w:t>.</w:t>
      </w:r>
      <w:r w:rsidRPr="00CC7605">
        <w:rPr>
          <w:sz w:val="22"/>
          <w:szCs w:val="22"/>
        </w:rPr>
        <w:tab/>
        <w:t xml:space="preserve">The Group of Experts was presented with the newly published </w:t>
      </w:r>
      <w:r w:rsidRPr="00CC7605">
        <w:rPr>
          <w:i/>
          <w:iCs/>
          <w:sz w:val="22"/>
          <w:szCs w:val="22"/>
        </w:rPr>
        <w:t>Best Practice Guidance for Effective Management of Coal Mine Methane at National Level: Monitoring, Reporting, Verification and Mitigation</w:t>
      </w:r>
      <w:r w:rsidRPr="00CC7605">
        <w:rPr>
          <w:sz w:val="22"/>
          <w:szCs w:val="22"/>
        </w:rPr>
        <w:t xml:space="preserve"> (ECE/ENERGY/139 and ECE Energy Series No. 71). It congratulated the Task Force </w:t>
      </w:r>
      <w:r w:rsidR="007A4F10">
        <w:rPr>
          <w:sz w:val="22"/>
          <w:szCs w:val="22"/>
        </w:rPr>
        <w:t>that</w:t>
      </w:r>
      <w:r w:rsidRPr="00CC7605">
        <w:rPr>
          <w:sz w:val="22"/>
          <w:szCs w:val="22"/>
        </w:rPr>
        <w:t xml:space="preserve"> developed the document for its work. The Group of Experts observed that reliable emissions data are necessary for designing effective policies on control and reduction of greenhouse gas (GHG) emissions and for accurate evaluation of available mitigation opportunities. It also highlighted the immediate need for national emissions monitoring and reporting schemes based on comparable methodologies</w:t>
      </w:r>
      <w:r w:rsidR="007A4F10">
        <w:rPr>
          <w:sz w:val="22"/>
          <w:szCs w:val="22"/>
        </w:rPr>
        <w:t xml:space="preserve">, </w:t>
      </w:r>
      <w:r w:rsidRPr="00CC7605">
        <w:rPr>
          <w:sz w:val="22"/>
          <w:szCs w:val="22"/>
        </w:rPr>
        <w:t xml:space="preserve">called upon member States to develop such </w:t>
      </w:r>
      <w:proofErr w:type="gramStart"/>
      <w:r w:rsidR="007A4F10" w:rsidRPr="00CC7605">
        <w:rPr>
          <w:sz w:val="22"/>
          <w:szCs w:val="22"/>
        </w:rPr>
        <w:t>schemes</w:t>
      </w:r>
      <w:proofErr w:type="gramEnd"/>
      <w:r w:rsidR="007A4F10">
        <w:rPr>
          <w:sz w:val="22"/>
          <w:szCs w:val="22"/>
        </w:rPr>
        <w:t xml:space="preserve"> and proposed to assess the comparability and merits of the various methodologies that are being used</w:t>
      </w:r>
      <w:r w:rsidRPr="00CC7605">
        <w:rPr>
          <w:sz w:val="22"/>
          <w:szCs w:val="22"/>
        </w:rPr>
        <w:t>.</w:t>
      </w:r>
    </w:p>
    <w:p w14:paraId="28A09DF2" w14:textId="25AB9A0A" w:rsidR="007A4F10" w:rsidRPr="00CC7605" w:rsidRDefault="007A4F10" w:rsidP="00D7456E">
      <w:pPr>
        <w:pStyle w:val="SingleTxtG"/>
        <w:ind w:left="0" w:right="20"/>
        <w:rPr>
          <w:sz w:val="22"/>
          <w:szCs w:val="22"/>
        </w:rPr>
      </w:pPr>
      <w:r>
        <w:rPr>
          <w:color w:val="000000" w:themeColor="text1"/>
          <w:sz w:val="22"/>
          <w:szCs w:val="22"/>
        </w:rPr>
        <w:t>1</w:t>
      </w:r>
      <w:r w:rsidR="00354319">
        <w:rPr>
          <w:color w:val="000000" w:themeColor="text1"/>
          <w:sz w:val="22"/>
          <w:szCs w:val="22"/>
        </w:rPr>
        <w:t>4</w:t>
      </w:r>
      <w:r w:rsidR="00CC7605" w:rsidRPr="00CC7605">
        <w:rPr>
          <w:color w:val="000000" w:themeColor="text1"/>
          <w:sz w:val="22"/>
          <w:szCs w:val="22"/>
        </w:rPr>
        <w:t>.</w:t>
      </w:r>
      <w:r w:rsidR="00CC7605" w:rsidRPr="00CC7605">
        <w:rPr>
          <w:sz w:val="22"/>
          <w:szCs w:val="22"/>
        </w:rPr>
        <w:tab/>
        <w:t>In th</w:t>
      </w:r>
      <w:r>
        <w:rPr>
          <w:sz w:val="22"/>
          <w:szCs w:val="22"/>
        </w:rPr>
        <w:t>e context of efforts to reduce global methane emissions</w:t>
      </w:r>
      <w:r w:rsidR="00CC7605" w:rsidRPr="00CC7605">
        <w:rPr>
          <w:sz w:val="22"/>
          <w:szCs w:val="22"/>
        </w:rPr>
        <w:t>, the Group of Experts highlighted the need to incorporate in all methane emission</w:t>
      </w:r>
      <w:r>
        <w:rPr>
          <w:sz w:val="22"/>
          <w:szCs w:val="22"/>
        </w:rPr>
        <w:t>s</w:t>
      </w:r>
      <w:r w:rsidR="00CC7605" w:rsidRPr="00CC7605">
        <w:rPr>
          <w:sz w:val="22"/>
          <w:szCs w:val="22"/>
        </w:rPr>
        <w:t xml:space="preserve"> reduction initiatives an understanding that any such actions </w:t>
      </w:r>
      <w:r>
        <w:rPr>
          <w:sz w:val="22"/>
          <w:szCs w:val="22"/>
        </w:rPr>
        <w:t>could</w:t>
      </w:r>
      <w:r w:rsidRPr="00CC7605">
        <w:rPr>
          <w:sz w:val="22"/>
          <w:szCs w:val="22"/>
        </w:rPr>
        <w:t xml:space="preserve"> </w:t>
      </w:r>
      <w:r w:rsidR="00CC7605" w:rsidRPr="00CC7605">
        <w:rPr>
          <w:sz w:val="22"/>
          <w:szCs w:val="22"/>
        </w:rPr>
        <w:t>have implications</w:t>
      </w:r>
      <w:r>
        <w:rPr>
          <w:sz w:val="22"/>
          <w:szCs w:val="22"/>
        </w:rPr>
        <w:t xml:space="preserve"> that, </w:t>
      </w:r>
      <w:r w:rsidR="00CC7605" w:rsidRPr="00CC7605">
        <w:rPr>
          <w:sz w:val="22"/>
          <w:szCs w:val="22"/>
        </w:rPr>
        <w:t>if not properly addressed</w:t>
      </w:r>
      <w:r>
        <w:rPr>
          <w:sz w:val="22"/>
          <w:szCs w:val="22"/>
        </w:rPr>
        <w:t>,</w:t>
      </w:r>
      <w:r w:rsidR="00CC7605" w:rsidRPr="00CC7605">
        <w:rPr>
          <w:sz w:val="22"/>
          <w:szCs w:val="22"/>
        </w:rPr>
        <w:t xml:space="preserve"> </w:t>
      </w:r>
      <w:r>
        <w:rPr>
          <w:sz w:val="22"/>
          <w:szCs w:val="22"/>
        </w:rPr>
        <w:t>might</w:t>
      </w:r>
      <w:r w:rsidR="00CC7605" w:rsidRPr="00CC7605">
        <w:rPr>
          <w:sz w:val="22"/>
          <w:szCs w:val="22"/>
        </w:rPr>
        <w:t xml:space="preserve"> harm communities</w:t>
      </w:r>
      <w:r>
        <w:rPr>
          <w:sz w:val="22"/>
          <w:szCs w:val="22"/>
        </w:rPr>
        <w:t xml:space="preserve"> and </w:t>
      </w:r>
      <w:r w:rsidR="00CC7605" w:rsidRPr="00CC7605">
        <w:rPr>
          <w:sz w:val="22"/>
          <w:szCs w:val="22"/>
        </w:rPr>
        <w:t>the global flow of strategic resources.</w:t>
      </w:r>
    </w:p>
    <w:p w14:paraId="398D25B8" w14:textId="7D948C78" w:rsidR="002F0B83" w:rsidRPr="00F95720" w:rsidRDefault="00A63EA8" w:rsidP="005362A8">
      <w:pPr>
        <w:tabs>
          <w:tab w:val="left" w:pos="1985"/>
        </w:tabs>
        <w:suppressAutoHyphens w:val="0"/>
        <w:spacing w:line="240" w:lineRule="auto"/>
        <w:jc w:val="both"/>
        <w:rPr>
          <w:rFonts w:eastAsia="Cambria"/>
          <w:b/>
          <w:bCs/>
          <w:sz w:val="22"/>
          <w:szCs w:val="22"/>
        </w:rPr>
      </w:pPr>
      <w:r w:rsidRPr="00F95720">
        <w:rPr>
          <w:b/>
          <w:bCs/>
          <w:sz w:val="22"/>
          <w:szCs w:val="22"/>
        </w:rPr>
        <w:t xml:space="preserve">Agenda Item </w:t>
      </w:r>
      <w:r w:rsidR="00CC7605">
        <w:rPr>
          <w:b/>
          <w:bCs/>
          <w:sz w:val="22"/>
          <w:szCs w:val="22"/>
        </w:rPr>
        <w:t>7</w:t>
      </w:r>
      <w:r w:rsidRPr="00F95720">
        <w:rPr>
          <w:b/>
          <w:bCs/>
          <w:sz w:val="22"/>
          <w:szCs w:val="22"/>
        </w:rPr>
        <w:t xml:space="preserve">: </w:t>
      </w:r>
      <w:r w:rsidR="00CC7605" w:rsidRPr="00CC7605">
        <w:rPr>
          <w:b/>
          <w:bCs/>
          <w:sz w:val="22"/>
          <w:szCs w:val="22"/>
        </w:rPr>
        <w:t>Transition of the coal mining sector</w:t>
      </w:r>
    </w:p>
    <w:p w14:paraId="184BD43C" w14:textId="39A32205" w:rsidR="00CC7605" w:rsidRPr="00CC7605" w:rsidRDefault="007A4F10" w:rsidP="00CC7605">
      <w:pPr>
        <w:pStyle w:val="SingleTxtG"/>
        <w:ind w:left="0" w:right="20"/>
        <w:rPr>
          <w:sz w:val="22"/>
          <w:szCs w:val="22"/>
        </w:rPr>
      </w:pPr>
      <w:r>
        <w:rPr>
          <w:color w:val="000000" w:themeColor="text1"/>
          <w:sz w:val="22"/>
          <w:szCs w:val="22"/>
        </w:rPr>
        <w:t>1</w:t>
      </w:r>
      <w:r w:rsidR="00354319">
        <w:rPr>
          <w:color w:val="000000" w:themeColor="text1"/>
          <w:sz w:val="22"/>
          <w:szCs w:val="22"/>
        </w:rPr>
        <w:t>5</w:t>
      </w:r>
      <w:r w:rsidR="00CC7605" w:rsidRPr="00CC7605">
        <w:rPr>
          <w:color w:val="000000" w:themeColor="text1"/>
          <w:sz w:val="22"/>
          <w:szCs w:val="22"/>
        </w:rPr>
        <w:t>.</w:t>
      </w:r>
      <w:r w:rsidR="00CC7605" w:rsidRPr="00CC7605">
        <w:rPr>
          <w:sz w:val="22"/>
          <w:szCs w:val="22"/>
        </w:rPr>
        <w:tab/>
        <w:t>The Group of Experts discussed best strategies for incorporating into its work the challenges related to just transition</w:t>
      </w:r>
      <w:r>
        <w:rPr>
          <w:sz w:val="22"/>
          <w:szCs w:val="22"/>
        </w:rPr>
        <w:t>s</w:t>
      </w:r>
      <w:r w:rsidR="00CC7605" w:rsidRPr="00CC7605">
        <w:rPr>
          <w:sz w:val="22"/>
          <w:szCs w:val="22"/>
        </w:rPr>
        <w:t xml:space="preserve"> </w:t>
      </w:r>
      <w:r>
        <w:rPr>
          <w:sz w:val="22"/>
          <w:szCs w:val="22"/>
        </w:rPr>
        <w:t>in</w:t>
      </w:r>
      <w:r w:rsidRPr="00CC7605">
        <w:rPr>
          <w:sz w:val="22"/>
          <w:szCs w:val="22"/>
        </w:rPr>
        <w:t xml:space="preserve"> </w:t>
      </w:r>
      <w:r w:rsidR="00CC7605" w:rsidRPr="00CC7605">
        <w:rPr>
          <w:sz w:val="22"/>
          <w:szCs w:val="22"/>
        </w:rPr>
        <w:t xml:space="preserve">coal mining regions. It observed that the transition of the coal sector is a complex process that is proceeding at an uneven pace across the ECE region. </w:t>
      </w:r>
    </w:p>
    <w:p w14:paraId="3019D2CC" w14:textId="01ABF4D7" w:rsidR="00CC7605" w:rsidRPr="00CC7605" w:rsidRDefault="007A4F10" w:rsidP="00CC7605">
      <w:pPr>
        <w:pStyle w:val="SingleTxtG"/>
        <w:ind w:left="0" w:right="20"/>
        <w:rPr>
          <w:sz w:val="22"/>
          <w:szCs w:val="22"/>
        </w:rPr>
      </w:pPr>
      <w:r>
        <w:rPr>
          <w:color w:val="000000" w:themeColor="text1"/>
          <w:sz w:val="22"/>
          <w:szCs w:val="22"/>
        </w:rPr>
        <w:t>1</w:t>
      </w:r>
      <w:r w:rsidR="00354319">
        <w:rPr>
          <w:color w:val="000000" w:themeColor="text1"/>
          <w:sz w:val="22"/>
          <w:szCs w:val="22"/>
        </w:rPr>
        <w:t>6</w:t>
      </w:r>
      <w:r w:rsidR="00CC7605" w:rsidRPr="00CC7605">
        <w:rPr>
          <w:color w:val="000000" w:themeColor="text1"/>
          <w:sz w:val="22"/>
          <w:szCs w:val="22"/>
        </w:rPr>
        <w:t>.</w:t>
      </w:r>
      <w:r w:rsidR="00CC7605" w:rsidRPr="00CC7605">
        <w:rPr>
          <w:sz w:val="22"/>
          <w:szCs w:val="22"/>
        </w:rPr>
        <w:tab/>
        <w:t>The Group of Experts noted that infrastructure modernization and reorientation in coal mining regions towards a less mono</w:t>
      </w:r>
      <w:r>
        <w:rPr>
          <w:sz w:val="22"/>
          <w:szCs w:val="22"/>
        </w:rPr>
        <w:t>-</w:t>
      </w:r>
      <w:r w:rsidR="00CC7605" w:rsidRPr="00CC7605">
        <w:rPr>
          <w:sz w:val="22"/>
          <w:szCs w:val="22"/>
        </w:rPr>
        <w:t>sectoral economy will have a big impact on the social strata of affected localities and called upon member States to develop practical solutions and mechanisms aimed at alleviating shocks to vulnerable populations.</w:t>
      </w:r>
    </w:p>
    <w:p w14:paraId="31598074" w14:textId="71F09628" w:rsidR="007010D3" w:rsidRPr="00CC7605" w:rsidRDefault="007A4F10" w:rsidP="00CC7605">
      <w:pPr>
        <w:pStyle w:val="SingleTxtG"/>
        <w:ind w:left="0" w:right="20"/>
        <w:rPr>
          <w:sz w:val="22"/>
          <w:szCs w:val="22"/>
        </w:rPr>
      </w:pPr>
      <w:r>
        <w:rPr>
          <w:color w:val="000000" w:themeColor="text1"/>
          <w:sz w:val="22"/>
          <w:szCs w:val="22"/>
        </w:rPr>
        <w:t>1</w:t>
      </w:r>
      <w:r w:rsidR="00354319">
        <w:rPr>
          <w:color w:val="000000" w:themeColor="text1"/>
          <w:sz w:val="22"/>
          <w:szCs w:val="22"/>
        </w:rPr>
        <w:t>7</w:t>
      </w:r>
      <w:r w:rsidR="00CC7605" w:rsidRPr="00CC7605">
        <w:rPr>
          <w:color w:val="000000" w:themeColor="text1"/>
          <w:sz w:val="22"/>
          <w:szCs w:val="22"/>
        </w:rPr>
        <w:t>.</w:t>
      </w:r>
      <w:r w:rsidR="00CC7605" w:rsidRPr="00CC7605">
        <w:rPr>
          <w:sz w:val="22"/>
          <w:szCs w:val="22"/>
        </w:rPr>
        <w:t xml:space="preserve"> </w:t>
      </w:r>
      <w:r w:rsidR="00CC7605" w:rsidRPr="00CC7605">
        <w:rPr>
          <w:sz w:val="22"/>
          <w:szCs w:val="22"/>
        </w:rPr>
        <w:tab/>
        <w:t xml:space="preserve">The Group of Experts </w:t>
      </w:r>
      <w:r>
        <w:rPr>
          <w:sz w:val="22"/>
          <w:szCs w:val="22"/>
        </w:rPr>
        <w:t>considered</w:t>
      </w:r>
      <w:r w:rsidR="00CC7605" w:rsidRPr="00CC7605">
        <w:rPr>
          <w:sz w:val="22"/>
          <w:szCs w:val="22"/>
        </w:rPr>
        <w:t xml:space="preserve"> the impact</w:t>
      </w:r>
      <w:r>
        <w:rPr>
          <w:sz w:val="22"/>
          <w:szCs w:val="22"/>
        </w:rPr>
        <w:t>s</w:t>
      </w:r>
      <w:r w:rsidR="00CC7605" w:rsidRPr="00CC7605">
        <w:rPr>
          <w:sz w:val="22"/>
          <w:szCs w:val="22"/>
        </w:rPr>
        <w:t xml:space="preserve"> that transformation of coal mining regions might have on inhabitants who do not have a direct economic link </w:t>
      </w:r>
      <w:r>
        <w:rPr>
          <w:sz w:val="22"/>
          <w:szCs w:val="22"/>
        </w:rPr>
        <w:t>to</w:t>
      </w:r>
      <w:r w:rsidRPr="00CC7605">
        <w:rPr>
          <w:sz w:val="22"/>
          <w:szCs w:val="22"/>
        </w:rPr>
        <w:t xml:space="preserve"> </w:t>
      </w:r>
      <w:r w:rsidR="00CC7605" w:rsidRPr="00CC7605">
        <w:rPr>
          <w:sz w:val="22"/>
          <w:szCs w:val="22"/>
        </w:rPr>
        <w:t>the coal mining industry. The consequences for and impact</w:t>
      </w:r>
      <w:r>
        <w:rPr>
          <w:sz w:val="22"/>
          <w:szCs w:val="22"/>
        </w:rPr>
        <w:t>s</w:t>
      </w:r>
      <w:r w:rsidR="00CC7605" w:rsidRPr="00CC7605">
        <w:rPr>
          <w:sz w:val="22"/>
          <w:szCs w:val="22"/>
        </w:rPr>
        <w:t xml:space="preserve"> on women </w:t>
      </w:r>
      <w:proofErr w:type="gramStart"/>
      <w:r>
        <w:rPr>
          <w:sz w:val="22"/>
          <w:szCs w:val="22"/>
        </w:rPr>
        <w:t>in particular were</w:t>
      </w:r>
      <w:proofErr w:type="gramEnd"/>
      <w:r>
        <w:rPr>
          <w:sz w:val="22"/>
          <w:szCs w:val="22"/>
        </w:rPr>
        <w:t xml:space="preserve"> </w:t>
      </w:r>
      <w:r w:rsidR="00CC7605" w:rsidRPr="00CC7605">
        <w:rPr>
          <w:sz w:val="22"/>
          <w:szCs w:val="22"/>
        </w:rPr>
        <w:t xml:space="preserve">highlighted. The Group of Experts called on policymakers to give due attention to the problem and to </w:t>
      </w:r>
      <w:r w:rsidR="00E67C6F">
        <w:rPr>
          <w:sz w:val="22"/>
          <w:szCs w:val="22"/>
        </w:rPr>
        <w:t>take it</w:t>
      </w:r>
      <w:r w:rsidR="00CC7605" w:rsidRPr="00CC7605">
        <w:rPr>
          <w:sz w:val="22"/>
          <w:szCs w:val="22"/>
        </w:rPr>
        <w:t xml:space="preserve"> into account when developing </w:t>
      </w:r>
      <w:r w:rsidR="00CC7605" w:rsidRPr="00CC7605">
        <w:rPr>
          <w:sz w:val="22"/>
          <w:szCs w:val="22"/>
        </w:rPr>
        <w:lastRenderedPageBreak/>
        <w:t>strategies for targeted regions to ensure that support is provided not only to directly affected groups such as laid</w:t>
      </w:r>
      <w:r w:rsidR="00E67C6F">
        <w:rPr>
          <w:sz w:val="22"/>
          <w:szCs w:val="22"/>
        </w:rPr>
        <w:t>-</w:t>
      </w:r>
      <w:r w:rsidR="00CC7605" w:rsidRPr="00CC7605">
        <w:rPr>
          <w:sz w:val="22"/>
          <w:szCs w:val="22"/>
        </w:rPr>
        <w:t xml:space="preserve">off mine workers, but </w:t>
      </w:r>
      <w:r w:rsidR="00E67C6F">
        <w:rPr>
          <w:sz w:val="22"/>
          <w:szCs w:val="22"/>
        </w:rPr>
        <w:t xml:space="preserve">also </w:t>
      </w:r>
      <w:r w:rsidR="00CC7605" w:rsidRPr="00CC7605">
        <w:rPr>
          <w:sz w:val="22"/>
          <w:szCs w:val="22"/>
        </w:rPr>
        <w:t xml:space="preserve">to </w:t>
      </w:r>
      <w:r w:rsidR="00E67C6F">
        <w:rPr>
          <w:sz w:val="22"/>
          <w:szCs w:val="22"/>
        </w:rPr>
        <w:t xml:space="preserve">other </w:t>
      </w:r>
      <w:r w:rsidR="00CC7605" w:rsidRPr="00CC7605">
        <w:rPr>
          <w:sz w:val="22"/>
          <w:szCs w:val="22"/>
        </w:rPr>
        <w:t xml:space="preserve">individuals </w:t>
      </w:r>
      <w:r w:rsidR="00E67C6F">
        <w:rPr>
          <w:sz w:val="22"/>
          <w:szCs w:val="22"/>
        </w:rPr>
        <w:t xml:space="preserve">affected by </w:t>
      </w:r>
      <w:r w:rsidR="00CC7605" w:rsidRPr="00CC7605">
        <w:rPr>
          <w:sz w:val="22"/>
          <w:szCs w:val="22"/>
        </w:rPr>
        <w:t>the transition.</w:t>
      </w:r>
    </w:p>
    <w:p w14:paraId="51A1A3DA" w14:textId="49245A78" w:rsidR="002F0B83" w:rsidRPr="00CC7605" w:rsidRDefault="00A63EA8" w:rsidP="005362A8">
      <w:pPr>
        <w:tabs>
          <w:tab w:val="left" w:pos="1985"/>
        </w:tabs>
        <w:suppressAutoHyphens w:val="0"/>
        <w:spacing w:line="240" w:lineRule="auto"/>
        <w:jc w:val="both"/>
        <w:rPr>
          <w:rFonts w:eastAsia="Cambria"/>
          <w:b/>
          <w:bCs/>
          <w:sz w:val="24"/>
          <w:szCs w:val="24"/>
        </w:rPr>
      </w:pPr>
      <w:r w:rsidRPr="00F95720">
        <w:rPr>
          <w:b/>
          <w:bCs/>
          <w:sz w:val="22"/>
          <w:szCs w:val="22"/>
        </w:rPr>
        <w:t xml:space="preserve">Agenda Item </w:t>
      </w:r>
      <w:r w:rsidR="00CC7605">
        <w:rPr>
          <w:b/>
          <w:bCs/>
          <w:sz w:val="22"/>
          <w:szCs w:val="22"/>
        </w:rPr>
        <w:t>8</w:t>
      </w:r>
      <w:r w:rsidRPr="00F95720">
        <w:rPr>
          <w:b/>
          <w:bCs/>
          <w:sz w:val="22"/>
          <w:szCs w:val="22"/>
        </w:rPr>
        <w:t xml:space="preserve">: </w:t>
      </w:r>
      <w:r w:rsidR="00CC7605" w:rsidRPr="00CC7605">
        <w:rPr>
          <w:b/>
          <w:bCs/>
          <w:sz w:val="22"/>
          <w:szCs w:val="22"/>
        </w:rPr>
        <w:t>Explosion risk reduction</w:t>
      </w:r>
    </w:p>
    <w:p w14:paraId="6AA7A205" w14:textId="4B619253" w:rsidR="002F0B83" w:rsidRPr="00F95720" w:rsidRDefault="00354319" w:rsidP="00CC7605">
      <w:pPr>
        <w:jc w:val="both"/>
        <w:rPr>
          <w:rFonts w:eastAsia="Cambria"/>
          <w:sz w:val="22"/>
          <w:szCs w:val="22"/>
        </w:rPr>
      </w:pPr>
      <w:r>
        <w:rPr>
          <w:sz w:val="22"/>
          <w:szCs w:val="22"/>
        </w:rPr>
        <w:t>18</w:t>
      </w:r>
      <w:r w:rsidR="00A63EA8" w:rsidRPr="00F95720">
        <w:rPr>
          <w:sz w:val="22"/>
          <w:szCs w:val="22"/>
        </w:rPr>
        <w:t>.</w:t>
      </w:r>
      <w:r w:rsidR="00A63EA8" w:rsidRPr="00CC7605">
        <w:rPr>
          <w:sz w:val="24"/>
          <w:szCs w:val="24"/>
        </w:rPr>
        <w:tab/>
      </w:r>
      <w:r w:rsidR="00CC7605" w:rsidRPr="00CC7605">
        <w:rPr>
          <w:sz w:val="22"/>
          <w:szCs w:val="22"/>
        </w:rPr>
        <w:t xml:space="preserve">The Group of Experts held a discussion on explosion risk reduction, </w:t>
      </w:r>
      <w:proofErr w:type="spellStart"/>
      <w:r w:rsidR="00CC7605" w:rsidRPr="00CC7605">
        <w:rPr>
          <w:sz w:val="22"/>
          <w:szCs w:val="22"/>
        </w:rPr>
        <w:t>analysing</w:t>
      </w:r>
      <w:proofErr w:type="spellEnd"/>
      <w:r w:rsidR="00CC7605" w:rsidRPr="00CC7605">
        <w:rPr>
          <w:sz w:val="22"/>
          <w:szCs w:val="22"/>
        </w:rPr>
        <w:t xml:space="preserve"> the most recent methane-related accidents in coal mines and identifying best practices helping to prevent such tragedies in the future. </w:t>
      </w:r>
      <w:r w:rsidR="00E67C6F">
        <w:rPr>
          <w:sz w:val="22"/>
          <w:szCs w:val="22"/>
        </w:rPr>
        <w:t>The</w:t>
      </w:r>
      <w:r w:rsidR="00CC7605" w:rsidRPr="00CC7605">
        <w:rPr>
          <w:sz w:val="22"/>
          <w:szCs w:val="22"/>
        </w:rPr>
        <w:t xml:space="preserve"> </w:t>
      </w:r>
      <w:r w:rsidR="00E67C6F">
        <w:rPr>
          <w:sz w:val="22"/>
          <w:szCs w:val="22"/>
        </w:rPr>
        <w:t xml:space="preserve">Group of Experts noted that the </w:t>
      </w:r>
      <w:r w:rsidR="00CC7605" w:rsidRPr="00CC7605">
        <w:rPr>
          <w:sz w:val="22"/>
          <w:szCs w:val="22"/>
        </w:rPr>
        <w:t xml:space="preserve">environmental challenges </w:t>
      </w:r>
      <w:r w:rsidR="00E67C6F">
        <w:rPr>
          <w:sz w:val="22"/>
          <w:szCs w:val="22"/>
        </w:rPr>
        <w:t xml:space="preserve">of </w:t>
      </w:r>
      <w:r w:rsidR="00CC7605" w:rsidRPr="00CC7605">
        <w:rPr>
          <w:sz w:val="22"/>
          <w:szCs w:val="22"/>
        </w:rPr>
        <w:t>methane emissions from the coal sector</w:t>
      </w:r>
      <w:r w:rsidR="00E67C6F">
        <w:rPr>
          <w:sz w:val="22"/>
          <w:szCs w:val="22"/>
        </w:rPr>
        <w:t xml:space="preserve"> and </w:t>
      </w:r>
      <w:r w:rsidR="00CC7605" w:rsidRPr="00CC7605">
        <w:rPr>
          <w:sz w:val="22"/>
          <w:szCs w:val="22"/>
        </w:rPr>
        <w:t>th</w:t>
      </w:r>
      <w:r w:rsidR="00E67C6F">
        <w:rPr>
          <w:sz w:val="22"/>
          <w:szCs w:val="22"/>
        </w:rPr>
        <w:t xml:space="preserve">e safety and social implications of </w:t>
      </w:r>
      <w:r w:rsidR="00CC7605" w:rsidRPr="00CC7605">
        <w:rPr>
          <w:sz w:val="22"/>
          <w:szCs w:val="22"/>
        </w:rPr>
        <w:t xml:space="preserve">unsafe working conditions in underground coal mines around the world </w:t>
      </w:r>
      <w:r w:rsidR="00E67C6F">
        <w:rPr>
          <w:sz w:val="22"/>
          <w:szCs w:val="22"/>
        </w:rPr>
        <w:t xml:space="preserve">are both important and interconnected </w:t>
      </w:r>
      <w:r w:rsidR="00CC7605" w:rsidRPr="00CC7605">
        <w:rPr>
          <w:sz w:val="22"/>
          <w:szCs w:val="22"/>
        </w:rPr>
        <w:t xml:space="preserve">and called upon member States to not underestimate </w:t>
      </w:r>
      <w:r w:rsidR="00E67C6F" w:rsidRPr="00CC7605">
        <w:rPr>
          <w:sz w:val="22"/>
          <w:szCs w:val="22"/>
        </w:rPr>
        <w:t>th</w:t>
      </w:r>
      <w:r w:rsidR="00E67C6F">
        <w:rPr>
          <w:sz w:val="22"/>
          <w:szCs w:val="22"/>
        </w:rPr>
        <w:t>e</w:t>
      </w:r>
      <w:r w:rsidR="00E67C6F" w:rsidRPr="00CC7605">
        <w:rPr>
          <w:sz w:val="22"/>
          <w:szCs w:val="22"/>
        </w:rPr>
        <w:t xml:space="preserve"> </w:t>
      </w:r>
      <w:r w:rsidR="00CC7605" w:rsidRPr="00CC7605">
        <w:rPr>
          <w:sz w:val="22"/>
          <w:szCs w:val="22"/>
        </w:rPr>
        <w:t>issue.</w:t>
      </w:r>
    </w:p>
    <w:p w14:paraId="3BFF8CC2" w14:textId="77777777" w:rsidR="002F0B83" w:rsidRPr="00F95720" w:rsidRDefault="002F0B83" w:rsidP="005362A8">
      <w:pPr>
        <w:tabs>
          <w:tab w:val="left" w:pos="1985"/>
        </w:tabs>
        <w:suppressAutoHyphens w:val="0"/>
        <w:spacing w:line="240" w:lineRule="auto"/>
        <w:jc w:val="both"/>
        <w:rPr>
          <w:rFonts w:eastAsia="Cambria"/>
          <w:b/>
          <w:bCs/>
          <w:sz w:val="22"/>
          <w:szCs w:val="22"/>
        </w:rPr>
      </w:pPr>
    </w:p>
    <w:p w14:paraId="55C7BA61" w14:textId="2F90780D" w:rsidR="002F0B83" w:rsidRPr="00F95720" w:rsidRDefault="00A63EA8" w:rsidP="005362A8">
      <w:pPr>
        <w:tabs>
          <w:tab w:val="left" w:pos="1985"/>
        </w:tabs>
        <w:suppressAutoHyphens w:val="0"/>
        <w:spacing w:line="240" w:lineRule="auto"/>
        <w:jc w:val="both"/>
        <w:rPr>
          <w:rFonts w:eastAsia="Cambria"/>
          <w:b/>
          <w:bCs/>
          <w:sz w:val="22"/>
          <w:szCs w:val="22"/>
        </w:rPr>
      </w:pPr>
      <w:r w:rsidRPr="00F95720">
        <w:rPr>
          <w:b/>
          <w:bCs/>
          <w:sz w:val="22"/>
          <w:szCs w:val="22"/>
        </w:rPr>
        <w:t xml:space="preserve">Agenda Item </w:t>
      </w:r>
      <w:r w:rsidR="00CC7605">
        <w:rPr>
          <w:b/>
          <w:bCs/>
          <w:sz w:val="22"/>
          <w:szCs w:val="22"/>
        </w:rPr>
        <w:t>9</w:t>
      </w:r>
      <w:r w:rsidRPr="00F95720">
        <w:rPr>
          <w:b/>
          <w:bCs/>
          <w:sz w:val="22"/>
          <w:szCs w:val="22"/>
        </w:rPr>
        <w:t xml:space="preserve">: </w:t>
      </w:r>
      <w:r w:rsidR="00CC7605" w:rsidRPr="00CC7605">
        <w:rPr>
          <w:b/>
          <w:bCs/>
          <w:color w:val="000000" w:themeColor="text1"/>
          <w:sz w:val="22"/>
          <w:szCs w:val="28"/>
        </w:rPr>
        <w:t>Future work of the Group of Experts</w:t>
      </w:r>
    </w:p>
    <w:p w14:paraId="20BB232B" w14:textId="163597EF" w:rsidR="00263582" w:rsidRDefault="00354319" w:rsidP="00263582">
      <w:pPr>
        <w:pStyle w:val="SingleTxtG"/>
        <w:spacing w:line="240" w:lineRule="auto"/>
        <w:ind w:left="0" w:right="0"/>
        <w:rPr>
          <w:color w:val="000000" w:themeColor="text1"/>
          <w:sz w:val="24"/>
          <w:szCs w:val="24"/>
        </w:rPr>
      </w:pPr>
      <w:r>
        <w:rPr>
          <w:sz w:val="22"/>
          <w:szCs w:val="22"/>
        </w:rPr>
        <w:t>19</w:t>
      </w:r>
      <w:r w:rsidR="00A63EA8" w:rsidRPr="00F95720">
        <w:rPr>
          <w:sz w:val="22"/>
          <w:szCs w:val="22"/>
        </w:rPr>
        <w:t>.</w:t>
      </w:r>
      <w:r w:rsidR="00A63EA8" w:rsidRPr="00F95720">
        <w:rPr>
          <w:sz w:val="22"/>
          <w:szCs w:val="22"/>
        </w:rPr>
        <w:tab/>
      </w:r>
      <w:proofErr w:type="gramStart"/>
      <w:r w:rsidR="00CC7605" w:rsidRPr="00CC7605">
        <w:rPr>
          <w:color w:val="000000" w:themeColor="text1"/>
          <w:sz w:val="22"/>
          <w:szCs w:val="22"/>
        </w:rPr>
        <w:t>Taking into account</w:t>
      </w:r>
      <w:proofErr w:type="gramEnd"/>
      <w:r w:rsidR="00CC7605" w:rsidRPr="00CC7605">
        <w:rPr>
          <w:color w:val="000000" w:themeColor="text1"/>
          <w:sz w:val="22"/>
          <w:szCs w:val="22"/>
        </w:rPr>
        <w:t xml:space="preserve"> the continued public health concerns related to the COVID-19 pandemic as well as the resulting growing popularity </w:t>
      </w:r>
      <w:r w:rsidR="00E67C6F">
        <w:rPr>
          <w:color w:val="000000" w:themeColor="text1"/>
          <w:sz w:val="22"/>
          <w:szCs w:val="22"/>
        </w:rPr>
        <w:t xml:space="preserve">and effectiveness </w:t>
      </w:r>
      <w:r w:rsidR="00CC7605" w:rsidRPr="00CC7605">
        <w:rPr>
          <w:color w:val="000000" w:themeColor="text1"/>
          <w:sz w:val="22"/>
          <w:szCs w:val="22"/>
        </w:rPr>
        <w:t xml:space="preserve">of </w:t>
      </w:r>
      <w:r w:rsidR="00E67C6F">
        <w:rPr>
          <w:color w:val="000000" w:themeColor="text1"/>
          <w:sz w:val="22"/>
          <w:szCs w:val="22"/>
        </w:rPr>
        <w:t xml:space="preserve">modern </w:t>
      </w:r>
      <w:r w:rsidR="00CC7605" w:rsidRPr="00CC7605">
        <w:rPr>
          <w:color w:val="000000" w:themeColor="text1"/>
          <w:sz w:val="22"/>
          <w:szCs w:val="22"/>
        </w:rPr>
        <w:t xml:space="preserve">modes of communication, the secretariat reported to the Group of Experts on </w:t>
      </w:r>
      <w:r w:rsidR="00E67C6F">
        <w:rPr>
          <w:color w:val="000000" w:themeColor="text1"/>
          <w:sz w:val="22"/>
          <w:szCs w:val="22"/>
        </w:rPr>
        <w:t>its</w:t>
      </w:r>
      <w:r w:rsidR="00CC7605" w:rsidRPr="00CC7605">
        <w:rPr>
          <w:color w:val="000000" w:themeColor="text1"/>
          <w:sz w:val="22"/>
          <w:szCs w:val="22"/>
        </w:rPr>
        <w:t xml:space="preserve"> online activities and presented suggestions on how such solutions could be</w:t>
      </w:r>
      <w:r w:rsidR="00E67C6F">
        <w:rPr>
          <w:color w:val="000000" w:themeColor="text1"/>
          <w:sz w:val="22"/>
          <w:szCs w:val="22"/>
        </w:rPr>
        <w:t xml:space="preserve">nefit </w:t>
      </w:r>
      <w:r w:rsidR="00CC7605" w:rsidRPr="00CC7605">
        <w:rPr>
          <w:color w:val="000000" w:themeColor="text1"/>
          <w:sz w:val="22"/>
          <w:szCs w:val="22"/>
        </w:rPr>
        <w:t xml:space="preserve">the future work of the Group. The Group of Experts thanked the secretariat for its work and initiative in organizing online events and requested that it cooperate with the Bureau on identifying and developing instruments that could </w:t>
      </w:r>
      <w:r w:rsidR="00E67C6F">
        <w:rPr>
          <w:color w:val="000000" w:themeColor="text1"/>
          <w:sz w:val="22"/>
          <w:szCs w:val="22"/>
        </w:rPr>
        <w:t>enhance</w:t>
      </w:r>
      <w:r w:rsidR="00CC7605" w:rsidRPr="00CC7605">
        <w:rPr>
          <w:color w:val="000000" w:themeColor="text1"/>
          <w:sz w:val="22"/>
          <w:szCs w:val="22"/>
        </w:rPr>
        <w:t xml:space="preserve"> deliver</w:t>
      </w:r>
      <w:r w:rsidR="00E67C6F">
        <w:rPr>
          <w:color w:val="000000" w:themeColor="text1"/>
          <w:sz w:val="22"/>
          <w:szCs w:val="22"/>
        </w:rPr>
        <w:t>y</w:t>
      </w:r>
      <w:r w:rsidR="00CC7605" w:rsidRPr="00CC7605">
        <w:rPr>
          <w:color w:val="000000" w:themeColor="text1"/>
          <w:sz w:val="22"/>
          <w:szCs w:val="22"/>
        </w:rPr>
        <w:t xml:space="preserve"> on the Group’s mandated tasks. However, the Group of Experts also </w:t>
      </w:r>
      <w:r w:rsidR="00E67C6F" w:rsidRPr="00CC7605">
        <w:rPr>
          <w:color w:val="000000" w:themeColor="text1"/>
          <w:sz w:val="22"/>
          <w:szCs w:val="22"/>
        </w:rPr>
        <w:t>recognize</w:t>
      </w:r>
      <w:r w:rsidR="00E67C6F">
        <w:rPr>
          <w:color w:val="000000" w:themeColor="text1"/>
          <w:sz w:val="22"/>
          <w:szCs w:val="22"/>
        </w:rPr>
        <w:t>d</w:t>
      </w:r>
      <w:r w:rsidR="00E67C6F" w:rsidRPr="00CC7605">
        <w:rPr>
          <w:color w:val="000000" w:themeColor="text1"/>
          <w:sz w:val="22"/>
          <w:szCs w:val="22"/>
        </w:rPr>
        <w:t xml:space="preserve"> </w:t>
      </w:r>
      <w:r w:rsidR="00CC7605" w:rsidRPr="00CC7605">
        <w:rPr>
          <w:color w:val="000000" w:themeColor="text1"/>
          <w:sz w:val="22"/>
          <w:szCs w:val="22"/>
        </w:rPr>
        <w:t xml:space="preserve">that conducting meetings, workshops, </w:t>
      </w:r>
      <w:proofErr w:type="gramStart"/>
      <w:r w:rsidR="00CC7605" w:rsidRPr="00CC7605">
        <w:rPr>
          <w:color w:val="000000" w:themeColor="text1"/>
          <w:sz w:val="22"/>
          <w:szCs w:val="22"/>
        </w:rPr>
        <w:t>conferences</w:t>
      </w:r>
      <w:proofErr w:type="gramEnd"/>
      <w:r w:rsidR="00CC7605" w:rsidRPr="00CC7605">
        <w:rPr>
          <w:color w:val="000000" w:themeColor="text1"/>
          <w:sz w:val="22"/>
          <w:szCs w:val="22"/>
        </w:rPr>
        <w:t xml:space="preserve"> and other events in person </w:t>
      </w:r>
      <w:r w:rsidR="00E67C6F">
        <w:rPr>
          <w:color w:val="000000" w:themeColor="text1"/>
          <w:sz w:val="22"/>
          <w:szCs w:val="22"/>
        </w:rPr>
        <w:t xml:space="preserve">are of </w:t>
      </w:r>
      <w:r w:rsidR="00CC7605" w:rsidRPr="00CC7605">
        <w:rPr>
          <w:color w:val="000000" w:themeColor="text1"/>
          <w:sz w:val="22"/>
          <w:szCs w:val="22"/>
        </w:rPr>
        <w:t xml:space="preserve">enormous benefit to the members and their respective states and institutions. Therefore, to the extent possible and consistent with global public health standards, the Group </w:t>
      </w:r>
      <w:r w:rsidR="00D7456E">
        <w:rPr>
          <w:color w:val="000000" w:themeColor="text1"/>
          <w:sz w:val="22"/>
          <w:szCs w:val="22"/>
        </w:rPr>
        <w:t xml:space="preserve">of Experts expressed its wish to continue </w:t>
      </w:r>
      <w:r w:rsidR="00CC7605" w:rsidRPr="00CC7605">
        <w:rPr>
          <w:color w:val="000000" w:themeColor="text1"/>
          <w:sz w:val="22"/>
          <w:szCs w:val="22"/>
        </w:rPr>
        <w:t>engag</w:t>
      </w:r>
      <w:r w:rsidR="00D7456E">
        <w:rPr>
          <w:color w:val="000000" w:themeColor="text1"/>
          <w:sz w:val="22"/>
          <w:szCs w:val="22"/>
        </w:rPr>
        <w:t>ing</w:t>
      </w:r>
      <w:r w:rsidR="00CC7605" w:rsidRPr="00CC7605">
        <w:rPr>
          <w:color w:val="000000" w:themeColor="text1"/>
          <w:sz w:val="22"/>
          <w:szCs w:val="22"/>
        </w:rPr>
        <w:t xml:space="preserve"> at in-person events</w:t>
      </w:r>
      <w:r w:rsidR="00A63EA8" w:rsidRPr="00CC7605">
        <w:rPr>
          <w:color w:val="000000" w:themeColor="text1"/>
          <w:sz w:val="24"/>
          <w:szCs w:val="24"/>
        </w:rPr>
        <w:t xml:space="preserve">. </w:t>
      </w:r>
    </w:p>
    <w:p w14:paraId="25C69BDE" w14:textId="586BE3D1" w:rsidR="00263582" w:rsidRPr="00263582" w:rsidRDefault="00263582" w:rsidP="008077EA">
      <w:pPr>
        <w:pStyle w:val="SingleTxtG"/>
        <w:ind w:left="0" w:right="20"/>
        <w:rPr>
          <w:sz w:val="22"/>
          <w:szCs w:val="22"/>
        </w:rPr>
      </w:pPr>
      <w:r>
        <w:rPr>
          <w:sz w:val="22"/>
          <w:szCs w:val="22"/>
        </w:rPr>
        <w:t>2</w:t>
      </w:r>
      <w:r w:rsidR="00354319">
        <w:rPr>
          <w:sz w:val="22"/>
          <w:szCs w:val="22"/>
        </w:rPr>
        <w:t>0</w:t>
      </w:r>
      <w:r w:rsidRPr="00263582">
        <w:rPr>
          <w:sz w:val="22"/>
          <w:szCs w:val="22"/>
        </w:rPr>
        <w:t>.</w:t>
      </w:r>
      <w:r w:rsidRPr="00263582">
        <w:rPr>
          <w:sz w:val="22"/>
          <w:szCs w:val="22"/>
        </w:rPr>
        <w:tab/>
        <w:t xml:space="preserve">The Group of Experts discussed </w:t>
      </w:r>
      <w:r w:rsidR="00D7456E">
        <w:rPr>
          <w:sz w:val="22"/>
          <w:szCs w:val="22"/>
        </w:rPr>
        <w:t xml:space="preserve">the </w:t>
      </w:r>
      <w:r w:rsidRPr="00263582">
        <w:rPr>
          <w:sz w:val="22"/>
          <w:szCs w:val="22"/>
        </w:rPr>
        <w:t xml:space="preserve">potential for cooperation with the other groups of experts operating under the umbrella of the Committee on Sustainable Energy. It was presented with the </w:t>
      </w:r>
      <w:r w:rsidR="00774881">
        <w:rPr>
          <w:sz w:val="22"/>
          <w:szCs w:val="22"/>
        </w:rPr>
        <w:t xml:space="preserve">document </w:t>
      </w:r>
      <w:r w:rsidRPr="00263582">
        <w:rPr>
          <w:sz w:val="22"/>
          <w:szCs w:val="22"/>
        </w:rPr>
        <w:t>United Nations Framework Classification for Resources (UNFC)</w:t>
      </w:r>
      <w:r w:rsidR="00774881">
        <w:rPr>
          <w:sz w:val="22"/>
          <w:szCs w:val="22"/>
        </w:rPr>
        <w:t xml:space="preserve"> </w:t>
      </w:r>
      <w:r w:rsidR="00504A2B">
        <w:rPr>
          <w:sz w:val="22"/>
          <w:szCs w:val="22"/>
        </w:rPr>
        <w:t>–</w:t>
      </w:r>
      <w:r w:rsidR="00774881">
        <w:rPr>
          <w:sz w:val="22"/>
          <w:szCs w:val="22"/>
        </w:rPr>
        <w:t xml:space="preserve"> Draf</w:t>
      </w:r>
      <w:r w:rsidR="00504A2B">
        <w:rPr>
          <w:sz w:val="22"/>
          <w:szCs w:val="22"/>
        </w:rPr>
        <w:t xml:space="preserve">t Guidance for Application to </w:t>
      </w:r>
      <w:r w:rsidRPr="00263582">
        <w:rPr>
          <w:sz w:val="22"/>
          <w:szCs w:val="22"/>
        </w:rPr>
        <w:t xml:space="preserve">Coal </w:t>
      </w:r>
      <w:r w:rsidR="008077EA">
        <w:rPr>
          <w:sz w:val="22"/>
          <w:szCs w:val="22"/>
        </w:rPr>
        <w:t>B</w:t>
      </w:r>
      <w:r w:rsidR="008077EA" w:rsidRPr="00263582">
        <w:rPr>
          <w:sz w:val="22"/>
          <w:szCs w:val="22"/>
        </w:rPr>
        <w:t xml:space="preserve">ed </w:t>
      </w:r>
      <w:r w:rsidRPr="00263582">
        <w:rPr>
          <w:sz w:val="22"/>
          <w:szCs w:val="22"/>
        </w:rPr>
        <w:t xml:space="preserve">Methane (CBM) </w:t>
      </w:r>
      <w:r w:rsidR="00EF4691">
        <w:rPr>
          <w:sz w:val="22"/>
          <w:szCs w:val="22"/>
        </w:rPr>
        <w:t>(ECE/ENERGY/GE.3/2022</w:t>
      </w:r>
      <w:r w:rsidR="009864E1">
        <w:rPr>
          <w:sz w:val="22"/>
          <w:szCs w:val="22"/>
        </w:rPr>
        <w:t xml:space="preserve">/8) </w:t>
      </w:r>
      <w:r w:rsidRPr="00263582">
        <w:rPr>
          <w:sz w:val="22"/>
          <w:szCs w:val="22"/>
        </w:rPr>
        <w:t xml:space="preserve">developed by the Expert Group on Resource Management. Members of the Group </w:t>
      </w:r>
      <w:r w:rsidR="00D7456E">
        <w:rPr>
          <w:sz w:val="22"/>
          <w:szCs w:val="22"/>
        </w:rPr>
        <w:t xml:space="preserve">of Experts </w:t>
      </w:r>
      <w:r w:rsidRPr="00263582">
        <w:rPr>
          <w:sz w:val="22"/>
          <w:szCs w:val="22"/>
        </w:rPr>
        <w:t xml:space="preserve">were thanked for comments </w:t>
      </w:r>
      <w:r w:rsidR="00D7456E">
        <w:rPr>
          <w:sz w:val="22"/>
          <w:szCs w:val="22"/>
        </w:rPr>
        <w:t xml:space="preserve">they </w:t>
      </w:r>
      <w:r w:rsidRPr="00263582">
        <w:rPr>
          <w:sz w:val="22"/>
          <w:szCs w:val="22"/>
        </w:rPr>
        <w:t xml:space="preserve">provided </w:t>
      </w:r>
      <w:r w:rsidR="00D7456E">
        <w:rPr>
          <w:sz w:val="22"/>
          <w:szCs w:val="22"/>
        </w:rPr>
        <w:t xml:space="preserve">on </w:t>
      </w:r>
      <w:r w:rsidRPr="00263582">
        <w:rPr>
          <w:sz w:val="22"/>
          <w:szCs w:val="22"/>
        </w:rPr>
        <w:t xml:space="preserve">the draft document and </w:t>
      </w:r>
      <w:r w:rsidR="00D7456E">
        <w:rPr>
          <w:sz w:val="22"/>
          <w:szCs w:val="22"/>
        </w:rPr>
        <w:t xml:space="preserve">were </w:t>
      </w:r>
      <w:r w:rsidRPr="00263582">
        <w:rPr>
          <w:sz w:val="22"/>
          <w:szCs w:val="22"/>
        </w:rPr>
        <w:t>asked for further feedback as the work on the document proceeds. The Group of Experts expressed its willingness to continue contributing to that work and requested the secretariat to ensure effective communication between the Groups.</w:t>
      </w:r>
      <w:r w:rsidR="00774881" w:rsidRPr="00774881">
        <w:t xml:space="preserve"> </w:t>
      </w:r>
    </w:p>
    <w:p w14:paraId="4F564C25" w14:textId="7CB6471B" w:rsidR="00263582" w:rsidRDefault="00263582" w:rsidP="00263582">
      <w:pPr>
        <w:pStyle w:val="SingleTxtG"/>
        <w:ind w:left="0" w:right="20"/>
        <w:rPr>
          <w:sz w:val="22"/>
          <w:szCs w:val="22"/>
        </w:rPr>
      </w:pPr>
      <w:r>
        <w:rPr>
          <w:sz w:val="22"/>
          <w:szCs w:val="22"/>
        </w:rPr>
        <w:t>2</w:t>
      </w:r>
      <w:r w:rsidR="00354319">
        <w:rPr>
          <w:sz w:val="22"/>
          <w:szCs w:val="22"/>
        </w:rPr>
        <w:t>1</w:t>
      </w:r>
      <w:r w:rsidRPr="00263582">
        <w:rPr>
          <w:sz w:val="22"/>
          <w:szCs w:val="22"/>
        </w:rPr>
        <w:t>.</w:t>
      </w:r>
      <w:r w:rsidRPr="00263582">
        <w:rPr>
          <w:sz w:val="22"/>
          <w:szCs w:val="22"/>
        </w:rPr>
        <w:tab/>
        <w:t xml:space="preserve">The Group of Experts was informed about the </w:t>
      </w:r>
      <w:r w:rsidR="00431BC2">
        <w:rPr>
          <w:sz w:val="22"/>
          <w:szCs w:val="22"/>
        </w:rPr>
        <w:t xml:space="preserve">UN </w:t>
      </w:r>
      <w:r w:rsidRPr="00263582">
        <w:rPr>
          <w:sz w:val="22"/>
          <w:szCs w:val="22"/>
        </w:rPr>
        <w:t xml:space="preserve">Working Group on Extractive Industries </w:t>
      </w:r>
      <w:r w:rsidR="00431BC2">
        <w:rPr>
          <w:sz w:val="22"/>
          <w:szCs w:val="22"/>
        </w:rPr>
        <w:t xml:space="preserve">of </w:t>
      </w:r>
      <w:r w:rsidRPr="00263582">
        <w:rPr>
          <w:sz w:val="22"/>
          <w:szCs w:val="22"/>
        </w:rPr>
        <w:t xml:space="preserve">the Secretary-General. The Group of Experts expressed its interest to contribute to the work of the Working Group </w:t>
      </w:r>
      <w:r w:rsidR="009864E1">
        <w:rPr>
          <w:sz w:val="22"/>
          <w:szCs w:val="22"/>
        </w:rPr>
        <w:t>once est</w:t>
      </w:r>
      <w:r w:rsidR="00431BC2">
        <w:rPr>
          <w:sz w:val="22"/>
          <w:szCs w:val="22"/>
        </w:rPr>
        <w:t xml:space="preserve">ablished </w:t>
      </w:r>
      <w:r w:rsidRPr="00263582">
        <w:rPr>
          <w:sz w:val="22"/>
          <w:szCs w:val="22"/>
        </w:rPr>
        <w:t>and requested the secretariat to explore whether it would be possible to join and support the initiative, and if so, to undertake, in coordination with the Bureau, the necessary steps to make that happen.</w:t>
      </w:r>
    </w:p>
    <w:p w14:paraId="1882E540" w14:textId="050C5A55" w:rsidR="00263582" w:rsidRPr="007C2222" w:rsidRDefault="00263582" w:rsidP="00263582">
      <w:pPr>
        <w:tabs>
          <w:tab w:val="left" w:pos="1985"/>
        </w:tabs>
        <w:suppressAutoHyphens w:val="0"/>
        <w:spacing w:line="240" w:lineRule="auto"/>
        <w:jc w:val="both"/>
        <w:rPr>
          <w:rFonts w:eastAsia="Cambria"/>
          <w:b/>
          <w:bCs/>
          <w:sz w:val="22"/>
          <w:szCs w:val="22"/>
        </w:rPr>
      </w:pPr>
      <w:r w:rsidRPr="007C2222">
        <w:rPr>
          <w:b/>
          <w:bCs/>
          <w:sz w:val="22"/>
          <w:szCs w:val="22"/>
        </w:rPr>
        <w:t xml:space="preserve">Agenda Item 10: </w:t>
      </w:r>
      <w:r w:rsidRPr="007C2222">
        <w:rPr>
          <w:rStyle w:val="SingleTxtGCar"/>
          <w:b/>
          <w:bCs/>
          <w:color w:val="000000" w:themeColor="text1"/>
          <w:sz w:val="22"/>
          <w:szCs w:val="22"/>
        </w:rPr>
        <w:t>Twelf</w:t>
      </w:r>
      <w:r w:rsidRPr="007C2222">
        <w:rPr>
          <w:b/>
          <w:bCs/>
          <w:color w:val="000000" w:themeColor="text1"/>
          <w:sz w:val="22"/>
          <w:szCs w:val="22"/>
        </w:rPr>
        <w:t>th joint meeting of the United Nations Economic Commission for Europe Group of Experts on Coal Mine Methane and the Global Methane Initiative Coal Subcommittee</w:t>
      </w:r>
    </w:p>
    <w:p w14:paraId="335F7D4F" w14:textId="3C942D5A" w:rsidR="00263582" w:rsidRPr="007C2222" w:rsidRDefault="00263582" w:rsidP="00263582">
      <w:pPr>
        <w:pStyle w:val="SingleTxtG"/>
        <w:ind w:left="0" w:right="20"/>
        <w:rPr>
          <w:color w:val="000000" w:themeColor="text1"/>
          <w:sz w:val="22"/>
          <w:szCs w:val="22"/>
        </w:rPr>
      </w:pPr>
      <w:r w:rsidRPr="007C2222">
        <w:rPr>
          <w:sz w:val="22"/>
          <w:szCs w:val="22"/>
          <w:lang w:val="en-GB"/>
        </w:rPr>
        <w:t>2</w:t>
      </w:r>
      <w:r w:rsidR="00354319">
        <w:rPr>
          <w:sz w:val="22"/>
          <w:szCs w:val="22"/>
          <w:lang w:val="en-GB"/>
        </w:rPr>
        <w:t>2</w:t>
      </w:r>
      <w:r w:rsidRPr="007C2222">
        <w:rPr>
          <w:sz w:val="22"/>
          <w:szCs w:val="22"/>
          <w:lang w:val="en-GB"/>
        </w:rPr>
        <w:t>.</w:t>
      </w:r>
      <w:r w:rsidRPr="007C2222">
        <w:rPr>
          <w:sz w:val="22"/>
          <w:szCs w:val="22"/>
          <w:lang w:val="en-GB"/>
        </w:rPr>
        <w:tab/>
      </w:r>
      <w:r w:rsidRPr="007C2222">
        <w:rPr>
          <w:color w:val="000000" w:themeColor="text1"/>
          <w:sz w:val="22"/>
          <w:szCs w:val="22"/>
        </w:rPr>
        <w:t xml:space="preserve">The Group of Experts thanked the secretariat of the Coal Subcommittee of the Global Methane Initiative (GMI) and its members for their continued support and collaboration. </w:t>
      </w:r>
      <w:proofErr w:type="gramStart"/>
      <w:r w:rsidRPr="007C2222">
        <w:rPr>
          <w:color w:val="000000" w:themeColor="text1"/>
          <w:sz w:val="22"/>
          <w:szCs w:val="22"/>
        </w:rPr>
        <w:t>Making reference</w:t>
      </w:r>
      <w:proofErr w:type="gramEnd"/>
      <w:r w:rsidRPr="007C2222">
        <w:rPr>
          <w:color w:val="000000" w:themeColor="text1"/>
          <w:sz w:val="22"/>
          <w:szCs w:val="22"/>
        </w:rPr>
        <w:t xml:space="preserve"> to the most recent joint project, the Group of Experts thanked the GMI Coal Subcommittee for its support in developing </w:t>
      </w:r>
      <w:r w:rsidRPr="007C2222">
        <w:rPr>
          <w:i/>
          <w:iCs/>
          <w:sz w:val="22"/>
          <w:szCs w:val="22"/>
        </w:rPr>
        <w:t>the</w:t>
      </w:r>
      <w:r w:rsidRPr="007C2222">
        <w:rPr>
          <w:sz w:val="22"/>
          <w:szCs w:val="22"/>
        </w:rPr>
        <w:t xml:space="preserve"> </w:t>
      </w:r>
      <w:r w:rsidRPr="007C2222">
        <w:rPr>
          <w:i/>
          <w:iCs/>
          <w:sz w:val="22"/>
          <w:szCs w:val="22"/>
        </w:rPr>
        <w:t>Best Practice Guidance for Effective Management of Coal Mine Methane at National Level: Monitoring, Reporting, Verification and Mitigation</w:t>
      </w:r>
      <w:r w:rsidRPr="007C2222">
        <w:rPr>
          <w:sz w:val="22"/>
          <w:szCs w:val="22"/>
        </w:rPr>
        <w:t xml:space="preserve"> (ECE/ENERGY/139 and ECE Energy Series No. 71).</w:t>
      </w:r>
    </w:p>
    <w:p w14:paraId="71571AA9" w14:textId="6714F4C6" w:rsidR="00263582" w:rsidRPr="007C2222" w:rsidRDefault="00263582" w:rsidP="00263582">
      <w:pPr>
        <w:pStyle w:val="SingleTxtG"/>
        <w:ind w:left="0" w:right="20"/>
        <w:rPr>
          <w:color w:val="000000" w:themeColor="text1"/>
          <w:sz w:val="22"/>
          <w:szCs w:val="22"/>
        </w:rPr>
      </w:pPr>
      <w:r w:rsidRPr="007C2222">
        <w:rPr>
          <w:color w:val="000000" w:themeColor="text1"/>
          <w:sz w:val="22"/>
          <w:szCs w:val="22"/>
        </w:rPr>
        <w:t>2</w:t>
      </w:r>
      <w:r w:rsidR="00354319">
        <w:rPr>
          <w:color w:val="000000" w:themeColor="text1"/>
          <w:sz w:val="22"/>
          <w:szCs w:val="22"/>
        </w:rPr>
        <w:t>3</w:t>
      </w:r>
      <w:r w:rsidRPr="007C2222">
        <w:rPr>
          <w:color w:val="000000" w:themeColor="text1"/>
          <w:sz w:val="22"/>
          <w:szCs w:val="22"/>
        </w:rPr>
        <w:t>.</w:t>
      </w:r>
      <w:r w:rsidRPr="007C2222">
        <w:rPr>
          <w:sz w:val="22"/>
          <w:szCs w:val="22"/>
        </w:rPr>
        <w:tab/>
      </w:r>
      <w:r w:rsidRPr="007C2222">
        <w:rPr>
          <w:color w:val="000000" w:themeColor="text1"/>
          <w:sz w:val="22"/>
          <w:szCs w:val="22"/>
        </w:rPr>
        <w:t xml:space="preserve">The Group of Experts expressed interest in continuing to develop joint projects with GMI and requested the secretariat to ensure, facilitate, and coordinate continued cooperation between the two entities. </w:t>
      </w:r>
    </w:p>
    <w:p w14:paraId="70A1871D" w14:textId="3ED80662" w:rsidR="00263582" w:rsidRDefault="00263582" w:rsidP="007C2222">
      <w:pPr>
        <w:pStyle w:val="SingleTxtG"/>
        <w:ind w:left="0" w:right="20"/>
        <w:rPr>
          <w:color w:val="000000" w:themeColor="text1"/>
          <w:sz w:val="22"/>
          <w:szCs w:val="22"/>
        </w:rPr>
      </w:pPr>
      <w:r w:rsidRPr="007C2222">
        <w:rPr>
          <w:color w:val="000000" w:themeColor="text1"/>
          <w:sz w:val="22"/>
          <w:szCs w:val="22"/>
        </w:rPr>
        <w:t>2</w:t>
      </w:r>
      <w:r w:rsidR="00354319">
        <w:rPr>
          <w:color w:val="000000" w:themeColor="text1"/>
          <w:sz w:val="22"/>
          <w:szCs w:val="22"/>
        </w:rPr>
        <w:t>4</w:t>
      </w:r>
      <w:r w:rsidRPr="007C2222">
        <w:rPr>
          <w:color w:val="000000" w:themeColor="text1"/>
          <w:sz w:val="22"/>
          <w:szCs w:val="22"/>
        </w:rPr>
        <w:t>.</w:t>
      </w:r>
      <w:r w:rsidRPr="007C2222">
        <w:rPr>
          <w:sz w:val="22"/>
          <w:szCs w:val="22"/>
        </w:rPr>
        <w:tab/>
      </w:r>
      <w:r w:rsidRPr="007C2222">
        <w:rPr>
          <w:color w:val="000000" w:themeColor="text1"/>
          <w:sz w:val="22"/>
          <w:szCs w:val="22"/>
        </w:rPr>
        <w:t>The Group of Experts expressed its interest in participating in the next Global Methane Forum. The Group requested the secretariat to ensure that topics related to the work of the Group are featured in the event’s agenda to the extent possible.</w:t>
      </w:r>
    </w:p>
    <w:p w14:paraId="7FC94C95" w14:textId="7CD3E571" w:rsidR="00263582" w:rsidRPr="007C2222" w:rsidRDefault="00263582" w:rsidP="00263582">
      <w:pPr>
        <w:tabs>
          <w:tab w:val="left" w:pos="1985"/>
        </w:tabs>
        <w:suppressAutoHyphens w:val="0"/>
        <w:spacing w:line="240" w:lineRule="auto"/>
        <w:jc w:val="both"/>
        <w:rPr>
          <w:rFonts w:eastAsia="Cambria"/>
          <w:b/>
          <w:bCs/>
          <w:sz w:val="22"/>
          <w:szCs w:val="22"/>
        </w:rPr>
      </w:pPr>
      <w:r w:rsidRPr="007C2222">
        <w:rPr>
          <w:b/>
          <w:bCs/>
          <w:sz w:val="22"/>
          <w:szCs w:val="22"/>
        </w:rPr>
        <w:t xml:space="preserve">Agenda Item 11: </w:t>
      </w:r>
      <w:r w:rsidRPr="007C2222">
        <w:rPr>
          <w:b/>
          <w:bCs/>
          <w:color w:val="000000" w:themeColor="text1"/>
          <w:sz w:val="22"/>
          <w:szCs w:val="22"/>
        </w:rPr>
        <w:t>Preparations for the eighteenth session of the Group of Experts</w:t>
      </w:r>
    </w:p>
    <w:p w14:paraId="688BE371" w14:textId="578AE6B7" w:rsidR="00263582" w:rsidRPr="007C2222" w:rsidRDefault="00263582" w:rsidP="00263582">
      <w:pPr>
        <w:pStyle w:val="SingleTxtG"/>
        <w:spacing w:line="240" w:lineRule="auto"/>
        <w:ind w:left="0" w:right="0"/>
        <w:rPr>
          <w:sz w:val="22"/>
          <w:szCs w:val="22"/>
          <w:lang w:val="en-GB"/>
        </w:rPr>
      </w:pPr>
      <w:r w:rsidRPr="007C2222">
        <w:rPr>
          <w:sz w:val="22"/>
          <w:szCs w:val="22"/>
          <w:lang w:val="en-GB"/>
        </w:rPr>
        <w:t>2</w:t>
      </w:r>
      <w:r w:rsidR="00354319">
        <w:rPr>
          <w:sz w:val="22"/>
          <w:szCs w:val="22"/>
          <w:lang w:val="en-GB"/>
        </w:rPr>
        <w:t>5</w:t>
      </w:r>
      <w:r w:rsidRPr="007C2222">
        <w:rPr>
          <w:sz w:val="22"/>
          <w:szCs w:val="22"/>
          <w:lang w:val="en-GB"/>
        </w:rPr>
        <w:t>.</w:t>
      </w:r>
      <w:r w:rsidRPr="007C2222">
        <w:rPr>
          <w:sz w:val="22"/>
          <w:szCs w:val="22"/>
          <w:lang w:val="en-GB"/>
        </w:rPr>
        <w:tab/>
      </w:r>
      <w:r w:rsidRPr="007C2222">
        <w:rPr>
          <w:color w:val="000000" w:themeColor="text1"/>
          <w:sz w:val="22"/>
          <w:szCs w:val="22"/>
        </w:rPr>
        <w:t xml:space="preserve">The eighteenth session will be held on </w:t>
      </w:r>
      <w:bookmarkStart w:id="1" w:name="_Hlk96964262"/>
      <w:r w:rsidR="00A76118" w:rsidRPr="007C2222">
        <w:rPr>
          <w:color w:val="000000" w:themeColor="text1"/>
          <w:sz w:val="22"/>
          <w:szCs w:val="22"/>
        </w:rPr>
        <w:t>20-21 March</w:t>
      </w:r>
      <w:r w:rsidRPr="007C2222">
        <w:rPr>
          <w:color w:val="000000" w:themeColor="text1"/>
          <w:sz w:val="22"/>
          <w:szCs w:val="22"/>
        </w:rPr>
        <w:t xml:space="preserve"> 2023 </w:t>
      </w:r>
      <w:bookmarkEnd w:id="1"/>
      <w:r w:rsidRPr="007C2222">
        <w:rPr>
          <w:color w:val="000000" w:themeColor="text1"/>
          <w:sz w:val="22"/>
          <w:szCs w:val="22"/>
        </w:rPr>
        <w:t>in Geneva</w:t>
      </w:r>
      <w:r w:rsidRPr="007C2222">
        <w:rPr>
          <w:sz w:val="22"/>
          <w:szCs w:val="22"/>
          <w:lang w:val="en-GB"/>
        </w:rPr>
        <w:t>.</w:t>
      </w:r>
    </w:p>
    <w:p w14:paraId="59A154DE" w14:textId="77777777" w:rsidR="00263582" w:rsidRPr="007C2222" w:rsidRDefault="00263582" w:rsidP="00263582">
      <w:pPr>
        <w:tabs>
          <w:tab w:val="left" w:pos="1985"/>
        </w:tabs>
        <w:suppressAutoHyphens w:val="0"/>
        <w:spacing w:line="240" w:lineRule="auto"/>
        <w:jc w:val="both"/>
        <w:rPr>
          <w:rFonts w:eastAsia="Cambria"/>
          <w:b/>
          <w:bCs/>
          <w:sz w:val="22"/>
          <w:szCs w:val="22"/>
        </w:rPr>
      </w:pPr>
      <w:r w:rsidRPr="007C2222">
        <w:rPr>
          <w:b/>
          <w:bCs/>
          <w:sz w:val="22"/>
          <w:szCs w:val="22"/>
        </w:rPr>
        <w:t>Agenda Item 12: Any other business</w:t>
      </w:r>
    </w:p>
    <w:p w14:paraId="1D41BB4B" w14:textId="55AA8309" w:rsidR="00263582" w:rsidRPr="007C2222" w:rsidRDefault="00263582" w:rsidP="00263582">
      <w:pPr>
        <w:pStyle w:val="SingleTxtG"/>
        <w:spacing w:line="240" w:lineRule="auto"/>
        <w:ind w:left="0" w:right="0"/>
        <w:rPr>
          <w:sz w:val="22"/>
          <w:szCs w:val="22"/>
          <w:lang w:val="en-GB"/>
        </w:rPr>
      </w:pPr>
      <w:r w:rsidRPr="007C2222">
        <w:rPr>
          <w:sz w:val="22"/>
          <w:szCs w:val="22"/>
          <w:lang w:val="en-GB"/>
        </w:rPr>
        <w:t>2</w:t>
      </w:r>
      <w:r w:rsidR="00354319">
        <w:rPr>
          <w:sz w:val="22"/>
          <w:szCs w:val="22"/>
          <w:lang w:val="en-GB"/>
        </w:rPr>
        <w:t>6</w:t>
      </w:r>
      <w:r w:rsidRPr="007C2222">
        <w:rPr>
          <w:sz w:val="22"/>
          <w:szCs w:val="22"/>
          <w:lang w:val="en-GB"/>
        </w:rPr>
        <w:t>.</w:t>
      </w:r>
      <w:r w:rsidRPr="007C2222">
        <w:rPr>
          <w:sz w:val="22"/>
          <w:szCs w:val="22"/>
          <w:lang w:val="en-GB"/>
        </w:rPr>
        <w:tab/>
        <w:t>The Group of Experts noted the need to secure additional extrabudgetary resources to deliver results-oriented projects.</w:t>
      </w:r>
    </w:p>
    <w:p w14:paraId="2240F75B" w14:textId="77777777" w:rsidR="002F0B83" w:rsidRPr="00F95720" w:rsidRDefault="002F0B83" w:rsidP="005362A8">
      <w:pPr>
        <w:pStyle w:val="SingleTxtG"/>
        <w:spacing w:after="0" w:line="240" w:lineRule="auto"/>
        <w:ind w:left="0" w:right="0"/>
        <w:rPr>
          <w:rFonts w:eastAsia="Cambria"/>
          <w:sz w:val="22"/>
          <w:szCs w:val="22"/>
          <w:lang w:val="en-GB"/>
        </w:rPr>
      </w:pPr>
    </w:p>
    <w:p w14:paraId="315E20F9" w14:textId="77777777" w:rsidR="002F0B83" w:rsidRPr="00F95720" w:rsidRDefault="00A63EA8" w:rsidP="005362A8">
      <w:pPr>
        <w:keepNext/>
        <w:keepLines/>
        <w:tabs>
          <w:tab w:val="right" w:pos="851"/>
        </w:tabs>
        <w:spacing w:line="240" w:lineRule="auto"/>
        <w:jc w:val="center"/>
        <w:rPr>
          <w:sz w:val="22"/>
          <w:szCs w:val="22"/>
        </w:rPr>
      </w:pPr>
      <w:r w:rsidRPr="00F95720">
        <w:rPr>
          <w:sz w:val="22"/>
          <w:szCs w:val="22"/>
          <w:u w:val="single"/>
        </w:rPr>
        <w:t>____________</w:t>
      </w:r>
    </w:p>
    <w:sectPr w:rsidR="002F0B83" w:rsidRPr="00F95720">
      <w:footerReference w:type="even" r:id="rId11"/>
      <w:footerReference w:type="default" r:id="rId12"/>
      <w:headerReference w:type="first" r:id="rId13"/>
      <w:footerReference w:type="first" r:id="rId14"/>
      <w:pgSz w:w="11900" w:h="16840"/>
      <w:pgMar w:top="1350" w:right="1440" w:bottom="10" w:left="1440"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B6DA" w14:textId="77777777" w:rsidR="00A47AC7" w:rsidRDefault="00A47AC7">
      <w:pPr>
        <w:spacing w:line="240" w:lineRule="auto"/>
      </w:pPr>
      <w:r>
        <w:separator/>
      </w:r>
    </w:p>
  </w:endnote>
  <w:endnote w:type="continuationSeparator" w:id="0">
    <w:p w14:paraId="70AD93B6" w14:textId="77777777" w:rsidR="00A47AC7" w:rsidRDefault="00A47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5AD1" w14:textId="77777777" w:rsidR="002F0B83" w:rsidRDefault="00A63EA8">
    <w:pPr>
      <w:pStyle w:val="Footer"/>
      <w:jc w:val="right"/>
    </w:pPr>
    <w:r>
      <w:fldChar w:fldCharType="begin"/>
    </w:r>
    <w:r>
      <w:instrText xml:space="preserve"> PAGE </w:instrText>
    </w:r>
    <w:r>
      <w:fldChar w:fldCharType="separate"/>
    </w:r>
    <w:r w:rsidR="007010D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6141" w14:textId="77777777" w:rsidR="002F0B83" w:rsidRDefault="00A63EA8">
    <w:pPr>
      <w:pStyle w:val="Footer"/>
      <w:tabs>
        <w:tab w:val="right" w:pos="9000"/>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sidR="007010D3">
      <w:rPr>
        <w:noProof/>
        <w:sz w:val="20"/>
        <w:szCs w:val="20"/>
      </w:rPr>
      <w:t>3</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FA01" w14:textId="77777777" w:rsidR="002F0B83" w:rsidRDefault="002F0B83">
    <w:pPr>
      <w:suppressAutoHyphens w:val="0"/>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3159" w14:textId="77777777" w:rsidR="00A47AC7" w:rsidRDefault="00A47AC7">
      <w:pPr>
        <w:spacing w:line="240" w:lineRule="auto"/>
      </w:pPr>
      <w:r>
        <w:separator/>
      </w:r>
    </w:p>
  </w:footnote>
  <w:footnote w:type="continuationSeparator" w:id="0">
    <w:p w14:paraId="2802BE8F" w14:textId="77777777" w:rsidR="00A47AC7" w:rsidRDefault="00A47AC7">
      <w:pPr>
        <w:spacing w:line="240" w:lineRule="auto"/>
      </w:pPr>
      <w:r>
        <w:continuationSeparator/>
      </w:r>
    </w:p>
  </w:footnote>
  <w:footnote w:id="1">
    <w:p w14:paraId="66EF5230" w14:textId="77777777" w:rsidR="007A4F10" w:rsidRPr="00402505" w:rsidRDefault="007A4F10" w:rsidP="007A4F10">
      <w:pPr>
        <w:pStyle w:val="FootnoteText"/>
        <w:rPr>
          <w:lang w:val="es-ES"/>
        </w:rPr>
      </w:pPr>
      <w:r w:rsidRPr="00A82B53">
        <w:rPr>
          <w:lang w:val="es-ES"/>
        </w:rPr>
        <w:tab/>
      </w:r>
      <w:r>
        <w:rPr>
          <w:rStyle w:val="FootnoteReference"/>
        </w:rPr>
        <w:footnoteRef/>
      </w:r>
      <w:r w:rsidRPr="00402505">
        <w:rPr>
          <w:lang w:val="es-ES"/>
        </w:rPr>
        <w:t xml:space="preserve"> https://www.globalmethanepledge.org/</w:t>
      </w:r>
    </w:p>
  </w:footnote>
  <w:footnote w:id="2">
    <w:p w14:paraId="6F0CA8A8" w14:textId="3C447773" w:rsidR="001F325D" w:rsidRPr="001A3FAA" w:rsidRDefault="001F325D" w:rsidP="007C2222">
      <w:pPr>
        <w:pStyle w:val="FootnoteText"/>
        <w:tabs>
          <w:tab w:val="clear" w:pos="1021"/>
          <w:tab w:val="right" w:pos="0"/>
        </w:tabs>
        <w:ind w:left="0" w:firstLine="0"/>
        <w:rPr>
          <w:lang w:val="es-ES"/>
        </w:rPr>
      </w:pPr>
      <w:r>
        <w:rPr>
          <w:rStyle w:val="FootnoteReference"/>
        </w:rPr>
        <w:footnoteRef/>
      </w:r>
      <w:r w:rsidRPr="001A3FAA">
        <w:rPr>
          <w:lang w:val="es-ES"/>
        </w:rPr>
        <w:t xml:space="preserve"> ECE/ENERGY/137, para 7</w:t>
      </w:r>
      <w:r>
        <w:rPr>
          <w:lang w:val="es-ES"/>
        </w:rPr>
        <w:t xml:space="preserve">9 </w:t>
      </w:r>
      <w:r w:rsidRPr="00E577CA">
        <w:rPr>
          <w:lang w:val="es-ES"/>
        </w:rPr>
        <w:t>https://unece.org/sed/documents/2021/09/reports/report-committee-sustainable-energy-its-thirtieth-session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0D38" w14:textId="1D68AF27" w:rsidR="002F0B83" w:rsidRDefault="00A63EA8">
    <w:pPr>
      <w:pStyle w:val="Header"/>
      <w:pBdr>
        <w:bottom w:val="nil"/>
      </w:pBdr>
      <w:jc w:val="right"/>
      <w:rPr>
        <w:sz w:val="28"/>
        <w:szCs w:val="28"/>
      </w:rPr>
    </w:pPr>
    <w:r>
      <w:rPr>
        <w:noProof/>
      </w:rPr>
      <w:drawing>
        <wp:anchor distT="152400" distB="152400" distL="152400" distR="152400" simplePos="0" relativeHeight="251658240" behindDoc="1" locked="0" layoutInCell="1" allowOverlap="1" wp14:anchorId="105CB890" wp14:editId="502117B2">
          <wp:simplePos x="0" y="0"/>
          <wp:positionH relativeFrom="page">
            <wp:posOffset>6062980</wp:posOffset>
          </wp:positionH>
          <wp:positionV relativeFrom="page">
            <wp:posOffset>9928225</wp:posOffset>
          </wp:positionV>
          <wp:extent cx="930275" cy="230505"/>
          <wp:effectExtent l="0" t="0" r="0" b="0"/>
          <wp:wrapNone/>
          <wp:docPr id="1073741825" name="officeArt object" descr="recycle_English"/>
          <wp:cNvGraphicFramePr/>
          <a:graphic xmlns:a="http://schemas.openxmlformats.org/drawingml/2006/main">
            <a:graphicData uri="http://schemas.openxmlformats.org/drawingml/2006/picture">
              <pic:pic xmlns:pic="http://schemas.openxmlformats.org/drawingml/2006/picture">
                <pic:nvPicPr>
                  <pic:cNvPr id="1073741825" name="recycle_English" descr="recycle_English"/>
                  <pic:cNvPicPr>
                    <a:picLocks noChangeAspect="1"/>
                  </pic:cNvPicPr>
                </pic:nvPicPr>
                <pic:blipFill>
                  <a:blip r:embed="rId1"/>
                  <a:stretch>
                    <a:fillRect/>
                  </a:stretch>
                </pic:blipFill>
                <pic:spPr>
                  <a:xfrm>
                    <a:off x="0" y="0"/>
                    <a:ext cx="930275" cy="230505"/>
                  </a:xfrm>
                  <a:prstGeom prst="rect">
                    <a:avLst/>
                  </a:prstGeom>
                  <a:ln w="12700" cap="flat">
                    <a:noFill/>
                    <a:miter lim="400000"/>
                  </a:ln>
                  <a:effectLst/>
                </pic:spPr>
              </pic:pic>
            </a:graphicData>
          </a:graphic>
        </wp:anchor>
      </w:drawing>
    </w:r>
    <w:r>
      <w:rPr>
        <w:sz w:val="28"/>
        <w:szCs w:val="28"/>
      </w:rPr>
      <w:t>CMM-1</w:t>
    </w:r>
    <w:r w:rsidR="00D52393">
      <w:rPr>
        <w:sz w:val="28"/>
        <w:szCs w:val="28"/>
      </w:rPr>
      <w:t>7</w:t>
    </w:r>
    <w:r>
      <w:rPr>
        <w:sz w:val="28"/>
        <w:szCs w:val="28"/>
      </w:rPr>
      <w:t>/202</w:t>
    </w:r>
    <w:r w:rsidR="00D52393">
      <w:rPr>
        <w:sz w:val="28"/>
        <w:szCs w:val="28"/>
      </w:rPr>
      <w:t>2</w:t>
    </w:r>
    <w:r>
      <w:rPr>
        <w:sz w:val="28"/>
        <w:szCs w:val="28"/>
      </w:rPr>
      <w:t>/INF.1</w:t>
    </w:r>
  </w:p>
  <w:p w14:paraId="00372B1D" w14:textId="7DE4F668" w:rsidR="002F0B83" w:rsidRDefault="00A63EA8">
    <w:pPr>
      <w:pStyle w:val="Header"/>
      <w:pBdr>
        <w:bottom w:val="nil"/>
      </w:pBdr>
      <w:jc w:val="right"/>
    </w:pPr>
    <w:r>
      <w:rPr>
        <w:sz w:val="24"/>
        <w:szCs w:val="24"/>
      </w:rPr>
      <w:t xml:space="preserve">Version </w:t>
    </w:r>
    <w:r w:rsidR="00D52393">
      <w:rPr>
        <w:sz w:val="24"/>
        <w:szCs w:val="24"/>
      </w:rPr>
      <w:t>1</w:t>
    </w:r>
    <w:r>
      <w:rPr>
        <w:sz w:val="24"/>
        <w:szCs w:val="24"/>
      </w:rPr>
      <w:t xml:space="preserve">, </w:t>
    </w:r>
    <w:r w:rsidR="00D52393">
      <w:rPr>
        <w:sz w:val="24"/>
        <w:szCs w:val="24"/>
      </w:rPr>
      <w:t>28</w:t>
    </w:r>
    <w:r>
      <w:rPr>
        <w:sz w:val="24"/>
        <w:szCs w:val="24"/>
      </w:rPr>
      <w:t xml:space="preserve"> February 202</w:t>
    </w:r>
    <w:r w:rsidR="00D52393">
      <w:rPr>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2A9C"/>
    <w:multiLevelType w:val="hybridMultilevel"/>
    <w:tmpl w:val="C252473C"/>
    <w:styleLink w:val="2"/>
    <w:lvl w:ilvl="0" w:tplc="3042C570">
      <w:start w:val="1"/>
      <w:numFmt w:val="lowerLetter"/>
      <w:lvlText w:val="(%1)"/>
      <w:lvlJc w:val="left"/>
      <w:pPr>
        <w:tabs>
          <w:tab w:val="left" w:pos="198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B0020FE">
      <w:start w:val="1"/>
      <w:numFmt w:val="lowerLetter"/>
      <w:lvlText w:val="%2."/>
      <w:lvlJc w:val="left"/>
      <w:pPr>
        <w:tabs>
          <w:tab w:val="left" w:pos="567"/>
          <w:tab w:val="left" w:pos="1985"/>
        </w:tabs>
        <w:ind w:left="1083"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30D6D5DA">
      <w:start w:val="1"/>
      <w:numFmt w:val="lowerRoman"/>
      <w:lvlText w:val="%3."/>
      <w:lvlJc w:val="left"/>
      <w:pPr>
        <w:tabs>
          <w:tab w:val="left" w:pos="567"/>
          <w:tab w:val="left" w:pos="1985"/>
        </w:tabs>
        <w:ind w:left="1803"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B38EDC4A">
      <w:start w:val="1"/>
      <w:numFmt w:val="decimal"/>
      <w:lvlText w:val="%4."/>
      <w:lvlJc w:val="left"/>
      <w:pPr>
        <w:tabs>
          <w:tab w:val="left" w:pos="567"/>
          <w:tab w:val="left" w:pos="1985"/>
        </w:tabs>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B6AA3D1A">
      <w:start w:val="1"/>
      <w:numFmt w:val="lowerLetter"/>
      <w:lvlText w:val="%5."/>
      <w:lvlJc w:val="left"/>
      <w:pPr>
        <w:tabs>
          <w:tab w:val="left" w:pos="567"/>
          <w:tab w:val="left" w:pos="1985"/>
        </w:tabs>
        <w:ind w:left="3243"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897E0C06">
      <w:start w:val="1"/>
      <w:numFmt w:val="lowerRoman"/>
      <w:lvlText w:val="%6."/>
      <w:lvlJc w:val="left"/>
      <w:pPr>
        <w:tabs>
          <w:tab w:val="left" w:pos="567"/>
          <w:tab w:val="left" w:pos="1985"/>
        </w:tabs>
        <w:ind w:left="3963"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CE017EA">
      <w:start w:val="1"/>
      <w:numFmt w:val="decimal"/>
      <w:lvlText w:val="%7."/>
      <w:lvlJc w:val="left"/>
      <w:pPr>
        <w:tabs>
          <w:tab w:val="left" w:pos="567"/>
          <w:tab w:val="left" w:pos="1985"/>
        </w:tabs>
        <w:ind w:left="4683"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D392459E">
      <w:start w:val="1"/>
      <w:numFmt w:val="lowerLetter"/>
      <w:lvlText w:val="%8."/>
      <w:lvlJc w:val="left"/>
      <w:pPr>
        <w:tabs>
          <w:tab w:val="left" w:pos="567"/>
          <w:tab w:val="left" w:pos="1985"/>
        </w:tabs>
        <w:ind w:left="5403"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14404446">
      <w:start w:val="1"/>
      <w:numFmt w:val="lowerRoman"/>
      <w:lvlText w:val="%9."/>
      <w:lvlJc w:val="left"/>
      <w:pPr>
        <w:tabs>
          <w:tab w:val="left" w:pos="567"/>
          <w:tab w:val="left" w:pos="1985"/>
        </w:tabs>
        <w:ind w:left="6123"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393E22"/>
    <w:multiLevelType w:val="hybridMultilevel"/>
    <w:tmpl w:val="C252473C"/>
    <w:numStyleLink w:val="2"/>
  </w:abstractNum>
  <w:abstractNum w:abstractNumId="2" w15:restartNumberingAfterBreak="0">
    <w:nsid w:val="3E4111A9"/>
    <w:multiLevelType w:val="hybridMultilevel"/>
    <w:tmpl w:val="AD9CC2C2"/>
    <w:numStyleLink w:val="1"/>
  </w:abstractNum>
  <w:abstractNum w:abstractNumId="3" w15:restartNumberingAfterBreak="0">
    <w:nsid w:val="711C0F80"/>
    <w:multiLevelType w:val="hybridMultilevel"/>
    <w:tmpl w:val="AD9CC2C2"/>
    <w:styleLink w:val="1"/>
    <w:lvl w:ilvl="0" w:tplc="28BABDB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55CC4FE">
      <w:start w:val="1"/>
      <w:numFmt w:val="lowerLetter"/>
      <w:lvlText w:val="%2."/>
      <w:lvlJc w:val="left"/>
      <w:pPr>
        <w:tabs>
          <w:tab w:val="left" w:pos="567"/>
        </w:tabs>
        <w:ind w:left="516"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E558F29C">
      <w:start w:val="1"/>
      <w:numFmt w:val="lowerRoman"/>
      <w:lvlText w:val="%3."/>
      <w:lvlJc w:val="left"/>
      <w:pPr>
        <w:tabs>
          <w:tab w:val="left" w:pos="567"/>
        </w:tabs>
        <w:ind w:left="123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F1FAA978">
      <w:start w:val="1"/>
      <w:numFmt w:val="decimal"/>
      <w:lvlText w:val="%4."/>
      <w:lvlJc w:val="left"/>
      <w:pPr>
        <w:tabs>
          <w:tab w:val="left" w:pos="567"/>
        </w:tabs>
        <w:ind w:left="1956" w:hanging="675"/>
      </w:pPr>
      <w:rPr>
        <w:rFonts w:hAnsi="Arial Unicode MS"/>
        <w:caps w:val="0"/>
        <w:smallCaps w:val="0"/>
        <w:strike w:val="0"/>
        <w:dstrike w:val="0"/>
        <w:outline w:val="0"/>
        <w:emboss w:val="0"/>
        <w:imprint w:val="0"/>
        <w:spacing w:val="0"/>
        <w:w w:val="100"/>
        <w:kern w:val="0"/>
        <w:position w:val="0"/>
        <w:highlight w:val="none"/>
        <w:vertAlign w:val="baseline"/>
      </w:rPr>
    </w:lvl>
    <w:lvl w:ilvl="4" w:tplc="04860266">
      <w:start w:val="1"/>
      <w:numFmt w:val="lowerLetter"/>
      <w:lvlText w:val="%5."/>
      <w:lvlJc w:val="left"/>
      <w:pPr>
        <w:tabs>
          <w:tab w:val="left" w:pos="567"/>
        </w:tabs>
        <w:ind w:left="2676" w:hanging="522"/>
      </w:pPr>
      <w:rPr>
        <w:rFonts w:hAnsi="Arial Unicode MS"/>
        <w:caps w:val="0"/>
        <w:smallCaps w:val="0"/>
        <w:strike w:val="0"/>
        <w:dstrike w:val="0"/>
        <w:outline w:val="0"/>
        <w:emboss w:val="0"/>
        <w:imprint w:val="0"/>
        <w:spacing w:val="0"/>
        <w:w w:val="100"/>
        <w:kern w:val="0"/>
        <w:position w:val="0"/>
        <w:highlight w:val="none"/>
        <w:vertAlign w:val="baseline"/>
      </w:rPr>
    </w:lvl>
    <w:lvl w:ilvl="5" w:tplc="3CF61250">
      <w:start w:val="1"/>
      <w:numFmt w:val="lowerRoman"/>
      <w:lvlText w:val="%6."/>
      <w:lvlJc w:val="left"/>
      <w:pPr>
        <w:tabs>
          <w:tab w:val="left" w:pos="567"/>
        </w:tabs>
        <w:ind w:left="3396"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F6A2400C">
      <w:start w:val="1"/>
      <w:numFmt w:val="decimal"/>
      <w:lvlText w:val="%7."/>
      <w:lvlJc w:val="left"/>
      <w:pPr>
        <w:tabs>
          <w:tab w:val="left" w:pos="567"/>
        </w:tabs>
        <w:ind w:left="411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8D9C1B00">
      <w:start w:val="1"/>
      <w:numFmt w:val="lowerLetter"/>
      <w:lvlText w:val="%8."/>
      <w:lvlJc w:val="left"/>
      <w:pPr>
        <w:tabs>
          <w:tab w:val="left" w:pos="567"/>
        </w:tabs>
        <w:ind w:left="4836" w:hanging="630"/>
      </w:pPr>
      <w:rPr>
        <w:rFonts w:hAnsi="Arial Unicode MS"/>
        <w:caps w:val="0"/>
        <w:smallCaps w:val="0"/>
        <w:strike w:val="0"/>
        <w:dstrike w:val="0"/>
        <w:outline w:val="0"/>
        <w:emboss w:val="0"/>
        <w:imprint w:val="0"/>
        <w:spacing w:val="0"/>
        <w:w w:val="100"/>
        <w:kern w:val="0"/>
        <w:position w:val="0"/>
        <w:highlight w:val="none"/>
        <w:vertAlign w:val="baseline"/>
      </w:rPr>
    </w:lvl>
    <w:lvl w:ilvl="8" w:tplc="1DC6AA3C">
      <w:start w:val="1"/>
      <w:numFmt w:val="lowerRoman"/>
      <w:lvlText w:val="%9."/>
      <w:lvlJc w:val="left"/>
      <w:pPr>
        <w:tabs>
          <w:tab w:val="left" w:pos="567"/>
        </w:tabs>
        <w:ind w:left="5556" w:hanging="4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14FEE"/>
    <w:rsid w:val="00035571"/>
    <w:rsid w:val="0006097B"/>
    <w:rsid w:val="001C0F5E"/>
    <w:rsid w:val="001F325D"/>
    <w:rsid w:val="00201DA9"/>
    <w:rsid w:val="00222027"/>
    <w:rsid w:val="002501AF"/>
    <w:rsid w:val="00263582"/>
    <w:rsid w:val="002767EC"/>
    <w:rsid w:val="00297CF1"/>
    <w:rsid w:val="002F0B83"/>
    <w:rsid w:val="00324536"/>
    <w:rsid w:val="00354319"/>
    <w:rsid w:val="003619DC"/>
    <w:rsid w:val="00363532"/>
    <w:rsid w:val="003D53EA"/>
    <w:rsid w:val="00402505"/>
    <w:rsid w:val="00414A7D"/>
    <w:rsid w:val="00431BC2"/>
    <w:rsid w:val="00452864"/>
    <w:rsid w:val="00504A2B"/>
    <w:rsid w:val="005362A8"/>
    <w:rsid w:val="0058194D"/>
    <w:rsid w:val="00583578"/>
    <w:rsid w:val="00590090"/>
    <w:rsid w:val="005C4F5D"/>
    <w:rsid w:val="005C796D"/>
    <w:rsid w:val="0060063E"/>
    <w:rsid w:val="00670A45"/>
    <w:rsid w:val="0067158A"/>
    <w:rsid w:val="0069132F"/>
    <w:rsid w:val="006F7B50"/>
    <w:rsid w:val="007010D3"/>
    <w:rsid w:val="00774881"/>
    <w:rsid w:val="007770EC"/>
    <w:rsid w:val="007A4F10"/>
    <w:rsid w:val="007C2222"/>
    <w:rsid w:val="007E489C"/>
    <w:rsid w:val="007F6F0F"/>
    <w:rsid w:val="008077EA"/>
    <w:rsid w:val="00867813"/>
    <w:rsid w:val="00867EA5"/>
    <w:rsid w:val="00890B7E"/>
    <w:rsid w:val="008C10F6"/>
    <w:rsid w:val="009043D6"/>
    <w:rsid w:val="00910BB1"/>
    <w:rsid w:val="00915E9C"/>
    <w:rsid w:val="009449D2"/>
    <w:rsid w:val="00950D13"/>
    <w:rsid w:val="009643AB"/>
    <w:rsid w:val="009864E1"/>
    <w:rsid w:val="00A009AA"/>
    <w:rsid w:val="00A3053C"/>
    <w:rsid w:val="00A34FE3"/>
    <w:rsid w:val="00A42F34"/>
    <w:rsid w:val="00A47AC7"/>
    <w:rsid w:val="00A51BDC"/>
    <w:rsid w:val="00A63EA8"/>
    <w:rsid w:val="00A76118"/>
    <w:rsid w:val="00AD3E46"/>
    <w:rsid w:val="00AD4A76"/>
    <w:rsid w:val="00B659EF"/>
    <w:rsid w:val="00B7289E"/>
    <w:rsid w:val="00BA23EA"/>
    <w:rsid w:val="00BC2064"/>
    <w:rsid w:val="00BD0E49"/>
    <w:rsid w:val="00BE677A"/>
    <w:rsid w:val="00C00812"/>
    <w:rsid w:val="00C65064"/>
    <w:rsid w:val="00CB4084"/>
    <w:rsid w:val="00CC7605"/>
    <w:rsid w:val="00D01C77"/>
    <w:rsid w:val="00D1262B"/>
    <w:rsid w:val="00D52393"/>
    <w:rsid w:val="00D56558"/>
    <w:rsid w:val="00D600F3"/>
    <w:rsid w:val="00D7456E"/>
    <w:rsid w:val="00DB3328"/>
    <w:rsid w:val="00DD4019"/>
    <w:rsid w:val="00DE6BA0"/>
    <w:rsid w:val="00DF73DA"/>
    <w:rsid w:val="00E07FBC"/>
    <w:rsid w:val="00E57FDB"/>
    <w:rsid w:val="00E652B9"/>
    <w:rsid w:val="00E67C6F"/>
    <w:rsid w:val="00E75666"/>
    <w:rsid w:val="00E865DF"/>
    <w:rsid w:val="00E917BD"/>
    <w:rsid w:val="00EB3B2E"/>
    <w:rsid w:val="00EC31D0"/>
    <w:rsid w:val="00EF4691"/>
    <w:rsid w:val="00F26685"/>
    <w:rsid w:val="00F316CF"/>
    <w:rsid w:val="00F43E41"/>
    <w:rsid w:val="00F65DB0"/>
    <w:rsid w:val="00F932A3"/>
    <w:rsid w:val="00F95720"/>
    <w:rsid w:val="00FE521E"/>
    <w:rsid w:val="00FF5B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F848"/>
  <w15:docId w15:val="{7CC99045-FBB0-408F-A24F-BA8D7FAC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rFonts w:eastAsia="Times New Roman"/>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styleId="Footer">
    <w:name w:val="footer"/>
    <w:pPr>
      <w:suppressAutoHyphens/>
    </w:pPr>
    <w:rPr>
      <w:rFonts w:cs="Arial Unicode MS"/>
      <w:color w:val="000000"/>
      <w:sz w:val="16"/>
      <w:szCs w:val="16"/>
      <w:u w:color="000000"/>
      <w:lang w:val="en-US"/>
    </w:rPr>
  </w:style>
  <w:style w:type="paragraph" w:styleId="Header">
    <w:name w:val="header"/>
    <w:pPr>
      <w:pBdr>
        <w:bottom w:val="single" w:sz="4" w:space="0" w:color="000000"/>
      </w:pBdr>
      <w:suppressAutoHyphens/>
    </w:pPr>
    <w:rPr>
      <w:rFonts w:cs="Arial Unicode MS"/>
      <w:b/>
      <w:bCs/>
      <w:color w:val="000000"/>
      <w:sz w:val="18"/>
      <w:szCs w:val="18"/>
      <w:u w:color="000000"/>
      <w:lang w:val="en-US"/>
    </w:rPr>
  </w:style>
  <w:style w:type="paragraph" w:customStyle="1" w:styleId="H1G">
    <w:name w:val="_ H_1_G"/>
    <w:next w:val="Normal"/>
    <w:pPr>
      <w:keepNext/>
      <w:keepLines/>
      <w:tabs>
        <w:tab w:val="right" w:pos="851"/>
      </w:tabs>
      <w:suppressAutoHyphens/>
      <w:spacing w:before="360" w:after="240" w:line="270" w:lineRule="exact"/>
      <w:ind w:left="1134" w:right="1134" w:hanging="1134"/>
    </w:pPr>
    <w:rPr>
      <w:rFonts w:eastAsia="Times New Roman"/>
      <w:b/>
      <w:bC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character" w:customStyle="1" w:styleId="Hyperlink0">
    <w:name w:val="Hyperlink.0"/>
    <w:basedOn w:val="Hyperlink"/>
    <w:rPr>
      <w:outline w:val="0"/>
      <w:color w:val="000000"/>
      <w:u w:val="none" w:color="000000"/>
    </w:rPr>
  </w:style>
  <w:style w:type="paragraph" w:customStyle="1" w:styleId="SingleTxtG">
    <w:name w:val="_ Single Txt_G"/>
    <w:link w:val="SingleTxtGChar"/>
    <w:qFormat/>
    <w:pPr>
      <w:suppressAutoHyphens/>
      <w:spacing w:after="120" w:line="240" w:lineRule="atLeast"/>
      <w:ind w:left="1134" w:right="1134"/>
      <w:jc w:val="both"/>
    </w:pPr>
    <w:rPr>
      <w:rFonts w:eastAsia="Times New Roman"/>
      <w:color w:val="000000"/>
      <w:u w:color="000000"/>
      <w:lang w:val="en-US"/>
    </w:rPr>
  </w:style>
  <w:style w:type="character" w:styleId="CommentReference">
    <w:name w:val="annotation reference"/>
    <w:basedOn w:val="DefaultParagraphFont"/>
    <w:uiPriority w:val="99"/>
    <w:semiHidden/>
    <w:unhideWhenUsed/>
    <w:rsid w:val="00E57FDB"/>
    <w:rPr>
      <w:sz w:val="16"/>
      <w:szCs w:val="16"/>
    </w:rPr>
  </w:style>
  <w:style w:type="paragraph" w:styleId="CommentText">
    <w:name w:val="annotation text"/>
    <w:basedOn w:val="Normal"/>
    <w:link w:val="CommentTextChar"/>
    <w:uiPriority w:val="99"/>
    <w:semiHidden/>
    <w:unhideWhenUsed/>
    <w:rsid w:val="00E57FDB"/>
    <w:pPr>
      <w:spacing w:line="240" w:lineRule="auto"/>
    </w:pPr>
  </w:style>
  <w:style w:type="character" w:customStyle="1" w:styleId="CommentTextChar">
    <w:name w:val="Comment Text Char"/>
    <w:basedOn w:val="DefaultParagraphFont"/>
    <w:link w:val="CommentText"/>
    <w:uiPriority w:val="99"/>
    <w:semiHidden/>
    <w:rsid w:val="00E57FDB"/>
    <w:rPr>
      <w:rFonts w:eastAsia="Times New Roman"/>
      <w:color w:val="000000"/>
      <w:u w:color="000000"/>
      <w:lang w:val="en-US"/>
    </w:rPr>
  </w:style>
  <w:style w:type="paragraph" w:styleId="CommentSubject">
    <w:name w:val="annotation subject"/>
    <w:basedOn w:val="CommentText"/>
    <w:next w:val="CommentText"/>
    <w:link w:val="CommentSubjectChar"/>
    <w:uiPriority w:val="99"/>
    <w:semiHidden/>
    <w:unhideWhenUsed/>
    <w:rsid w:val="00E57FDB"/>
    <w:rPr>
      <w:b/>
      <w:bCs/>
    </w:rPr>
  </w:style>
  <w:style w:type="character" w:customStyle="1" w:styleId="CommentSubjectChar">
    <w:name w:val="Comment Subject Char"/>
    <w:basedOn w:val="CommentTextChar"/>
    <w:link w:val="CommentSubject"/>
    <w:uiPriority w:val="99"/>
    <w:semiHidden/>
    <w:rsid w:val="00E57FDB"/>
    <w:rPr>
      <w:rFonts w:eastAsia="Times New Roman"/>
      <w:b/>
      <w:bCs/>
      <w:color w:val="000000"/>
      <w:u w:color="000000"/>
      <w:lang w:val="en-US"/>
    </w:rPr>
  </w:style>
  <w:style w:type="paragraph" w:styleId="BalloonText">
    <w:name w:val="Balloon Text"/>
    <w:basedOn w:val="Normal"/>
    <w:link w:val="BalloonTextChar"/>
    <w:uiPriority w:val="99"/>
    <w:semiHidden/>
    <w:unhideWhenUsed/>
    <w:rsid w:val="00E57F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DB"/>
    <w:rPr>
      <w:rFonts w:ascii="Segoe UI" w:eastAsia="Times New Roman" w:hAnsi="Segoe UI" w:cs="Segoe UI"/>
      <w:color w:val="000000"/>
      <w:sz w:val="18"/>
      <w:szCs w:val="18"/>
      <w:u w:color="000000"/>
      <w:lang w:val="en-US"/>
    </w:rPr>
  </w:style>
  <w:style w:type="character" w:customStyle="1" w:styleId="SingleTxtGCar">
    <w:name w:val="_ Single Txt_G Car"/>
    <w:rsid w:val="003619DC"/>
    <w:rPr>
      <w:lang w:eastAsia="en-US"/>
    </w:rPr>
  </w:style>
  <w:style w:type="character" w:customStyle="1" w:styleId="SingleTxtGChar">
    <w:name w:val="_ Single Txt_G Char"/>
    <w:link w:val="SingleTxtG"/>
    <w:rsid w:val="00DD4019"/>
    <w:rPr>
      <w:rFonts w:eastAsia="Times New Roman"/>
      <w:color w:val="000000"/>
      <w:u w:color="000000"/>
      <w:lang w:val="en-US"/>
    </w:rPr>
  </w:style>
  <w:style w:type="character" w:styleId="FootnoteReference">
    <w:name w:val="footnote reference"/>
    <w:aliases w:val="4_G"/>
    <w:basedOn w:val="DefaultParagraphFont"/>
    <w:uiPriority w:val="99"/>
    <w:qFormat/>
    <w:rsid w:val="001F325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
    <w:basedOn w:val="Normal"/>
    <w:link w:val="FootnoteTextChar"/>
    <w:uiPriority w:val="99"/>
    <w:qFormat/>
    <w:rsid w:val="001F325D"/>
    <w:pPr>
      <w:pBdr>
        <w:top w:val="none" w:sz="0" w:space="0" w:color="auto"/>
        <w:left w:val="none" w:sz="0" w:space="0" w:color="auto"/>
        <w:bottom w:val="none" w:sz="0" w:space="0" w:color="auto"/>
        <w:right w:val="none" w:sz="0" w:space="0" w:color="auto"/>
        <w:between w:val="none" w:sz="0" w:space="0" w:color="auto"/>
        <w:bar w:val="none" w:sz="0" w:color="auto"/>
      </w:pBdr>
      <w:tabs>
        <w:tab w:val="right" w:pos="1021"/>
      </w:tabs>
      <w:spacing w:line="220" w:lineRule="exact"/>
      <w:ind w:left="1134" w:right="1134" w:hanging="1134"/>
    </w:pPr>
    <w:rPr>
      <w:color w:val="auto"/>
      <w:sz w:val="18"/>
      <w:bdr w:val="none" w:sz="0" w:space="0" w:color="auto"/>
      <w:lang w:val="en-GB" w:eastAsia="fr-FR"/>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basedOn w:val="DefaultParagraphFont"/>
    <w:link w:val="FootnoteText"/>
    <w:uiPriority w:val="99"/>
    <w:rsid w:val="001F325D"/>
    <w:rPr>
      <w:rFonts w:eastAsia="Times New Roman"/>
      <w:sz w:val="18"/>
      <w:bdr w:val="none" w:sz="0" w:space="0" w:color="auto"/>
      <w:lang w:eastAsia="fr-FR"/>
    </w:rPr>
  </w:style>
  <w:style w:type="paragraph" w:styleId="Revision">
    <w:name w:val="Revision"/>
    <w:hidden/>
    <w:uiPriority w:val="99"/>
    <w:semiHidden/>
    <w:rsid w:val="00D7456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5" ma:contentTypeDescription="Create a new document." ma:contentTypeScope="" ma:versionID="ed8a5a6ec604e5442a9dfca49fa37f84">
  <xsd:schema xmlns:xsd="http://www.w3.org/2001/XMLSchema" xmlns:xs="http://www.w3.org/2001/XMLSchema" xmlns:p="http://schemas.microsoft.com/office/2006/metadata/properties" xmlns:ns2="2321ae59-7bd5-4fd6-baee-ebb54b863058" xmlns:ns3="b7523eb9-e124-4391-9ef4-252df2216ceb" targetNamespace="http://schemas.microsoft.com/office/2006/metadata/properties" ma:root="true" ma:fieldsID="94e21e0626eb04f30fafff6782697cd1" ns2:_="" ns3:_="">
    <xsd:import namespace="2321ae59-7bd5-4fd6-baee-ebb54b863058"/>
    <xsd:import namespace="b7523eb9-e124-4391-9ef4-252df2216c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_x002f_Time" ma:index="21" nillable="true" ma:displayName="Date/ 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f_Time xmlns="2321ae59-7bd5-4fd6-baee-ebb54b86305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32251-BE68-4F51-A9A7-F5267CBF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1C0A-AA2D-4BFB-8ADC-8842FCCB2F31}">
  <ds:schemaRefs>
    <ds:schemaRef ds:uri="http://schemas.microsoft.com/office/2006/metadata/properties"/>
    <ds:schemaRef ds:uri="http://schemas.microsoft.com/office/infopath/2007/PartnerControls"/>
    <ds:schemaRef ds:uri="2321ae59-7bd5-4fd6-baee-ebb54b863058"/>
  </ds:schemaRefs>
</ds:datastoreItem>
</file>

<file path=customXml/itemProps3.xml><?xml version="1.0" encoding="utf-8"?>
<ds:datastoreItem xmlns:ds="http://schemas.openxmlformats.org/officeDocument/2006/customXml" ds:itemID="{8DFB6E0C-8CFB-4A6B-BCA0-04615B37B7A6}">
  <ds:schemaRefs>
    <ds:schemaRef ds:uri="http://schemas.openxmlformats.org/officeDocument/2006/bibliography"/>
  </ds:schemaRefs>
</ds:datastoreItem>
</file>

<file path=customXml/itemProps4.xml><?xml version="1.0" encoding="utf-8"?>
<ds:datastoreItem xmlns:ds="http://schemas.openxmlformats.org/officeDocument/2006/customXml" ds:itemID="{A1B14D3F-4365-4C8D-9D7E-D9B371D44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1839</Words>
  <Characters>10173</Characters>
  <Application>Microsoft Office Word</Application>
  <DocSecurity>0</DocSecurity>
  <Lines>125</Lines>
  <Paragraphs>6</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Foster</dc:creator>
  <cp:lastModifiedBy>Michal Jacek Drabik</cp:lastModifiedBy>
  <cp:revision>2</cp:revision>
  <dcterms:created xsi:type="dcterms:W3CDTF">2022-03-08T08:34:00Z</dcterms:created>
  <dcterms:modified xsi:type="dcterms:W3CDTF">2022-03-08T08:34:00Z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ies>
</file>