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C078" w14:textId="2A9BD222" w:rsidR="002A0E4B" w:rsidRDefault="002A0E4B" w:rsidP="00791E69">
      <w:pPr>
        <w:pStyle w:val="HChG"/>
        <w:ind w:right="283" w:hanging="567"/>
        <w:jc w:val="center"/>
      </w:pPr>
      <w:r w:rsidRPr="002A0E4B">
        <w:t xml:space="preserve">Proposal for amendments to </w:t>
      </w:r>
      <w:r w:rsidR="00266D34" w:rsidRPr="00266D34">
        <w:t>ECE/TRANS/WP.29/GRVA/2021/29</w:t>
      </w:r>
    </w:p>
    <w:p w14:paraId="478990AB" w14:textId="45270A53" w:rsidR="0054350C" w:rsidRDefault="002A0E4B" w:rsidP="00266D34">
      <w:pPr>
        <w:ind w:left="993" w:right="992"/>
        <w:jc w:val="both"/>
      </w:pPr>
      <w:r w:rsidRPr="002A0E4B">
        <w:t xml:space="preserve">Proposal for </w:t>
      </w:r>
      <w:r w:rsidR="00266D34">
        <w:t>amendments to UN Regulation No. 90 (Uniform provisions concerning the approval of replacement brake lining assemblies, drum-brake linings and discs and drums for power-driven vehicles and their trailer)</w:t>
      </w:r>
    </w:p>
    <w:p w14:paraId="56B34836" w14:textId="77777777" w:rsidR="0054350C" w:rsidRDefault="0054350C" w:rsidP="002A0E4B"/>
    <w:p w14:paraId="655C01AC" w14:textId="7EE1A151" w:rsidR="002A0E4B" w:rsidRPr="002A0E4B" w:rsidRDefault="002A0E4B" w:rsidP="00EB4E95">
      <w:pPr>
        <w:ind w:left="993" w:right="992"/>
        <w:jc w:val="both"/>
      </w:pPr>
      <w:r>
        <w:t xml:space="preserve">This document reflects the outcome of discussions held </w:t>
      </w:r>
      <w:r w:rsidR="00266D34">
        <w:t>during the</w:t>
      </w:r>
      <w:r w:rsidR="00117F8B">
        <w:t xml:space="preserve"> GRVA-</w:t>
      </w:r>
      <w:r w:rsidR="00266D34">
        <w:t xml:space="preserve">11. </w:t>
      </w:r>
      <w:r w:rsidR="00EB4E95" w:rsidRPr="00EB4E95">
        <w:t>The modifications to the current text of the UN Regulation are marked bold for added text and s</w:t>
      </w:r>
      <w:r w:rsidR="00EB4E95">
        <w:t xml:space="preserve">trike through for deleted text. </w:t>
      </w:r>
      <w:r w:rsidR="0054350C" w:rsidRPr="008C3FC5">
        <w:t xml:space="preserve">The changes proposed to document </w:t>
      </w:r>
      <w:r w:rsidR="006405C5" w:rsidRPr="008C3FC5">
        <w:t>ECE</w:t>
      </w:r>
      <w:r w:rsidR="006405C5" w:rsidRPr="002A0E4B">
        <w:t>/TRANS/WP.29/</w:t>
      </w:r>
      <w:r w:rsidR="0054350C">
        <w:t>GRVA/2021/</w:t>
      </w:r>
      <w:r w:rsidR="00EB4E95">
        <w:t>29</w:t>
      </w:r>
      <w:r w:rsidR="0054350C">
        <w:t xml:space="preserve"> are indicated </w:t>
      </w:r>
      <w:r w:rsidR="00266D34">
        <w:t>below</w:t>
      </w:r>
      <w:r w:rsidR="0054350C" w:rsidRPr="00117F8B">
        <w:t>.</w:t>
      </w:r>
      <w:r w:rsidR="00117F8B" w:rsidRPr="00117F8B">
        <w:t xml:space="preserve"> </w:t>
      </w:r>
    </w:p>
    <w:p w14:paraId="12A0A1DF" w14:textId="77777777" w:rsidR="00C35BB1" w:rsidRDefault="00C35BB1" w:rsidP="00C35BB1">
      <w:pPr>
        <w:pStyle w:val="HChG"/>
        <w:numPr>
          <w:ilvl w:val="0"/>
          <w:numId w:val="28"/>
        </w:numPr>
        <w:tabs>
          <w:tab w:val="left" w:pos="1134"/>
          <w:tab w:val="left" w:pos="1701"/>
          <w:tab w:val="left" w:pos="2268"/>
          <w:tab w:val="left" w:pos="2836"/>
        </w:tabs>
      </w:pPr>
      <w:r w:rsidRPr="006D0011">
        <w:t>Proposal</w:t>
      </w:r>
    </w:p>
    <w:p w14:paraId="46391EDA" w14:textId="77777777" w:rsidR="00EB4E95" w:rsidRPr="00ED709B" w:rsidRDefault="00EB4E95" w:rsidP="00EB4E95">
      <w:pPr>
        <w:pStyle w:val="HChG"/>
        <w:spacing w:before="0" w:after="0" w:line="240" w:lineRule="auto"/>
        <w:ind w:left="1395" w:firstLine="0"/>
        <w:rPr>
          <w:sz w:val="22"/>
        </w:rPr>
      </w:pPr>
      <w:r w:rsidRPr="00ED709B">
        <w:rPr>
          <w:sz w:val="22"/>
        </w:rPr>
        <w:t xml:space="preserve">Annex </w:t>
      </w:r>
      <w:r>
        <w:rPr>
          <w:sz w:val="22"/>
        </w:rPr>
        <w:t>7a:</w:t>
      </w:r>
    </w:p>
    <w:p w14:paraId="18616BCA" w14:textId="77777777" w:rsidR="00EB4E95" w:rsidRDefault="00EB4E95" w:rsidP="00EB4E95">
      <w:pPr>
        <w:pStyle w:val="HChG"/>
        <w:spacing w:before="0" w:after="0" w:line="240" w:lineRule="auto"/>
        <w:ind w:left="1395" w:firstLine="0"/>
        <w:rPr>
          <w:b w:val="0"/>
          <w:sz w:val="22"/>
        </w:rPr>
      </w:pPr>
    </w:p>
    <w:p w14:paraId="6C70DFA6" w14:textId="77777777" w:rsidR="00EB4E95" w:rsidRDefault="00EB4E95" w:rsidP="00EB4E95">
      <w:pPr>
        <w:pStyle w:val="HChG"/>
        <w:spacing w:before="0" w:after="0" w:line="240" w:lineRule="auto"/>
        <w:ind w:left="1395" w:firstLine="0"/>
        <w:rPr>
          <w:b w:val="0"/>
          <w:sz w:val="22"/>
        </w:rPr>
      </w:pPr>
      <w:r w:rsidRPr="0034712C">
        <w:rPr>
          <w:b w:val="0"/>
          <w:i/>
          <w:iCs/>
          <w:sz w:val="22"/>
        </w:rPr>
        <w:t>Paragraph 1</w:t>
      </w:r>
      <w:r>
        <w:rPr>
          <w:b w:val="0"/>
          <w:sz w:val="22"/>
        </w:rPr>
        <w:t>, amend to read:</w:t>
      </w:r>
    </w:p>
    <w:p w14:paraId="4140D725" w14:textId="77777777" w:rsidR="00EB4E95" w:rsidRPr="00EB4E95" w:rsidRDefault="00EB4E95" w:rsidP="00EB4E95">
      <w:pPr>
        <w:pStyle w:val="ListParagraph"/>
        <w:ind w:left="1395"/>
        <w:rPr>
          <w:color w:val="FF0000"/>
        </w:rPr>
      </w:pPr>
    </w:p>
    <w:p w14:paraId="6F8A7962" w14:textId="77777777" w:rsidR="00EB4E95" w:rsidRPr="00C330FB" w:rsidRDefault="00EB4E95" w:rsidP="00EB4E95">
      <w:pPr>
        <w:pStyle w:val="ListParagraph1"/>
        <w:spacing w:after="120" w:line="240" w:lineRule="auto"/>
        <w:ind w:left="1395" w:right="1134"/>
        <w:contextualSpacing w:val="0"/>
        <w:jc w:val="both"/>
        <w:rPr>
          <w:rFonts w:ascii="Times New Roman" w:hAnsi="Times New Roman"/>
          <w:sz w:val="20"/>
        </w:rPr>
      </w:pPr>
      <w:r w:rsidRPr="00C330FB">
        <w:rPr>
          <w:rFonts w:ascii="Times New Roman" w:hAnsi="Times New Roman"/>
          <w:sz w:val="20"/>
          <w:szCs w:val="24"/>
        </w:rPr>
        <w:t>1.</w:t>
      </w:r>
      <w:r w:rsidRPr="00C330FB">
        <w:rPr>
          <w:rFonts w:ascii="Times New Roman" w:hAnsi="Times New Roman"/>
          <w:sz w:val="20"/>
          <w:szCs w:val="24"/>
        </w:rPr>
        <w:tab/>
      </w:r>
      <w:r w:rsidRPr="00C330FB">
        <w:rPr>
          <w:rFonts w:ascii="Times New Roman" w:hAnsi="Times New Roman"/>
          <w:sz w:val="20"/>
        </w:rPr>
        <w:t>Grouping criteria</w:t>
      </w:r>
    </w:p>
    <w:p w14:paraId="2E5FA7BA" w14:textId="77777777" w:rsidR="00EB4E95" w:rsidRPr="00F56765" w:rsidRDefault="00EB4E95" w:rsidP="00EB4E95">
      <w:pPr>
        <w:pStyle w:val="ListParagraph1"/>
        <w:spacing w:after="120" w:line="240" w:lineRule="auto"/>
        <w:ind w:left="1395" w:right="1134"/>
        <w:contextualSpacing w:val="0"/>
        <w:jc w:val="both"/>
        <w:rPr>
          <w:rFonts w:ascii="Times New Roman" w:hAnsi="Times New Roman"/>
          <w:sz w:val="20"/>
        </w:rPr>
      </w:pPr>
      <w:r w:rsidRPr="00F56765">
        <w:rPr>
          <w:rFonts w:ascii="Times New Roman" w:hAnsi="Times New Roman"/>
          <w:sz w:val="20"/>
        </w:rPr>
        <w:tab/>
        <w:t>The grouping is made according to the following approach:</w:t>
      </w:r>
    </w:p>
    <w:p w14:paraId="26B25F9E" w14:textId="77777777" w:rsidR="00EB4E95" w:rsidRPr="00F56765" w:rsidRDefault="00EB4E95" w:rsidP="00EB4E95">
      <w:pPr>
        <w:pStyle w:val="ListParagraph1"/>
        <w:spacing w:after="120" w:line="240" w:lineRule="auto"/>
        <w:ind w:left="1395" w:right="1134"/>
        <w:contextualSpacing w:val="0"/>
        <w:jc w:val="both"/>
        <w:rPr>
          <w:rFonts w:ascii="Times New Roman" w:hAnsi="Times New Roman"/>
          <w:sz w:val="20"/>
        </w:rPr>
      </w:pPr>
      <w:r w:rsidRPr="00F56765">
        <w:rPr>
          <w:rFonts w:ascii="Times New Roman" w:hAnsi="Times New Roman"/>
          <w:sz w:val="20"/>
        </w:rPr>
        <w:t>(a)</w:t>
      </w:r>
      <w:r w:rsidRPr="00F56765">
        <w:rPr>
          <w:rFonts w:ascii="Times New Roman" w:hAnsi="Times New Roman"/>
          <w:sz w:val="20"/>
        </w:rPr>
        <w:tab/>
        <w:t>According to the</w:t>
      </w:r>
      <w:r w:rsidRPr="00F56765">
        <w:rPr>
          <w:rFonts w:ascii="Times New Roman" w:hAnsi="Times New Roman"/>
          <w:color w:val="FF0000"/>
          <w:sz w:val="20"/>
        </w:rPr>
        <w:t xml:space="preserve"> </w:t>
      </w:r>
      <w:r w:rsidRPr="00F56765">
        <w:rPr>
          <w:rFonts w:ascii="Times New Roman" w:hAnsi="Times New Roman"/>
          <w:sz w:val="20"/>
        </w:rPr>
        <w:t xml:space="preserve">individual friction material of the brake </w:t>
      </w:r>
      <w:proofErr w:type="gramStart"/>
      <w:r w:rsidRPr="00F56765">
        <w:rPr>
          <w:rFonts w:ascii="Times New Roman" w:hAnsi="Times New Roman"/>
          <w:sz w:val="20"/>
        </w:rPr>
        <w:t>lining;</w:t>
      </w:r>
      <w:proofErr w:type="gramEnd"/>
    </w:p>
    <w:p w14:paraId="240AEA18" w14:textId="77777777" w:rsidR="00EB4E95" w:rsidRPr="00F56765" w:rsidRDefault="00EB4E95" w:rsidP="00EB4E95">
      <w:pPr>
        <w:pStyle w:val="ListParagraph1"/>
        <w:spacing w:after="120" w:line="240" w:lineRule="auto"/>
        <w:ind w:left="1395" w:right="1134"/>
        <w:contextualSpacing w:val="0"/>
        <w:jc w:val="both"/>
        <w:rPr>
          <w:rFonts w:ascii="Times New Roman" w:hAnsi="Times New Roman"/>
        </w:rPr>
      </w:pPr>
      <w:r w:rsidRPr="00F56765">
        <w:rPr>
          <w:rFonts w:ascii="Times New Roman" w:hAnsi="Times New Roman"/>
          <w:sz w:val="20"/>
        </w:rPr>
        <w:t>(b)</w:t>
      </w:r>
      <w:r w:rsidRPr="00F56765">
        <w:rPr>
          <w:rFonts w:ascii="Times New Roman" w:hAnsi="Times New Roman"/>
          <w:sz w:val="20"/>
        </w:rPr>
        <w:tab/>
        <w:t>Depending on the area of the friction material area of the brake lining assembly operated by the piston/pistons of only one side of the brake caliper</w:t>
      </w:r>
      <w:r>
        <w:rPr>
          <w:rFonts w:ascii="Times New Roman" w:hAnsi="Times New Roman"/>
          <w:sz w:val="20"/>
        </w:rPr>
        <w:t xml:space="preserve"> </w:t>
      </w:r>
      <w:r w:rsidRPr="0034712C">
        <w:rPr>
          <w:rFonts w:ascii="Times New Roman" w:hAnsi="Times New Roman"/>
          <w:b/>
          <w:bCs/>
          <w:sz w:val="20"/>
        </w:rPr>
        <w:t xml:space="preserve">or, in case of drum brakes, of </w:t>
      </w:r>
      <w:r>
        <w:rPr>
          <w:rFonts w:ascii="Times New Roman" w:hAnsi="Times New Roman"/>
          <w:b/>
          <w:bCs/>
          <w:sz w:val="20"/>
        </w:rPr>
        <w:t xml:space="preserve">only one brake </w:t>
      </w:r>
      <w:r w:rsidRPr="0034712C">
        <w:rPr>
          <w:rFonts w:ascii="Times New Roman" w:hAnsi="Times New Roman"/>
          <w:b/>
          <w:bCs/>
          <w:sz w:val="20"/>
        </w:rPr>
        <w:t>shoe.</w:t>
      </w:r>
    </w:p>
    <w:p w14:paraId="51C36F50" w14:textId="1AC890D0" w:rsidR="00EB4E95" w:rsidRPr="00EB4E95" w:rsidRDefault="00EB4E95" w:rsidP="00EB4E95">
      <w:pPr>
        <w:pStyle w:val="ListParagraph"/>
        <w:spacing w:after="120"/>
        <w:ind w:left="1395" w:right="1134"/>
        <w:jc w:val="both"/>
        <w:rPr>
          <w:b/>
          <w:lang w:val="en-US"/>
        </w:rPr>
      </w:pPr>
      <w:r w:rsidRPr="00EB4E95">
        <w:rPr>
          <w:lang w:val="en-US"/>
        </w:rPr>
        <w:t>Friction material area means all the area enclosed within the perimeter of the brake lining (see the red cross-hatched area, Figure 1</w:t>
      </w:r>
      <w:r w:rsidRPr="00EB4E95">
        <w:rPr>
          <w:b/>
          <w:bCs/>
          <w:lang w:val="en-US"/>
        </w:rPr>
        <w:t>, Figure 2</w:t>
      </w:r>
      <w:r w:rsidRPr="00EB4E95">
        <w:rPr>
          <w:lang w:val="en-US"/>
        </w:rPr>
        <w:t>), thus excluding the presence of any grooves and/or chamfers:</w:t>
      </w:r>
    </w:p>
    <w:p w14:paraId="4866C186" w14:textId="77777777" w:rsidR="00EB4E95" w:rsidRDefault="00EB4E95" w:rsidP="00EB4E95">
      <w:pPr>
        <w:pStyle w:val="ListParagraph"/>
        <w:keepNext/>
        <w:spacing w:after="120"/>
        <w:ind w:left="1395" w:right="1134"/>
        <w:jc w:val="both"/>
        <w:rPr>
          <w:bCs/>
        </w:rPr>
      </w:pPr>
    </w:p>
    <w:p w14:paraId="51922CAC" w14:textId="5D84BD80" w:rsidR="00EB4E95" w:rsidRPr="00EB4E95" w:rsidRDefault="00EB4E95" w:rsidP="00EB4E95">
      <w:pPr>
        <w:pStyle w:val="ListParagraph"/>
        <w:keepNext/>
        <w:spacing w:after="120"/>
        <w:ind w:left="1395" w:right="1134"/>
        <w:jc w:val="both"/>
        <w:rPr>
          <w:bCs/>
        </w:rPr>
      </w:pPr>
      <w:r w:rsidRPr="00EB4E95">
        <w:rPr>
          <w:bCs/>
        </w:rPr>
        <w:t>Figure 1</w:t>
      </w:r>
    </w:p>
    <w:p w14:paraId="6FC8AFCD" w14:textId="77777777" w:rsidR="00EB4E95" w:rsidRPr="00EB4E95" w:rsidRDefault="00EB4E95" w:rsidP="00EB4E95">
      <w:pPr>
        <w:pStyle w:val="ListParagraph"/>
        <w:spacing w:after="120"/>
        <w:ind w:left="1395" w:right="1134"/>
        <w:rPr>
          <w:b/>
        </w:rPr>
      </w:pPr>
      <w:r>
        <w:rPr>
          <w:noProof/>
          <w:lang w:val="it-IT" w:eastAsia="it-IT"/>
        </w:rPr>
        <w:drawing>
          <wp:inline distT="0" distB="0" distL="0" distR="0" wp14:anchorId="1C396CE8" wp14:editId="6213BB2C">
            <wp:extent cx="220027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5D92" w14:textId="01D3561A" w:rsidR="00EB4E95" w:rsidRDefault="00EB4E95">
      <w:pPr>
        <w:suppressAutoHyphens w:val="0"/>
        <w:spacing w:line="240" w:lineRule="auto"/>
        <w:rPr>
          <w:rFonts w:eastAsiaTheme="minorEastAsia"/>
          <w:b/>
          <w:lang w:eastAsia="en-US"/>
        </w:rPr>
      </w:pPr>
      <w:r>
        <w:rPr>
          <w:b/>
        </w:rPr>
        <w:br w:type="page"/>
      </w:r>
    </w:p>
    <w:p w14:paraId="239ACF6E" w14:textId="77777777" w:rsidR="00EB4E95" w:rsidRDefault="00EB4E95" w:rsidP="00EB4E95">
      <w:pPr>
        <w:pStyle w:val="ListParagraph"/>
        <w:spacing w:after="120"/>
        <w:ind w:left="1395" w:right="1134"/>
        <w:rPr>
          <w:b/>
        </w:rPr>
      </w:pPr>
    </w:p>
    <w:p w14:paraId="010D4C34" w14:textId="77777777" w:rsidR="00EB4E95" w:rsidRPr="00EB4E95" w:rsidRDefault="00EB4E95" w:rsidP="00EB4E95">
      <w:pPr>
        <w:pStyle w:val="ListParagraph"/>
        <w:spacing w:after="120"/>
        <w:ind w:left="1395" w:right="1134"/>
        <w:rPr>
          <w:b/>
        </w:rPr>
      </w:pPr>
      <w:r w:rsidRPr="00EB4E95">
        <w:rPr>
          <w:b/>
        </w:rPr>
        <w:t>Figure 2</w:t>
      </w:r>
    </w:p>
    <w:p w14:paraId="76311CC3" w14:textId="77777777" w:rsidR="00EB4E95" w:rsidRPr="00EB4E95" w:rsidRDefault="00EB4E95" w:rsidP="00EB4E95">
      <w:pPr>
        <w:pStyle w:val="ListParagraph"/>
        <w:spacing w:after="120"/>
        <w:ind w:left="1395" w:right="1134"/>
        <w:rPr>
          <w:b/>
        </w:rPr>
      </w:pPr>
      <w:r w:rsidRPr="008F0024">
        <w:rPr>
          <w:noProof/>
          <w:lang w:val="it-IT" w:eastAsia="it-IT"/>
        </w:rPr>
        <w:drawing>
          <wp:inline distT="0" distB="0" distL="0" distR="0" wp14:anchorId="2A007E59" wp14:editId="6FFBDD5E">
            <wp:extent cx="2473960" cy="266178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55AF" w14:textId="05147A58" w:rsidR="00EB4E95" w:rsidRDefault="00EB4E95" w:rsidP="00EB4E95">
      <w:pPr>
        <w:pStyle w:val="ListParagraph"/>
        <w:suppressAutoHyphens w:val="0"/>
        <w:spacing w:line="240" w:lineRule="auto"/>
        <w:ind w:left="1395"/>
        <w:rPr>
          <w:lang w:val="en-US"/>
        </w:rPr>
      </w:pPr>
    </w:p>
    <w:p w14:paraId="7DA6421B" w14:textId="77777777" w:rsidR="00EB4E95" w:rsidRPr="00EB4E95" w:rsidRDefault="00EB4E95" w:rsidP="00EB4E95">
      <w:pPr>
        <w:pStyle w:val="ListParagraph"/>
        <w:suppressAutoHyphens w:val="0"/>
        <w:spacing w:line="240" w:lineRule="auto"/>
        <w:ind w:left="1395"/>
        <w:rPr>
          <w:lang w:val="en-US"/>
        </w:rPr>
      </w:pPr>
    </w:p>
    <w:p w14:paraId="2DC8EEB8" w14:textId="6B9C29C8" w:rsidR="00EB4E95" w:rsidRPr="00EB4E95" w:rsidRDefault="00EB4E95" w:rsidP="00EB4E95">
      <w:pPr>
        <w:pStyle w:val="ListParagraph"/>
        <w:spacing w:after="120"/>
        <w:ind w:left="1395" w:right="1134"/>
        <w:jc w:val="both"/>
        <w:rPr>
          <w:lang w:val="en-US"/>
        </w:rPr>
      </w:pPr>
      <w:r w:rsidRPr="00EB4E95">
        <w:rPr>
          <w:lang w:val="en-US"/>
        </w:rPr>
        <w:t>3 area groups are foreseen, as in Table 1</w:t>
      </w:r>
      <w:r w:rsidR="0061253F">
        <w:rPr>
          <w:lang w:val="en-US"/>
        </w:rPr>
        <w:t xml:space="preserve"> </w:t>
      </w:r>
      <w:r w:rsidR="0061253F" w:rsidRPr="0061253F">
        <w:rPr>
          <w:b/>
          <w:lang w:val="en-US"/>
        </w:rPr>
        <w:t xml:space="preserve">(for brake </w:t>
      </w:r>
      <w:r w:rsidR="00AA206E">
        <w:rPr>
          <w:b/>
          <w:lang w:val="en-US"/>
        </w:rPr>
        <w:t>pads</w:t>
      </w:r>
      <w:r w:rsidR="0061253F" w:rsidRPr="0061253F">
        <w:rPr>
          <w:b/>
          <w:lang w:val="en-US"/>
        </w:rPr>
        <w:t>)</w:t>
      </w:r>
      <w:r w:rsidR="005F5140">
        <w:rPr>
          <w:lang w:val="en-US"/>
        </w:rPr>
        <w:t xml:space="preserve"> </w:t>
      </w:r>
      <w:r w:rsidR="005F5140" w:rsidRPr="005F5140">
        <w:rPr>
          <w:b/>
          <w:lang w:val="en-US"/>
        </w:rPr>
        <w:t>and in Table 2</w:t>
      </w:r>
      <w:r w:rsidR="00B45383">
        <w:rPr>
          <w:b/>
          <w:lang w:val="en-US"/>
        </w:rPr>
        <w:t xml:space="preserve"> (for brake shoes)</w:t>
      </w:r>
      <w:r w:rsidRPr="00EB4E95">
        <w:rPr>
          <w:lang w:val="en-US"/>
        </w:rPr>
        <w:t>:</w:t>
      </w:r>
    </w:p>
    <w:p w14:paraId="2F0B812C" w14:textId="77777777" w:rsidR="005F5140" w:rsidRDefault="005F5140" w:rsidP="00EB4E95">
      <w:pPr>
        <w:pStyle w:val="ListParagraph"/>
        <w:spacing w:after="120"/>
        <w:ind w:left="1395" w:right="1134"/>
        <w:jc w:val="both"/>
        <w:rPr>
          <w:b/>
          <w:bCs/>
          <w:lang w:val="en-US"/>
        </w:rPr>
      </w:pPr>
    </w:p>
    <w:p w14:paraId="676735B8" w14:textId="250D71FE" w:rsidR="005F5140" w:rsidRPr="005F5140" w:rsidRDefault="005F5140" w:rsidP="00EB4E95">
      <w:pPr>
        <w:pStyle w:val="ListParagraph"/>
        <w:spacing w:after="120"/>
        <w:ind w:left="1395" w:right="1134"/>
        <w:jc w:val="both"/>
        <w:rPr>
          <w:bCs/>
          <w:lang w:val="en-US"/>
        </w:rPr>
      </w:pPr>
      <w:r w:rsidRPr="005F5140">
        <w:rPr>
          <w:bCs/>
          <w:lang w:val="en-US"/>
        </w:rPr>
        <w:t>………..</w:t>
      </w:r>
    </w:p>
    <w:p w14:paraId="7D84D1A5" w14:textId="77777777" w:rsidR="005F5140" w:rsidRDefault="005F5140" w:rsidP="00EB4E95">
      <w:pPr>
        <w:pStyle w:val="ListParagraph"/>
        <w:spacing w:after="120"/>
        <w:ind w:left="1395" w:right="1134"/>
        <w:jc w:val="both"/>
        <w:rPr>
          <w:b/>
          <w:bCs/>
          <w:lang w:val="en-US"/>
        </w:rPr>
      </w:pPr>
    </w:p>
    <w:p w14:paraId="6B6BA62B" w14:textId="77777777" w:rsidR="005F5140" w:rsidRDefault="005F5140" w:rsidP="00EB4E95">
      <w:pPr>
        <w:pStyle w:val="ListParagraph"/>
        <w:spacing w:after="120"/>
        <w:ind w:left="1395" w:right="1134"/>
        <w:jc w:val="both"/>
        <w:rPr>
          <w:b/>
          <w:bCs/>
          <w:lang w:val="en-US"/>
        </w:rPr>
      </w:pPr>
    </w:p>
    <w:p w14:paraId="107AE203" w14:textId="3777F930" w:rsidR="00EB4E95" w:rsidRPr="00EB4E95" w:rsidRDefault="00EB4E95" w:rsidP="00EB4E95">
      <w:pPr>
        <w:pStyle w:val="ListParagraph"/>
        <w:spacing w:after="120"/>
        <w:ind w:left="1395" w:right="1134"/>
        <w:jc w:val="both"/>
        <w:rPr>
          <w:b/>
          <w:bCs/>
          <w:lang w:val="en-US"/>
        </w:rPr>
      </w:pPr>
      <w:r w:rsidRPr="00EB4E95">
        <w:rPr>
          <w:b/>
          <w:bCs/>
          <w:lang w:val="en-US"/>
        </w:rPr>
        <w:t xml:space="preserve">Table </w:t>
      </w:r>
      <w:r w:rsidR="005F5140">
        <w:rPr>
          <w:b/>
          <w:bCs/>
          <w:lang w:val="en-US"/>
        </w:rPr>
        <w:t>2</w:t>
      </w:r>
      <w:r w:rsidR="00B45383">
        <w:rPr>
          <w:b/>
          <w:bCs/>
          <w:lang w:val="en-US"/>
        </w:rPr>
        <w:t>: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244"/>
      </w:tblGrid>
      <w:tr w:rsidR="00EB4E95" w:rsidRPr="005F5140" w14:paraId="163A8F32" w14:textId="77777777" w:rsidTr="007573E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3D4669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i/>
                <w:sz w:val="18"/>
                <w:lang w:val="en-US"/>
              </w:rPr>
            </w:pPr>
            <w:r w:rsidRPr="005F5140">
              <w:rPr>
                <w:rFonts w:eastAsia="SimSun"/>
                <w:b/>
                <w:i/>
                <w:sz w:val="18"/>
                <w:lang w:val="en-US"/>
              </w:rPr>
              <w:t>Group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C30243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i/>
                <w:sz w:val="18"/>
                <w:lang w:val="en-US"/>
              </w:rPr>
            </w:pPr>
            <w:r w:rsidRPr="005F5140">
              <w:rPr>
                <w:rFonts w:eastAsia="SimSun"/>
                <w:b/>
                <w:i/>
                <w:sz w:val="18"/>
                <w:lang w:val="en-US"/>
              </w:rPr>
              <w:t>Brake lining area</w:t>
            </w:r>
            <w:r w:rsidRPr="005F5140">
              <w:rPr>
                <w:rFonts w:eastAsia="SimSun"/>
                <w:b/>
                <w:i/>
                <w:sz w:val="18"/>
                <w:szCs w:val="24"/>
                <w:lang w:val="en-US" w:eastAsia="zh-CN"/>
              </w:rPr>
              <w:br/>
            </w:r>
            <w:r w:rsidRPr="005F5140">
              <w:rPr>
                <w:rFonts w:eastAsia="SimSun"/>
                <w:b/>
                <w:i/>
                <w:sz w:val="18"/>
                <w:lang w:val="en-US"/>
              </w:rPr>
              <w:t>[cm</w:t>
            </w:r>
            <w:r w:rsidRPr="005F5140">
              <w:rPr>
                <w:rFonts w:eastAsia="SimSun"/>
                <w:b/>
                <w:i/>
                <w:sz w:val="18"/>
                <w:vertAlign w:val="superscript"/>
                <w:lang w:val="en-US"/>
              </w:rPr>
              <w:t>2</w:t>
            </w:r>
            <w:r w:rsidRPr="005F5140">
              <w:rPr>
                <w:rFonts w:eastAsia="SimSun"/>
                <w:b/>
                <w:i/>
                <w:sz w:val="18"/>
                <w:lang w:val="en-US"/>
              </w:rPr>
              <w:t>]</w:t>
            </w:r>
          </w:p>
        </w:tc>
      </w:tr>
      <w:tr w:rsidR="00EB4E95" w:rsidRPr="005F5140" w14:paraId="053199F3" w14:textId="77777777" w:rsidTr="007573E3">
        <w:trPr>
          <w:jc w:val="center"/>
        </w:trPr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363F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lang w:val="it-IT"/>
              </w:rPr>
            </w:pPr>
            <w:r w:rsidRPr="005F5140">
              <w:rPr>
                <w:rFonts w:eastAsia="SimSun"/>
                <w:b/>
                <w:lang w:val="it-IT"/>
              </w:rPr>
              <w:t>A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FADC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lang w:val="it-IT"/>
              </w:rPr>
            </w:pPr>
            <w:r w:rsidRPr="005F5140">
              <w:rPr>
                <w:rFonts w:eastAsia="SimSun" w:hint="eastAsia"/>
                <w:b/>
                <w:lang w:val="it-IT"/>
              </w:rPr>
              <w:t>≤</w:t>
            </w:r>
            <w:r w:rsidRPr="005F5140">
              <w:rPr>
                <w:rFonts w:eastAsia="SimSun"/>
                <w:b/>
                <w:lang w:val="it-IT"/>
              </w:rPr>
              <w:t>21</w:t>
            </w:r>
          </w:p>
        </w:tc>
      </w:tr>
      <w:tr w:rsidR="00EB4E95" w:rsidRPr="005F5140" w14:paraId="25C1BBD9" w14:textId="77777777" w:rsidTr="007573E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B274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lang w:val="it-IT"/>
              </w:rPr>
            </w:pPr>
            <w:r w:rsidRPr="005F5140">
              <w:rPr>
                <w:rFonts w:eastAsia="SimSun"/>
                <w:b/>
                <w:lang w:val="it-IT"/>
              </w:rPr>
              <w:t>B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E84E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lang w:val="it-IT"/>
              </w:rPr>
            </w:pPr>
            <w:r w:rsidRPr="005F5140">
              <w:rPr>
                <w:rFonts w:eastAsia="SimSun"/>
                <w:b/>
                <w:lang w:val="it-IT"/>
              </w:rPr>
              <w:t xml:space="preserve">&gt; 21 </w:t>
            </w:r>
            <w:r w:rsidRPr="005F5140">
              <w:rPr>
                <w:rFonts w:eastAsia="SimSun" w:hint="eastAsia"/>
                <w:b/>
                <w:lang w:val="it-IT"/>
              </w:rPr>
              <w:t>≤</w:t>
            </w:r>
            <w:r w:rsidRPr="005F5140">
              <w:rPr>
                <w:rFonts w:eastAsia="SimSun"/>
                <w:b/>
                <w:lang w:val="it-IT"/>
              </w:rPr>
              <w:t xml:space="preserve"> 54</w:t>
            </w:r>
          </w:p>
        </w:tc>
      </w:tr>
      <w:tr w:rsidR="00EB4E95" w:rsidRPr="005F5140" w14:paraId="7F6B220D" w14:textId="77777777" w:rsidTr="007573E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504090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lang w:val="it-IT"/>
              </w:rPr>
            </w:pPr>
            <w:r w:rsidRPr="005F5140">
              <w:rPr>
                <w:rFonts w:eastAsia="SimSun"/>
                <w:b/>
                <w:lang w:val="it-IT"/>
              </w:rPr>
              <w:t>C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C987C9" w14:textId="77777777" w:rsidR="00EB4E95" w:rsidRPr="005F5140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/>
                <w:lang w:val="it-IT"/>
              </w:rPr>
            </w:pPr>
            <w:r w:rsidRPr="005F5140">
              <w:rPr>
                <w:rFonts w:eastAsia="SimSun"/>
                <w:b/>
                <w:lang w:val="it-IT"/>
              </w:rPr>
              <w:t>&gt; 54</w:t>
            </w:r>
          </w:p>
        </w:tc>
      </w:tr>
    </w:tbl>
    <w:p w14:paraId="22CAFCF2" w14:textId="77777777" w:rsidR="00903333" w:rsidRPr="00821B48" w:rsidRDefault="00903333" w:rsidP="00903333">
      <w:pPr>
        <w:pStyle w:val="SingleTxtG"/>
        <w:rPr>
          <w:rFonts w:eastAsia="Yu Mincho"/>
        </w:rPr>
      </w:pPr>
    </w:p>
    <w:p w14:paraId="0EB12771" w14:textId="77777777" w:rsidR="00C35BB1" w:rsidRPr="006D0011" w:rsidRDefault="00C35BB1" w:rsidP="00C35BB1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4A73DFE8" w14:textId="42E6C2F9" w:rsidR="00EB4E95" w:rsidRDefault="00EB4E95" w:rsidP="00EB4E95">
      <w:pPr>
        <w:pStyle w:val="Default"/>
        <w:spacing w:after="120" w:line="240" w:lineRule="atLeast"/>
        <w:ind w:right="1134"/>
        <w:jc w:val="both"/>
        <w:rPr>
          <w:bCs/>
          <w:sz w:val="22"/>
          <w:szCs w:val="20"/>
          <w:lang w:val="en-US"/>
        </w:rPr>
      </w:pPr>
      <w:r>
        <w:rPr>
          <w:bCs/>
          <w:sz w:val="22"/>
          <w:szCs w:val="20"/>
          <w:lang w:val="en-US"/>
        </w:rPr>
        <w:t>During the 11</w:t>
      </w:r>
      <w:r w:rsidRPr="00EB4E95">
        <w:rPr>
          <w:bCs/>
          <w:sz w:val="22"/>
          <w:szCs w:val="20"/>
          <w:vertAlign w:val="superscript"/>
          <w:lang w:val="en-US"/>
        </w:rPr>
        <w:t>th</w:t>
      </w:r>
      <w:r>
        <w:rPr>
          <w:bCs/>
          <w:sz w:val="22"/>
          <w:szCs w:val="20"/>
          <w:lang w:val="en-US"/>
        </w:rPr>
        <w:t xml:space="preserve"> session of GRVA – where proposal </w:t>
      </w:r>
      <w:r w:rsidRPr="00442461">
        <w:rPr>
          <w:bCs/>
          <w:sz w:val="22"/>
          <w:szCs w:val="20"/>
          <w:lang w:val="en-US"/>
        </w:rPr>
        <w:t>ECE/TRANS/WP.29/GRVA/2021/29</w:t>
      </w:r>
      <w:r>
        <w:rPr>
          <w:bCs/>
          <w:sz w:val="22"/>
          <w:szCs w:val="20"/>
          <w:lang w:val="en-US"/>
        </w:rPr>
        <w:t xml:space="preserve"> was presented - some observations were raised concerning the applicability of the 3 area groups indicated in Table 1, as far as grouping criteria for brake shoes are concerned.</w:t>
      </w:r>
    </w:p>
    <w:p w14:paraId="5A61B1E7" w14:textId="77777777" w:rsidR="00EB4E95" w:rsidRDefault="00EB4E95" w:rsidP="00EB4E95">
      <w:pPr>
        <w:pStyle w:val="Default"/>
        <w:spacing w:after="120" w:line="240" w:lineRule="atLeast"/>
        <w:ind w:right="1134"/>
        <w:jc w:val="both"/>
        <w:rPr>
          <w:bCs/>
          <w:sz w:val="22"/>
          <w:szCs w:val="20"/>
          <w:lang w:val="en-US"/>
        </w:rPr>
      </w:pPr>
      <w:r>
        <w:rPr>
          <w:bCs/>
          <w:sz w:val="22"/>
          <w:szCs w:val="20"/>
          <w:lang w:val="en-US"/>
        </w:rPr>
        <w:t>This proposal is meant to specify area groups fully aligned with product range currently on the market, as follows:</w:t>
      </w:r>
    </w:p>
    <w:p w14:paraId="70F2D6F6" w14:textId="77777777" w:rsidR="00EB4E95" w:rsidRDefault="00EB4E95" w:rsidP="00EB4E95">
      <w:pPr>
        <w:pStyle w:val="Default"/>
        <w:spacing w:after="120"/>
        <w:ind w:right="1134"/>
        <w:jc w:val="both"/>
        <w:rPr>
          <w:bCs/>
          <w:sz w:val="22"/>
          <w:szCs w:val="20"/>
          <w:lang w:val="en-US"/>
        </w:rPr>
      </w:pPr>
      <w:r>
        <w:rPr>
          <w:bCs/>
          <w:sz w:val="22"/>
          <w:szCs w:val="20"/>
          <w:lang w:val="en-US"/>
        </w:rPr>
        <w:t>GROUP A, relative to small size vehicle brake shoes,</w:t>
      </w:r>
    </w:p>
    <w:p w14:paraId="2F2D98B9" w14:textId="77777777" w:rsidR="00EB4E95" w:rsidRDefault="00EB4E95" w:rsidP="00EB4E95">
      <w:pPr>
        <w:pStyle w:val="Default"/>
        <w:spacing w:after="120"/>
        <w:ind w:right="1134"/>
        <w:jc w:val="both"/>
        <w:rPr>
          <w:bCs/>
          <w:sz w:val="22"/>
          <w:szCs w:val="20"/>
          <w:lang w:val="en-US"/>
        </w:rPr>
      </w:pPr>
      <w:r>
        <w:rPr>
          <w:bCs/>
          <w:sz w:val="22"/>
          <w:szCs w:val="20"/>
          <w:lang w:val="en-US"/>
        </w:rPr>
        <w:t>GROUP B, relative to medium size vehicle brake shoes,</w:t>
      </w:r>
    </w:p>
    <w:p w14:paraId="0348C6B4" w14:textId="77777777" w:rsidR="00EB4E95" w:rsidRDefault="00EB4E95" w:rsidP="00EB4E95">
      <w:pPr>
        <w:pStyle w:val="Default"/>
        <w:spacing w:after="120"/>
        <w:ind w:right="1134"/>
        <w:jc w:val="both"/>
        <w:rPr>
          <w:bCs/>
          <w:sz w:val="22"/>
          <w:szCs w:val="20"/>
          <w:lang w:val="en-US"/>
        </w:rPr>
      </w:pPr>
      <w:r>
        <w:rPr>
          <w:bCs/>
          <w:sz w:val="22"/>
          <w:szCs w:val="20"/>
          <w:lang w:val="en-US"/>
        </w:rPr>
        <w:t>GROUP C</w:t>
      </w:r>
      <w:r w:rsidRPr="00442461">
        <w:rPr>
          <w:bCs/>
          <w:sz w:val="22"/>
          <w:szCs w:val="20"/>
          <w:lang w:val="en-US"/>
        </w:rPr>
        <w:t>,</w:t>
      </w:r>
      <w:r>
        <w:rPr>
          <w:bCs/>
          <w:sz w:val="22"/>
          <w:szCs w:val="20"/>
          <w:lang w:val="en-US"/>
        </w:rPr>
        <w:t xml:space="preserve"> relative to big vehicle brake shoes.</w:t>
      </w:r>
    </w:p>
    <w:p w14:paraId="2F52F835" w14:textId="77777777" w:rsidR="00F774D2" w:rsidRPr="00F774D2" w:rsidRDefault="00F774D2" w:rsidP="00F774D2">
      <w:pPr>
        <w:pStyle w:val="Default"/>
        <w:spacing w:after="120"/>
        <w:ind w:right="1134"/>
        <w:jc w:val="both"/>
        <w:rPr>
          <w:bCs/>
          <w:i/>
          <w:sz w:val="22"/>
          <w:szCs w:val="20"/>
          <w:u w:val="single"/>
          <w:lang w:val="en-US"/>
        </w:rPr>
      </w:pPr>
      <w:r w:rsidRPr="00F774D2">
        <w:rPr>
          <w:bCs/>
          <w:i/>
          <w:sz w:val="22"/>
          <w:szCs w:val="20"/>
          <w:u w:val="single"/>
          <w:lang w:val="en-US"/>
        </w:rPr>
        <w:t>GROUPING CRITERIA</w:t>
      </w:r>
    </w:p>
    <w:p w14:paraId="5BA52BB1" w14:textId="29DAB689" w:rsidR="00F774D2" w:rsidRDefault="00F774D2" w:rsidP="00F774D2">
      <w:pPr>
        <w:pStyle w:val="Default"/>
        <w:spacing w:after="120"/>
        <w:ind w:right="1134"/>
        <w:jc w:val="both"/>
        <w:rPr>
          <w:bCs/>
          <w:sz w:val="22"/>
          <w:szCs w:val="20"/>
          <w:lang w:val="en-US"/>
        </w:rPr>
      </w:pPr>
      <w:r>
        <w:rPr>
          <w:bCs/>
          <w:sz w:val="22"/>
          <w:szCs w:val="20"/>
          <w:lang w:val="en-US"/>
        </w:rPr>
        <w:t>T</w:t>
      </w:r>
      <w:r w:rsidRPr="00F774D2">
        <w:rPr>
          <w:bCs/>
          <w:sz w:val="22"/>
          <w:szCs w:val="20"/>
          <w:lang w:val="en-US"/>
        </w:rPr>
        <w:t xml:space="preserve">he following considerations are based on the </w:t>
      </w:r>
      <w:proofErr w:type="gramStart"/>
      <w:r w:rsidRPr="00F774D2">
        <w:rPr>
          <w:bCs/>
          <w:sz w:val="22"/>
          <w:szCs w:val="20"/>
          <w:lang w:val="en-US"/>
        </w:rPr>
        <w:t>range  of</w:t>
      </w:r>
      <w:proofErr w:type="gramEnd"/>
      <w:r w:rsidRPr="00F774D2">
        <w:rPr>
          <w:bCs/>
          <w:sz w:val="22"/>
          <w:szCs w:val="20"/>
          <w:lang w:val="en-US"/>
        </w:rPr>
        <w:t xml:space="preserve"> brake shoes currently produced by main brake shoes manufacturer, covering more than 98% of the brake shoes EU market used on L cat vehicles.</w:t>
      </w:r>
    </w:p>
    <w:p w14:paraId="5E68D417" w14:textId="54DD01D9" w:rsidR="00F774D2" w:rsidRPr="00F774D2" w:rsidRDefault="00F774D2" w:rsidP="00F774D2">
      <w:pPr>
        <w:pStyle w:val="Default"/>
        <w:spacing w:after="120"/>
        <w:ind w:right="1134"/>
        <w:jc w:val="both"/>
        <w:rPr>
          <w:bCs/>
          <w:sz w:val="22"/>
          <w:szCs w:val="20"/>
          <w:lang w:val="en-US"/>
        </w:rPr>
      </w:pPr>
      <w:proofErr w:type="gramStart"/>
      <w:r w:rsidRPr="00F774D2">
        <w:rPr>
          <w:bCs/>
          <w:sz w:val="22"/>
          <w:szCs w:val="20"/>
          <w:lang w:val="en-US"/>
        </w:rPr>
        <w:t>On the basis of</w:t>
      </w:r>
      <w:proofErr w:type="gramEnd"/>
      <w:r w:rsidRPr="00F774D2">
        <w:rPr>
          <w:bCs/>
          <w:sz w:val="22"/>
          <w:szCs w:val="20"/>
          <w:lang w:val="en-US"/>
        </w:rPr>
        <w:t xml:space="preserve"> the current catalogue, the brake shoes area rank from 9cm2 to 80cm2.</w:t>
      </w:r>
    </w:p>
    <w:p w14:paraId="6BD54566" w14:textId="5E1019C7" w:rsidR="00F774D2" w:rsidRDefault="00F774D2" w:rsidP="00F774D2">
      <w:pPr>
        <w:pStyle w:val="Default"/>
        <w:spacing w:after="120"/>
        <w:ind w:right="1134"/>
        <w:jc w:val="both"/>
        <w:rPr>
          <w:bCs/>
          <w:sz w:val="22"/>
          <w:szCs w:val="20"/>
          <w:lang w:val="en-US"/>
        </w:rPr>
      </w:pPr>
      <w:r w:rsidRPr="00F774D2">
        <w:rPr>
          <w:bCs/>
          <w:sz w:val="22"/>
          <w:szCs w:val="20"/>
          <w:lang w:val="en-US"/>
        </w:rPr>
        <w:lastRenderedPageBreak/>
        <w:t>The proposed Group B</w:t>
      </w:r>
      <w:r>
        <w:rPr>
          <w:bCs/>
          <w:sz w:val="22"/>
          <w:szCs w:val="20"/>
          <w:lang w:val="en-US"/>
        </w:rPr>
        <w:t xml:space="preserve"> (</w:t>
      </w:r>
      <w:r w:rsidRPr="00AA206E">
        <w:rPr>
          <w:bCs/>
          <w:i/>
          <w:sz w:val="22"/>
          <w:szCs w:val="20"/>
          <w:lang w:val="en-US"/>
        </w:rPr>
        <w:t>GROUP 2 in the figure</w:t>
      </w:r>
      <w:r>
        <w:rPr>
          <w:bCs/>
          <w:sz w:val="22"/>
          <w:szCs w:val="20"/>
          <w:lang w:val="en-US"/>
        </w:rPr>
        <w:t>)</w:t>
      </w:r>
      <w:r w:rsidRPr="00F774D2">
        <w:rPr>
          <w:bCs/>
          <w:sz w:val="22"/>
          <w:szCs w:val="20"/>
          <w:lang w:val="en-US"/>
        </w:rPr>
        <w:t xml:space="preserve"> is centered about the average value of the areas while its amplitude corresponds to 2.00 standard deviations (Average +/-1.00 </w:t>
      </w:r>
      <w:proofErr w:type="spellStart"/>
      <w:proofErr w:type="gramStart"/>
      <w:r w:rsidRPr="00F774D2">
        <w:rPr>
          <w:bCs/>
          <w:sz w:val="22"/>
          <w:szCs w:val="20"/>
          <w:lang w:val="en-US"/>
        </w:rPr>
        <w:t>St.Dev</w:t>
      </w:r>
      <w:proofErr w:type="spellEnd"/>
      <w:proofErr w:type="gramEnd"/>
      <w:r w:rsidRPr="00F774D2">
        <w:rPr>
          <w:bCs/>
          <w:sz w:val="22"/>
          <w:szCs w:val="20"/>
          <w:lang w:val="en-US"/>
        </w:rPr>
        <w:t>).</w:t>
      </w:r>
    </w:p>
    <w:p w14:paraId="6A8A13BE" w14:textId="7DA5EFFD" w:rsidR="00F774D2" w:rsidRPr="00442461" w:rsidRDefault="00F774D2" w:rsidP="00EB4E95">
      <w:pPr>
        <w:pStyle w:val="Default"/>
        <w:spacing w:after="120"/>
        <w:ind w:right="1134"/>
        <w:jc w:val="both"/>
        <w:rPr>
          <w:bCs/>
          <w:sz w:val="22"/>
          <w:szCs w:val="20"/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61F4B94A" wp14:editId="4066E426">
            <wp:extent cx="5989320" cy="3080548"/>
            <wp:effectExtent l="0" t="0" r="0" b="571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2137CA9-C3FC-4716-A1CD-B7C3334347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2137CA9-C3FC-4716-A1CD-B7C3334347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8699" cy="308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A489" w14:textId="77777777" w:rsidR="00EB4E95" w:rsidRDefault="00EB4E95" w:rsidP="00EB4E95">
      <w:pPr>
        <w:jc w:val="both"/>
        <w:rPr>
          <w:sz w:val="22"/>
          <w:lang w:val="en-US"/>
        </w:rPr>
      </w:pPr>
    </w:p>
    <w:p w14:paraId="6E858E8B" w14:textId="77777777" w:rsidR="00F774D2" w:rsidRPr="00F774D2" w:rsidRDefault="00F774D2" w:rsidP="00F774D2">
      <w:pPr>
        <w:jc w:val="both"/>
        <w:rPr>
          <w:sz w:val="22"/>
          <w:lang w:val="en-US"/>
        </w:rPr>
      </w:pPr>
      <w:r w:rsidRPr="00F774D2">
        <w:rPr>
          <w:sz w:val="22"/>
          <w:lang w:val="en-US"/>
        </w:rPr>
        <w:t>Therefore, its brake shoes areas Gaussian distribution is fully representative of the real state of the art on the market.</w:t>
      </w:r>
    </w:p>
    <w:p w14:paraId="14BA49F5" w14:textId="084BA629" w:rsidR="00F774D2" w:rsidRPr="00F774D2" w:rsidRDefault="00F774D2" w:rsidP="00F774D2">
      <w:pPr>
        <w:jc w:val="both"/>
        <w:rPr>
          <w:sz w:val="22"/>
          <w:lang w:val="en-US"/>
        </w:rPr>
      </w:pPr>
      <w:r w:rsidRPr="00F774D2">
        <w:rPr>
          <w:sz w:val="22"/>
          <w:lang w:val="en-US"/>
        </w:rPr>
        <w:t>Considering that the brake shoes are originally sized from the vehicle manufacturers (based on vehicle performance and mass</w:t>
      </w:r>
      <w:r>
        <w:rPr>
          <w:sz w:val="22"/>
          <w:lang w:val="en-US"/>
        </w:rPr>
        <w:t>)</w:t>
      </w:r>
      <w:r w:rsidRPr="00F774D2">
        <w:rPr>
          <w:sz w:val="22"/>
          <w:lang w:val="en-US"/>
        </w:rPr>
        <w:t xml:space="preserve"> it is reasonable to say that the distribution also reflects the Gaussian distribution of all L-cat vehicles kinetic energy.</w:t>
      </w:r>
    </w:p>
    <w:p w14:paraId="1B2815B3" w14:textId="03F4BF1D" w:rsidR="00F774D2" w:rsidRDefault="00F774D2" w:rsidP="00F774D2">
      <w:pPr>
        <w:jc w:val="both"/>
        <w:rPr>
          <w:sz w:val="22"/>
          <w:lang w:val="en-US"/>
        </w:rPr>
      </w:pPr>
      <w:r w:rsidRPr="00F774D2">
        <w:rPr>
          <w:sz w:val="22"/>
          <w:lang w:val="en-US"/>
        </w:rPr>
        <w:t xml:space="preserve">It is therefore reasonable to say that all the average kinetic energy vehicles will be included in Group B, the lower energy ones will be included in Group A </w:t>
      </w:r>
      <w:r w:rsidR="00AA206E">
        <w:rPr>
          <w:bCs/>
          <w:sz w:val="22"/>
          <w:lang w:val="en-US"/>
        </w:rPr>
        <w:t>(</w:t>
      </w:r>
      <w:r w:rsidR="00AA206E" w:rsidRPr="00AA206E">
        <w:rPr>
          <w:bCs/>
          <w:i/>
          <w:sz w:val="22"/>
          <w:lang w:val="en-US"/>
        </w:rPr>
        <w:t>GROUP 1 in the figure</w:t>
      </w:r>
      <w:r w:rsidR="00AA206E">
        <w:rPr>
          <w:bCs/>
          <w:sz w:val="22"/>
          <w:lang w:val="en-US"/>
        </w:rPr>
        <w:t xml:space="preserve">) </w:t>
      </w:r>
      <w:r w:rsidRPr="00F774D2">
        <w:rPr>
          <w:sz w:val="22"/>
          <w:lang w:val="en-US"/>
        </w:rPr>
        <w:t xml:space="preserve">while the high-kinetic energy vehicle will be in Group </w:t>
      </w:r>
      <w:r w:rsidR="00AA206E">
        <w:rPr>
          <w:sz w:val="22"/>
          <w:lang w:val="en-US"/>
        </w:rPr>
        <w:t xml:space="preserve">C </w:t>
      </w:r>
      <w:r w:rsidR="00AA206E">
        <w:rPr>
          <w:bCs/>
          <w:sz w:val="22"/>
          <w:lang w:val="en-US"/>
        </w:rPr>
        <w:t>(</w:t>
      </w:r>
      <w:r w:rsidR="00AA206E" w:rsidRPr="00AA206E">
        <w:rPr>
          <w:bCs/>
          <w:i/>
          <w:sz w:val="22"/>
          <w:lang w:val="en-US"/>
        </w:rPr>
        <w:t>GROUP 3 in the figure</w:t>
      </w:r>
      <w:r w:rsidR="00AA206E">
        <w:rPr>
          <w:bCs/>
          <w:sz w:val="22"/>
          <w:lang w:val="en-US"/>
        </w:rPr>
        <w:t>)</w:t>
      </w:r>
      <w:r w:rsidRPr="00F774D2">
        <w:rPr>
          <w:sz w:val="22"/>
          <w:lang w:val="en-US"/>
        </w:rPr>
        <w:t>.</w:t>
      </w:r>
    </w:p>
    <w:p w14:paraId="3DD451F0" w14:textId="28E21D48" w:rsidR="00E631AB" w:rsidRDefault="00E631AB" w:rsidP="00F774D2">
      <w:pPr>
        <w:jc w:val="both"/>
        <w:rPr>
          <w:sz w:val="22"/>
          <w:lang w:val="en-US"/>
        </w:rPr>
      </w:pPr>
      <w:r>
        <w:rPr>
          <w:sz w:val="22"/>
          <w:lang w:val="en-US"/>
        </w:rPr>
        <w:t>In real world, motorcycle within different group have the following technical features: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348"/>
        <w:gridCol w:w="992"/>
        <w:gridCol w:w="605"/>
      </w:tblGrid>
      <w:tr w:rsidR="00E631AB" w:rsidRPr="00E631AB" w14:paraId="61F8AEE2" w14:textId="77777777" w:rsidTr="00E631A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4C5228" w14:textId="77777777" w:rsidR="00E631AB" w:rsidRPr="00E631AB" w:rsidRDefault="00E631AB" w:rsidP="00E631AB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GRUPPO 1</w:t>
            </w:r>
          </w:p>
        </w:tc>
      </w:tr>
      <w:tr w:rsidR="00E631AB" w:rsidRPr="00E631AB" w14:paraId="5E0FB054" w14:textId="77777777" w:rsidTr="00E631AB">
        <w:trPr>
          <w:trHeight w:val="345"/>
        </w:trPr>
        <w:tc>
          <w:tcPr>
            <w:tcW w:w="8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C59F297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COD.</w:t>
            </w:r>
          </w:p>
        </w:tc>
        <w:tc>
          <w:tcPr>
            <w:tcW w:w="13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1BC4034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 Area (cm2) 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6DF7F151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CC (cm</w:t>
            </w: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vertAlign w:val="superscript"/>
                <w:lang w:val="it-IT" w:eastAsia="it-IT"/>
              </w:rPr>
              <w:t>3</w:t>
            </w: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]</w:t>
            </w:r>
          </w:p>
        </w:tc>
        <w:tc>
          <w:tcPr>
            <w:tcW w:w="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5BF195E1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AXLE</w:t>
            </w:r>
          </w:p>
        </w:tc>
      </w:tr>
      <w:tr w:rsidR="00E631AB" w:rsidRPr="00E631AB" w14:paraId="71A520D3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66FFCC"/>
            <w:noWrap/>
            <w:vAlign w:val="bottom"/>
            <w:hideMark/>
          </w:tcPr>
          <w:p w14:paraId="1AEC6D52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GF1093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66FFCC"/>
            <w:noWrap/>
            <w:vAlign w:val="bottom"/>
            <w:hideMark/>
          </w:tcPr>
          <w:p w14:paraId="7B2A9E5B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bottom"/>
            <w:hideMark/>
          </w:tcPr>
          <w:p w14:paraId="2D09F269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bottom"/>
            <w:hideMark/>
          </w:tcPr>
          <w:p w14:paraId="71A56874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F/R</w:t>
            </w:r>
          </w:p>
        </w:tc>
      </w:tr>
      <w:tr w:rsidR="00E631AB" w:rsidRPr="00E631AB" w14:paraId="16BDE7A3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FF0066"/>
            <w:noWrap/>
            <w:vAlign w:val="bottom"/>
            <w:hideMark/>
          </w:tcPr>
          <w:p w14:paraId="66E93410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GF0035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FF0066"/>
            <w:noWrap/>
            <w:vAlign w:val="bottom"/>
            <w:hideMark/>
          </w:tcPr>
          <w:p w14:paraId="1B7F3BEE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7B2AE56F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37B0DA92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F/R</w:t>
            </w:r>
          </w:p>
        </w:tc>
      </w:tr>
      <w:tr w:rsidR="00E631AB" w:rsidRPr="00E631AB" w14:paraId="3B1D31DB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E77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230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B5CE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558F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</w:tr>
      <w:tr w:rsidR="00E631AB" w:rsidRPr="00E631AB" w14:paraId="46D4C23F" w14:textId="77777777" w:rsidTr="00E631A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0E6F67" w14:textId="77777777" w:rsidR="00E631AB" w:rsidRPr="00E631AB" w:rsidRDefault="00E631AB" w:rsidP="00E631AB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GRUPPO 2</w:t>
            </w:r>
          </w:p>
        </w:tc>
      </w:tr>
      <w:tr w:rsidR="00E631AB" w:rsidRPr="00E631AB" w14:paraId="6C5397AB" w14:textId="77777777" w:rsidTr="00E631AB">
        <w:trPr>
          <w:trHeight w:val="345"/>
        </w:trPr>
        <w:tc>
          <w:tcPr>
            <w:tcW w:w="8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B2CC014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COD.</w:t>
            </w:r>
          </w:p>
        </w:tc>
        <w:tc>
          <w:tcPr>
            <w:tcW w:w="13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ED1AD43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 Area (cm2) 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CF0AFB1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CC (cm</w:t>
            </w: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vertAlign w:val="superscript"/>
                <w:lang w:val="it-IT" w:eastAsia="it-IT"/>
              </w:rPr>
              <w:t>3</w:t>
            </w: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]</w:t>
            </w:r>
          </w:p>
        </w:tc>
        <w:tc>
          <w:tcPr>
            <w:tcW w:w="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890F6A9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AXLE</w:t>
            </w:r>
          </w:p>
        </w:tc>
      </w:tr>
      <w:tr w:rsidR="00E631AB" w:rsidRPr="00E631AB" w14:paraId="5BF87597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66FFCC"/>
            <w:noWrap/>
            <w:vAlign w:val="bottom"/>
            <w:hideMark/>
          </w:tcPr>
          <w:p w14:paraId="5DEE7913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GF0261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66FFCC"/>
            <w:noWrap/>
            <w:vAlign w:val="bottom"/>
            <w:hideMark/>
          </w:tcPr>
          <w:p w14:paraId="20A7B4C8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bottom"/>
            <w:hideMark/>
          </w:tcPr>
          <w:p w14:paraId="5CCF1F31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150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bottom"/>
            <w:hideMark/>
          </w:tcPr>
          <w:p w14:paraId="10EC8008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R</w:t>
            </w:r>
          </w:p>
        </w:tc>
      </w:tr>
      <w:tr w:rsidR="00E631AB" w:rsidRPr="00E631AB" w14:paraId="4F35C3BD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0066"/>
            <w:noWrap/>
            <w:vAlign w:val="bottom"/>
            <w:hideMark/>
          </w:tcPr>
          <w:p w14:paraId="65C41505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GF1256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0066"/>
            <w:noWrap/>
            <w:vAlign w:val="bottom"/>
            <w:hideMark/>
          </w:tcPr>
          <w:p w14:paraId="2E6741A0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4A4D64AD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750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161C1A9D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R</w:t>
            </w:r>
          </w:p>
        </w:tc>
      </w:tr>
      <w:tr w:rsidR="00E631AB" w:rsidRPr="00E631AB" w14:paraId="4C9BE347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5CA3072B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GF1126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7556F0D5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23621105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0433A70A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R</w:t>
            </w:r>
          </w:p>
        </w:tc>
      </w:tr>
      <w:tr w:rsidR="00E631AB" w:rsidRPr="00E631AB" w14:paraId="575D2D78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00EC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2751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023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F405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lang w:val="it-IT" w:eastAsia="it-IT"/>
              </w:rPr>
            </w:pPr>
          </w:p>
        </w:tc>
      </w:tr>
      <w:tr w:rsidR="00E631AB" w:rsidRPr="00E631AB" w14:paraId="017DA567" w14:textId="77777777" w:rsidTr="00E631A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A643A4" w14:textId="77777777" w:rsidR="00E631AB" w:rsidRPr="00E631AB" w:rsidRDefault="00E631AB" w:rsidP="00E631AB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GRUPPO 3</w:t>
            </w:r>
          </w:p>
        </w:tc>
      </w:tr>
      <w:tr w:rsidR="00E631AB" w:rsidRPr="00E631AB" w14:paraId="19787612" w14:textId="77777777" w:rsidTr="00E631AB">
        <w:trPr>
          <w:trHeight w:val="345"/>
        </w:trPr>
        <w:tc>
          <w:tcPr>
            <w:tcW w:w="8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C3F0415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COD.</w:t>
            </w:r>
          </w:p>
        </w:tc>
        <w:tc>
          <w:tcPr>
            <w:tcW w:w="13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88C8527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 Area (cm2) 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1DD0136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CC (cm</w:t>
            </w: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vertAlign w:val="superscript"/>
                <w:lang w:val="it-IT" w:eastAsia="it-IT"/>
              </w:rPr>
              <w:t>3</w:t>
            </w: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]</w:t>
            </w:r>
          </w:p>
        </w:tc>
        <w:tc>
          <w:tcPr>
            <w:tcW w:w="6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06843882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it-IT" w:eastAsia="it-IT"/>
              </w:rPr>
              <w:t>AXLE</w:t>
            </w:r>
          </w:p>
        </w:tc>
      </w:tr>
      <w:tr w:rsidR="00E631AB" w:rsidRPr="00E631AB" w14:paraId="6E86D46A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66FFCC"/>
            <w:noWrap/>
            <w:vAlign w:val="bottom"/>
            <w:hideMark/>
          </w:tcPr>
          <w:p w14:paraId="3D5655C6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GF1257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66FFCC"/>
            <w:noWrap/>
            <w:vAlign w:val="bottom"/>
            <w:hideMark/>
          </w:tcPr>
          <w:p w14:paraId="3425607A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bottom"/>
            <w:hideMark/>
          </w:tcPr>
          <w:p w14:paraId="18F2F01B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750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bottom"/>
            <w:hideMark/>
          </w:tcPr>
          <w:p w14:paraId="3AF1EFBC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F</w:t>
            </w:r>
          </w:p>
        </w:tc>
      </w:tr>
      <w:tr w:rsidR="00E631AB" w:rsidRPr="00E631AB" w14:paraId="62948781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0066"/>
            <w:noWrap/>
            <w:vAlign w:val="bottom"/>
            <w:hideMark/>
          </w:tcPr>
          <w:p w14:paraId="458FCD89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GF0176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000000" w:fill="FF0066"/>
            <w:noWrap/>
            <w:vAlign w:val="bottom"/>
            <w:hideMark/>
          </w:tcPr>
          <w:p w14:paraId="38CCD151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2486F462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700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685A12EA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F</w:t>
            </w:r>
          </w:p>
        </w:tc>
      </w:tr>
      <w:tr w:rsidR="00E631AB" w:rsidRPr="00E631AB" w14:paraId="1690919B" w14:textId="77777777" w:rsidTr="00E631AB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771F3A4C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GF1240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040C7F08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6E720E53" w14:textId="77777777" w:rsidR="00E631AB" w:rsidRPr="00E631AB" w:rsidRDefault="00E631AB" w:rsidP="00E631AB">
            <w:pPr>
              <w:suppressAutoHyphens w:val="0"/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14:paraId="289C7DBD" w14:textId="77777777" w:rsidR="00E631AB" w:rsidRPr="00E631AB" w:rsidRDefault="00E631AB" w:rsidP="00E631AB">
            <w:pPr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E631AB">
              <w:rPr>
                <w:rFonts w:ascii="Calibri" w:hAnsi="Calibri"/>
                <w:sz w:val="22"/>
                <w:szCs w:val="22"/>
                <w:lang w:val="it-IT" w:eastAsia="it-IT"/>
              </w:rPr>
              <w:t>R</w:t>
            </w:r>
          </w:p>
        </w:tc>
      </w:tr>
    </w:tbl>
    <w:p w14:paraId="25C052E0" w14:textId="2BEF294D" w:rsidR="00A319B6" w:rsidRPr="00117F8B" w:rsidRDefault="00A319B6" w:rsidP="0061692F">
      <w:pPr>
        <w:pStyle w:val="SingleTxtG"/>
        <w:spacing w:before="240"/>
        <w:ind w:left="0"/>
      </w:pPr>
    </w:p>
    <w:sectPr w:rsidR="00A319B6" w:rsidRPr="00117F8B" w:rsidSect="006169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17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FAE3" w14:textId="77777777" w:rsidR="00CD020C" w:rsidRDefault="00CD020C"/>
  </w:endnote>
  <w:endnote w:type="continuationSeparator" w:id="0">
    <w:p w14:paraId="4CABB447" w14:textId="77777777" w:rsidR="00CD020C" w:rsidRDefault="00CD020C"/>
  </w:endnote>
  <w:endnote w:type="continuationNotice" w:id="1">
    <w:p w14:paraId="348D9764" w14:textId="77777777" w:rsidR="00CD020C" w:rsidRDefault="00CD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E90" w14:textId="5EBBB3CB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1692F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63BA" w14:textId="5F7C46D3" w:rsidR="00695FD4" w:rsidRDefault="00695FD4">
    <w:pPr>
      <w:pStyle w:val="Footer"/>
      <w:rPr>
        <w:b/>
        <w:bCs/>
        <w:sz w:val="18"/>
        <w:szCs w:val="18"/>
        <w:lang w:val="fr-CH"/>
      </w:rPr>
    </w:pPr>
  </w:p>
  <w:p w14:paraId="3C51F93D" w14:textId="77777777" w:rsidR="00D24600" w:rsidRPr="00695FD4" w:rsidRDefault="00D24600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88492" w14:textId="77777777" w:rsidR="00CD020C" w:rsidRPr="000B175B" w:rsidRDefault="00CD02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8BA080" w14:textId="77777777" w:rsidR="00CD020C" w:rsidRPr="00FC68B7" w:rsidRDefault="00CD02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6DFA9E" w14:textId="77777777" w:rsidR="00CD020C" w:rsidRDefault="00CD0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A630" w14:textId="681EB1FC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ECE/TRANS/WP.29/GRVA/2021/</w:t>
    </w:r>
    <w:r w:rsidR="00A56C92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ADE2" w14:textId="26A9D26E" w:rsidR="00A56C92" w:rsidRPr="002A0E4B" w:rsidRDefault="00A56C92" w:rsidP="002A0E4B">
    <w:pPr>
      <w:pStyle w:val="Header"/>
      <w:pBdr>
        <w:bottom w:val="single" w:sz="4" w:space="17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714C" w14:textId="11241F11" w:rsidR="0054350C" w:rsidRDefault="0054350C" w:rsidP="00652F5C">
    <w:pPr>
      <w:pStyle w:val="Header"/>
      <w:pBdr>
        <w:bottom w:val="none" w:sz="0" w:space="0" w:color="auto"/>
      </w:pBdr>
    </w:pPr>
  </w:p>
  <w:tbl>
    <w:tblPr>
      <w:tblW w:w="9322" w:type="dxa"/>
      <w:tblLook w:val="0000" w:firstRow="0" w:lastRow="0" w:firstColumn="0" w:lastColumn="0" w:noHBand="0" w:noVBand="0"/>
    </w:tblPr>
    <w:tblGrid>
      <w:gridCol w:w="4253"/>
      <w:gridCol w:w="5069"/>
    </w:tblGrid>
    <w:tr w:rsidR="0054350C" w:rsidRPr="002A0E4B" w14:paraId="2C5A2285" w14:textId="77777777" w:rsidTr="00A13BD8">
      <w:tc>
        <w:tcPr>
          <w:tcW w:w="4253" w:type="dxa"/>
        </w:tcPr>
        <w:p w14:paraId="615336BE" w14:textId="63A46D41" w:rsidR="0054350C" w:rsidRPr="002A0E4B" w:rsidRDefault="0054350C" w:rsidP="00266D34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2A0E4B">
            <w:rPr>
              <w:lang w:eastAsia="ar-SA"/>
            </w:rPr>
            <w:t xml:space="preserve">Submitted by </w:t>
          </w:r>
          <w:r w:rsidR="00D01D26">
            <w:rPr>
              <w:lang w:eastAsia="ar-SA"/>
            </w:rPr>
            <w:t xml:space="preserve">the expert from </w:t>
          </w:r>
          <w:r w:rsidR="00266D34">
            <w:rPr>
              <w:lang w:eastAsia="ar-SA"/>
            </w:rPr>
            <w:t>Italy</w:t>
          </w:r>
        </w:p>
      </w:tc>
      <w:tc>
        <w:tcPr>
          <w:tcW w:w="5069" w:type="dxa"/>
        </w:tcPr>
        <w:p w14:paraId="5067F176" w14:textId="3875E168" w:rsidR="0054350C" w:rsidRPr="002A0E4B" w:rsidRDefault="0054350C" w:rsidP="00A13BD8">
          <w:pPr>
            <w:spacing w:line="240" w:lineRule="auto"/>
            <w:ind w:left="2119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 w:rsidRPr="002A0E4B">
            <w:rPr>
              <w:b/>
              <w:bCs/>
              <w:lang w:eastAsia="ar-SA"/>
            </w:rPr>
            <w:t>GRVA-</w:t>
          </w:r>
          <w:r w:rsidR="00266D34">
            <w:rPr>
              <w:b/>
              <w:bCs/>
              <w:lang w:eastAsia="ar-SA"/>
            </w:rPr>
            <w:t>12</w:t>
          </w:r>
          <w:r w:rsidRPr="002A0E4B">
            <w:rPr>
              <w:b/>
              <w:bCs/>
              <w:lang w:eastAsia="ar-SA"/>
            </w:rPr>
            <w:t>-</w:t>
          </w:r>
          <w:r w:rsidR="00D01D26">
            <w:rPr>
              <w:b/>
              <w:bCs/>
              <w:lang w:eastAsia="ar-SA"/>
            </w:rPr>
            <w:t>16</w:t>
          </w:r>
        </w:p>
        <w:p w14:paraId="3EA71EEC" w14:textId="72223F3D" w:rsidR="0054350C" w:rsidRPr="002A0E4B" w:rsidRDefault="007A1D75" w:rsidP="00A13BD8">
          <w:pPr>
            <w:tabs>
              <w:tab w:val="center" w:pos="4677"/>
              <w:tab w:val="right" w:pos="9355"/>
            </w:tabs>
            <w:spacing w:line="240" w:lineRule="auto"/>
            <w:ind w:left="2119"/>
            <w:rPr>
              <w:lang w:eastAsia="ar-SA"/>
            </w:rPr>
          </w:pPr>
          <w:r>
            <w:rPr>
              <w:lang w:eastAsia="ar-SA"/>
            </w:rPr>
            <w:t>1</w:t>
          </w:r>
          <w:r w:rsidR="00266D34">
            <w:rPr>
              <w:lang w:eastAsia="ar-SA"/>
            </w:rPr>
            <w:t>2</w:t>
          </w:r>
          <w:r w:rsidR="00652F5C" w:rsidRPr="00D66AC5">
            <w:rPr>
              <w:vertAlign w:val="superscript"/>
              <w:lang w:eastAsia="ar-SA"/>
            </w:rPr>
            <w:t>th</w:t>
          </w:r>
          <w:r w:rsidR="00D66AC5">
            <w:rPr>
              <w:lang w:eastAsia="ar-SA"/>
            </w:rPr>
            <w:t xml:space="preserve"> </w:t>
          </w:r>
          <w:r w:rsidR="0054350C" w:rsidRPr="002A0E4B">
            <w:rPr>
              <w:lang w:eastAsia="ar-SA"/>
            </w:rPr>
            <w:t xml:space="preserve">GRVA, </w:t>
          </w:r>
          <w:r w:rsidR="00266D34">
            <w:rPr>
              <w:lang w:eastAsia="ar-SA"/>
            </w:rPr>
            <w:t>24</w:t>
          </w:r>
          <w:r w:rsidR="00D01D26">
            <w:rPr>
              <w:lang w:eastAsia="ar-SA"/>
            </w:rPr>
            <w:t>-</w:t>
          </w:r>
          <w:r w:rsidR="00266D34">
            <w:rPr>
              <w:lang w:eastAsia="ar-SA"/>
            </w:rPr>
            <w:t>28</w:t>
          </w:r>
          <w:r>
            <w:rPr>
              <w:lang w:eastAsia="ar-SA"/>
            </w:rPr>
            <w:t xml:space="preserve"> </w:t>
          </w:r>
          <w:r w:rsidR="00CD6065">
            <w:rPr>
              <w:lang w:eastAsia="ar-SA"/>
            </w:rPr>
            <w:t>January</w:t>
          </w:r>
          <w:r w:rsidR="00F37CA2">
            <w:rPr>
              <w:lang w:eastAsia="ar-SA"/>
            </w:rPr>
            <w:t>.</w:t>
          </w:r>
          <w:r>
            <w:rPr>
              <w:lang w:eastAsia="ar-SA"/>
            </w:rPr>
            <w:t xml:space="preserve"> 202</w:t>
          </w:r>
          <w:r w:rsidR="00266D34">
            <w:rPr>
              <w:lang w:eastAsia="ar-SA"/>
            </w:rPr>
            <w:t>2</w:t>
          </w:r>
          <w:r>
            <w:rPr>
              <w:lang w:eastAsia="ar-SA"/>
            </w:rPr>
            <w:t xml:space="preserve">, </w:t>
          </w:r>
          <w:r w:rsidR="00F37CA2">
            <w:rPr>
              <w:lang w:eastAsia="ar-SA"/>
            </w:rPr>
            <w:t>Provisional a</w:t>
          </w:r>
          <w:r w:rsidR="0054350C" w:rsidRPr="002A0E4B">
            <w:rPr>
              <w:lang w:eastAsia="ar-SA"/>
            </w:rPr>
            <w:t xml:space="preserve">genda item </w:t>
          </w:r>
          <w:r w:rsidR="00266D34">
            <w:rPr>
              <w:lang w:eastAsia="ar-SA"/>
            </w:rPr>
            <w:t>10</w:t>
          </w:r>
        </w:p>
      </w:tc>
    </w:tr>
  </w:tbl>
  <w:p w14:paraId="1799CC0E" w14:textId="38E054DB" w:rsidR="002A0E4B" w:rsidRDefault="002A0E4B" w:rsidP="00652F5C">
    <w:pPr>
      <w:pStyle w:val="Header"/>
      <w:pBdr>
        <w:bottom w:val="none" w:sz="0" w:space="0" w:color="auto"/>
      </w:pBdr>
    </w:pPr>
  </w:p>
  <w:p w14:paraId="1F5D83E3" w14:textId="5015E8D4" w:rsidR="00212863" w:rsidRDefault="00212863" w:rsidP="00652F5C">
    <w:pPr>
      <w:pStyle w:val="Header"/>
      <w:pBdr>
        <w:bottom w:val="none" w:sz="0" w:space="0" w:color="auto"/>
      </w:pBdr>
      <w:tabs>
        <w:tab w:val="left" w:pos="53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4F309C"/>
    <w:multiLevelType w:val="hybridMultilevel"/>
    <w:tmpl w:val="F606F2AE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55E2"/>
    <w:multiLevelType w:val="hybridMultilevel"/>
    <w:tmpl w:val="FA6EE4AA"/>
    <w:lvl w:ilvl="0" w:tplc="72244C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</w:num>
  <w:num w:numId="14">
    <w:abstractNumId w:val="14"/>
  </w:num>
  <w:num w:numId="15">
    <w:abstractNumId w:val="21"/>
  </w:num>
  <w:num w:numId="16">
    <w:abstractNumId w:val="16"/>
  </w:num>
  <w:num w:numId="17">
    <w:abstractNumId w:val="24"/>
  </w:num>
  <w:num w:numId="18">
    <w:abstractNumId w:val="27"/>
  </w:num>
  <w:num w:numId="19">
    <w:abstractNumId w:val="12"/>
  </w:num>
  <w:num w:numId="20">
    <w:abstractNumId w:val="12"/>
  </w:num>
  <w:num w:numId="21">
    <w:abstractNumId w:val="22"/>
  </w:num>
  <w:num w:numId="22">
    <w:abstractNumId w:val="25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8"/>
  </w:num>
  <w:num w:numId="3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83"/>
    <w:rsid w:val="000020A5"/>
    <w:rsid w:val="00002A7D"/>
    <w:rsid w:val="000038A8"/>
    <w:rsid w:val="00006790"/>
    <w:rsid w:val="00011CCE"/>
    <w:rsid w:val="000211BF"/>
    <w:rsid w:val="00027624"/>
    <w:rsid w:val="00045097"/>
    <w:rsid w:val="00050F6B"/>
    <w:rsid w:val="000678CD"/>
    <w:rsid w:val="00067D7B"/>
    <w:rsid w:val="000716B1"/>
    <w:rsid w:val="00072C8C"/>
    <w:rsid w:val="00081CE0"/>
    <w:rsid w:val="00084D30"/>
    <w:rsid w:val="00090320"/>
    <w:rsid w:val="000931C0"/>
    <w:rsid w:val="000A0AB1"/>
    <w:rsid w:val="000A2E09"/>
    <w:rsid w:val="000B175B"/>
    <w:rsid w:val="000B1A1C"/>
    <w:rsid w:val="000B3A0F"/>
    <w:rsid w:val="000D60CD"/>
    <w:rsid w:val="000E0299"/>
    <w:rsid w:val="000E0415"/>
    <w:rsid w:val="000E499D"/>
    <w:rsid w:val="000F251B"/>
    <w:rsid w:val="000F7715"/>
    <w:rsid w:val="001028DE"/>
    <w:rsid w:val="001174A8"/>
    <w:rsid w:val="00117F8B"/>
    <w:rsid w:val="00126065"/>
    <w:rsid w:val="00127901"/>
    <w:rsid w:val="00130375"/>
    <w:rsid w:val="00137A2B"/>
    <w:rsid w:val="00156B99"/>
    <w:rsid w:val="00166124"/>
    <w:rsid w:val="00184DDA"/>
    <w:rsid w:val="001878AA"/>
    <w:rsid w:val="001900CD"/>
    <w:rsid w:val="001A0452"/>
    <w:rsid w:val="001A1755"/>
    <w:rsid w:val="001B4B04"/>
    <w:rsid w:val="001B5875"/>
    <w:rsid w:val="001C30A0"/>
    <w:rsid w:val="001C4B9C"/>
    <w:rsid w:val="001C6663"/>
    <w:rsid w:val="001C7895"/>
    <w:rsid w:val="001D26DF"/>
    <w:rsid w:val="001F1599"/>
    <w:rsid w:val="001F19C4"/>
    <w:rsid w:val="002043F0"/>
    <w:rsid w:val="00211E0B"/>
    <w:rsid w:val="00212863"/>
    <w:rsid w:val="002267FF"/>
    <w:rsid w:val="00232575"/>
    <w:rsid w:val="00241C26"/>
    <w:rsid w:val="00247258"/>
    <w:rsid w:val="00257CAC"/>
    <w:rsid w:val="00260969"/>
    <w:rsid w:val="00261F75"/>
    <w:rsid w:val="002638C1"/>
    <w:rsid w:val="00266D34"/>
    <w:rsid w:val="0027237A"/>
    <w:rsid w:val="002725F2"/>
    <w:rsid w:val="00290E82"/>
    <w:rsid w:val="002974E9"/>
    <w:rsid w:val="002A0E4B"/>
    <w:rsid w:val="002A130B"/>
    <w:rsid w:val="002A2827"/>
    <w:rsid w:val="002A7F94"/>
    <w:rsid w:val="002B109A"/>
    <w:rsid w:val="002C6D45"/>
    <w:rsid w:val="002D6E53"/>
    <w:rsid w:val="002F046D"/>
    <w:rsid w:val="002F3023"/>
    <w:rsid w:val="002F5041"/>
    <w:rsid w:val="00301764"/>
    <w:rsid w:val="003229D8"/>
    <w:rsid w:val="003323F8"/>
    <w:rsid w:val="00336C97"/>
    <w:rsid w:val="00337F88"/>
    <w:rsid w:val="00342432"/>
    <w:rsid w:val="0035223F"/>
    <w:rsid w:val="00352D4B"/>
    <w:rsid w:val="0035638C"/>
    <w:rsid w:val="00360D92"/>
    <w:rsid w:val="003935C0"/>
    <w:rsid w:val="003A46BB"/>
    <w:rsid w:val="003A4EC7"/>
    <w:rsid w:val="003A7295"/>
    <w:rsid w:val="003B1F60"/>
    <w:rsid w:val="003C0006"/>
    <w:rsid w:val="003C2CC4"/>
    <w:rsid w:val="003C51FC"/>
    <w:rsid w:val="003D4B23"/>
    <w:rsid w:val="003E278A"/>
    <w:rsid w:val="003E4AF3"/>
    <w:rsid w:val="00413520"/>
    <w:rsid w:val="004325CB"/>
    <w:rsid w:val="00440A07"/>
    <w:rsid w:val="004501A8"/>
    <w:rsid w:val="00462880"/>
    <w:rsid w:val="00476F24"/>
    <w:rsid w:val="004A370F"/>
    <w:rsid w:val="004A765D"/>
    <w:rsid w:val="004B2383"/>
    <w:rsid w:val="004B5511"/>
    <w:rsid w:val="004C27E8"/>
    <w:rsid w:val="004C55B0"/>
    <w:rsid w:val="004C721C"/>
    <w:rsid w:val="004F68A7"/>
    <w:rsid w:val="004F6BA0"/>
    <w:rsid w:val="00503BEA"/>
    <w:rsid w:val="00533616"/>
    <w:rsid w:val="00535ABA"/>
    <w:rsid w:val="0053768B"/>
    <w:rsid w:val="005414AC"/>
    <w:rsid w:val="005420F2"/>
    <w:rsid w:val="0054285C"/>
    <w:rsid w:val="0054350C"/>
    <w:rsid w:val="00564939"/>
    <w:rsid w:val="0056516A"/>
    <w:rsid w:val="00567501"/>
    <w:rsid w:val="005760CE"/>
    <w:rsid w:val="005811BE"/>
    <w:rsid w:val="00584173"/>
    <w:rsid w:val="00595520"/>
    <w:rsid w:val="005A083E"/>
    <w:rsid w:val="005A44B9"/>
    <w:rsid w:val="005B1BA0"/>
    <w:rsid w:val="005B3DB3"/>
    <w:rsid w:val="005B4795"/>
    <w:rsid w:val="005D15CA"/>
    <w:rsid w:val="005D2CE9"/>
    <w:rsid w:val="005F08DF"/>
    <w:rsid w:val="005F3066"/>
    <w:rsid w:val="005F3E61"/>
    <w:rsid w:val="005F5140"/>
    <w:rsid w:val="00604DDD"/>
    <w:rsid w:val="006115CC"/>
    <w:rsid w:val="00611FC4"/>
    <w:rsid w:val="0061253F"/>
    <w:rsid w:val="006141C7"/>
    <w:rsid w:val="00616007"/>
    <w:rsid w:val="0061692F"/>
    <w:rsid w:val="006176FB"/>
    <w:rsid w:val="00627569"/>
    <w:rsid w:val="00630FCB"/>
    <w:rsid w:val="006405C5"/>
    <w:rsid w:val="00640B26"/>
    <w:rsid w:val="00652F5C"/>
    <w:rsid w:val="0065766B"/>
    <w:rsid w:val="0066600B"/>
    <w:rsid w:val="006770B2"/>
    <w:rsid w:val="00677443"/>
    <w:rsid w:val="006843DA"/>
    <w:rsid w:val="00684D39"/>
    <w:rsid w:val="00686A48"/>
    <w:rsid w:val="006940E1"/>
    <w:rsid w:val="00695FD4"/>
    <w:rsid w:val="006A3C72"/>
    <w:rsid w:val="006A7392"/>
    <w:rsid w:val="006A73E6"/>
    <w:rsid w:val="006B03A1"/>
    <w:rsid w:val="006B3E63"/>
    <w:rsid w:val="006B67D9"/>
    <w:rsid w:val="006C17B3"/>
    <w:rsid w:val="006C5535"/>
    <w:rsid w:val="006D0589"/>
    <w:rsid w:val="006D5446"/>
    <w:rsid w:val="006E564B"/>
    <w:rsid w:val="006E7154"/>
    <w:rsid w:val="007003CD"/>
    <w:rsid w:val="0070701E"/>
    <w:rsid w:val="00724955"/>
    <w:rsid w:val="0072632A"/>
    <w:rsid w:val="007358E8"/>
    <w:rsid w:val="00736ECE"/>
    <w:rsid w:val="0074533B"/>
    <w:rsid w:val="007639A3"/>
    <w:rsid w:val="007643BC"/>
    <w:rsid w:val="0077351C"/>
    <w:rsid w:val="00774DE3"/>
    <w:rsid w:val="00780C68"/>
    <w:rsid w:val="00791E69"/>
    <w:rsid w:val="007959FE"/>
    <w:rsid w:val="00795A09"/>
    <w:rsid w:val="007A0CF1"/>
    <w:rsid w:val="007A1D75"/>
    <w:rsid w:val="007A7FA0"/>
    <w:rsid w:val="007B567A"/>
    <w:rsid w:val="007B6BA5"/>
    <w:rsid w:val="007C3390"/>
    <w:rsid w:val="007C42D8"/>
    <w:rsid w:val="007C4F4B"/>
    <w:rsid w:val="007D7362"/>
    <w:rsid w:val="007F5CE2"/>
    <w:rsid w:val="007F6611"/>
    <w:rsid w:val="00810BAC"/>
    <w:rsid w:val="00815B0F"/>
    <w:rsid w:val="008175E9"/>
    <w:rsid w:val="00821ED5"/>
    <w:rsid w:val="008242D7"/>
    <w:rsid w:val="0082577B"/>
    <w:rsid w:val="00866893"/>
    <w:rsid w:val="00866EE1"/>
    <w:rsid w:val="00866F02"/>
    <w:rsid w:val="00867D18"/>
    <w:rsid w:val="00871F9A"/>
    <w:rsid w:val="00871FD5"/>
    <w:rsid w:val="0088172E"/>
    <w:rsid w:val="00881EFA"/>
    <w:rsid w:val="008879CB"/>
    <w:rsid w:val="00891A4B"/>
    <w:rsid w:val="0089344E"/>
    <w:rsid w:val="00896349"/>
    <w:rsid w:val="008979B1"/>
    <w:rsid w:val="008A6289"/>
    <w:rsid w:val="008A6B25"/>
    <w:rsid w:val="008A6C4F"/>
    <w:rsid w:val="008A76C4"/>
    <w:rsid w:val="008B389E"/>
    <w:rsid w:val="008C3FC5"/>
    <w:rsid w:val="008C4835"/>
    <w:rsid w:val="008D045E"/>
    <w:rsid w:val="008D3F25"/>
    <w:rsid w:val="008D4D82"/>
    <w:rsid w:val="008E0E46"/>
    <w:rsid w:val="008E3F5B"/>
    <w:rsid w:val="008E7116"/>
    <w:rsid w:val="008F0945"/>
    <w:rsid w:val="008F143B"/>
    <w:rsid w:val="008F3882"/>
    <w:rsid w:val="008F4B7C"/>
    <w:rsid w:val="00903333"/>
    <w:rsid w:val="009100DE"/>
    <w:rsid w:val="00926E47"/>
    <w:rsid w:val="00930D87"/>
    <w:rsid w:val="00947162"/>
    <w:rsid w:val="009610D0"/>
    <w:rsid w:val="0096375C"/>
    <w:rsid w:val="009662E6"/>
    <w:rsid w:val="0097095E"/>
    <w:rsid w:val="00974815"/>
    <w:rsid w:val="00974C03"/>
    <w:rsid w:val="0098592B"/>
    <w:rsid w:val="00985FC4"/>
    <w:rsid w:val="00990766"/>
    <w:rsid w:val="00991261"/>
    <w:rsid w:val="009964C4"/>
    <w:rsid w:val="009A7B81"/>
    <w:rsid w:val="009C62EB"/>
    <w:rsid w:val="009C674B"/>
    <w:rsid w:val="009D01C0"/>
    <w:rsid w:val="009D6A08"/>
    <w:rsid w:val="009E0A16"/>
    <w:rsid w:val="009E1B16"/>
    <w:rsid w:val="009E6CB7"/>
    <w:rsid w:val="009E7970"/>
    <w:rsid w:val="009F2EAC"/>
    <w:rsid w:val="009F57E3"/>
    <w:rsid w:val="00A10F4F"/>
    <w:rsid w:val="00A11067"/>
    <w:rsid w:val="00A13BD8"/>
    <w:rsid w:val="00A1704A"/>
    <w:rsid w:val="00A319B6"/>
    <w:rsid w:val="00A425EB"/>
    <w:rsid w:val="00A56C92"/>
    <w:rsid w:val="00A72F22"/>
    <w:rsid w:val="00A733BC"/>
    <w:rsid w:val="00A748A6"/>
    <w:rsid w:val="00A76A69"/>
    <w:rsid w:val="00A81755"/>
    <w:rsid w:val="00A879A4"/>
    <w:rsid w:val="00A87E60"/>
    <w:rsid w:val="00AA0FF8"/>
    <w:rsid w:val="00AA206E"/>
    <w:rsid w:val="00AB134D"/>
    <w:rsid w:val="00AB4FB0"/>
    <w:rsid w:val="00AC0F2C"/>
    <w:rsid w:val="00AC4C58"/>
    <w:rsid w:val="00AC502A"/>
    <w:rsid w:val="00AF58C1"/>
    <w:rsid w:val="00B04A3F"/>
    <w:rsid w:val="00B06643"/>
    <w:rsid w:val="00B15055"/>
    <w:rsid w:val="00B16536"/>
    <w:rsid w:val="00B20551"/>
    <w:rsid w:val="00B30179"/>
    <w:rsid w:val="00B33FC7"/>
    <w:rsid w:val="00B37B15"/>
    <w:rsid w:val="00B45383"/>
    <w:rsid w:val="00B45C02"/>
    <w:rsid w:val="00B70B63"/>
    <w:rsid w:val="00B72A1E"/>
    <w:rsid w:val="00B7635D"/>
    <w:rsid w:val="00B81E12"/>
    <w:rsid w:val="00BA339B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35BB1"/>
    <w:rsid w:val="00C3690C"/>
    <w:rsid w:val="00C463DD"/>
    <w:rsid w:val="00C6124E"/>
    <w:rsid w:val="00C745C3"/>
    <w:rsid w:val="00C978F5"/>
    <w:rsid w:val="00CA24A4"/>
    <w:rsid w:val="00CA37AB"/>
    <w:rsid w:val="00CB348D"/>
    <w:rsid w:val="00CB366B"/>
    <w:rsid w:val="00CD020C"/>
    <w:rsid w:val="00CD46F5"/>
    <w:rsid w:val="00CD6065"/>
    <w:rsid w:val="00CE4A8F"/>
    <w:rsid w:val="00CF071D"/>
    <w:rsid w:val="00CF3FB1"/>
    <w:rsid w:val="00D0123D"/>
    <w:rsid w:val="00D01D26"/>
    <w:rsid w:val="00D101DD"/>
    <w:rsid w:val="00D15B04"/>
    <w:rsid w:val="00D2031B"/>
    <w:rsid w:val="00D24600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6AC5"/>
    <w:rsid w:val="00D704E5"/>
    <w:rsid w:val="00D71540"/>
    <w:rsid w:val="00D72727"/>
    <w:rsid w:val="00D978C6"/>
    <w:rsid w:val="00DA0956"/>
    <w:rsid w:val="00DA2418"/>
    <w:rsid w:val="00DA357F"/>
    <w:rsid w:val="00DA3E12"/>
    <w:rsid w:val="00DC18AD"/>
    <w:rsid w:val="00DD43DA"/>
    <w:rsid w:val="00DF61DE"/>
    <w:rsid w:val="00DF7CAE"/>
    <w:rsid w:val="00E045D7"/>
    <w:rsid w:val="00E22D5B"/>
    <w:rsid w:val="00E37BED"/>
    <w:rsid w:val="00E423C0"/>
    <w:rsid w:val="00E631AB"/>
    <w:rsid w:val="00E6414C"/>
    <w:rsid w:val="00E7260F"/>
    <w:rsid w:val="00E72E10"/>
    <w:rsid w:val="00E8702D"/>
    <w:rsid w:val="00E87276"/>
    <w:rsid w:val="00E905F4"/>
    <w:rsid w:val="00E916A9"/>
    <w:rsid w:val="00E916DE"/>
    <w:rsid w:val="00E925AD"/>
    <w:rsid w:val="00E96630"/>
    <w:rsid w:val="00EB14EB"/>
    <w:rsid w:val="00EB4E95"/>
    <w:rsid w:val="00ED18DC"/>
    <w:rsid w:val="00ED6201"/>
    <w:rsid w:val="00ED7A2A"/>
    <w:rsid w:val="00EF1D7F"/>
    <w:rsid w:val="00F0137E"/>
    <w:rsid w:val="00F02678"/>
    <w:rsid w:val="00F21786"/>
    <w:rsid w:val="00F3742B"/>
    <w:rsid w:val="00F37CA2"/>
    <w:rsid w:val="00F41FDB"/>
    <w:rsid w:val="00F47C19"/>
    <w:rsid w:val="00F519DA"/>
    <w:rsid w:val="00F56D63"/>
    <w:rsid w:val="00F609A9"/>
    <w:rsid w:val="00F739C7"/>
    <w:rsid w:val="00F774D2"/>
    <w:rsid w:val="00F80C99"/>
    <w:rsid w:val="00F867EC"/>
    <w:rsid w:val="00F91B2B"/>
    <w:rsid w:val="00F93827"/>
    <w:rsid w:val="00FC03CD"/>
    <w:rsid w:val="00FC0646"/>
    <w:rsid w:val="00FC68B7"/>
    <w:rsid w:val="00FC7B0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0B8DB"/>
  <w15:docId w15:val="{D885F683-4961-41D8-8685-876C761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"/>
    <w:basedOn w:val="Normal"/>
    <w:link w:val="FootnoteTextChar1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uiPriority w:val="99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ListParagraph1">
    <w:name w:val="List Paragraph1"/>
    <w:basedOn w:val="Normal"/>
    <w:rsid w:val="00EB4E95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A99B4-8EA3-4CD7-8DB3-A317E1951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D74D6-F188-4A00-B322-6DE05966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ECE/TRANS/WP.29/GRVA/2020/22</vt:lpstr>
      <vt:lpstr>ECE/TRANS/WP.29/GRVA/2020/22</vt:lpstr>
      <vt:lpstr>ECE/TRANS/WP.29/GRVA/2020/22</vt:lpstr>
      <vt:lpstr>ECE/TRANS/WP.29/GRVA/2020/22</vt:lpstr>
    </vt:vector>
  </TitlesOfParts>
  <Company>CSD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lastModifiedBy>Francois Guichard</cp:lastModifiedBy>
  <cp:revision>16</cp:revision>
  <cp:lastPrinted>2009-02-18T09:36:00Z</cp:lastPrinted>
  <dcterms:created xsi:type="dcterms:W3CDTF">2021-11-29T10:20:00Z</dcterms:created>
  <dcterms:modified xsi:type="dcterms:W3CDTF">2022-01-19T15:50:00Z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