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85831" w14:textId="4AA99F70" w:rsidR="00951AE1" w:rsidRDefault="00951AE1" w:rsidP="00951AE1">
      <w:pPr>
        <w:pStyle w:val="Default"/>
      </w:pPr>
    </w:p>
    <w:p w14:paraId="68565D22" w14:textId="77777777" w:rsidR="00CE0DD3" w:rsidRDefault="00CE0DD3" w:rsidP="00951AE1">
      <w:pPr>
        <w:pStyle w:val="Default"/>
      </w:pPr>
    </w:p>
    <w:p w14:paraId="316C2512" w14:textId="47A0C966" w:rsidR="00951AE1" w:rsidRPr="00CE0DD3" w:rsidRDefault="00CE0DD3" w:rsidP="00CE0DD3">
      <w:pPr>
        <w:pStyle w:val="Default"/>
        <w:ind w:left="851" w:right="826"/>
        <w:jc w:val="center"/>
        <w:rPr>
          <w:b/>
          <w:bCs/>
          <w:sz w:val="36"/>
          <w:szCs w:val="36"/>
          <w:lang w:val="en-GB"/>
        </w:rPr>
      </w:pPr>
      <w:r w:rsidRPr="00CE0DD3">
        <w:rPr>
          <w:b/>
          <w:bCs/>
          <w:sz w:val="32"/>
          <w:szCs w:val="32"/>
          <w:lang w:val="en-US"/>
        </w:rPr>
        <w:t xml:space="preserve">Proposal for a new </w:t>
      </w:r>
      <w:r w:rsidR="00625E0A">
        <w:rPr>
          <w:b/>
          <w:bCs/>
          <w:sz w:val="32"/>
          <w:szCs w:val="32"/>
          <w:lang w:val="en-US"/>
        </w:rPr>
        <w:t>S</w:t>
      </w:r>
      <w:r w:rsidRPr="00CE0DD3">
        <w:rPr>
          <w:b/>
          <w:bCs/>
          <w:sz w:val="32"/>
          <w:szCs w:val="32"/>
          <w:lang w:val="en-US"/>
        </w:rPr>
        <w:t xml:space="preserve">upplement to the </w:t>
      </w:r>
      <w:r w:rsidR="00D17573">
        <w:rPr>
          <w:b/>
          <w:bCs/>
          <w:sz w:val="32"/>
          <w:szCs w:val="32"/>
          <w:lang w:val="en-US"/>
        </w:rPr>
        <w:t>0</w:t>
      </w:r>
      <w:r w:rsidR="007A561F">
        <w:rPr>
          <w:b/>
          <w:bCs/>
          <w:sz w:val="32"/>
          <w:szCs w:val="32"/>
          <w:lang w:val="en-US"/>
        </w:rPr>
        <w:t>6</w:t>
      </w:r>
      <w:r w:rsidR="000E165B">
        <w:rPr>
          <w:b/>
          <w:bCs/>
          <w:sz w:val="32"/>
          <w:szCs w:val="32"/>
          <w:lang w:val="en-US"/>
        </w:rPr>
        <w:t xml:space="preserve"> </w:t>
      </w:r>
      <w:r w:rsidR="00F06B3D">
        <w:rPr>
          <w:b/>
          <w:bCs/>
          <w:sz w:val="32"/>
          <w:szCs w:val="32"/>
          <w:lang w:val="en-US"/>
        </w:rPr>
        <w:t xml:space="preserve">and 07 </w:t>
      </w:r>
      <w:r w:rsidRPr="00CE0DD3">
        <w:rPr>
          <w:b/>
          <w:bCs/>
          <w:color w:val="000000" w:themeColor="text1"/>
          <w:sz w:val="32"/>
          <w:szCs w:val="32"/>
          <w:lang w:val="en-US"/>
        </w:rPr>
        <w:t xml:space="preserve">series of amendments to UN Regulation No. </w:t>
      </w:r>
      <w:r w:rsidR="00D17573">
        <w:rPr>
          <w:b/>
          <w:bCs/>
          <w:color w:val="000000" w:themeColor="text1"/>
          <w:sz w:val="32"/>
          <w:szCs w:val="32"/>
          <w:lang w:val="en-US"/>
        </w:rPr>
        <w:t>83</w:t>
      </w:r>
    </w:p>
    <w:p w14:paraId="1BF9ADCA" w14:textId="543FCC33" w:rsidR="00951AE1" w:rsidRDefault="00951AE1" w:rsidP="00951AE1">
      <w:pPr>
        <w:pStyle w:val="Default"/>
        <w:rPr>
          <w:b/>
          <w:bCs/>
          <w:sz w:val="22"/>
          <w:szCs w:val="22"/>
          <w:lang w:val="en-US"/>
        </w:rPr>
      </w:pPr>
    </w:p>
    <w:p w14:paraId="2E899B1E" w14:textId="77777777" w:rsidR="00CE0DD3" w:rsidRDefault="00CE0DD3" w:rsidP="00951AE1">
      <w:pPr>
        <w:pStyle w:val="Default"/>
        <w:rPr>
          <w:b/>
          <w:bCs/>
          <w:sz w:val="22"/>
          <w:szCs w:val="22"/>
          <w:lang w:val="en-US"/>
        </w:rPr>
      </w:pPr>
    </w:p>
    <w:p w14:paraId="02A9ABC7" w14:textId="77777777" w:rsidR="00911A23" w:rsidRPr="00D7097E" w:rsidRDefault="00911A23" w:rsidP="00951AE1">
      <w:pPr>
        <w:pStyle w:val="Default"/>
        <w:rPr>
          <w:sz w:val="20"/>
          <w:szCs w:val="20"/>
          <w:lang w:val="en-US"/>
        </w:rPr>
      </w:pPr>
    </w:p>
    <w:p w14:paraId="2C41D49E" w14:textId="6013E0CF" w:rsidR="00CA1F03" w:rsidRPr="00CA1F03" w:rsidRDefault="00CE0DD3" w:rsidP="00951AE1">
      <w:pPr>
        <w:pStyle w:val="Default"/>
        <w:rPr>
          <w:bCs/>
          <w:sz w:val="20"/>
          <w:szCs w:val="20"/>
          <w:lang w:val="en-US"/>
        </w:rPr>
      </w:pPr>
      <w:r w:rsidRPr="00CA1F03">
        <w:rPr>
          <w:sz w:val="20"/>
          <w:szCs w:val="20"/>
          <w:lang w:val="en-US"/>
        </w:rPr>
        <w:t xml:space="preserve">This document </w:t>
      </w:r>
      <w:r w:rsidRPr="00CA1F03">
        <w:rPr>
          <w:bCs/>
          <w:sz w:val="20"/>
          <w:szCs w:val="20"/>
          <w:lang w:val="en-US"/>
        </w:rPr>
        <w:t xml:space="preserve">aims </w:t>
      </w:r>
      <w:r w:rsidR="00CA1F03" w:rsidRPr="00CA1F03">
        <w:rPr>
          <w:bCs/>
          <w:sz w:val="20"/>
          <w:szCs w:val="20"/>
          <w:lang w:val="en-US"/>
        </w:rPr>
        <w:t>to:</w:t>
      </w:r>
    </w:p>
    <w:p w14:paraId="0E4C5150" w14:textId="77FE857C" w:rsidR="008D6027" w:rsidRDefault="00FD0F49" w:rsidP="000E165B">
      <w:pPr>
        <w:pStyle w:val="Default"/>
        <w:numPr>
          <w:ilvl w:val="0"/>
          <w:numId w:val="4"/>
        </w:numPr>
        <w:rPr>
          <w:sz w:val="20"/>
          <w:szCs w:val="20"/>
          <w:lang w:val="en-US"/>
        </w:rPr>
      </w:pPr>
      <w:r>
        <w:rPr>
          <w:sz w:val="20"/>
          <w:szCs w:val="20"/>
          <w:lang w:val="en-US"/>
        </w:rPr>
        <w:t>h</w:t>
      </w:r>
      <w:r w:rsidR="008D6027">
        <w:rPr>
          <w:sz w:val="20"/>
          <w:szCs w:val="20"/>
          <w:lang w:val="en-US"/>
        </w:rPr>
        <w:t>armonize the requirements of the 06 and 07 series of UN Regulation No. 83.</w:t>
      </w:r>
    </w:p>
    <w:p w14:paraId="7555DF50" w14:textId="3394267D" w:rsidR="00CA1F03" w:rsidRPr="00CA1F03" w:rsidRDefault="00CA1F03" w:rsidP="000E165B">
      <w:pPr>
        <w:pStyle w:val="Default"/>
        <w:numPr>
          <w:ilvl w:val="0"/>
          <w:numId w:val="4"/>
        </w:numPr>
        <w:rPr>
          <w:sz w:val="20"/>
          <w:szCs w:val="20"/>
          <w:lang w:val="en-US"/>
        </w:rPr>
      </w:pPr>
      <w:r w:rsidRPr="00CA1F03">
        <w:rPr>
          <w:sz w:val="20"/>
          <w:szCs w:val="20"/>
          <w:lang w:val="en-US"/>
        </w:rPr>
        <w:t xml:space="preserve">harmonize the </w:t>
      </w:r>
      <w:r w:rsidR="000E165B">
        <w:rPr>
          <w:sz w:val="20"/>
          <w:szCs w:val="20"/>
          <w:lang w:val="en-US"/>
        </w:rPr>
        <w:t xml:space="preserve">requirements of the </w:t>
      </w:r>
      <w:r w:rsidR="00055F13">
        <w:rPr>
          <w:sz w:val="20"/>
          <w:szCs w:val="20"/>
          <w:lang w:val="en-US"/>
        </w:rPr>
        <w:t xml:space="preserve">new </w:t>
      </w:r>
      <w:r w:rsidR="000E165B">
        <w:rPr>
          <w:sz w:val="20"/>
          <w:szCs w:val="20"/>
          <w:lang w:val="en-US"/>
        </w:rPr>
        <w:t xml:space="preserve">08 series of UN Regulation No. 48 with </w:t>
      </w:r>
      <w:r w:rsidR="00117703">
        <w:rPr>
          <w:sz w:val="20"/>
          <w:szCs w:val="20"/>
          <w:lang w:val="en-US"/>
        </w:rPr>
        <w:t xml:space="preserve">the vehicle settings for </w:t>
      </w:r>
      <w:r w:rsidR="00055F13">
        <w:rPr>
          <w:sz w:val="20"/>
          <w:szCs w:val="20"/>
          <w:lang w:val="en-US"/>
        </w:rPr>
        <w:t xml:space="preserve">dynamometer operation of UN Regulation No. </w:t>
      </w:r>
      <w:r w:rsidR="008D6027">
        <w:rPr>
          <w:sz w:val="20"/>
          <w:szCs w:val="20"/>
          <w:lang w:val="en-US"/>
        </w:rPr>
        <w:t>83</w:t>
      </w:r>
      <w:r w:rsidR="00055F13">
        <w:rPr>
          <w:sz w:val="20"/>
          <w:szCs w:val="20"/>
          <w:lang w:val="en-US"/>
        </w:rPr>
        <w:t>.</w:t>
      </w:r>
      <w:r w:rsidR="000E165B">
        <w:rPr>
          <w:sz w:val="20"/>
          <w:szCs w:val="20"/>
          <w:lang w:val="en-US"/>
        </w:rPr>
        <w:t xml:space="preserve"> </w:t>
      </w:r>
    </w:p>
    <w:p w14:paraId="74FBB17E" w14:textId="3D4A3721" w:rsidR="0081205A" w:rsidRPr="00CA1F03" w:rsidRDefault="00911A23" w:rsidP="00CA1F03">
      <w:pPr>
        <w:pStyle w:val="Default"/>
        <w:rPr>
          <w:b/>
          <w:bCs/>
          <w:sz w:val="20"/>
          <w:szCs w:val="20"/>
          <w:lang w:val="en-US"/>
        </w:rPr>
      </w:pPr>
      <w:r w:rsidRPr="00CA1F03">
        <w:rPr>
          <w:sz w:val="20"/>
          <w:szCs w:val="20"/>
          <w:lang w:val="en-US"/>
        </w:rPr>
        <w:t>The modifications to the current text of the Regulation are marked in bold for new or strikethrough for deleted characters.</w:t>
      </w:r>
      <w:r w:rsidR="00AF473D" w:rsidRPr="00CA1F03">
        <w:rPr>
          <w:sz w:val="20"/>
          <w:szCs w:val="20"/>
          <w:lang w:val="en-US"/>
        </w:rPr>
        <w:t xml:space="preserve"> </w:t>
      </w:r>
      <w:r w:rsidR="00352983">
        <w:rPr>
          <w:sz w:val="20"/>
          <w:szCs w:val="20"/>
          <w:lang w:val="en-US"/>
        </w:rPr>
        <w:t xml:space="preserve">The </w:t>
      </w:r>
      <w:r w:rsidR="00634CB2">
        <w:rPr>
          <w:sz w:val="20"/>
          <w:szCs w:val="20"/>
          <w:lang w:val="en-US"/>
        </w:rPr>
        <w:t>r</w:t>
      </w:r>
      <w:r w:rsidR="00352983">
        <w:rPr>
          <w:sz w:val="20"/>
          <w:szCs w:val="20"/>
          <w:lang w:val="en-US"/>
        </w:rPr>
        <w:t xml:space="preserve">ed text shows the differences </w:t>
      </w:r>
      <w:r w:rsidR="007F6C0E">
        <w:rPr>
          <w:sz w:val="20"/>
          <w:szCs w:val="20"/>
          <w:lang w:val="en-US"/>
        </w:rPr>
        <w:t>between</w:t>
      </w:r>
      <w:r w:rsidR="00352983">
        <w:rPr>
          <w:sz w:val="20"/>
          <w:szCs w:val="20"/>
          <w:lang w:val="en-US"/>
        </w:rPr>
        <w:t xml:space="preserve"> th</w:t>
      </w:r>
      <w:r w:rsidR="00CB34C3">
        <w:rPr>
          <w:sz w:val="20"/>
          <w:szCs w:val="20"/>
          <w:lang w:val="en-US"/>
        </w:rPr>
        <w:t>is</w:t>
      </w:r>
      <w:r w:rsidR="00352983">
        <w:rPr>
          <w:sz w:val="20"/>
          <w:szCs w:val="20"/>
          <w:lang w:val="en-US"/>
        </w:rPr>
        <w:t xml:space="preserve"> document</w:t>
      </w:r>
      <w:r w:rsidR="007F6C0E">
        <w:rPr>
          <w:sz w:val="20"/>
          <w:szCs w:val="20"/>
          <w:lang w:val="en-US"/>
        </w:rPr>
        <w:t xml:space="preserve"> and the first version GRPE-85-18.</w:t>
      </w:r>
    </w:p>
    <w:p w14:paraId="3BB75B70" w14:textId="70109886" w:rsidR="00951AE1" w:rsidRDefault="00951AE1" w:rsidP="00951AE1">
      <w:pPr>
        <w:pStyle w:val="Default"/>
        <w:rPr>
          <w:b/>
          <w:bCs/>
          <w:sz w:val="28"/>
          <w:szCs w:val="28"/>
          <w:lang w:val="en-US"/>
        </w:rPr>
      </w:pPr>
    </w:p>
    <w:p w14:paraId="47B84996" w14:textId="77777777" w:rsidR="00CE0DD3" w:rsidRDefault="00CE0DD3" w:rsidP="00951AE1">
      <w:pPr>
        <w:pStyle w:val="Default"/>
        <w:rPr>
          <w:b/>
          <w:bCs/>
          <w:sz w:val="28"/>
          <w:szCs w:val="28"/>
          <w:lang w:val="en-US"/>
        </w:rPr>
      </w:pPr>
    </w:p>
    <w:p w14:paraId="1CD6F224" w14:textId="548CE198" w:rsidR="00951AE1" w:rsidRPr="00951AE1" w:rsidRDefault="00951AE1" w:rsidP="00951AE1">
      <w:pPr>
        <w:pStyle w:val="Default"/>
        <w:rPr>
          <w:sz w:val="28"/>
          <w:szCs w:val="28"/>
          <w:lang w:val="en-US"/>
        </w:rPr>
      </w:pPr>
      <w:r w:rsidRPr="00951AE1">
        <w:rPr>
          <w:b/>
          <w:bCs/>
          <w:sz w:val="28"/>
          <w:szCs w:val="28"/>
          <w:lang w:val="en-US"/>
        </w:rPr>
        <w:t xml:space="preserve">I. Proposal </w:t>
      </w:r>
    </w:p>
    <w:p w14:paraId="104F5A10" w14:textId="3A1E0E42" w:rsidR="00CA1F03" w:rsidRDefault="008F0747" w:rsidP="008F0747">
      <w:pPr>
        <w:pStyle w:val="SingleTxtG"/>
        <w:rPr>
          <w:i/>
          <w:iCs/>
          <w:lang w:val="en-US"/>
        </w:rPr>
      </w:pPr>
      <w:r>
        <w:rPr>
          <w:i/>
          <w:iCs/>
          <w:lang w:val="en-US"/>
        </w:rPr>
        <w:t>In the 06 series,</w:t>
      </w:r>
      <w:r w:rsidRPr="005467A8">
        <w:rPr>
          <w:i/>
          <w:iCs/>
          <w:lang w:val="en-US"/>
        </w:rPr>
        <w:t xml:space="preserve"> </w:t>
      </w:r>
      <w:r w:rsidR="005467A8" w:rsidRPr="005467A8">
        <w:rPr>
          <w:i/>
          <w:iCs/>
          <w:lang w:val="en-US"/>
        </w:rPr>
        <w:t xml:space="preserve">Annex </w:t>
      </w:r>
      <w:r w:rsidR="00D17573">
        <w:rPr>
          <w:i/>
          <w:iCs/>
          <w:lang w:val="en-US"/>
        </w:rPr>
        <w:t>4A</w:t>
      </w:r>
      <w:r w:rsidR="005467A8">
        <w:rPr>
          <w:i/>
          <w:iCs/>
          <w:lang w:val="en-US"/>
        </w:rPr>
        <w:t xml:space="preserve"> - </w:t>
      </w:r>
      <w:r w:rsidR="005467A8" w:rsidRPr="005467A8">
        <w:rPr>
          <w:i/>
          <w:iCs/>
          <w:lang w:val="en-US"/>
        </w:rPr>
        <w:t xml:space="preserve">Type </w:t>
      </w:r>
      <w:r w:rsidR="00D17573">
        <w:rPr>
          <w:i/>
          <w:iCs/>
          <w:lang w:val="en-US"/>
        </w:rPr>
        <w:t>I</w:t>
      </w:r>
      <w:r w:rsidR="005467A8" w:rsidRPr="005467A8">
        <w:rPr>
          <w:i/>
          <w:iCs/>
          <w:lang w:val="en-US"/>
        </w:rPr>
        <w:t xml:space="preserve"> test</w:t>
      </w:r>
      <w:r w:rsidR="005467A8">
        <w:rPr>
          <w:i/>
          <w:iCs/>
          <w:lang w:val="en-US"/>
        </w:rPr>
        <w:t xml:space="preserve">, </w:t>
      </w:r>
      <w:r w:rsidRPr="00E23B6A">
        <w:rPr>
          <w:lang w:val="en-US"/>
        </w:rPr>
        <w:t xml:space="preserve">add </w:t>
      </w:r>
      <w:r w:rsidR="00E23B6A">
        <w:rPr>
          <w:lang w:val="en-US"/>
        </w:rPr>
        <w:t>a new p</w:t>
      </w:r>
      <w:r w:rsidR="00CA1F03" w:rsidRPr="00E23B6A">
        <w:rPr>
          <w:lang w:val="en-US"/>
        </w:rPr>
        <w:t xml:space="preserve">aragraph </w:t>
      </w:r>
      <w:r w:rsidR="00D17573" w:rsidRPr="00E23B6A">
        <w:rPr>
          <w:lang w:val="en-US"/>
        </w:rPr>
        <w:t>3.2</w:t>
      </w:r>
      <w:r w:rsidRPr="00E23B6A">
        <w:rPr>
          <w:lang w:val="en-US"/>
        </w:rPr>
        <w:t>.7.</w:t>
      </w:r>
      <w:r w:rsidR="00B86189">
        <w:rPr>
          <w:i/>
          <w:iCs/>
          <w:lang w:val="en-US"/>
        </w:rPr>
        <w:t xml:space="preserve"> </w:t>
      </w:r>
      <w:r w:rsidR="00CA1F03" w:rsidRPr="00AE3C95">
        <w:rPr>
          <w:lang w:val="en-US"/>
        </w:rPr>
        <w:t>to read:</w:t>
      </w:r>
    </w:p>
    <w:p w14:paraId="6DDE57C1" w14:textId="77777777" w:rsidR="001C7269" w:rsidRDefault="00CA1F03" w:rsidP="001C7269">
      <w:pPr>
        <w:pStyle w:val="SingleTxtG"/>
        <w:ind w:left="2268" w:hanging="1134"/>
        <w:rPr>
          <w:rFonts w:eastAsia="MS Mincho"/>
          <w:b/>
          <w:bCs/>
        </w:rPr>
      </w:pPr>
      <w:r w:rsidRPr="00E23B6A">
        <w:rPr>
          <w:rFonts w:eastAsia="MS Mincho"/>
          <w:b/>
          <w:bCs/>
        </w:rPr>
        <w:t>"</w:t>
      </w:r>
      <w:r w:rsidR="00D17573" w:rsidRPr="008D6027">
        <w:rPr>
          <w:rFonts w:eastAsia="MS Mincho"/>
          <w:b/>
          <w:bCs/>
        </w:rPr>
        <w:t xml:space="preserve">3.2.7. </w:t>
      </w:r>
      <w:r w:rsidR="00D17573" w:rsidRPr="008D6027">
        <w:rPr>
          <w:rFonts w:eastAsia="MS Mincho"/>
          <w:b/>
          <w:bCs/>
        </w:rPr>
        <w:tab/>
      </w:r>
      <w:r w:rsidR="001C7269" w:rsidRPr="008D6027">
        <w:rPr>
          <w:rFonts w:eastAsia="MS Mincho"/>
          <w:b/>
          <w:bCs/>
        </w:rPr>
        <w:t xml:space="preserve">The vehicle </w:t>
      </w:r>
      <w:r w:rsidR="001C7269">
        <w:rPr>
          <w:rFonts w:eastAsia="MS Mincho"/>
          <w:b/>
          <w:bCs/>
        </w:rPr>
        <w:t xml:space="preserve">to be </w:t>
      </w:r>
      <w:r w:rsidR="001C7269" w:rsidRPr="008D6027">
        <w:rPr>
          <w:rFonts w:eastAsia="MS Mincho"/>
          <w:b/>
          <w:bCs/>
        </w:rPr>
        <w:t xml:space="preserve">tested shall be equipped with the daytime running lamp system that has the highest electrical energy consumption </w:t>
      </w:r>
      <w:r w:rsidR="001C7269">
        <w:rPr>
          <w:rFonts w:eastAsia="MS Mincho"/>
          <w:b/>
          <w:bCs/>
        </w:rPr>
        <w:t>of</w:t>
      </w:r>
      <w:r w:rsidR="001C7269" w:rsidRPr="008D6027">
        <w:rPr>
          <w:rFonts w:eastAsia="MS Mincho"/>
          <w:b/>
          <w:bCs/>
        </w:rPr>
        <w:t xml:space="preserve"> the daytime running lamp systems, which are fitted by the manufacturer to vehicles in the group represented by the type-approved vehicle. The manufacturer shall supply appropriate technical documentation to the type-approval authorities in this respect.</w:t>
      </w:r>
    </w:p>
    <w:p w14:paraId="4A0AFAA5" w14:textId="5A71BF52" w:rsidR="00F06B3D" w:rsidRDefault="001C7269" w:rsidP="001C7269">
      <w:pPr>
        <w:pStyle w:val="SingleTxtG"/>
        <w:ind w:left="2268"/>
        <w:rPr>
          <w:rFonts w:eastAsia="MS Mincho"/>
          <w:b/>
          <w:bCs/>
        </w:rPr>
      </w:pPr>
      <w:r w:rsidRPr="008D6027">
        <w:rPr>
          <w:rFonts w:eastAsia="MS Mincho"/>
          <w:b/>
          <w:bCs/>
        </w:rPr>
        <w:t xml:space="preserve">The daytime running lamps as defined in paragraph 2 </w:t>
      </w:r>
      <w:r>
        <w:rPr>
          <w:rFonts w:eastAsia="MS Mincho"/>
          <w:b/>
          <w:bCs/>
        </w:rPr>
        <w:t>o</w:t>
      </w:r>
      <w:r w:rsidRPr="008D6027">
        <w:rPr>
          <w:rFonts w:eastAsia="MS Mincho"/>
          <w:b/>
          <w:bCs/>
        </w:rPr>
        <w:t xml:space="preserve">f Regulation No. 48 shall be switched </w:t>
      </w:r>
      <w:r>
        <w:rPr>
          <w:rFonts w:eastAsia="MS Mincho"/>
          <w:b/>
          <w:bCs/>
        </w:rPr>
        <w:t>ON</w:t>
      </w:r>
      <w:r w:rsidRPr="008D6027">
        <w:rPr>
          <w:rFonts w:eastAsia="MS Mincho"/>
          <w:b/>
          <w:bCs/>
        </w:rPr>
        <w:t xml:space="preserve"> during the test cycle.</w:t>
      </w:r>
      <w:r w:rsidR="00E23B6A" w:rsidRPr="00E23B6A">
        <w:rPr>
          <w:rFonts w:eastAsia="MS Mincho"/>
          <w:b/>
          <w:bCs/>
        </w:rPr>
        <w:t>"</w:t>
      </w:r>
    </w:p>
    <w:p w14:paraId="58C591A5" w14:textId="77777777" w:rsidR="00BB4B94" w:rsidRDefault="00BB4B94" w:rsidP="001C7269">
      <w:pPr>
        <w:pStyle w:val="SingleTxtG"/>
        <w:ind w:left="2268"/>
        <w:rPr>
          <w:rFonts w:eastAsia="MS Mincho"/>
          <w:b/>
          <w:bCs/>
        </w:rPr>
      </w:pPr>
    </w:p>
    <w:p w14:paraId="2E11A9B7" w14:textId="3B7234E5" w:rsidR="001C7269" w:rsidRDefault="001C7269" w:rsidP="001C7269">
      <w:pPr>
        <w:pStyle w:val="SingleTxtG"/>
        <w:rPr>
          <w:lang w:val="en-US"/>
        </w:rPr>
      </w:pPr>
      <w:r>
        <w:rPr>
          <w:i/>
          <w:iCs/>
          <w:lang w:val="en-US"/>
        </w:rPr>
        <w:t>In the 07 series,</w:t>
      </w:r>
      <w:r w:rsidRPr="005467A8">
        <w:rPr>
          <w:i/>
          <w:iCs/>
          <w:lang w:val="en-US"/>
        </w:rPr>
        <w:t xml:space="preserve"> Annex </w:t>
      </w:r>
      <w:r>
        <w:rPr>
          <w:i/>
          <w:iCs/>
          <w:lang w:val="en-US"/>
        </w:rPr>
        <w:t xml:space="preserve">4A - </w:t>
      </w:r>
      <w:r w:rsidRPr="005467A8">
        <w:rPr>
          <w:i/>
          <w:iCs/>
          <w:lang w:val="en-US"/>
        </w:rPr>
        <w:t xml:space="preserve">Type </w:t>
      </w:r>
      <w:r>
        <w:rPr>
          <w:i/>
          <w:iCs/>
          <w:lang w:val="en-US"/>
        </w:rPr>
        <w:t>I</w:t>
      </w:r>
      <w:r w:rsidRPr="005467A8">
        <w:rPr>
          <w:i/>
          <w:iCs/>
          <w:lang w:val="en-US"/>
        </w:rPr>
        <w:t xml:space="preserve"> test</w:t>
      </w:r>
      <w:r w:rsidRPr="001C7269">
        <w:rPr>
          <w:i/>
          <w:iCs/>
          <w:lang w:val="en-US"/>
        </w:rPr>
        <w:t>, paragraph 3.2.7.</w:t>
      </w:r>
      <w:r>
        <w:rPr>
          <w:i/>
          <w:iCs/>
          <w:lang w:val="en-US"/>
        </w:rPr>
        <w:t xml:space="preserve">; </w:t>
      </w:r>
      <w:r>
        <w:rPr>
          <w:lang w:val="en-US"/>
        </w:rPr>
        <w:t xml:space="preserve">amend </w:t>
      </w:r>
      <w:r w:rsidRPr="00AE3C95">
        <w:rPr>
          <w:lang w:val="en-US"/>
        </w:rPr>
        <w:t>to read:</w:t>
      </w:r>
    </w:p>
    <w:p w14:paraId="6AB45A75" w14:textId="1073278A" w:rsidR="00BB4B94" w:rsidRPr="00337A07" w:rsidRDefault="00BB4B94" w:rsidP="00BB4B94">
      <w:pPr>
        <w:pStyle w:val="SingleTxtG"/>
        <w:ind w:left="2268" w:hanging="1134"/>
      </w:pPr>
      <w:r w:rsidRPr="00E23B6A">
        <w:rPr>
          <w:rFonts w:eastAsia="MS Mincho"/>
          <w:b/>
          <w:bCs/>
        </w:rPr>
        <w:t>"</w:t>
      </w:r>
      <w:r w:rsidRPr="00337A07">
        <w:t>3.2.7.</w:t>
      </w:r>
      <w:r w:rsidRPr="00337A07">
        <w:tab/>
      </w:r>
      <w:r w:rsidRPr="00BB4B94">
        <w:rPr>
          <w:strike/>
        </w:rPr>
        <w:t>The daytime running lamps of the vehicle as defined in paragraph 2. of Regulation No. 48 shall be switched on during the test cycle. The vehicle tested shall be equipped with the daytime running lamp system that has the highest electrical energy consumption among the daytime running lamp systems, which are fitted by the manufacturer to vehicles in the group represented by the type-approved vehicle. The manufacturer shall supply appropriate technical documentation to the type-approval authorities in this respect.</w:t>
      </w:r>
    </w:p>
    <w:p w14:paraId="327F8746" w14:textId="77777777" w:rsidR="00BB4B94" w:rsidRDefault="00BB4B94" w:rsidP="00BB4B94">
      <w:pPr>
        <w:pStyle w:val="SingleTxtG"/>
        <w:ind w:left="2268"/>
        <w:rPr>
          <w:rFonts w:eastAsia="MS Mincho"/>
          <w:b/>
          <w:bCs/>
        </w:rPr>
      </w:pPr>
      <w:r w:rsidRPr="008D6027">
        <w:rPr>
          <w:rFonts w:eastAsia="MS Mincho"/>
          <w:b/>
          <w:bCs/>
        </w:rPr>
        <w:t xml:space="preserve">The vehicle </w:t>
      </w:r>
      <w:r>
        <w:rPr>
          <w:rFonts w:eastAsia="MS Mincho"/>
          <w:b/>
          <w:bCs/>
        </w:rPr>
        <w:t xml:space="preserve">to be </w:t>
      </w:r>
      <w:r w:rsidRPr="008D6027">
        <w:rPr>
          <w:rFonts w:eastAsia="MS Mincho"/>
          <w:b/>
          <w:bCs/>
        </w:rPr>
        <w:t xml:space="preserve">tested shall be equipped with the daytime running lamp system that has the highest electrical energy consumption </w:t>
      </w:r>
      <w:r>
        <w:rPr>
          <w:rFonts w:eastAsia="MS Mincho"/>
          <w:b/>
          <w:bCs/>
        </w:rPr>
        <w:t>of</w:t>
      </w:r>
      <w:r w:rsidRPr="008D6027">
        <w:rPr>
          <w:rFonts w:eastAsia="MS Mincho"/>
          <w:b/>
          <w:bCs/>
        </w:rPr>
        <w:t xml:space="preserve"> the daytime running lamp systems, which are fitted by the manufacturer to vehicles in the group represented by the type-approved vehicle. The manufacturer shall supply appropriate technical documentation to the type-approval authorities in this respect.</w:t>
      </w:r>
    </w:p>
    <w:p w14:paraId="61756963" w14:textId="77777777" w:rsidR="00BB4B94" w:rsidRDefault="00BB4B94" w:rsidP="00BB4B94">
      <w:pPr>
        <w:pStyle w:val="SingleTxtG"/>
        <w:ind w:left="2268"/>
        <w:rPr>
          <w:rFonts w:eastAsia="MS Mincho"/>
          <w:b/>
          <w:bCs/>
        </w:rPr>
      </w:pPr>
      <w:r w:rsidRPr="008D6027">
        <w:rPr>
          <w:rFonts w:eastAsia="MS Mincho"/>
          <w:b/>
          <w:bCs/>
        </w:rPr>
        <w:t xml:space="preserve">The daytime running lamps as defined in paragraph 2 </w:t>
      </w:r>
      <w:r>
        <w:rPr>
          <w:rFonts w:eastAsia="MS Mincho"/>
          <w:b/>
          <w:bCs/>
        </w:rPr>
        <w:t>o</w:t>
      </w:r>
      <w:r w:rsidRPr="008D6027">
        <w:rPr>
          <w:rFonts w:eastAsia="MS Mincho"/>
          <w:b/>
          <w:bCs/>
        </w:rPr>
        <w:t xml:space="preserve">f Regulation No. 48 shall be switched </w:t>
      </w:r>
      <w:r>
        <w:rPr>
          <w:rFonts w:eastAsia="MS Mincho"/>
          <w:b/>
          <w:bCs/>
        </w:rPr>
        <w:t>ON</w:t>
      </w:r>
      <w:r w:rsidRPr="008D6027">
        <w:rPr>
          <w:rFonts w:eastAsia="MS Mincho"/>
          <w:b/>
          <w:bCs/>
        </w:rPr>
        <w:t xml:space="preserve"> during the test cycle.</w:t>
      </w:r>
      <w:r w:rsidRPr="00E23B6A">
        <w:rPr>
          <w:rFonts w:eastAsia="MS Mincho"/>
          <w:b/>
          <w:bCs/>
        </w:rPr>
        <w:t>"</w:t>
      </w:r>
    </w:p>
    <w:p w14:paraId="72C1F34D" w14:textId="77777777" w:rsidR="001C7269" w:rsidRPr="001C7269" w:rsidRDefault="001C7269" w:rsidP="001C7269">
      <w:pPr>
        <w:pStyle w:val="SingleTxtG"/>
        <w:rPr>
          <w:rFonts w:eastAsia="MS Mincho"/>
          <w:b/>
          <w:bCs/>
          <w:lang w:val="en-US"/>
        </w:rPr>
      </w:pPr>
    </w:p>
    <w:p w14:paraId="223E6FF9" w14:textId="7A6F1CA1" w:rsidR="00F06B3D" w:rsidRDefault="008F0747" w:rsidP="008F0747">
      <w:pPr>
        <w:pStyle w:val="SingleTxtG"/>
        <w:rPr>
          <w:i/>
          <w:iCs/>
          <w:lang w:val="en-US"/>
        </w:rPr>
      </w:pPr>
      <w:r>
        <w:rPr>
          <w:i/>
          <w:iCs/>
          <w:lang w:val="en-US"/>
        </w:rPr>
        <w:t>In the 06 and 07 series</w:t>
      </w:r>
      <w:r w:rsidRPr="005467A8">
        <w:rPr>
          <w:i/>
          <w:iCs/>
          <w:lang w:val="en-US"/>
        </w:rPr>
        <w:t xml:space="preserve"> </w:t>
      </w:r>
      <w:r w:rsidR="00F06B3D" w:rsidRPr="005467A8">
        <w:rPr>
          <w:i/>
          <w:iCs/>
          <w:lang w:val="en-US"/>
        </w:rPr>
        <w:t xml:space="preserve">Annex </w:t>
      </w:r>
      <w:r w:rsidR="00F06B3D">
        <w:rPr>
          <w:i/>
          <w:iCs/>
          <w:lang w:val="en-US"/>
        </w:rPr>
        <w:t xml:space="preserve">4A - </w:t>
      </w:r>
      <w:r w:rsidR="00F06B3D" w:rsidRPr="005467A8">
        <w:rPr>
          <w:i/>
          <w:iCs/>
          <w:lang w:val="en-US"/>
        </w:rPr>
        <w:t xml:space="preserve">Type </w:t>
      </w:r>
      <w:r w:rsidR="00F06B3D">
        <w:rPr>
          <w:i/>
          <w:iCs/>
          <w:lang w:val="en-US"/>
        </w:rPr>
        <w:t>I</w:t>
      </w:r>
      <w:r w:rsidR="00F06B3D" w:rsidRPr="005467A8">
        <w:rPr>
          <w:i/>
          <w:iCs/>
          <w:lang w:val="en-US"/>
        </w:rPr>
        <w:t xml:space="preserve"> test</w:t>
      </w:r>
      <w:r w:rsidR="00F06B3D">
        <w:rPr>
          <w:i/>
          <w:iCs/>
          <w:lang w:val="en-US"/>
        </w:rPr>
        <w:t xml:space="preserve">, </w:t>
      </w:r>
      <w:r w:rsidRPr="00E23B6A">
        <w:rPr>
          <w:lang w:val="en-US"/>
        </w:rPr>
        <w:t xml:space="preserve">add </w:t>
      </w:r>
      <w:r w:rsidR="00E23B6A">
        <w:rPr>
          <w:lang w:val="en-US"/>
        </w:rPr>
        <w:t>a new p</w:t>
      </w:r>
      <w:r w:rsidR="00F06B3D" w:rsidRPr="00E23B6A">
        <w:rPr>
          <w:lang w:val="en-US"/>
        </w:rPr>
        <w:t>aragraph 3.2</w:t>
      </w:r>
      <w:r w:rsidRPr="00E23B6A">
        <w:rPr>
          <w:lang w:val="en-US"/>
        </w:rPr>
        <w:t>.8.</w:t>
      </w:r>
      <w:r w:rsidR="00F06B3D">
        <w:rPr>
          <w:i/>
          <w:iCs/>
          <w:lang w:val="en-US"/>
        </w:rPr>
        <w:t xml:space="preserve"> </w:t>
      </w:r>
      <w:r w:rsidR="00F06B3D" w:rsidRPr="00AE3C95">
        <w:rPr>
          <w:lang w:val="en-US"/>
        </w:rPr>
        <w:t>to read:</w:t>
      </w:r>
    </w:p>
    <w:p w14:paraId="33085207" w14:textId="28726A40" w:rsidR="00CE0DD3" w:rsidRPr="00055F13" w:rsidRDefault="00E23B6A" w:rsidP="007C2BD5">
      <w:pPr>
        <w:spacing w:after="120"/>
        <w:ind w:left="2268" w:right="1134" w:hanging="1134"/>
        <w:jc w:val="both"/>
        <w:rPr>
          <w:rFonts w:ascii="Times New Roman" w:eastAsia="Times New Roman" w:hAnsi="Times New Roman" w:cs="Times New Roman"/>
          <w:sz w:val="20"/>
          <w:szCs w:val="20"/>
          <w:lang w:val="en-GB"/>
        </w:rPr>
      </w:pPr>
      <w:r w:rsidRPr="00E23B6A">
        <w:rPr>
          <w:rFonts w:eastAsia="MS Mincho"/>
          <w:b/>
          <w:bCs/>
        </w:rPr>
        <w:t>"</w:t>
      </w:r>
      <w:r w:rsidR="00D17573">
        <w:rPr>
          <w:rFonts w:ascii="Times New Roman" w:eastAsia="Times New Roman" w:hAnsi="Times New Roman" w:cs="Times New Roman"/>
          <w:b/>
          <w:bCs/>
          <w:sz w:val="20"/>
          <w:szCs w:val="20"/>
          <w:lang w:val="en-GB"/>
        </w:rPr>
        <w:t>3.2.8.</w:t>
      </w:r>
      <w:r w:rsidR="00055F13" w:rsidRPr="00055F13">
        <w:rPr>
          <w:rFonts w:ascii="Times New Roman" w:eastAsia="Times New Roman" w:hAnsi="Times New Roman" w:cs="Times New Roman"/>
          <w:b/>
          <w:bCs/>
          <w:sz w:val="20"/>
          <w:szCs w:val="20"/>
          <w:lang w:val="en-GB"/>
        </w:rPr>
        <w:tab/>
      </w:r>
      <w:r w:rsidR="001C7269" w:rsidRPr="00C32B7B">
        <w:rPr>
          <w:rFonts w:ascii="Times New Roman" w:hAnsi="Times New Roman" w:cs="Times New Roman"/>
          <w:b/>
          <w:bCs/>
          <w:sz w:val="20"/>
          <w:szCs w:val="20"/>
        </w:rPr>
        <w:t>Where the rear position lamps and other lamps according to 5.11 of the 08 series of amendments of UN Regulation No. 48 are switched OFF when the ambient light conditions outside the vehicle exceed 7,000 lux (as defined in paragraph 6.19.7.5</w:t>
      </w:r>
      <w:r w:rsidR="00C32B7B" w:rsidRPr="00C32B7B">
        <w:rPr>
          <w:rFonts w:ascii="Times New Roman" w:hAnsi="Times New Roman" w:cs="Times New Roman"/>
          <w:b/>
          <w:bCs/>
          <w:sz w:val="20"/>
          <w:szCs w:val="20"/>
        </w:rPr>
        <w:t xml:space="preserve"> </w:t>
      </w:r>
      <w:r w:rsidR="00304CBE" w:rsidRPr="000D46B7">
        <w:rPr>
          <w:rFonts w:ascii="Times New Roman" w:hAnsi="Times New Roman" w:cs="Times New Roman"/>
          <w:b/>
          <w:bCs/>
          <w:color w:val="FF0000"/>
          <w:sz w:val="20"/>
          <w:szCs w:val="20"/>
          <w:lang w:val="en-GB"/>
        </w:rPr>
        <w:t>of 08 series of amendments of UN Regulation No. 48</w:t>
      </w:r>
      <w:r w:rsidR="00304CBE" w:rsidRPr="001C7269">
        <w:rPr>
          <w:rFonts w:ascii="Times New Roman" w:hAnsi="Times New Roman" w:cs="Times New Roman"/>
          <w:b/>
          <w:bCs/>
          <w:sz w:val="20"/>
          <w:szCs w:val="20"/>
        </w:rPr>
        <w:t xml:space="preserve">), </w:t>
      </w:r>
      <w:r w:rsidR="00304CBE" w:rsidRPr="003C4C83">
        <w:rPr>
          <w:rFonts w:ascii="Times New Roman" w:hAnsi="Times New Roman" w:cs="Times New Roman"/>
          <w:b/>
          <w:bCs/>
          <w:strike/>
          <w:color w:val="FF0000"/>
          <w:sz w:val="20"/>
          <w:szCs w:val="20"/>
        </w:rPr>
        <w:t>subject to agreement with the type approval authority,</w:t>
      </w:r>
      <w:r w:rsidR="00304CBE" w:rsidRPr="003C4C83" w:rsidDel="005C0C5E">
        <w:rPr>
          <w:rFonts w:ascii="Times New Roman" w:hAnsi="Times New Roman" w:cs="Times New Roman"/>
          <w:b/>
          <w:bCs/>
          <w:strike/>
          <w:color w:val="FF0000"/>
          <w:sz w:val="20"/>
          <w:szCs w:val="20"/>
        </w:rPr>
        <w:t xml:space="preserve"> </w:t>
      </w:r>
      <w:r w:rsidR="00304CBE" w:rsidRPr="003C4C83">
        <w:rPr>
          <w:rFonts w:ascii="Times New Roman" w:hAnsi="Times New Roman" w:cs="Times New Roman"/>
          <w:b/>
          <w:bCs/>
          <w:strike/>
          <w:color w:val="FF0000"/>
          <w:sz w:val="20"/>
          <w:szCs w:val="20"/>
        </w:rPr>
        <w:t>the manufacturer may request</w:t>
      </w:r>
      <w:r w:rsidR="00C32B7B" w:rsidRPr="00C32B7B">
        <w:rPr>
          <w:rFonts w:ascii="Times New Roman" w:hAnsi="Times New Roman" w:cs="Times New Roman"/>
          <w:b/>
          <w:bCs/>
          <w:sz w:val="20"/>
          <w:szCs w:val="20"/>
          <w:lang w:val="en-GB"/>
        </w:rPr>
        <w:t xml:space="preserve"> a function replicating the ambient light conditions outside the vehicle exceeding 7,000 lux </w:t>
      </w:r>
      <w:r w:rsidR="00280798" w:rsidRPr="00815210">
        <w:rPr>
          <w:rFonts w:ascii="Times New Roman" w:hAnsi="Times New Roman" w:cs="Times New Roman"/>
          <w:b/>
          <w:bCs/>
          <w:strike/>
          <w:color w:val="FF0000"/>
          <w:sz w:val="20"/>
          <w:szCs w:val="20"/>
          <w:lang w:val="en-GB"/>
        </w:rPr>
        <w:t xml:space="preserve">is </w:t>
      </w:r>
      <w:r w:rsidR="00280798">
        <w:rPr>
          <w:rFonts w:ascii="Times New Roman" w:hAnsi="Times New Roman" w:cs="Times New Roman"/>
          <w:b/>
          <w:bCs/>
          <w:color w:val="FF0000"/>
          <w:sz w:val="20"/>
          <w:szCs w:val="20"/>
          <w:lang w:val="en-GB"/>
        </w:rPr>
        <w:t>may be</w:t>
      </w:r>
      <w:r w:rsidR="00C32B7B" w:rsidRPr="00C32B7B">
        <w:rPr>
          <w:rFonts w:ascii="Times New Roman" w:hAnsi="Times New Roman" w:cs="Times New Roman"/>
          <w:b/>
          <w:bCs/>
          <w:sz w:val="20"/>
          <w:szCs w:val="20"/>
          <w:lang w:val="en-GB"/>
        </w:rPr>
        <w:t xml:space="preserve"> incorporated into the </w:t>
      </w:r>
      <w:r w:rsidR="00FD59BB" w:rsidRPr="00FD59BB">
        <w:rPr>
          <w:rFonts w:ascii="Times New Roman" w:hAnsi="Times New Roman" w:cs="Times New Roman"/>
          <w:b/>
          <w:bCs/>
          <w:strike/>
          <w:color w:val="FF0000"/>
          <w:sz w:val="20"/>
          <w:szCs w:val="20"/>
          <w:lang w:val="en-GB"/>
        </w:rPr>
        <w:t xml:space="preserve">chassis </w:t>
      </w:r>
      <w:r w:rsidR="00C32B7B" w:rsidRPr="00FD59BB">
        <w:rPr>
          <w:rFonts w:ascii="Times New Roman" w:hAnsi="Times New Roman" w:cs="Times New Roman"/>
          <w:b/>
          <w:bCs/>
          <w:color w:val="FF0000"/>
          <w:sz w:val="20"/>
          <w:szCs w:val="20"/>
          <w:lang w:val="en-GB"/>
        </w:rPr>
        <w:t>vehicle</w:t>
      </w:r>
      <w:r w:rsidR="00C32B7B" w:rsidRPr="00C32B7B">
        <w:rPr>
          <w:rFonts w:ascii="Times New Roman" w:hAnsi="Times New Roman" w:cs="Times New Roman"/>
          <w:b/>
          <w:bCs/>
          <w:sz w:val="20"/>
          <w:szCs w:val="20"/>
          <w:lang w:val="en-GB"/>
        </w:rPr>
        <w:t xml:space="preserve">’s dynamometer </w:t>
      </w:r>
      <w:r w:rsidR="00C32B7B" w:rsidRPr="00EE7540">
        <w:rPr>
          <w:rFonts w:ascii="Times New Roman" w:hAnsi="Times New Roman" w:cs="Times New Roman"/>
          <w:b/>
          <w:bCs/>
          <w:color w:val="FF0000"/>
          <w:sz w:val="20"/>
          <w:szCs w:val="20"/>
          <w:lang w:val="en-GB"/>
        </w:rPr>
        <w:t>operation</w:t>
      </w:r>
      <w:r w:rsidR="00C32B7B" w:rsidRPr="00C32B7B">
        <w:rPr>
          <w:rFonts w:ascii="Times New Roman" w:hAnsi="Times New Roman" w:cs="Times New Roman"/>
          <w:b/>
          <w:bCs/>
          <w:sz w:val="20"/>
          <w:szCs w:val="20"/>
          <w:lang w:val="en-GB"/>
        </w:rPr>
        <w:t xml:space="preserve"> mode."</w:t>
      </w:r>
    </w:p>
    <w:p w14:paraId="08D27101" w14:textId="092CAEFD" w:rsidR="00CE0DD3" w:rsidRDefault="00CE0DD3" w:rsidP="00951AE1">
      <w:pPr>
        <w:pStyle w:val="Default"/>
        <w:ind w:right="805"/>
        <w:rPr>
          <w:b/>
          <w:bCs/>
          <w:sz w:val="28"/>
          <w:szCs w:val="28"/>
          <w:lang w:val="en-US"/>
        </w:rPr>
      </w:pPr>
    </w:p>
    <w:p w14:paraId="1241D8A2" w14:textId="77777777" w:rsidR="00BB4B94" w:rsidRDefault="00BB4B94" w:rsidP="00951AE1">
      <w:pPr>
        <w:pStyle w:val="Default"/>
        <w:ind w:right="805"/>
        <w:rPr>
          <w:b/>
          <w:bCs/>
          <w:sz w:val="28"/>
          <w:szCs w:val="28"/>
          <w:lang w:val="en-US"/>
        </w:rPr>
      </w:pPr>
    </w:p>
    <w:p w14:paraId="4EBA93BC" w14:textId="03EBD18B" w:rsidR="00951AE1" w:rsidRDefault="00951AE1" w:rsidP="00951AE1">
      <w:pPr>
        <w:pStyle w:val="Default"/>
        <w:ind w:right="805"/>
        <w:rPr>
          <w:b/>
          <w:bCs/>
          <w:sz w:val="28"/>
          <w:szCs w:val="28"/>
          <w:lang w:val="en-US"/>
        </w:rPr>
      </w:pPr>
      <w:r w:rsidRPr="00951AE1">
        <w:rPr>
          <w:b/>
          <w:bCs/>
          <w:sz w:val="28"/>
          <w:szCs w:val="28"/>
          <w:lang w:val="en-US"/>
        </w:rPr>
        <w:t>II. Justification</w:t>
      </w:r>
    </w:p>
    <w:p w14:paraId="466C9B24" w14:textId="5E3696D5" w:rsidR="000C67C7" w:rsidRDefault="000C67C7" w:rsidP="0035613B">
      <w:pPr>
        <w:pStyle w:val="Default"/>
        <w:ind w:left="1134" w:right="1110"/>
        <w:rPr>
          <w:sz w:val="28"/>
          <w:szCs w:val="28"/>
          <w:lang w:val="en-US"/>
        </w:rPr>
      </w:pPr>
    </w:p>
    <w:p w14:paraId="28852786" w14:textId="0D3D3C97" w:rsidR="008D6027" w:rsidRDefault="007A561F" w:rsidP="00987669">
      <w:pPr>
        <w:pStyle w:val="SingleTxtG"/>
        <w:numPr>
          <w:ilvl w:val="0"/>
          <w:numId w:val="5"/>
        </w:numPr>
        <w:suppressAutoHyphens/>
        <w:spacing w:line="240" w:lineRule="atLeast"/>
        <w:ind w:left="1134" w:firstLine="0"/>
        <w:rPr>
          <w:lang w:val="en-US"/>
        </w:rPr>
      </w:pPr>
      <w:r>
        <w:rPr>
          <w:lang w:val="en-US"/>
        </w:rPr>
        <w:t xml:space="preserve">Paragraph 3.2.7 is integrated </w:t>
      </w:r>
      <w:r w:rsidR="0056570C">
        <w:rPr>
          <w:lang w:val="en-US"/>
        </w:rPr>
        <w:t xml:space="preserve">in 06 series of amendments to UN Regulation No.83 </w:t>
      </w:r>
      <w:r>
        <w:rPr>
          <w:lang w:val="en-US"/>
        </w:rPr>
        <w:t>to harmonize 06 and 07 series of amendments.</w:t>
      </w:r>
      <w:r w:rsidR="00A7165D">
        <w:rPr>
          <w:lang w:val="en-US"/>
        </w:rPr>
        <w:t xml:space="preserve"> This paragraph was modified to fit with UN R48 wording.</w:t>
      </w:r>
    </w:p>
    <w:p w14:paraId="580AAAEA" w14:textId="556187A4" w:rsidR="00055F13" w:rsidRDefault="00055F13" w:rsidP="00987669">
      <w:pPr>
        <w:pStyle w:val="SingleTxtG"/>
        <w:numPr>
          <w:ilvl w:val="0"/>
          <w:numId w:val="5"/>
        </w:numPr>
        <w:suppressAutoHyphens/>
        <w:spacing w:line="240" w:lineRule="atLeast"/>
        <w:ind w:left="1134" w:firstLine="0"/>
        <w:rPr>
          <w:lang w:val="en-US"/>
        </w:rPr>
      </w:pPr>
      <w:r>
        <w:rPr>
          <w:lang w:val="en-US"/>
        </w:rPr>
        <w:t xml:space="preserve">The new 08 series of UN Regulation No. 48 </w:t>
      </w:r>
      <w:proofErr w:type="gramStart"/>
      <w:r>
        <w:rPr>
          <w:lang w:val="en-US"/>
        </w:rPr>
        <w:t>is</w:t>
      </w:r>
      <w:proofErr w:type="gramEnd"/>
      <w:r>
        <w:rPr>
          <w:lang w:val="en-US"/>
        </w:rPr>
        <w:t xml:space="preserve"> aiming to introduce the possibility to switch </w:t>
      </w:r>
      <w:r w:rsidR="00026586">
        <w:rPr>
          <w:lang w:val="en-US"/>
        </w:rPr>
        <w:t>OFF</w:t>
      </w:r>
      <w:r>
        <w:rPr>
          <w:lang w:val="en-US"/>
        </w:rPr>
        <w:t xml:space="preserve"> rear position lamps and other lamps when ambient light conditions outside the vehicle are above </w:t>
      </w:r>
      <w:r w:rsidR="00117703">
        <w:rPr>
          <w:lang w:val="en-US"/>
        </w:rPr>
        <w:t>7,000 lux in o</w:t>
      </w:r>
      <w:r w:rsidR="007330C3">
        <w:rPr>
          <w:lang w:val="en-US"/>
        </w:rPr>
        <w:t>r</w:t>
      </w:r>
      <w:r w:rsidR="00117703">
        <w:rPr>
          <w:lang w:val="en-US"/>
        </w:rPr>
        <w:t>der to avoid unnecessary fuel consumption.</w:t>
      </w:r>
    </w:p>
    <w:p w14:paraId="27706F55" w14:textId="11B190F4" w:rsidR="00987669" w:rsidRDefault="00117703" w:rsidP="00987669">
      <w:pPr>
        <w:pStyle w:val="SingleTxtG"/>
        <w:numPr>
          <w:ilvl w:val="0"/>
          <w:numId w:val="5"/>
        </w:numPr>
        <w:suppressAutoHyphens/>
        <w:spacing w:line="240" w:lineRule="atLeast"/>
        <w:ind w:left="1134" w:firstLine="0"/>
        <w:rPr>
          <w:lang w:val="en-US"/>
        </w:rPr>
      </w:pPr>
      <w:r>
        <w:rPr>
          <w:lang w:val="en-US"/>
        </w:rPr>
        <w:t>The vehicle settings for the dynamometer operation shall be independent of the light conditions in the laboratory. Thus, a trip</w:t>
      </w:r>
      <w:r w:rsidR="007330C3">
        <w:rPr>
          <w:lang w:val="en-US"/>
        </w:rPr>
        <w:t xml:space="preserve"> is proposed to</w:t>
      </w:r>
      <w:r>
        <w:rPr>
          <w:lang w:val="en-US"/>
        </w:rPr>
        <w:t xml:space="preserve"> </w:t>
      </w:r>
      <w:r w:rsidR="00286EBB">
        <w:rPr>
          <w:lang w:val="en-US"/>
        </w:rPr>
        <w:t xml:space="preserve">represent ambient light conditions </w:t>
      </w:r>
      <w:r>
        <w:rPr>
          <w:lang w:val="en-US"/>
        </w:rPr>
        <w:t>with a</w:t>
      </w:r>
      <w:r w:rsidR="00286EBB">
        <w:rPr>
          <w:lang w:val="en-US"/>
        </w:rPr>
        <w:t xml:space="preserve">n illuminance </w:t>
      </w:r>
      <w:r>
        <w:rPr>
          <w:lang w:val="en-US"/>
        </w:rPr>
        <w:t>of above 7,000 lux.</w:t>
      </w:r>
    </w:p>
    <w:p w14:paraId="6F455293" w14:textId="77777777" w:rsidR="00CE0DD3" w:rsidRPr="00987669" w:rsidRDefault="00CE0DD3" w:rsidP="0035613B">
      <w:pPr>
        <w:pStyle w:val="Default"/>
        <w:ind w:left="1134" w:right="1110"/>
        <w:rPr>
          <w:sz w:val="28"/>
          <w:szCs w:val="28"/>
          <w:lang w:val="en-GB"/>
        </w:rPr>
      </w:pPr>
    </w:p>
    <w:p w14:paraId="0E7E3854" w14:textId="75663DBE" w:rsidR="0081205A" w:rsidRDefault="00D42C29" w:rsidP="00D42C29">
      <w:pPr>
        <w:tabs>
          <w:tab w:val="left" w:pos="1959"/>
        </w:tabs>
        <w:spacing w:line="259" w:lineRule="auto"/>
        <w:ind w:left="1985" w:right="805" w:hanging="851"/>
        <w:jc w:val="center"/>
        <w:rPr>
          <w:sz w:val="28"/>
        </w:rPr>
      </w:pPr>
      <w:r>
        <w:rPr>
          <w:u w:val="single"/>
        </w:rPr>
        <w:tab/>
      </w:r>
      <w:r>
        <w:rPr>
          <w:u w:val="single"/>
        </w:rPr>
        <w:tab/>
      </w:r>
      <w:r>
        <w:rPr>
          <w:u w:val="single"/>
        </w:rPr>
        <w:tab/>
      </w:r>
      <w:r>
        <w:rPr>
          <w:u w:val="single"/>
        </w:rPr>
        <w:tab/>
      </w:r>
    </w:p>
    <w:p w14:paraId="0CF24738" w14:textId="77777777" w:rsidR="0081205A" w:rsidRDefault="0081205A" w:rsidP="00951AE1">
      <w:pPr>
        <w:tabs>
          <w:tab w:val="left" w:pos="1959"/>
        </w:tabs>
        <w:spacing w:line="259" w:lineRule="auto"/>
        <w:ind w:left="1985" w:right="805" w:hanging="1870"/>
        <w:rPr>
          <w:sz w:val="28"/>
        </w:rPr>
      </w:pPr>
    </w:p>
    <w:p w14:paraId="7D459A27" w14:textId="77777777" w:rsidR="00951AE1" w:rsidRPr="00951AE1" w:rsidRDefault="00951AE1" w:rsidP="000C67C7">
      <w:pPr>
        <w:tabs>
          <w:tab w:val="left" w:pos="1959"/>
        </w:tabs>
        <w:spacing w:line="259" w:lineRule="auto"/>
        <w:ind w:left="1985" w:right="-24" w:hanging="1870"/>
        <w:rPr>
          <w:sz w:val="28"/>
          <w:lang w:val="en-GB"/>
        </w:rPr>
      </w:pPr>
    </w:p>
    <w:sectPr w:rsidR="00951AE1" w:rsidRPr="00951AE1" w:rsidSect="009A0930">
      <w:headerReference w:type="default" r:id="rId11"/>
      <w:pgSz w:w="11910" w:h="16840"/>
      <w:pgMar w:top="1580" w:right="995"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8333C" w14:textId="77777777" w:rsidR="000D0D0A" w:rsidRDefault="000D0D0A" w:rsidP="00F06571">
      <w:r>
        <w:separator/>
      </w:r>
    </w:p>
  </w:endnote>
  <w:endnote w:type="continuationSeparator" w:id="0">
    <w:p w14:paraId="5B527476" w14:textId="77777777" w:rsidR="000D0D0A" w:rsidRDefault="000D0D0A" w:rsidP="00F0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71CB2" w14:textId="77777777" w:rsidR="000D0D0A" w:rsidRDefault="000D0D0A" w:rsidP="00F06571">
      <w:r>
        <w:separator/>
      </w:r>
    </w:p>
  </w:footnote>
  <w:footnote w:type="continuationSeparator" w:id="0">
    <w:p w14:paraId="569845BA" w14:textId="77777777" w:rsidR="000D0D0A" w:rsidRDefault="000D0D0A" w:rsidP="00F06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836"/>
    </w:tblGrid>
    <w:tr w:rsidR="001212DD" w:rsidRPr="001212DD" w14:paraId="0B3C20F3" w14:textId="77777777" w:rsidTr="00B555BE">
      <w:tc>
        <w:tcPr>
          <w:tcW w:w="4927" w:type="dxa"/>
        </w:tcPr>
        <w:p w14:paraId="5DF9D308" w14:textId="77777777" w:rsidR="001212DD" w:rsidRPr="001212DD" w:rsidRDefault="001212DD" w:rsidP="001212DD">
          <w:pPr>
            <w:tabs>
              <w:tab w:val="center" w:pos="4513"/>
              <w:tab w:val="right" w:pos="9026"/>
            </w:tabs>
            <w:rPr>
              <w:rFonts w:ascii="Times New Roman" w:eastAsia="Times New Roman" w:hAnsi="Times New Roman" w:cs="Times New Roman"/>
              <w:b/>
            </w:rPr>
          </w:pPr>
          <w:r w:rsidRPr="001212DD">
            <w:rPr>
              <w:rFonts w:ascii="Times New Roman" w:eastAsia="Times New Roman" w:hAnsi="Times New Roman" w:cs="Times New Roman"/>
            </w:rPr>
            <w:t>Submitted by the expert from OICA</w:t>
          </w:r>
        </w:p>
      </w:tc>
      <w:tc>
        <w:tcPr>
          <w:tcW w:w="4928" w:type="dxa"/>
        </w:tcPr>
        <w:p w14:paraId="5421CF05" w14:textId="792E28DA" w:rsidR="001212DD" w:rsidRPr="00933F24" w:rsidRDefault="001212DD" w:rsidP="00DC73C6">
          <w:pPr>
            <w:tabs>
              <w:tab w:val="center" w:pos="4513"/>
              <w:tab w:val="right" w:pos="9026"/>
            </w:tabs>
            <w:ind w:left="1600"/>
            <w:rPr>
              <w:rFonts w:ascii="Times New Roman" w:eastAsia="Times New Roman" w:hAnsi="Times New Roman" w:cs="Times New Roman"/>
            </w:rPr>
          </w:pPr>
          <w:r w:rsidRPr="001C7269">
            <w:rPr>
              <w:rFonts w:ascii="Times New Roman" w:eastAsia="Times New Roman" w:hAnsi="Times New Roman" w:cs="Times New Roman"/>
            </w:rPr>
            <w:t>Informal document</w:t>
          </w:r>
          <w:r w:rsidRPr="00933F24">
            <w:rPr>
              <w:rFonts w:ascii="Times New Roman" w:eastAsia="Times New Roman" w:hAnsi="Times New Roman" w:cs="Times New Roman"/>
            </w:rPr>
            <w:t xml:space="preserve"> </w:t>
          </w:r>
          <w:r w:rsidRPr="00933F24">
            <w:rPr>
              <w:rFonts w:ascii="Times New Roman" w:eastAsia="Times New Roman" w:hAnsi="Times New Roman" w:cs="Times New Roman"/>
              <w:b/>
              <w:bCs/>
            </w:rPr>
            <w:t>GRPE-</w:t>
          </w:r>
          <w:r w:rsidR="00951AE1" w:rsidRPr="00933F24">
            <w:rPr>
              <w:rFonts w:ascii="Times New Roman" w:eastAsia="Times New Roman" w:hAnsi="Times New Roman" w:cs="Times New Roman"/>
              <w:b/>
              <w:bCs/>
            </w:rPr>
            <w:t>8</w:t>
          </w:r>
          <w:r w:rsidR="00FA5186" w:rsidRPr="00933F24">
            <w:rPr>
              <w:rFonts w:ascii="Times New Roman" w:eastAsia="Times New Roman" w:hAnsi="Times New Roman" w:cs="Times New Roman"/>
              <w:b/>
              <w:bCs/>
            </w:rPr>
            <w:t>5</w:t>
          </w:r>
          <w:r w:rsidR="0035613B" w:rsidRPr="00933F24">
            <w:rPr>
              <w:rFonts w:ascii="Times New Roman" w:eastAsia="Times New Roman" w:hAnsi="Times New Roman" w:cs="Times New Roman"/>
              <w:b/>
              <w:bCs/>
            </w:rPr>
            <w:t>-</w:t>
          </w:r>
          <w:r w:rsidR="00507475">
            <w:rPr>
              <w:rFonts w:ascii="Times New Roman" w:eastAsia="Times New Roman" w:hAnsi="Times New Roman" w:cs="Times New Roman"/>
              <w:b/>
              <w:bCs/>
            </w:rPr>
            <w:t>18</w:t>
          </w:r>
          <w:r w:rsidR="00DC73C6">
            <w:rPr>
              <w:rFonts w:ascii="Times New Roman" w:eastAsia="Times New Roman" w:hAnsi="Times New Roman" w:cs="Times New Roman"/>
              <w:b/>
              <w:bCs/>
            </w:rPr>
            <w:t>-Rev.</w:t>
          </w:r>
          <w:r w:rsidR="00280798">
            <w:rPr>
              <w:rFonts w:ascii="Times New Roman" w:eastAsia="Times New Roman" w:hAnsi="Times New Roman" w:cs="Times New Roman"/>
              <w:b/>
              <w:bCs/>
            </w:rPr>
            <w:t>2</w:t>
          </w:r>
        </w:p>
        <w:p w14:paraId="300FC8FC" w14:textId="7F599EDB" w:rsidR="001212DD" w:rsidRPr="00933F24" w:rsidRDefault="001212DD" w:rsidP="00DC73C6">
          <w:pPr>
            <w:tabs>
              <w:tab w:val="center" w:pos="4513"/>
              <w:tab w:val="right" w:pos="9026"/>
            </w:tabs>
            <w:ind w:left="1600"/>
            <w:rPr>
              <w:rFonts w:ascii="Times New Roman" w:eastAsia="Times New Roman" w:hAnsi="Times New Roman" w:cs="Times New Roman"/>
              <w:bCs/>
            </w:rPr>
          </w:pPr>
          <w:r w:rsidRPr="00933F24">
            <w:rPr>
              <w:rFonts w:ascii="Times New Roman" w:eastAsia="Times New Roman" w:hAnsi="Times New Roman" w:cs="Times New Roman"/>
              <w:bCs/>
            </w:rPr>
            <w:t>8</w:t>
          </w:r>
          <w:r w:rsidR="00FA5186" w:rsidRPr="00933F24">
            <w:rPr>
              <w:rFonts w:ascii="Times New Roman" w:eastAsia="Times New Roman" w:hAnsi="Times New Roman" w:cs="Times New Roman"/>
              <w:bCs/>
            </w:rPr>
            <w:t>5</w:t>
          </w:r>
          <w:r w:rsidR="000E165B" w:rsidRPr="00933F24">
            <w:rPr>
              <w:rFonts w:ascii="Times New Roman" w:eastAsia="Times New Roman" w:hAnsi="Times New Roman" w:cs="Times New Roman"/>
              <w:bCs/>
              <w:vertAlign w:val="superscript"/>
            </w:rPr>
            <w:t>th</w:t>
          </w:r>
          <w:r w:rsidR="0035613B" w:rsidRPr="00933F24">
            <w:rPr>
              <w:rFonts w:ascii="Times New Roman" w:eastAsia="Times New Roman" w:hAnsi="Times New Roman" w:cs="Times New Roman"/>
              <w:bCs/>
            </w:rPr>
            <w:t xml:space="preserve"> </w:t>
          </w:r>
          <w:r w:rsidR="00951AE1" w:rsidRPr="00933F24">
            <w:rPr>
              <w:rFonts w:ascii="Times New Roman" w:eastAsia="Times New Roman" w:hAnsi="Times New Roman" w:cs="Times New Roman"/>
              <w:bCs/>
            </w:rPr>
            <w:t>G</w:t>
          </w:r>
          <w:r w:rsidRPr="00933F24">
            <w:rPr>
              <w:rFonts w:ascii="Times New Roman" w:eastAsia="Times New Roman" w:hAnsi="Times New Roman" w:cs="Times New Roman"/>
              <w:bCs/>
            </w:rPr>
            <w:t xml:space="preserve">RPE, </w:t>
          </w:r>
          <w:r w:rsidR="00951AE1" w:rsidRPr="00933F24">
            <w:rPr>
              <w:rFonts w:ascii="Times New Roman" w:eastAsia="Times New Roman" w:hAnsi="Times New Roman" w:cs="Times New Roman"/>
              <w:bCs/>
            </w:rPr>
            <w:t>1</w:t>
          </w:r>
          <w:r w:rsidR="00185B00" w:rsidRPr="00933F24">
            <w:rPr>
              <w:rFonts w:ascii="Times New Roman" w:eastAsia="Times New Roman" w:hAnsi="Times New Roman" w:cs="Times New Roman"/>
              <w:bCs/>
            </w:rPr>
            <w:t>1</w:t>
          </w:r>
          <w:r w:rsidR="00951AE1" w:rsidRPr="00933F24">
            <w:rPr>
              <w:rFonts w:ascii="Times New Roman" w:eastAsia="Times New Roman" w:hAnsi="Times New Roman" w:cs="Times New Roman"/>
              <w:bCs/>
            </w:rPr>
            <w:t>-</w:t>
          </w:r>
          <w:r w:rsidR="000E165B" w:rsidRPr="00933F24">
            <w:rPr>
              <w:rFonts w:ascii="Times New Roman" w:eastAsia="Times New Roman" w:hAnsi="Times New Roman" w:cs="Times New Roman"/>
              <w:bCs/>
            </w:rPr>
            <w:t>1</w:t>
          </w:r>
          <w:r w:rsidR="0035613B" w:rsidRPr="00933F24">
            <w:rPr>
              <w:rFonts w:ascii="Times New Roman" w:eastAsia="Times New Roman" w:hAnsi="Times New Roman" w:cs="Times New Roman"/>
              <w:bCs/>
            </w:rPr>
            <w:t>4 J</w:t>
          </w:r>
          <w:r w:rsidR="000E165B" w:rsidRPr="00933F24">
            <w:rPr>
              <w:rFonts w:ascii="Times New Roman" w:eastAsia="Times New Roman" w:hAnsi="Times New Roman" w:cs="Times New Roman"/>
              <w:bCs/>
            </w:rPr>
            <w:t>anuary</w:t>
          </w:r>
          <w:r w:rsidRPr="00933F24">
            <w:rPr>
              <w:rFonts w:ascii="Times New Roman" w:eastAsia="Times New Roman" w:hAnsi="Times New Roman" w:cs="Times New Roman"/>
              <w:bCs/>
            </w:rPr>
            <w:t xml:space="preserve"> 202</w:t>
          </w:r>
          <w:r w:rsidR="000E165B" w:rsidRPr="00933F24">
            <w:rPr>
              <w:rFonts w:ascii="Times New Roman" w:eastAsia="Times New Roman" w:hAnsi="Times New Roman" w:cs="Times New Roman"/>
              <w:bCs/>
            </w:rPr>
            <w:t>2</w:t>
          </w:r>
        </w:p>
        <w:p w14:paraId="689E410A" w14:textId="62633A36" w:rsidR="001212DD" w:rsidRPr="001212DD" w:rsidRDefault="001212DD" w:rsidP="00DC73C6">
          <w:pPr>
            <w:tabs>
              <w:tab w:val="center" w:pos="4513"/>
              <w:tab w:val="right" w:pos="9026"/>
            </w:tabs>
            <w:ind w:left="1600"/>
            <w:rPr>
              <w:rFonts w:ascii="Times New Roman" w:eastAsia="Times New Roman" w:hAnsi="Times New Roman" w:cs="Times New Roman"/>
            </w:rPr>
          </w:pPr>
          <w:r w:rsidRPr="001212DD">
            <w:rPr>
              <w:rFonts w:ascii="Times New Roman" w:eastAsia="Times New Roman" w:hAnsi="Times New Roman" w:cs="Times New Roman"/>
            </w:rPr>
            <w:t xml:space="preserve">Agenda item </w:t>
          </w:r>
          <w:proofErr w:type="gramStart"/>
          <w:r w:rsidR="00026586">
            <w:rPr>
              <w:rFonts w:ascii="Times New Roman" w:eastAsia="Times New Roman" w:hAnsi="Times New Roman" w:cs="Times New Roman"/>
            </w:rPr>
            <w:t>3.</w:t>
          </w:r>
          <w:r w:rsidR="00507475">
            <w:rPr>
              <w:rFonts w:ascii="Times New Roman" w:eastAsia="Times New Roman" w:hAnsi="Times New Roman" w:cs="Times New Roman"/>
            </w:rPr>
            <w:t>(</w:t>
          </w:r>
          <w:proofErr w:type="gramEnd"/>
          <w:r w:rsidR="00026586">
            <w:rPr>
              <w:rFonts w:ascii="Times New Roman" w:eastAsia="Times New Roman" w:hAnsi="Times New Roman" w:cs="Times New Roman"/>
            </w:rPr>
            <w:t>a</w:t>
          </w:r>
          <w:r w:rsidR="00507475">
            <w:rPr>
              <w:rFonts w:ascii="Times New Roman" w:eastAsia="Times New Roman" w:hAnsi="Times New Roman" w:cs="Times New Roman"/>
            </w:rPr>
            <w:t>)</w:t>
          </w:r>
        </w:p>
        <w:p w14:paraId="1A320024" w14:textId="77777777" w:rsidR="001212DD" w:rsidRPr="001212DD" w:rsidRDefault="001212DD" w:rsidP="001212DD">
          <w:pPr>
            <w:tabs>
              <w:tab w:val="center" w:pos="4513"/>
              <w:tab w:val="right" w:pos="9026"/>
            </w:tabs>
            <w:ind w:left="1691"/>
            <w:rPr>
              <w:rFonts w:ascii="Times New Roman" w:eastAsia="Times New Roman" w:hAnsi="Times New Roman" w:cs="Times New Roman"/>
              <w:b/>
            </w:rPr>
          </w:pPr>
        </w:p>
      </w:tc>
    </w:tr>
  </w:tbl>
  <w:p w14:paraId="7814163E" w14:textId="77777777" w:rsidR="001212DD" w:rsidRDefault="00121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7C1F13"/>
    <w:multiLevelType w:val="hybridMultilevel"/>
    <w:tmpl w:val="9B0223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4B314C"/>
    <w:multiLevelType w:val="hybridMultilevel"/>
    <w:tmpl w:val="81424552"/>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 w15:restartNumberingAfterBreak="0">
    <w:nsid w:val="6AD23832"/>
    <w:multiLevelType w:val="hybridMultilevel"/>
    <w:tmpl w:val="9BDCC7A0"/>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75A33B77"/>
    <w:multiLevelType w:val="hybridMultilevel"/>
    <w:tmpl w:val="8BEAF294"/>
    <w:lvl w:ilvl="0" w:tplc="BCE63CC4">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1808B3"/>
    <w:multiLevelType w:val="hybridMultilevel"/>
    <w:tmpl w:val="F2984F60"/>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28"/>
    <w:rsid w:val="00026586"/>
    <w:rsid w:val="00041145"/>
    <w:rsid w:val="00055F13"/>
    <w:rsid w:val="00073F84"/>
    <w:rsid w:val="0008267A"/>
    <w:rsid w:val="0008493F"/>
    <w:rsid w:val="000C67C7"/>
    <w:rsid w:val="000D0D0A"/>
    <w:rsid w:val="000E165B"/>
    <w:rsid w:val="00117703"/>
    <w:rsid w:val="001212DD"/>
    <w:rsid w:val="00185B00"/>
    <w:rsid w:val="001C7269"/>
    <w:rsid w:val="002070DF"/>
    <w:rsid w:val="0024602C"/>
    <w:rsid w:val="00280798"/>
    <w:rsid w:val="00286EBB"/>
    <w:rsid w:val="00304CBE"/>
    <w:rsid w:val="00352983"/>
    <w:rsid w:val="0035613B"/>
    <w:rsid w:val="00373C5B"/>
    <w:rsid w:val="0038515E"/>
    <w:rsid w:val="003A4E24"/>
    <w:rsid w:val="003B3089"/>
    <w:rsid w:val="00463BEF"/>
    <w:rsid w:val="00475B7E"/>
    <w:rsid w:val="004814F0"/>
    <w:rsid w:val="00487ACC"/>
    <w:rsid w:val="004921D2"/>
    <w:rsid w:val="004B578F"/>
    <w:rsid w:val="00507475"/>
    <w:rsid w:val="00543F57"/>
    <w:rsid w:val="005467A8"/>
    <w:rsid w:val="0056570C"/>
    <w:rsid w:val="00592535"/>
    <w:rsid w:val="005B0E4E"/>
    <w:rsid w:val="005C4DA1"/>
    <w:rsid w:val="00625E0A"/>
    <w:rsid w:val="00634CB2"/>
    <w:rsid w:val="00657AA3"/>
    <w:rsid w:val="00723C98"/>
    <w:rsid w:val="007330C3"/>
    <w:rsid w:val="00751B28"/>
    <w:rsid w:val="0075489F"/>
    <w:rsid w:val="007A33DD"/>
    <w:rsid w:val="007A561F"/>
    <w:rsid w:val="007C2BD5"/>
    <w:rsid w:val="007F6C0E"/>
    <w:rsid w:val="0081205A"/>
    <w:rsid w:val="00840544"/>
    <w:rsid w:val="008D6027"/>
    <w:rsid w:val="008F0747"/>
    <w:rsid w:val="0090723F"/>
    <w:rsid w:val="00911A23"/>
    <w:rsid w:val="00933F24"/>
    <w:rsid w:val="0093554B"/>
    <w:rsid w:val="00951AE1"/>
    <w:rsid w:val="00954BEF"/>
    <w:rsid w:val="00987669"/>
    <w:rsid w:val="009A0930"/>
    <w:rsid w:val="00A7165D"/>
    <w:rsid w:val="00AB1A99"/>
    <w:rsid w:val="00AF473D"/>
    <w:rsid w:val="00B1593C"/>
    <w:rsid w:val="00B86189"/>
    <w:rsid w:val="00BA17D0"/>
    <w:rsid w:val="00BA3CDF"/>
    <w:rsid w:val="00BB0718"/>
    <w:rsid w:val="00BB4B94"/>
    <w:rsid w:val="00BC5101"/>
    <w:rsid w:val="00BD50BF"/>
    <w:rsid w:val="00C32B7B"/>
    <w:rsid w:val="00CA1F03"/>
    <w:rsid w:val="00CA2D3F"/>
    <w:rsid w:val="00CB34C3"/>
    <w:rsid w:val="00CE0DD3"/>
    <w:rsid w:val="00D17573"/>
    <w:rsid w:val="00D42C29"/>
    <w:rsid w:val="00D7097E"/>
    <w:rsid w:val="00DC73C6"/>
    <w:rsid w:val="00DD5112"/>
    <w:rsid w:val="00DE2D8F"/>
    <w:rsid w:val="00E00212"/>
    <w:rsid w:val="00E23B6A"/>
    <w:rsid w:val="00E25BF0"/>
    <w:rsid w:val="00EE7540"/>
    <w:rsid w:val="00F06571"/>
    <w:rsid w:val="00F06B3D"/>
    <w:rsid w:val="00F4130C"/>
    <w:rsid w:val="00F4362E"/>
    <w:rsid w:val="00F9065F"/>
    <w:rsid w:val="00FA15C3"/>
    <w:rsid w:val="00FA5186"/>
    <w:rsid w:val="00FD0F49"/>
    <w:rsid w:val="00FD59B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C5A256"/>
  <w15:docId w15:val="{576B4505-9FB7-43E8-86CC-BD6EF251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16"/>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3"/>
    </w:pPr>
  </w:style>
  <w:style w:type="paragraph" w:styleId="Header">
    <w:name w:val="header"/>
    <w:basedOn w:val="Normal"/>
    <w:link w:val="HeaderChar"/>
    <w:uiPriority w:val="99"/>
    <w:unhideWhenUsed/>
    <w:rsid w:val="00F06571"/>
    <w:pPr>
      <w:tabs>
        <w:tab w:val="center" w:pos="4536"/>
        <w:tab w:val="right" w:pos="9072"/>
      </w:tabs>
    </w:pPr>
  </w:style>
  <w:style w:type="character" w:customStyle="1" w:styleId="HeaderChar">
    <w:name w:val="Header Char"/>
    <w:basedOn w:val="DefaultParagraphFont"/>
    <w:link w:val="Header"/>
    <w:uiPriority w:val="99"/>
    <w:rsid w:val="00F06571"/>
    <w:rPr>
      <w:rFonts w:ascii="Calibri" w:eastAsia="Calibri" w:hAnsi="Calibri" w:cs="Calibri"/>
    </w:rPr>
  </w:style>
  <w:style w:type="paragraph" w:styleId="Footer">
    <w:name w:val="footer"/>
    <w:basedOn w:val="Normal"/>
    <w:link w:val="FooterChar"/>
    <w:uiPriority w:val="99"/>
    <w:unhideWhenUsed/>
    <w:rsid w:val="00F06571"/>
    <w:pPr>
      <w:tabs>
        <w:tab w:val="center" w:pos="4536"/>
        <w:tab w:val="right" w:pos="9072"/>
      </w:tabs>
    </w:pPr>
  </w:style>
  <w:style w:type="character" w:customStyle="1" w:styleId="FooterChar">
    <w:name w:val="Footer Char"/>
    <w:basedOn w:val="DefaultParagraphFont"/>
    <w:link w:val="Footer"/>
    <w:uiPriority w:val="99"/>
    <w:rsid w:val="00F06571"/>
    <w:rPr>
      <w:rFonts w:ascii="Calibri" w:eastAsia="Calibri" w:hAnsi="Calibri" w:cs="Calibri"/>
    </w:rPr>
  </w:style>
  <w:style w:type="character" w:customStyle="1" w:styleId="BodyTextChar">
    <w:name w:val="Body Text Char"/>
    <w:basedOn w:val="DefaultParagraphFont"/>
    <w:link w:val="BodyText"/>
    <w:uiPriority w:val="1"/>
    <w:rsid w:val="00B1593C"/>
    <w:rPr>
      <w:rFonts w:ascii="Calibri" w:eastAsia="Calibri" w:hAnsi="Calibri" w:cs="Calibri"/>
    </w:rPr>
  </w:style>
  <w:style w:type="character" w:styleId="CommentReference">
    <w:name w:val="annotation reference"/>
    <w:basedOn w:val="DefaultParagraphFont"/>
    <w:uiPriority w:val="99"/>
    <w:semiHidden/>
    <w:unhideWhenUsed/>
    <w:rsid w:val="00B1593C"/>
    <w:rPr>
      <w:sz w:val="16"/>
      <w:szCs w:val="16"/>
    </w:rPr>
  </w:style>
  <w:style w:type="paragraph" w:styleId="CommentText">
    <w:name w:val="annotation text"/>
    <w:basedOn w:val="Normal"/>
    <w:link w:val="CommentTextChar"/>
    <w:uiPriority w:val="99"/>
    <w:semiHidden/>
    <w:unhideWhenUsed/>
    <w:rsid w:val="00B1593C"/>
    <w:rPr>
      <w:sz w:val="20"/>
      <w:szCs w:val="20"/>
    </w:rPr>
  </w:style>
  <w:style w:type="character" w:customStyle="1" w:styleId="CommentTextChar">
    <w:name w:val="Comment Text Char"/>
    <w:basedOn w:val="DefaultParagraphFont"/>
    <w:link w:val="CommentText"/>
    <w:uiPriority w:val="99"/>
    <w:semiHidden/>
    <w:rsid w:val="00B1593C"/>
    <w:rPr>
      <w:rFonts w:ascii="Calibri" w:eastAsia="Calibri" w:hAnsi="Calibri" w:cs="Calibri"/>
      <w:sz w:val="20"/>
      <w:szCs w:val="20"/>
    </w:rPr>
  </w:style>
  <w:style w:type="paragraph" w:styleId="BalloonText">
    <w:name w:val="Balloon Text"/>
    <w:basedOn w:val="Normal"/>
    <w:link w:val="BalloonTextChar"/>
    <w:uiPriority w:val="99"/>
    <w:semiHidden/>
    <w:unhideWhenUsed/>
    <w:rsid w:val="00B159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93C"/>
    <w:rPr>
      <w:rFonts w:ascii="Segoe UI" w:eastAsia="Calibri" w:hAnsi="Segoe UI" w:cs="Segoe UI"/>
      <w:sz w:val="18"/>
      <w:szCs w:val="18"/>
    </w:rPr>
  </w:style>
  <w:style w:type="table" w:styleId="TableGrid">
    <w:name w:val="Table Grid"/>
    <w:basedOn w:val="TableNormal"/>
    <w:rsid w:val="001212DD"/>
    <w:pPr>
      <w:widowControl/>
      <w:suppressAutoHyphens/>
      <w:autoSpaceDE/>
      <w:autoSpaceDN/>
      <w:spacing w:line="24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951AE1"/>
    <w:pPr>
      <w:widowControl/>
      <w:adjustRightInd w:val="0"/>
    </w:pPr>
    <w:rPr>
      <w:rFonts w:ascii="Times New Roman" w:hAnsi="Times New Roman" w:cs="Times New Roman"/>
      <w:color w:val="000000"/>
      <w:sz w:val="24"/>
      <w:szCs w:val="24"/>
      <w:lang w:val="fr-FR"/>
    </w:rPr>
  </w:style>
  <w:style w:type="paragraph" w:customStyle="1" w:styleId="SingleTxtG">
    <w:name w:val="_ Single Txt_G"/>
    <w:basedOn w:val="Normal"/>
    <w:link w:val="SingleTxtGChar"/>
    <w:qFormat/>
    <w:rsid w:val="00951AE1"/>
    <w:pPr>
      <w:widowControl/>
      <w:autoSpaceDE/>
      <w:autoSpaceDN/>
      <w:spacing w:after="120"/>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qFormat/>
    <w:rsid w:val="00951AE1"/>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0C67C7"/>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paragraph" w:customStyle="1" w:styleId="XLargeG">
    <w:name w:val="__XLarge_G"/>
    <w:basedOn w:val="Normal"/>
    <w:next w:val="Normal"/>
    <w:rsid w:val="0035613B"/>
    <w:pPr>
      <w:keepNext/>
      <w:keepLines/>
      <w:widowControl/>
      <w:suppressAutoHyphens/>
      <w:autoSpaceDE/>
      <w:autoSpaceDN/>
      <w:spacing w:before="240" w:after="240" w:line="420" w:lineRule="exact"/>
      <w:ind w:left="1134" w:right="1134"/>
    </w:pPr>
    <w:rPr>
      <w:rFonts w:ascii="Times New Roman" w:eastAsia="Times New Roman" w:hAnsi="Times New Roman" w:cs="Times New Roman"/>
      <w:b/>
      <w:sz w:val="40"/>
      <w:szCs w:val="20"/>
      <w:lang w:val="en-GB"/>
    </w:rPr>
  </w:style>
  <w:style w:type="paragraph" w:customStyle="1" w:styleId="para">
    <w:name w:val="para"/>
    <w:basedOn w:val="SingleTxtG"/>
    <w:link w:val="paraChar"/>
    <w:qFormat/>
    <w:rsid w:val="00CA1F03"/>
    <w:pPr>
      <w:suppressAutoHyphens/>
      <w:spacing w:line="240" w:lineRule="atLeast"/>
      <w:ind w:left="2268" w:hanging="1134"/>
    </w:pPr>
    <w:rPr>
      <w:lang w:val="fr-CH"/>
    </w:rPr>
  </w:style>
  <w:style w:type="character" w:customStyle="1" w:styleId="paraChar">
    <w:name w:val="para Char"/>
    <w:link w:val="para"/>
    <w:rsid w:val="00CA1F03"/>
    <w:rPr>
      <w:rFonts w:ascii="Times New Roman" w:eastAsia="Times New Roman" w:hAnsi="Times New Roman" w:cs="Times New Roman"/>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882653">
      <w:bodyDiv w:val="1"/>
      <w:marLeft w:val="0"/>
      <w:marRight w:val="0"/>
      <w:marTop w:val="0"/>
      <w:marBottom w:val="0"/>
      <w:divBdr>
        <w:top w:val="none" w:sz="0" w:space="0" w:color="auto"/>
        <w:left w:val="none" w:sz="0" w:space="0" w:color="auto"/>
        <w:bottom w:val="none" w:sz="0" w:space="0" w:color="auto"/>
        <w:right w:val="none" w:sz="0" w:space="0" w:color="auto"/>
      </w:divBdr>
    </w:div>
    <w:div w:id="1618951091">
      <w:bodyDiv w:val="1"/>
      <w:marLeft w:val="0"/>
      <w:marRight w:val="0"/>
      <w:marTop w:val="0"/>
      <w:marBottom w:val="0"/>
      <w:divBdr>
        <w:top w:val="none" w:sz="0" w:space="0" w:color="auto"/>
        <w:left w:val="none" w:sz="0" w:space="0" w:color="auto"/>
        <w:bottom w:val="none" w:sz="0" w:space="0" w:color="auto"/>
        <w:right w:val="none" w:sz="0" w:space="0" w:color="auto"/>
      </w:divBdr>
    </w:div>
    <w:div w:id="1776368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B07C8-354B-45CE-93DF-81F5022E5C98}">
  <ds:schemaRefs>
    <ds:schemaRef ds:uri="http://schemas.microsoft.com/sharepoint/v3/contenttype/forms"/>
  </ds:schemaRefs>
</ds:datastoreItem>
</file>

<file path=customXml/itemProps2.xml><?xml version="1.0" encoding="utf-8"?>
<ds:datastoreItem xmlns:ds="http://schemas.openxmlformats.org/officeDocument/2006/customXml" ds:itemID="{1BEBF92B-48CC-4C19-8E37-7F960452B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CE66D-FED6-4DCD-B903-F3D16BA23599}">
  <ds:schemaRefs>
    <ds:schemaRef ds:uri="http://purl.org/dc/elements/1.1/"/>
    <ds:schemaRef ds:uri="4b4a1c0d-4a69-4996-a84a-fc699b9f49de"/>
    <ds:schemaRef ds:uri="acccb6d4-dbe5-46d2-b4d3-5733603d8cc6"/>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794AA30-1D9B-4ADA-8F67-B87E8672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536</Words>
  <Characters>3060</Characters>
  <Application>Microsoft Office Word</Application>
  <DocSecurity>0</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Volkswagen AG</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dc:creator>
  <cp:lastModifiedBy>Francois Cuenot</cp:lastModifiedBy>
  <cp:revision>5</cp:revision>
  <dcterms:created xsi:type="dcterms:W3CDTF">2022-01-10T09:30:00Z</dcterms:created>
  <dcterms:modified xsi:type="dcterms:W3CDTF">2022-01-10T09:36:00Z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Microsoft® Word 2016</vt:lpwstr>
  </property>
  <property fmtid="{D5CDD505-2E9C-101B-9397-08002B2CF9AE}" pid="4" name="LastSaved">
    <vt:filetime>2020-06-04T00:00:00Z</vt:filetime>
  </property>
  <property fmtid="{D5CDD505-2E9C-101B-9397-08002B2CF9AE}" pid="5" name="ContentTypeId">
    <vt:lpwstr>0x0101003B8422D08C252547BB1CFA7F78E2CB83</vt:lpwstr>
  </property>
</Properties>
</file>