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FA0C9F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7645B9A" w14:textId="77777777" w:rsidR="00F35BAF" w:rsidRPr="00DB58B5" w:rsidRDefault="00F35BAF" w:rsidP="00845F3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01AF1A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4B42FF7" w14:textId="5F9D516E" w:rsidR="00F35BAF" w:rsidRPr="00DB58B5" w:rsidRDefault="00845F3C" w:rsidP="00845F3C">
            <w:pPr>
              <w:jc w:val="right"/>
            </w:pPr>
            <w:r w:rsidRPr="00845F3C">
              <w:rPr>
                <w:sz w:val="40"/>
              </w:rPr>
              <w:t>ECE</w:t>
            </w:r>
            <w:r>
              <w:t>/TRANS/WP.29/2022/13</w:t>
            </w:r>
          </w:p>
        </w:tc>
      </w:tr>
      <w:tr w:rsidR="00F35BAF" w:rsidRPr="00DB58B5" w14:paraId="726E57C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67193B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525117E" wp14:editId="6A1CCC8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3C1AF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FB3DE28" w14:textId="77777777" w:rsidR="00F35BAF" w:rsidRDefault="00845F3C" w:rsidP="00C97039">
            <w:pPr>
              <w:spacing w:before="240"/>
            </w:pPr>
            <w:r>
              <w:t>Distr. générale</w:t>
            </w:r>
          </w:p>
          <w:p w14:paraId="51E053EF" w14:textId="5CF22995" w:rsidR="00845F3C" w:rsidRDefault="00845F3C" w:rsidP="00845F3C">
            <w:pPr>
              <w:spacing w:line="240" w:lineRule="exact"/>
            </w:pPr>
            <w:r>
              <w:t>2</w:t>
            </w:r>
            <w:r w:rsidR="001879C9">
              <w:t>3</w:t>
            </w:r>
            <w:r>
              <w:t xml:space="preserve"> décembre 2021</w:t>
            </w:r>
          </w:p>
          <w:p w14:paraId="39A4DCF9" w14:textId="77777777" w:rsidR="00845F3C" w:rsidRDefault="00845F3C" w:rsidP="00845F3C">
            <w:pPr>
              <w:spacing w:line="240" w:lineRule="exact"/>
            </w:pPr>
            <w:r>
              <w:t>Français</w:t>
            </w:r>
          </w:p>
          <w:p w14:paraId="32E41109" w14:textId="0C222B02" w:rsidR="00845F3C" w:rsidRPr="00DB58B5" w:rsidRDefault="00845F3C" w:rsidP="00845F3C">
            <w:pPr>
              <w:spacing w:line="240" w:lineRule="exact"/>
            </w:pPr>
            <w:r>
              <w:t>Original : anglais</w:t>
            </w:r>
          </w:p>
        </w:tc>
      </w:tr>
    </w:tbl>
    <w:p w14:paraId="0E2AD234" w14:textId="1CC9ECCD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859D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BCEC51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A99ADC9" w14:textId="2D128D4A" w:rsidR="00845F3C" w:rsidRDefault="00845F3C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1859D7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14ACA8CD" w14:textId="7FA1C0E8" w:rsidR="00845F3C" w:rsidRDefault="00845F3C" w:rsidP="00AF0CB5">
      <w:pPr>
        <w:spacing w:before="120" w:line="240" w:lineRule="exact"/>
        <w:rPr>
          <w:b/>
        </w:rPr>
      </w:pPr>
      <w:r w:rsidRPr="00845F3C">
        <w:rPr>
          <w:b/>
          <w:bCs/>
          <w:lang w:val="fr-FR"/>
        </w:rPr>
        <w:t>186</w:t>
      </w:r>
      <w:r w:rsidRPr="00845F3C">
        <w:rPr>
          <w:b/>
          <w:bCs/>
          <w:vertAlign w:val="superscript"/>
          <w:lang w:val="fr-FR"/>
        </w:rPr>
        <w:t>e</w:t>
      </w:r>
      <w:r w:rsidRPr="00845F3C">
        <w:rPr>
          <w:b/>
          <w:bCs/>
          <w:lang w:val="fr-FR"/>
        </w:rPr>
        <w:t> </w:t>
      </w:r>
      <w:r>
        <w:rPr>
          <w:b/>
        </w:rPr>
        <w:t>session</w:t>
      </w:r>
    </w:p>
    <w:p w14:paraId="3ED47D77" w14:textId="67A7B5E6" w:rsidR="00845F3C" w:rsidRDefault="00845F3C" w:rsidP="00AF0CB5">
      <w:pPr>
        <w:spacing w:line="240" w:lineRule="exact"/>
      </w:pPr>
      <w:r>
        <w:t xml:space="preserve">Genève, </w:t>
      </w:r>
      <w:r w:rsidRPr="000039C9">
        <w:rPr>
          <w:lang w:val="fr-FR"/>
        </w:rPr>
        <w:t>8-11 mars 2022</w:t>
      </w:r>
    </w:p>
    <w:p w14:paraId="78DE1286" w14:textId="44D78169" w:rsidR="00845F3C" w:rsidRDefault="00845F3C" w:rsidP="00AF0CB5">
      <w:pPr>
        <w:spacing w:line="240" w:lineRule="exact"/>
      </w:pPr>
      <w:r>
        <w:t xml:space="preserve">Point </w:t>
      </w:r>
      <w:r w:rsidRPr="000039C9">
        <w:rPr>
          <w:lang w:val="fr-FR"/>
        </w:rPr>
        <w:t xml:space="preserve">4.7.2 </w:t>
      </w:r>
      <w:r>
        <w:t>de l</w:t>
      </w:r>
      <w:r w:rsidR="001859D7">
        <w:t>’</w:t>
      </w:r>
      <w:r>
        <w:t>ordre du jour provisoire</w:t>
      </w:r>
    </w:p>
    <w:p w14:paraId="1BCCA47E" w14:textId="77777777" w:rsidR="00845F3C" w:rsidRPr="00845F3C" w:rsidRDefault="00845F3C" w:rsidP="00845F3C">
      <w:pPr>
        <w:rPr>
          <w:b/>
          <w:bCs/>
          <w:lang w:val="fr-FR"/>
        </w:rPr>
      </w:pPr>
      <w:r w:rsidRPr="00845F3C">
        <w:rPr>
          <w:b/>
          <w:bCs/>
          <w:lang w:val="fr-FR"/>
        </w:rPr>
        <w:t>Accord de 1958 :</w:t>
      </w:r>
    </w:p>
    <w:p w14:paraId="14CF42A7" w14:textId="19E4968E" w:rsidR="00845F3C" w:rsidRPr="000039C9" w:rsidRDefault="00845F3C" w:rsidP="00845F3C">
      <w:r w:rsidRPr="00845F3C">
        <w:rPr>
          <w:b/>
          <w:bCs/>
          <w:lang w:val="fr-FR"/>
        </w:rPr>
        <w:t>Examen de projets d</w:t>
      </w:r>
      <w:r w:rsidR="001859D7">
        <w:rPr>
          <w:b/>
          <w:bCs/>
          <w:lang w:val="fr-FR"/>
        </w:rPr>
        <w:t>’</w:t>
      </w:r>
      <w:r w:rsidRPr="00845F3C">
        <w:rPr>
          <w:b/>
          <w:bCs/>
          <w:lang w:val="fr-FR"/>
        </w:rPr>
        <w:t xml:space="preserve">amendements à des Règlements existants, </w:t>
      </w:r>
      <w:r>
        <w:rPr>
          <w:b/>
          <w:bCs/>
          <w:lang w:val="fr-FR"/>
        </w:rPr>
        <w:br/>
      </w:r>
      <w:r w:rsidRPr="00845F3C">
        <w:rPr>
          <w:b/>
          <w:bCs/>
          <w:lang w:val="fr-FR"/>
        </w:rPr>
        <w:t>soumis par le GRVA</w:t>
      </w:r>
    </w:p>
    <w:p w14:paraId="6E3CC214" w14:textId="076D581C" w:rsidR="00845F3C" w:rsidRPr="000039C9" w:rsidRDefault="00845F3C" w:rsidP="00845F3C">
      <w:pPr>
        <w:pStyle w:val="HChG"/>
      </w:pPr>
      <w:r w:rsidRPr="000039C9">
        <w:rPr>
          <w:lang w:val="fr-FR"/>
        </w:rPr>
        <w:tab/>
      </w:r>
      <w:r w:rsidRPr="000039C9">
        <w:rPr>
          <w:lang w:val="fr-FR"/>
        </w:rPr>
        <w:tab/>
        <w:t>Proposition de complément 1 à la série 05 d</w:t>
      </w:r>
      <w:r w:rsidR="001859D7">
        <w:rPr>
          <w:lang w:val="fr-FR"/>
        </w:rPr>
        <w:t>’</w:t>
      </w:r>
      <w:r w:rsidRPr="000039C9">
        <w:rPr>
          <w:lang w:val="fr-FR"/>
        </w:rPr>
        <w:t>amendements au</w:t>
      </w:r>
      <w:r>
        <w:rPr>
          <w:lang w:val="fr-FR"/>
        </w:rPr>
        <w:t> </w:t>
      </w:r>
      <w:r w:rsidRPr="000039C9">
        <w:rPr>
          <w:lang w:val="fr-FR"/>
        </w:rPr>
        <w:t>Règlement ONU n</w:t>
      </w:r>
      <w:r w:rsidRPr="000039C9">
        <w:rPr>
          <w:vertAlign w:val="superscript"/>
          <w:lang w:val="fr-FR"/>
        </w:rPr>
        <w:t>o</w:t>
      </w:r>
      <w:r w:rsidRPr="001879C9">
        <w:rPr>
          <w:b w:val="0"/>
          <w:bCs/>
          <w:vertAlign w:val="superscript"/>
          <w:lang w:val="fr-FR"/>
        </w:rPr>
        <w:t> </w:t>
      </w:r>
      <w:r w:rsidRPr="000039C9">
        <w:rPr>
          <w:lang w:val="fr-FR"/>
        </w:rPr>
        <w:t>78 (Freinage des motocycles)</w:t>
      </w:r>
    </w:p>
    <w:p w14:paraId="2BEE690F" w14:textId="44D01043" w:rsidR="00845F3C" w:rsidRPr="000039C9" w:rsidRDefault="00845F3C" w:rsidP="00845F3C">
      <w:pPr>
        <w:pStyle w:val="H1G"/>
      </w:pPr>
      <w:r w:rsidRPr="000039C9">
        <w:rPr>
          <w:lang w:val="fr-FR"/>
        </w:rPr>
        <w:tab/>
      </w:r>
      <w:r w:rsidRPr="000039C9">
        <w:rPr>
          <w:lang w:val="fr-FR"/>
        </w:rPr>
        <w:tab/>
        <w:t>Communication du Groupe de travail des véhicules automatisés/autonomes et connectés</w:t>
      </w:r>
      <w:r w:rsidRPr="00845F3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F8E400A" w14:textId="2BE1DAE8" w:rsidR="00F9573C" w:rsidRDefault="00845F3C" w:rsidP="00845F3C">
      <w:pPr>
        <w:pStyle w:val="SingleTxtG"/>
        <w:ind w:firstLine="567"/>
        <w:rPr>
          <w:lang w:val="fr-FR"/>
        </w:rPr>
      </w:pPr>
      <w:r w:rsidRPr="000039C9">
        <w:rPr>
          <w:lang w:val="fr-FR"/>
        </w:rPr>
        <w:t>Le texte ci-après</w:t>
      </w:r>
      <w:r>
        <w:rPr>
          <w:lang w:val="fr-FR"/>
        </w:rPr>
        <w:t>,</w:t>
      </w:r>
      <w:r w:rsidRPr="000039C9">
        <w:rPr>
          <w:lang w:val="fr-FR"/>
        </w:rPr>
        <w:t xml:space="preserve"> adopté par le Groupe de travail des véhicules automatisés/autonomes et connectés (GRVA) à sa onzième session (voir ECE/TRANS/WP.29/GRVA/11, par.</w:t>
      </w:r>
      <w:r w:rsidR="001879C9">
        <w:rPr>
          <w:lang w:val="fr-FR"/>
        </w:rPr>
        <w:t> </w:t>
      </w:r>
      <w:r w:rsidRPr="000039C9">
        <w:rPr>
          <w:lang w:val="fr-FR"/>
        </w:rPr>
        <w:t>99)</w:t>
      </w:r>
      <w:r>
        <w:rPr>
          <w:lang w:val="fr-FR"/>
        </w:rPr>
        <w:t>,</w:t>
      </w:r>
      <w:r w:rsidRPr="000039C9">
        <w:rPr>
          <w:lang w:val="fr-FR"/>
        </w:rPr>
        <w:t xml:space="preserve"> est fondé sur les documents ECE/TRANS/WP.29/GRVA/2021/26</w:t>
      </w:r>
      <w:r>
        <w:rPr>
          <w:lang w:val="fr-FR"/>
        </w:rPr>
        <w:t>,</w:t>
      </w:r>
      <w:r w:rsidRPr="000039C9">
        <w:rPr>
          <w:lang w:val="fr-FR"/>
        </w:rPr>
        <w:t xml:space="preserve"> tel que modifié par l</w:t>
      </w:r>
      <w:r w:rsidR="001859D7">
        <w:rPr>
          <w:lang w:val="fr-FR"/>
        </w:rPr>
        <w:t>’</w:t>
      </w:r>
      <w:r w:rsidRPr="000039C9">
        <w:rPr>
          <w:lang w:val="fr-FR"/>
        </w:rPr>
        <w:t>annexe V du rapport de la session</w:t>
      </w:r>
      <w:r>
        <w:rPr>
          <w:lang w:val="fr-FR"/>
        </w:rPr>
        <w:t>,</w:t>
      </w:r>
      <w:r w:rsidRPr="000039C9">
        <w:rPr>
          <w:lang w:val="fr-FR"/>
        </w:rPr>
        <w:t xml:space="preserve"> et ECE/TRANS/WP.29/GRVA/2021/27. Il est soumis au Forum mondial de l</w:t>
      </w:r>
      <w:r w:rsidR="001859D7">
        <w:rPr>
          <w:lang w:val="fr-FR"/>
        </w:rPr>
        <w:t>’</w:t>
      </w:r>
      <w:r w:rsidRPr="000039C9">
        <w:rPr>
          <w:lang w:val="fr-FR"/>
        </w:rPr>
        <w:t>harmonisation des Règlements concernant les véhicules (WP.29) et au Comité d</w:t>
      </w:r>
      <w:r w:rsidR="001859D7">
        <w:rPr>
          <w:lang w:val="fr-FR"/>
        </w:rPr>
        <w:t>’</w:t>
      </w:r>
      <w:r w:rsidRPr="000039C9">
        <w:rPr>
          <w:lang w:val="fr-FR"/>
        </w:rPr>
        <w:t>administration de l</w:t>
      </w:r>
      <w:r w:rsidR="001859D7">
        <w:rPr>
          <w:lang w:val="fr-FR"/>
        </w:rPr>
        <w:t>’</w:t>
      </w:r>
      <w:r w:rsidRPr="000039C9">
        <w:rPr>
          <w:lang w:val="fr-FR"/>
        </w:rPr>
        <w:t>Accord de 1958 (AC.1) pour examen à leurs sessions de mars 2022.</w:t>
      </w:r>
    </w:p>
    <w:p w14:paraId="3A5B31B2" w14:textId="0A9F081B" w:rsidR="00845F3C" w:rsidRDefault="00845F3C" w:rsidP="00845F3C">
      <w:pPr>
        <w:rPr>
          <w:lang w:val="fr-FR"/>
        </w:rPr>
      </w:pPr>
      <w:r>
        <w:rPr>
          <w:lang w:val="fr-FR"/>
        </w:rPr>
        <w:br w:type="page"/>
      </w:r>
    </w:p>
    <w:p w14:paraId="38D81551" w14:textId="7106C63D" w:rsidR="00845F3C" w:rsidRPr="00801FF8" w:rsidRDefault="00845F3C" w:rsidP="00845F3C">
      <w:pPr>
        <w:pStyle w:val="SingleTxtG"/>
        <w:rPr>
          <w:rFonts w:eastAsia="MS Mincho"/>
          <w:i/>
        </w:rPr>
      </w:pPr>
      <w:r w:rsidRPr="00073803">
        <w:rPr>
          <w:i/>
          <w:iCs/>
          <w:lang w:val="fr-FR"/>
        </w:rPr>
        <w:lastRenderedPageBreak/>
        <w:t xml:space="preserve">Les paragraphes 2.31 à 2.32 </w:t>
      </w:r>
      <w:r w:rsidRPr="00073803">
        <w:rPr>
          <w:lang w:val="fr-FR"/>
        </w:rPr>
        <w:t>deviennent les paragraphes 2.31 à 2.33 et se lisent</w:t>
      </w:r>
      <w:r w:rsidRPr="00073803">
        <w:rPr>
          <w:i/>
          <w:iCs/>
          <w:lang w:val="fr-FR"/>
        </w:rPr>
        <w:t xml:space="preserve"> </w:t>
      </w:r>
      <w:r w:rsidRPr="00073803">
        <w:rPr>
          <w:lang w:val="fr-FR"/>
        </w:rPr>
        <w:t>comme suit</w:t>
      </w:r>
      <w:r>
        <w:rPr>
          <w:lang w:val="fr-FR"/>
        </w:rPr>
        <w:t> </w:t>
      </w:r>
      <w:r w:rsidRPr="00073803">
        <w:rPr>
          <w:lang w:val="fr-FR"/>
        </w:rPr>
        <w:t>:</w:t>
      </w:r>
    </w:p>
    <w:p w14:paraId="54B6901A" w14:textId="43DC12C0" w:rsidR="00845F3C" w:rsidRPr="000039C9" w:rsidRDefault="00845F3C" w:rsidP="00845F3C">
      <w:pPr>
        <w:pStyle w:val="SingleTxtG"/>
        <w:ind w:left="2268" w:hanging="1134"/>
      </w:pPr>
      <w:r w:rsidRPr="000039C9">
        <w:rPr>
          <w:lang w:val="fr-FR"/>
        </w:rPr>
        <w:t>« 2.31</w:t>
      </w:r>
      <w:r w:rsidRPr="000039C9">
        <w:rPr>
          <w:lang w:val="fr-FR"/>
        </w:rPr>
        <w:tab/>
        <w:t>Par “</w:t>
      </w:r>
      <w:r w:rsidRPr="000039C9">
        <w:rPr>
          <w:i/>
          <w:iCs/>
          <w:lang w:val="fr-FR"/>
        </w:rPr>
        <w:t>signal de freinage</w:t>
      </w:r>
      <w:r w:rsidRPr="000039C9">
        <w:rPr>
          <w:lang w:val="fr-FR"/>
        </w:rPr>
        <w:t>”, un signal logique indiquant quand l</w:t>
      </w:r>
      <w:r w:rsidR="001859D7">
        <w:rPr>
          <w:lang w:val="fr-FR"/>
        </w:rPr>
        <w:t>’</w:t>
      </w:r>
      <w:r w:rsidRPr="000039C9">
        <w:rPr>
          <w:lang w:val="fr-FR"/>
        </w:rPr>
        <w:t>allumage du feu</w:t>
      </w:r>
      <w:r>
        <w:rPr>
          <w:lang w:val="fr-FR"/>
        </w:rPr>
        <w:noBreakHyphen/>
      </w:r>
      <w:r w:rsidRPr="000039C9">
        <w:rPr>
          <w:lang w:val="fr-FR"/>
        </w:rPr>
        <w:t>stop est requis ou autorisé, comme spécifié au paragraphe 5.1.17 du présent Règlement.</w:t>
      </w:r>
    </w:p>
    <w:p w14:paraId="7AC320D0" w14:textId="5834FD67" w:rsidR="00845F3C" w:rsidRPr="000039C9" w:rsidRDefault="00845F3C" w:rsidP="00845F3C">
      <w:pPr>
        <w:pStyle w:val="SingleTxtG"/>
        <w:ind w:left="2268" w:hanging="1134"/>
      </w:pPr>
      <w:r w:rsidRPr="000039C9">
        <w:rPr>
          <w:lang w:val="fr-FR"/>
        </w:rPr>
        <w:t>2.32</w:t>
      </w:r>
      <w:r w:rsidRPr="000039C9">
        <w:rPr>
          <w:lang w:val="fr-FR"/>
        </w:rPr>
        <w:tab/>
        <w:t>Par “</w:t>
      </w:r>
      <w:r w:rsidRPr="000039C9">
        <w:rPr>
          <w:i/>
          <w:iCs/>
          <w:lang w:val="fr-FR"/>
        </w:rPr>
        <w:t xml:space="preserve">système de freinage électrique </w:t>
      </w:r>
      <w:r>
        <w:rPr>
          <w:i/>
          <w:iCs/>
          <w:lang w:val="fr-FR"/>
        </w:rPr>
        <w:t>à</w:t>
      </w:r>
      <w:r w:rsidRPr="000039C9">
        <w:rPr>
          <w:i/>
          <w:iCs/>
          <w:lang w:val="fr-FR"/>
        </w:rPr>
        <w:t xml:space="preserve"> récupération</w:t>
      </w:r>
      <w:r w:rsidRPr="000039C9">
        <w:rPr>
          <w:lang w:val="fr-FR"/>
        </w:rPr>
        <w:t>”, un système de freinage qui, pendant la décélération, permet de convertir l</w:t>
      </w:r>
      <w:r w:rsidR="001859D7">
        <w:rPr>
          <w:lang w:val="fr-FR"/>
        </w:rPr>
        <w:t>’</w:t>
      </w:r>
      <w:r w:rsidRPr="000039C9">
        <w:rPr>
          <w:lang w:val="fr-FR"/>
        </w:rPr>
        <w:t>énergie cinétique du véhicule en énergie électrique, et qui ne fait pas partie du système de freinage de service.</w:t>
      </w:r>
    </w:p>
    <w:p w14:paraId="2ACED6EE" w14:textId="4C404C82" w:rsidR="00845F3C" w:rsidRPr="000039C9" w:rsidRDefault="00845F3C" w:rsidP="00845F3C">
      <w:pPr>
        <w:pStyle w:val="SingleTxtG"/>
        <w:ind w:left="2268" w:hanging="1134"/>
        <w:rPr>
          <w:rFonts w:eastAsia="MS Mincho"/>
          <w:i/>
        </w:rPr>
      </w:pPr>
      <w:r w:rsidRPr="000039C9">
        <w:rPr>
          <w:lang w:val="fr-FR"/>
        </w:rPr>
        <w:t>2.33</w:t>
      </w:r>
      <w:r w:rsidRPr="000039C9">
        <w:rPr>
          <w:lang w:val="fr-FR"/>
        </w:rPr>
        <w:tab/>
        <w:t>Par “</w:t>
      </w:r>
      <w:r w:rsidRPr="000039C9">
        <w:rPr>
          <w:i/>
          <w:iCs/>
          <w:lang w:val="fr-FR"/>
        </w:rPr>
        <w:t>désactiver le système antiblocage</w:t>
      </w:r>
      <w:r w:rsidRPr="000039C9">
        <w:rPr>
          <w:lang w:val="fr-FR"/>
        </w:rPr>
        <w:t>”, mettre le système dans un état dans lequel il ne satisfait plus aux prescriptions techniques du paragraphe 9 de l</w:t>
      </w:r>
      <w:r w:rsidR="001859D7">
        <w:rPr>
          <w:lang w:val="fr-FR"/>
        </w:rPr>
        <w:t>’</w:t>
      </w:r>
      <w:r w:rsidRPr="000039C9">
        <w:rPr>
          <w:lang w:val="fr-FR"/>
        </w:rPr>
        <w:t>annexe 3 du présent Règlement. ».</w:t>
      </w:r>
    </w:p>
    <w:p w14:paraId="5C183C9B" w14:textId="3660F41B" w:rsidR="00845F3C" w:rsidRPr="000039C9" w:rsidRDefault="00845F3C" w:rsidP="00845F3C">
      <w:pPr>
        <w:pStyle w:val="SingleTxtG"/>
        <w:rPr>
          <w:iCs/>
        </w:rPr>
      </w:pPr>
      <w:r w:rsidRPr="000039C9">
        <w:rPr>
          <w:i/>
          <w:iCs/>
          <w:lang w:val="fr-FR"/>
        </w:rPr>
        <w:t>Paragraphe 5.1.17.2</w:t>
      </w:r>
      <w:r w:rsidRPr="000039C9">
        <w:rPr>
          <w:lang w:val="fr-FR"/>
        </w:rPr>
        <w:t>, lire</w:t>
      </w:r>
      <w:r w:rsidR="00BA3030">
        <w:rPr>
          <w:lang w:val="fr-FR"/>
        </w:rPr>
        <w:t> </w:t>
      </w:r>
      <w:r w:rsidRPr="000039C9">
        <w:rPr>
          <w:lang w:val="fr-FR"/>
        </w:rPr>
        <w:t>:</w:t>
      </w:r>
    </w:p>
    <w:p w14:paraId="28D9DF7A" w14:textId="7350E5AA" w:rsidR="00845F3C" w:rsidRDefault="00845F3C" w:rsidP="00845F3C">
      <w:pPr>
        <w:pStyle w:val="SingleTxtG"/>
        <w:ind w:left="2268" w:hanging="1134"/>
        <w:rPr>
          <w:lang w:val="fr-FR"/>
        </w:rPr>
      </w:pPr>
      <w:r w:rsidRPr="000039C9">
        <w:rPr>
          <w:lang w:val="fr-FR"/>
        </w:rPr>
        <w:t>« 5.1.17.2</w:t>
      </w:r>
      <w:r w:rsidRPr="000039C9">
        <w:rPr>
          <w:lang w:val="fr-FR"/>
        </w:rPr>
        <w:tab/>
        <w:t>En outre, dans le cas d</w:t>
      </w:r>
      <w:r w:rsidR="001859D7">
        <w:rPr>
          <w:lang w:val="fr-FR"/>
        </w:rPr>
        <w:t>’</w:t>
      </w:r>
      <w:r w:rsidRPr="000039C9">
        <w:rPr>
          <w:lang w:val="fr-FR"/>
        </w:rPr>
        <w:t>un véhicule équipé d</w:t>
      </w:r>
      <w:r w:rsidR="001859D7">
        <w:rPr>
          <w:lang w:val="fr-FR"/>
        </w:rPr>
        <w:t>’</w:t>
      </w:r>
      <w:r w:rsidRPr="000039C9">
        <w:rPr>
          <w:lang w:val="fr-FR"/>
        </w:rPr>
        <w:t>un système de freinage électrique par récupération produisant un ralentissement lorsque la pédale d</w:t>
      </w:r>
      <w:r w:rsidR="001859D7">
        <w:rPr>
          <w:lang w:val="fr-FR"/>
        </w:rPr>
        <w:t>’</w:t>
      </w:r>
      <w:r w:rsidRPr="000039C9">
        <w:rPr>
          <w:lang w:val="fr-FR"/>
        </w:rPr>
        <w:t>accélérateur est relâchée, les conditions d</w:t>
      </w:r>
      <w:r w:rsidR="001859D7">
        <w:rPr>
          <w:lang w:val="fr-FR"/>
        </w:rPr>
        <w:t>’</w:t>
      </w:r>
      <w:r w:rsidRPr="000039C9">
        <w:rPr>
          <w:lang w:val="fr-FR"/>
        </w:rPr>
        <w:t>émission du signal de freinage sont les suivantes</w:t>
      </w:r>
      <w:r w:rsidRPr="001859D7">
        <w:rPr>
          <w:sz w:val="18"/>
          <w:szCs w:val="18"/>
          <w:vertAlign w:val="superscript"/>
          <w:lang w:val="fr-FR"/>
        </w:rPr>
        <w:t>4</w:t>
      </w:r>
      <w:r>
        <w:rPr>
          <w:lang w:val="fr-FR"/>
        </w:rPr>
        <w:t> </w:t>
      </w:r>
      <w:r w:rsidRPr="000039C9">
        <w:rPr>
          <w:lang w:val="fr-FR"/>
        </w:rPr>
        <w:t>:</w:t>
      </w:r>
    </w:p>
    <w:tbl>
      <w:tblPr>
        <w:tblW w:w="6801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6"/>
        <w:gridCol w:w="2835"/>
      </w:tblGrid>
      <w:tr w:rsidR="00845F3C" w:rsidRPr="000039C9" w14:paraId="69B0B71A" w14:textId="77777777" w:rsidTr="001859D7">
        <w:tc>
          <w:tcPr>
            <w:tcW w:w="396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9EFBD51" w14:textId="77777777" w:rsidR="00845F3C" w:rsidRPr="001859D7" w:rsidRDefault="00845F3C" w:rsidP="00264B8F">
            <w:pPr>
              <w:keepNext/>
              <w:keepLines/>
              <w:spacing w:before="80" w:after="80" w:line="200" w:lineRule="exact"/>
              <w:ind w:left="144" w:right="113"/>
              <w:rPr>
                <w:i/>
                <w:strike/>
                <w:sz w:val="16"/>
                <w:szCs w:val="16"/>
              </w:rPr>
            </w:pPr>
            <w:r w:rsidRPr="001859D7">
              <w:rPr>
                <w:i/>
                <w:iCs/>
                <w:sz w:val="16"/>
                <w:szCs w:val="16"/>
                <w:lang w:val="fr-FR"/>
              </w:rPr>
              <w:t>Décélération du véhicule par freinage par récupération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D3EB4F3" w14:textId="77777777" w:rsidR="00845F3C" w:rsidRPr="001859D7" w:rsidRDefault="00845F3C" w:rsidP="00264B8F">
            <w:pPr>
              <w:keepNext/>
              <w:keepLines/>
              <w:spacing w:before="80" w:after="80" w:line="200" w:lineRule="exact"/>
              <w:ind w:left="144" w:right="113"/>
              <w:rPr>
                <w:i/>
                <w:sz w:val="16"/>
                <w:szCs w:val="16"/>
              </w:rPr>
            </w:pPr>
            <w:r w:rsidRPr="001859D7">
              <w:rPr>
                <w:i/>
                <w:iCs/>
                <w:sz w:val="16"/>
                <w:szCs w:val="16"/>
                <w:lang w:val="fr-FR"/>
              </w:rPr>
              <w:t>Émission du signal</w:t>
            </w:r>
          </w:p>
        </w:tc>
      </w:tr>
      <w:tr w:rsidR="00845F3C" w:rsidRPr="00073803" w14:paraId="649706A1" w14:textId="77777777" w:rsidTr="001859D7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D3EC8" w14:textId="77777777" w:rsidR="00845F3C" w:rsidRPr="001859D7" w:rsidRDefault="00845F3C" w:rsidP="00264B8F">
            <w:pPr>
              <w:keepNext/>
              <w:keepLines/>
              <w:spacing w:before="40" w:after="120"/>
              <w:ind w:left="176" w:right="113"/>
              <w:rPr>
                <w:strike/>
                <w:sz w:val="18"/>
                <w:szCs w:val="18"/>
              </w:rPr>
            </w:pPr>
            <w:r w:rsidRPr="001859D7">
              <w:rPr>
                <w:sz w:val="18"/>
                <w:szCs w:val="18"/>
                <w:lang w:val="fr-FR"/>
              </w:rPr>
              <w:t>≤ 1.3 m/s²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E4C6E" w14:textId="77777777" w:rsidR="00845F3C" w:rsidRPr="001859D7" w:rsidRDefault="00845F3C" w:rsidP="001859D7">
            <w:pPr>
              <w:keepNext/>
              <w:keepLines/>
              <w:spacing w:before="40" w:after="120"/>
              <w:ind w:left="142" w:right="113"/>
              <w:rPr>
                <w:strike/>
                <w:sz w:val="18"/>
                <w:szCs w:val="18"/>
              </w:rPr>
            </w:pPr>
            <w:r w:rsidRPr="001859D7">
              <w:rPr>
                <w:sz w:val="18"/>
                <w:szCs w:val="18"/>
                <w:lang w:val="fr-FR"/>
              </w:rPr>
              <w:t>Le signal peut être émis</w:t>
            </w:r>
          </w:p>
        </w:tc>
      </w:tr>
      <w:tr w:rsidR="00845F3C" w:rsidRPr="00073803" w14:paraId="36DE34F9" w14:textId="77777777" w:rsidTr="001859D7">
        <w:trPr>
          <w:trHeight w:val="244"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0E63332" w14:textId="77777777" w:rsidR="00845F3C" w:rsidRPr="001859D7" w:rsidRDefault="00845F3C" w:rsidP="00264B8F">
            <w:pPr>
              <w:keepNext/>
              <w:keepLines/>
              <w:spacing w:before="40" w:after="120"/>
              <w:ind w:left="176" w:right="113"/>
              <w:rPr>
                <w:sz w:val="18"/>
                <w:szCs w:val="18"/>
              </w:rPr>
            </w:pPr>
            <w:r w:rsidRPr="001859D7">
              <w:rPr>
                <w:sz w:val="18"/>
                <w:szCs w:val="18"/>
                <w:lang w:val="fr-FR"/>
              </w:rPr>
              <w:t>&gt;1,3 m/s</w:t>
            </w:r>
            <w:r w:rsidRPr="001859D7">
              <w:rPr>
                <w:sz w:val="18"/>
                <w:szCs w:val="18"/>
                <w:vertAlign w:val="superscript"/>
                <w:lang w:val="fr-F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A46BD6F" w14:textId="77777777" w:rsidR="00845F3C" w:rsidRPr="001859D7" w:rsidRDefault="00845F3C" w:rsidP="001859D7">
            <w:pPr>
              <w:keepNext/>
              <w:keepLines/>
              <w:spacing w:before="40" w:after="120"/>
              <w:ind w:left="142" w:right="113"/>
              <w:rPr>
                <w:sz w:val="18"/>
                <w:szCs w:val="18"/>
              </w:rPr>
            </w:pPr>
            <w:r w:rsidRPr="001859D7">
              <w:rPr>
                <w:sz w:val="18"/>
                <w:szCs w:val="18"/>
                <w:lang w:val="fr-FR"/>
              </w:rPr>
              <w:t>Le signal peut être émis</w:t>
            </w:r>
          </w:p>
        </w:tc>
      </w:tr>
    </w:tbl>
    <w:p w14:paraId="4D8BEB1C" w14:textId="7E04A6D5" w:rsidR="00845F3C" w:rsidRPr="000039C9" w:rsidRDefault="00845F3C" w:rsidP="00845F3C">
      <w:pPr>
        <w:pStyle w:val="SingleTxtG"/>
        <w:spacing w:before="120"/>
        <w:ind w:left="2268"/>
      </w:pPr>
      <w:r w:rsidRPr="000039C9">
        <w:rPr>
          <w:lang w:val="fr-FR"/>
        </w:rPr>
        <w:t>Une mesure appropriée (par exemple, l</w:t>
      </w:r>
      <w:r w:rsidR="001859D7">
        <w:rPr>
          <w:lang w:val="fr-FR"/>
        </w:rPr>
        <w:t>’</w:t>
      </w:r>
      <w:r w:rsidRPr="000039C9">
        <w:rPr>
          <w:lang w:val="fr-FR"/>
        </w:rPr>
        <w:t>élimination de l</w:t>
      </w:r>
      <w:r w:rsidR="001859D7">
        <w:rPr>
          <w:lang w:val="fr-FR"/>
        </w:rPr>
        <w:t>’</w:t>
      </w:r>
      <w:r w:rsidRPr="000039C9">
        <w:rPr>
          <w:lang w:val="fr-FR"/>
        </w:rPr>
        <w:t>hystérésis, le lissage ou la temporisation) doit être mise en œuvre afin d</w:t>
      </w:r>
      <w:r w:rsidR="001859D7">
        <w:rPr>
          <w:lang w:val="fr-FR"/>
        </w:rPr>
        <w:t>’</w:t>
      </w:r>
      <w:r w:rsidRPr="000039C9">
        <w:rPr>
          <w:lang w:val="fr-FR"/>
        </w:rPr>
        <w:t>éviter que des modifications rapides du signal n</w:t>
      </w:r>
      <w:r w:rsidR="001859D7">
        <w:rPr>
          <w:lang w:val="fr-FR"/>
        </w:rPr>
        <w:t>’</w:t>
      </w:r>
      <w:r w:rsidRPr="000039C9">
        <w:rPr>
          <w:lang w:val="fr-FR"/>
        </w:rPr>
        <w:t>entraînent le clignotement des feux-stop.</w:t>
      </w:r>
    </w:p>
    <w:p w14:paraId="0BC762EC" w14:textId="77777777" w:rsidR="00845F3C" w:rsidRPr="000039C9" w:rsidRDefault="00845F3C" w:rsidP="00845F3C">
      <w:pPr>
        <w:ind w:left="567"/>
        <w:rPr>
          <w:u w:val="single"/>
        </w:rPr>
      </w:pPr>
      <w:r w:rsidRPr="000039C9">
        <w:rPr>
          <w:u w:val="single"/>
        </w:rPr>
        <w:tab/>
      </w:r>
      <w:r w:rsidRPr="000039C9">
        <w:rPr>
          <w:u w:val="single"/>
        </w:rPr>
        <w:tab/>
      </w:r>
      <w:r w:rsidRPr="000039C9">
        <w:rPr>
          <w:u w:val="single"/>
        </w:rPr>
        <w:tab/>
      </w:r>
    </w:p>
    <w:p w14:paraId="7B2AB1BA" w14:textId="5E0F6BF2" w:rsidR="00845F3C" w:rsidRPr="000039C9" w:rsidRDefault="00845F3C" w:rsidP="00845F3C">
      <w:pPr>
        <w:tabs>
          <w:tab w:val="left" w:pos="851"/>
          <w:tab w:val="right" w:pos="1134"/>
        </w:tabs>
        <w:kinsoku/>
        <w:overflowPunct/>
        <w:autoSpaceDE/>
        <w:autoSpaceDN/>
        <w:adjustRightInd/>
        <w:snapToGrid/>
        <w:spacing w:after="120"/>
        <w:ind w:left="1134" w:right="1134" w:hanging="1134"/>
        <w:rPr>
          <w:i/>
          <w:iCs/>
        </w:rPr>
      </w:pPr>
      <w:r w:rsidRPr="000039C9">
        <w:rPr>
          <w:lang w:val="fr-FR"/>
        </w:rPr>
        <w:tab/>
      </w:r>
      <w:r w:rsidRPr="00845F3C">
        <w:rPr>
          <w:sz w:val="18"/>
          <w:szCs w:val="18"/>
          <w:vertAlign w:val="superscript"/>
          <w:lang w:val="fr-FR"/>
        </w:rPr>
        <w:t>4</w:t>
      </w:r>
      <w:r>
        <w:rPr>
          <w:lang w:val="fr-FR"/>
        </w:rPr>
        <w:tab/>
      </w:r>
      <w:r>
        <w:rPr>
          <w:lang w:val="fr-FR"/>
        </w:rPr>
        <w:tab/>
      </w:r>
      <w:r w:rsidRPr="00845F3C">
        <w:rPr>
          <w:sz w:val="18"/>
          <w:szCs w:val="18"/>
          <w:lang w:eastAsia="fr-FR"/>
        </w:rPr>
        <w:t>Au moment de l</w:t>
      </w:r>
      <w:r w:rsidR="001859D7">
        <w:rPr>
          <w:sz w:val="18"/>
          <w:szCs w:val="18"/>
          <w:lang w:eastAsia="fr-FR"/>
        </w:rPr>
        <w:t>’</w:t>
      </w:r>
      <w:r w:rsidRPr="00845F3C">
        <w:rPr>
          <w:sz w:val="18"/>
          <w:szCs w:val="18"/>
          <w:lang w:eastAsia="fr-FR"/>
        </w:rPr>
        <w:t>homologation de type, le constructeur automobile doit confirmer le respect de cette disposition.</w:t>
      </w:r>
      <w:r w:rsidRPr="000039C9">
        <w:rPr>
          <w:lang w:val="fr-FR"/>
        </w:rPr>
        <w:t> ».</w:t>
      </w:r>
    </w:p>
    <w:p w14:paraId="2FF11D0A" w14:textId="72965249" w:rsidR="00845F3C" w:rsidRPr="000039C9" w:rsidRDefault="00845F3C" w:rsidP="00845F3C">
      <w:pPr>
        <w:pStyle w:val="SingleTxtG"/>
      </w:pPr>
      <w:r w:rsidRPr="000039C9">
        <w:rPr>
          <w:i/>
          <w:iCs/>
          <w:lang w:val="fr-FR"/>
        </w:rPr>
        <w:t>Ajouter le nouveau paragraphe 5.1.17.3</w:t>
      </w:r>
      <w:r w:rsidRPr="000039C9">
        <w:rPr>
          <w:lang w:val="fr-FR"/>
        </w:rPr>
        <w:t>, libellé comme suit</w:t>
      </w:r>
      <w:r>
        <w:rPr>
          <w:lang w:val="fr-FR"/>
        </w:rPr>
        <w:t> </w:t>
      </w:r>
      <w:r w:rsidRPr="000039C9">
        <w:rPr>
          <w:lang w:val="fr-FR"/>
        </w:rPr>
        <w:t>:</w:t>
      </w:r>
    </w:p>
    <w:p w14:paraId="4FF3D4D6" w14:textId="7C7407A9" w:rsidR="00845F3C" w:rsidRPr="000039C9" w:rsidRDefault="00845F3C" w:rsidP="00845F3C">
      <w:pPr>
        <w:pStyle w:val="SingleTxtG"/>
        <w:ind w:left="2268" w:hanging="1134"/>
      </w:pPr>
      <w:r w:rsidRPr="000039C9">
        <w:rPr>
          <w:lang w:val="fr-FR"/>
        </w:rPr>
        <w:t>« 5.1.17.3</w:t>
      </w:r>
      <w:r w:rsidRPr="000039C9">
        <w:rPr>
          <w:lang w:val="fr-FR"/>
        </w:rPr>
        <w:tab/>
        <w:t>Une fois émis, le signal doit persister tant qu</w:t>
      </w:r>
      <w:r w:rsidR="001859D7">
        <w:rPr>
          <w:lang w:val="fr-FR"/>
        </w:rPr>
        <w:t>’</w:t>
      </w:r>
      <w:r w:rsidRPr="000039C9">
        <w:rPr>
          <w:lang w:val="fr-FR"/>
        </w:rPr>
        <w:t>une demande de décélération du système de freinage électrique à récupération est maintenue. Il peut toutefois être supprimé à l</w:t>
      </w:r>
      <w:r w:rsidR="001859D7">
        <w:rPr>
          <w:lang w:val="fr-FR"/>
        </w:rPr>
        <w:t>’</w:t>
      </w:r>
      <w:r w:rsidRPr="000039C9">
        <w:rPr>
          <w:lang w:val="fr-FR"/>
        </w:rPr>
        <w:t>arrêt.</w:t>
      </w:r>
    </w:p>
    <w:p w14:paraId="5838E52A" w14:textId="3C233541" w:rsidR="00845F3C" w:rsidRPr="000039C9" w:rsidRDefault="00845F3C" w:rsidP="00845F3C">
      <w:pPr>
        <w:pStyle w:val="SingleTxtG"/>
        <w:ind w:left="2268"/>
        <w:rPr>
          <w:iCs/>
        </w:rPr>
      </w:pPr>
      <w:r w:rsidRPr="000039C9">
        <w:rPr>
          <w:lang w:val="fr-FR"/>
        </w:rPr>
        <w:t>Le signal ne doit pas être émis lorsque le ralentissement est uniquement dû à l</w:t>
      </w:r>
      <w:r w:rsidR="001859D7">
        <w:rPr>
          <w:lang w:val="fr-FR"/>
        </w:rPr>
        <w:t>’</w:t>
      </w:r>
      <w:r w:rsidRPr="000039C9">
        <w:rPr>
          <w:lang w:val="fr-FR"/>
        </w:rPr>
        <w:t>effet de freinage naturel du moteur, à la résistance à l</w:t>
      </w:r>
      <w:r w:rsidR="001859D7">
        <w:rPr>
          <w:lang w:val="fr-FR"/>
        </w:rPr>
        <w:t>’</w:t>
      </w:r>
      <w:r w:rsidRPr="000039C9">
        <w:rPr>
          <w:lang w:val="fr-FR"/>
        </w:rPr>
        <w:t>air ou au roulement ou à la déclivité de la route. ».</w:t>
      </w:r>
    </w:p>
    <w:p w14:paraId="19BC6AC8" w14:textId="77777777" w:rsidR="00845F3C" w:rsidRPr="000039C9" w:rsidRDefault="00845F3C" w:rsidP="00845F3C">
      <w:pPr>
        <w:pStyle w:val="SingleTxtG"/>
        <w:rPr>
          <w:color w:val="000000" w:themeColor="text1"/>
          <w:lang w:val="fr-FR"/>
        </w:rPr>
      </w:pPr>
      <w:r w:rsidRPr="000039C9">
        <w:rPr>
          <w:i/>
          <w:iCs/>
          <w:lang w:val="fr-FR"/>
        </w:rPr>
        <w:t>Annexe 3, paragraphe 1.1.3</w:t>
      </w:r>
      <w:r w:rsidRPr="000039C9">
        <w:rPr>
          <w:lang w:val="fr-FR"/>
        </w:rPr>
        <w:t>, lire :</w:t>
      </w:r>
    </w:p>
    <w:p w14:paraId="6C592B0F" w14:textId="77777777" w:rsidR="00845F3C" w:rsidRPr="000039C9" w:rsidRDefault="00845F3C" w:rsidP="00845F3C">
      <w:pPr>
        <w:pStyle w:val="SingleTxtG"/>
        <w:ind w:left="2268" w:hanging="1134"/>
        <w:rPr>
          <w:lang w:val="fr-FR"/>
        </w:rPr>
      </w:pPr>
      <w:r w:rsidRPr="000039C9">
        <w:rPr>
          <w:lang w:val="fr-FR"/>
        </w:rPr>
        <w:t>« 1.1.3</w:t>
      </w:r>
      <w:r w:rsidRPr="000039C9">
        <w:rPr>
          <w:lang w:val="fr-FR"/>
        </w:rPr>
        <w:tab/>
        <w:t>Mesure du CFM :</w:t>
      </w:r>
    </w:p>
    <w:p w14:paraId="33D5C554" w14:textId="78B9BA58" w:rsidR="00845F3C" w:rsidRPr="000039C9" w:rsidRDefault="00845F3C" w:rsidP="00845F3C">
      <w:pPr>
        <w:pStyle w:val="SingleTxtG"/>
        <w:ind w:left="2268"/>
        <w:rPr>
          <w:lang w:val="fr-FR"/>
        </w:rPr>
      </w:pPr>
      <w:r w:rsidRPr="000039C9">
        <w:rPr>
          <w:lang w:val="fr-FR"/>
        </w:rPr>
        <w:t>On mesure le CFM conformément aux prescriptions de l</w:t>
      </w:r>
      <w:r w:rsidR="001859D7">
        <w:rPr>
          <w:lang w:val="fr-FR"/>
        </w:rPr>
        <w:t>’</w:t>
      </w:r>
      <w:r w:rsidRPr="000039C9">
        <w:rPr>
          <w:lang w:val="fr-FR"/>
        </w:rPr>
        <w:t>autorité d</w:t>
      </w:r>
      <w:r w:rsidR="001859D7">
        <w:rPr>
          <w:lang w:val="fr-FR"/>
        </w:rPr>
        <w:t>’</w:t>
      </w:r>
      <w:r w:rsidRPr="000039C9">
        <w:rPr>
          <w:lang w:val="fr-FR"/>
        </w:rPr>
        <w:t>homologation de type en utilisant :</w:t>
      </w:r>
    </w:p>
    <w:p w14:paraId="2AFFEA21" w14:textId="0132CDE5" w:rsidR="00845F3C" w:rsidRPr="000039C9" w:rsidRDefault="00845F3C" w:rsidP="00845F3C">
      <w:pPr>
        <w:pStyle w:val="SingleTxtG"/>
        <w:ind w:left="2268"/>
        <w:rPr>
          <w:lang w:val="fr-FR"/>
        </w:rPr>
      </w:pPr>
      <w:r w:rsidRPr="000039C9">
        <w:rPr>
          <w:lang w:val="fr-FR"/>
        </w:rPr>
        <w:t>a)</w:t>
      </w:r>
      <w:r w:rsidRPr="000039C9">
        <w:rPr>
          <w:lang w:val="fr-FR"/>
        </w:rPr>
        <w:tab/>
        <w:t>Soit un pneu</w:t>
      </w:r>
      <w:r>
        <w:rPr>
          <w:lang w:val="fr-FR"/>
        </w:rPr>
        <w:t>matique</w:t>
      </w:r>
      <w:r w:rsidRPr="000039C9">
        <w:rPr>
          <w:lang w:val="fr-FR"/>
        </w:rPr>
        <w:t xml:space="preserve"> d</w:t>
      </w:r>
      <w:r w:rsidR="001859D7">
        <w:rPr>
          <w:lang w:val="fr-FR"/>
        </w:rPr>
        <w:t>’</w:t>
      </w:r>
      <w:r w:rsidRPr="000039C9">
        <w:rPr>
          <w:lang w:val="fr-FR"/>
        </w:rPr>
        <w:t xml:space="preserve">essai de référence prescrit par la norme ASTM International E1136-19 suivant la méthode ASTM E1337-19, à une vitesse de 40 mph ; </w:t>
      </w:r>
    </w:p>
    <w:p w14:paraId="36C5B9D3" w14:textId="5C25AE40" w:rsidR="00845F3C" w:rsidRPr="000039C9" w:rsidRDefault="00845F3C" w:rsidP="00845F3C">
      <w:pPr>
        <w:pStyle w:val="SingleTxtG"/>
        <w:keepNext/>
        <w:ind w:left="2268"/>
        <w:rPr>
          <w:lang w:val="fr-FR"/>
        </w:rPr>
      </w:pPr>
      <w:r w:rsidRPr="000039C9">
        <w:rPr>
          <w:lang w:val="fr-FR"/>
        </w:rPr>
        <w:lastRenderedPageBreak/>
        <w:t>b)</w:t>
      </w:r>
      <w:r w:rsidRPr="000039C9">
        <w:rPr>
          <w:lang w:val="fr-FR"/>
        </w:rPr>
        <w:tab/>
        <w:t>Soit un pneu</w:t>
      </w:r>
      <w:r>
        <w:rPr>
          <w:lang w:val="fr-FR"/>
        </w:rPr>
        <w:t>matique</w:t>
      </w:r>
      <w:r w:rsidRPr="000039C9">
        <w:rPr>
          <w:lang w:val="fr-FR"/>
        </w:rPr>
        <w:t xml:space="preserve"> d</w:t>
      </w:r>
      <w:r w:rsidR="001859D7">
        <w:rPr>
          <w:lang w:val="fr-FR"/>
        </w:rPr>
        <w:t>’</w:t>
      </w:r>
      <w:r w:rsidRPr="000039C9">
        <w:rPr>
          <w:lang w:val="fr-FR"/>
        </w:rPr>
        <w:t>essai de référence prescrit par la norme ASTM International F2493-20 suivant la méthode ASTM E1337-19, à une vitesse de 40 mph</w:t>
      </w:r>
      <w:r w:rsidRPr="001859D7">
        <w:rPr>
          <w:sz w:val="18"/>
          <w:szCs w:val="18"/>
          <w:vertAlign w:val="superscript"/>
          <w:lang w:val="fr-FR"/>
        </w:rPr>
        <w:t>1</w:t>
      </w:r>
      <w:r w:rsidRPr="000039C9">
        <w:rPr>
          <w:lang w:val="fr-FR"/>
        </w:rPr>
        <w:t xml:space="preserve"> ; </w:t>
      </w:r>
    </w:p>
    <w:p w14:paraId="5A769237" w14:textId="4346E7B8" w:rsidR="00845F3C" w:rsidRPr="000039C9" w:rsidRDefault="00845F3C" w:rsidP="00845F3C">
      <w:pPr>
        <w:pStyle w:val="SingleTxtG"/>
        <w:keepNext/>
        <w:ind w:left="2268"/>
        <w:rPr>
          <w:lang w:val="fr-FR"/>
        </w:rPr>
      </w:pPr>
      <w:r w:rsidRPr="000039C9">
        <w:rPr>
          <w:lang w:val="fr-FR"/>
        </w:rPr>
        <w:t>c)</w:t>
      </w:r>
      <w:r w:rsidRPr="000039C9">
        <w:rPr>
          <w:lang w:val="fr-FR"/>
        </w:rPr>
        <w:tab/>
        <w:t>Soit la méthode indiquée à l</w:t>
      </w:r>
      <w:r w:rsidR="001859D7">
        <w:rPr>
          <w:lang w:val="fr-FR"/>
        </w:rPr>
        <w:t>’</w:t>
      </w:r>
      <w:r w:rsidRPr="000039C9">
        <w:rPr>
          <w:lang w:val="fr-FR"/>
        </w:rPr>
        <w:t>appendice 1 de la présente annexe.</w:t>
      </w:r>
    </w:p>
    <w:p w14:paraId="11D43B86" w14:textId="77777777" w:rsidR="00845F3C" w:rsidRPr="000039C9" w:rsidRDefault="00845F3C" w:rsidP="00845F3C">
      <w:pPr>
        <w:keepNext/>
        <w:ind w:left="567"/>
        <w:rPr>
          <w:u w:val="single"/>
        </w:rPr>
      </w:pPr>
      <w:r w:rsidRPr="000039C9">
        <w:rPr>
          <w:u w:val="single"/>
        </w:rPr>
        <w:tab/>
      </w:r>
      <w:r w:rsidRPr="000039C9">
        <w:rPr>
          <w:u w:val="single"/>
        </w:rPr>
        <w:tab/>
      </w:r>
      <w:r w:rsidRPr="000039C9">
        <w:rPr>
          <w:u w:val="single"/>
        </w:rPr>
        <w:tab/>
      </w:r>
    </w:p>
    <w:p w14:paraId="1206B992" w14:textId="09987982" w:rsidR="00845F3C" w:rsidRDefault="00845F3C" w:rsidP="00845F3C">
      <w:pPr>
        <w:keepNext/>
        <w:tabs>
          <w:tab w:val="left" w:pos="851"/>
          <w:tab w:val="right" w:pos="1134"/>
        </w:tabs>
        <w:kinsoku/>
        <w:overflowPunct/>
        <w:autoSpaceDE/>
        <w:autoSpaceDN/>
        <w:adjustRightInd/>
        <w:snapToGrid/>
        <w:spacing w:after="120"/>
        <w:ind w:left="1134" w:right="1134" w:hanging="1134"/>
      </w:pPr>
      <w:r>
        <w:tab/>
      </w:r>
      <w:r w:rsidRPr="00845F3C">
        <w:rPr>
          <w:vertAlign w:val="superscript"/>
        </w:rPr>
        <w:t>1</w:t>
      </w:r>
      <w:r>
        <w:tab/>
      </w:r>
      <w:r>
        <w:tab/>
      </w:r>
      <w:r w:rsidRPr="00845F3C">
        <w:rPr>
          <w:sz w:val="18"/>
          <w:szCs w:val="18"/>
          <w:lang w:eastAsia="fr-FR"/>
        </w:rPr>
        <w:t>Dans ce cas, le coefficient de freinage maximal obtenu doit être ramené à la valeur équivalente pour un pneumatique d</w:t>
      </w:r>
      <w:r w:rsidR="001859D7">
        <w:rPr>
          <w:sz w:val="18"/>
          <w:szCs w:val="18"/>
          <w:lang w:eastAsia="fr-FR"/>
        </w:rPr>
        <w:t>’</w:t>
      </w:r>
      <w:r w:rsidRPr="00845F3C">
        <w:rPr>
          <w:sz w:val="18"/>
          <w:szCs w:val="18"/>
          <w:lang w:eastAsia="fr-FR"/>
        </w:rPr>
        <w:t>essai de référence prescrit par la norme E1136-19 en utilisant l</w:t>
      </w:r>
      <w:r w:rsidR="001859D7">
        <w:rPr>
          <w:sz w:val="18"/>
          <w:szCs w:val="18"/>
          <w:lang w:eastAsia="fr-FR"/>
        </w:rPr>
        <w:t>’</w:t>
      </w:r>
      <w:r w:rsidRPr="00845F3C">
        <w:rPr>
          <w:sz w:val="18"/>
          <w:szCs w:val="18"/>
          <w:lang w:eastAsia="fr-FR"/>
        </w:rPr>
        <w:t>équation de corrélation décrite dans la méthode ASTM E1337-19.</w:t>
      </w:r>
      <w:r>
        <w:t> </w:t>
      </w:r>
      <w:r w:rsidRPr="000039C9">
        <w:t>»</w:t>
      </w:r>
      <w:r>
        <w:t>.</w:t>
      </w:r>
    </w:p>
    <w:p w14:paraId="461617BB" w14:textId="08AFF845" w:rsidR="00845F3C" w:rsidRPr="00845F3C" w:rsidRDefault="00845F3C" w:rsidP="00845F3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45F3C" w:rsidRPr="00845F3C" w:rsidSect="00845F3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315DD" w14:textId="77777777" w:rsidR="00B126DB" w:rsidRDefault="00B126DB" w:rsidP="00F95C08">
      <w:pPr>
        <w:spacing w:line="240" w:lineRule="auto"/>
      </w:pPr>
    </w:p>
  </w:endnote>
  <w:endnote w:type="continuationSeparator" w:id="0">
    <w:p w14:paraId="01091B5F" w14:textId="77777777" w:rsidR="00B126DB" w:rsidRPr="00AC3823" w:rsidRDefault="00B126DB" w:rsidP="00AC3823">
      <w:pPr>
        <w:pStyle w:val="Pieddepage"/>
      </w:pPr>
    </w:p>
  </w:endnote>
  <w:endnote w:type="continuationNotice" w:id="1">
    <w:p w14:paraId="1FB636AA" w14:textId="77777777" w:rsidR="00B126DB" w:rsidRDefault="00B126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03B31" w14:textId="44D02777" w:rsidR="00845F3C" w:rsidRPr="00845F3C" w:rsidRDefault="00845F3C" w:rsidP="00845F3C">
    <w:pPr>
      <w:pStyle w:val="Pieddepage"/>
      <w:tabs>
        <w:tab w:val="right" w:pos="9638"/>
      </w:tabs>
    </w:pPr>
    <w:r w:rsidRPr="00845F3C">
      <w:rPr>
        <w:b/>
        <w:sz w:val="18"/>
      </w:rPr>
      <w:fldChar w:fldCharType="begin"/>
    </w:r>
    <w:r w:rsidRPr="00845F3C">
      <w:rPr>
        <w:b/>
        <w:sz w:val="18"/>
      </w:rPr>
      <w:instrText xml:space="preserve"> PAGE  \* MERGEFORMAT </w:instrText>
    </w:r>
    <w:r w:rsidRPr="00845F3C">
      <w:rPr>
        <w:b/>
        <w:sz w:val="18"/>
      </w:rPr>
      <w:fldChar w:fldCharType="separate"/>
    </w:r>
    <w:r w:rsidRPr="00845F3C">
      <w:rPr>
        <w:b/>
        <w:noProof/>
        <w:sz w:val="18"/>
      </w:rPr>
      <w:t>2</w:t>
    </w:r>
    <w:r w:rsidRPr="00845F3C">
      <w:rPr>
        <w:b/>
        <w:sz w:val="18"/>
      </w:rPr>
      <w:fldChar w:fldCharType="end"/>
    </w:r>
    <w:r>
      <w:rPr>
        <w:b/>
        <w:sz w:val="18"/>
      </w:rPr>
      <w:tab/>
    </w:r>
    <w:r>
      <w:t>GE.21-19582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4E4CC" w14:textId="0BC8EBF9" w:rsidR="00845F3C" w:rsidRPr="00845F3C" w:rsidRDefault="00845F3C" w:rsidP="00845F3C">
    <w:pPr>
      <w:pStyle w:val="Pieddepage"/>
      <w:tabs>
        <w:tab w:val="right" w:pos="9638"/>
      </w:tabs>
      <w:rPr>
        <w:b/>
        <w:sz w:val="18"/>
      </w:rPr>
    </w:pPr>
    <w:r>
      <w:t>GE.21-19582</w:t>
    </w:r>
    <w:r>
      <w:tab/>
    </w:r>
    <w:r w:rsidRPr="00845F3C">
      <w:rPr>
        <w:b/>
        <w:sz w:val="18"/>
      </w:rPr>
      <w:fldChar w:fldCharType="begin"/>
    </w:r>
    <w:r w:rsidRPr="00845F3C">
      <w:rPr>
        <w:b/>
        <w:sz w:val="18"/>
      </w:rPr>
      <w:instrText xml:space="preserve"> PAGE  \* MERGEFORMAT </w:instrText>
    </w:r>
    <w:r w:rsidRPr="00845F3C">
      <w:rPr>
        <w:b/>
        <w:sz w:val="18"/>
      </w:rPr>
      <w:fldChar w:fldCharType="separate"/>
    </w:r>
    <w:r w:rsidRPr="00845F3C">
      <w:rPr>
        <w:b/>
        <w:noProof/>
        <w:sz w:val="18"/>
      </w:rPr>
      <w:t>3</w:t>
    </w:r>
    <w:r w:rsidRPr="00845F3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559B4" w14:textId="47CADF49" w:rsidR="007F20FA" w:rsidRPr="00845F3C" w:rsidRDefault="00845F3C" w:rsidP="00845F3C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BE19D3B" wp14:editId="7666C0B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21-19582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5AF7638" wp14:editId="27CB0F2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030">
      <w:rPr>
        <w:sz w:val="20"/>
      </w:rPr>
      <w:t xml:space="preserve">    110122    110122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EB134" w14:textId="77777777" w:rsidR="00B126DB" w:rsidRPr="00AC3823" w:rsidRDefault="00B126D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15F2C8" w14:textId="77777777" w:rsidR="00B126DB" w:rsidRPr="00AC3823" w:rsidRDefault="00B126D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B696C39" w14:textId="77777777" w:rsidR="00B126DB" w:rsidRPr="00AC3823" w:rsidRDefault="00B126DB">
      <w:pPr>
        <w:spacing w:line="240" w:lineRule="auto"/>
        <w:rPr>
          <w:sz w:val="2"/>
          <w:szCs w:val="2"/>
        </w:rPr>
      </w:pPr>
    </w:p>
  </w:footnote>
  <w:footnote w:id="2">
    <w:p w14:paraId="7D0CBDFE" w14:textId="3FF09E86" w:rsidR="00845F3C" w:rsidRPr="00845F3C" w:rsidRDefault="00845F3C">
      <w:pPr>
        <w:pStyle w:val="Notedebasdepage"/>
      </w:pPr>
      <w:r>
        <w:rPr>
          <w:rStyle w:val="Appelnotedebasdep"/>
        </w:rPr>
        <w:tab/>
      </w:r>
      <w:r w:rsidRPr="00845F3C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2022 tel qu</w:t>
      </w:r>
      <w:r w:rsidR="001859D7">
        <w:rPr>
          <w:lang w:val="fr-FR"/>
        </w:rPr>
        <w:t>’</w:t>
      </w:r>
      <w:r>
        <w:rPr>
          <w:lang w:val="fr-FR"/>
        </w:rPr>
        <w:t>il figure dans le projet de budget-programme pour 2022 (A/76/6 (Sect. 20), par. 20.76), le Forum mondial a pour mission d</w:t>
      </w:r>
      <w:r w:rsidR="001859D7">
        <w:rPr>
          <w:lang w:val="fr-FR"/>
        </w:rPr>
        <w:t>’</w:t>
      </w:r>
      <w:r>
        <w:rPr>
          <w:lang w:val="fr-FR"/>
        </w:rPr>
        <w:t>élaborer, d</w:t>
      </w:r>
      <w:r w:rsidR="001859D7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1859D7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1EBB7" w14:textId="3A4B7343" w:rsidR="00845F3C" w:rsidRPr="00845F3C" w:rsidRDefault="00845F3C">
    <w:pPr>
      <w:pStyle w:val="En-tte"/>
    </w:pPr>
    <w:fldSimple w:instr=" TITLE  \* MERGEFORMAT ">
      <w:r w:rsidR="00932440">
        <w:t>ECE/TRANS/WP.29/2022/13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BCA01" w14:textId="1C6CABE3" w:rsidR="00845F3C" w:rsidRPr="00845F3C" w:rsidRDefault="00845F3C" w:rsidP="00845F3C">
    <w:pPr>
      <w:pStyle w:val="En-tte"/>
      <w:jc w:val="right"/>
    </w:pPr>
    <w:fldSimple w:instr=" TITLE  \* MERGEFORMAT ">
      <w:r w:rsidR="00932440">
        <w:t>ECE/TRANS/WP.29/2022/13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D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859D7"/>
    <w:rsid w:val="001879C9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6516D"/>
    <w:rsid w:val="00573BE5"/>
    <w:rsid w:val="00586ED3"/>
    <w:rsid w:val="00596AA9"/>
    <w:rsid w:val="0071601D"/>
    <w:rsid w:val="007A62E6"/>
    <w:rsid w:val="007F20FA"/>
    <w:rsid w:val="0080684C"/>
    <w:rsid w:val="00845F3C"/>
    <w:rsid w:val="00871C75"/>
    <w:rsid w:val="008776DC"/>
    <w:rsid w:val="008D5EF9"/>
    <w:rsid w:val="00932440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126DB"/>
    <w:rsid w:val="00B45F2E"/>
    <w:rsid w:val="00B765F7"/>
    <w:rsid w:val="00B77993"/>
    <w:rsid w:val="00BA0CA9"/>
    <w:rsid w:val="00BA3030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743FB8"/>
  <w15:docId w15:val="{4E6FBD33-B714-46D0-9C92-7BA0A74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B3A8C9-5944-4A1E-A22C-C6EFF4383134}"/>
</file>

<file path=customXml/itemProps2.xml><?xml version="1.0" encoding="utf-8"?>
<ds:datastoreItem xmlns:ds="http://schemas.openxmlformats.org/officeDocument/2006/customXml" ds:itemID="{0483541E-4D3C-4D27-B79B-14B759C1A44A}"/>
</file>

<file path=customXml/itemProps3.xml><?xml version="1.0" encoding="utf-8"?>
<ds:datastoreItem xmlns:ds="http://schemas.openxmlformats.org/officeDocument/2006/customXml" ds:itemID="{1146DA05-1B0D-44D5-B9F7-67ED7FDFAFFF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485</Words>
  <Characters>3400</Characters>
  <Application>Microsoft Office Word</Application>
  <DocSecurity>0</DocSecurity>
  <Lines>283</Lines>
  <Paragraphs>155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ECE/TRANS/WP.29/2022/13</vt:lpstr>
    </vt:vector>
  </TitlesOfParts>
  <Company>DCM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ECE/TRANS/WP.29/2022/13</dc:title>
  <dc:subject/>
  <dc:creator>Julien OKRZESIK</dc:creator>
  <cp:keywords/>
  <cp:lastModifiedBy>Julien Okrzesik</cp:lastModifiedBy>
  <cp:revision>3</cp:revision>
  <cp:lastPrinted>2022-01-11T11:39:00Z</cp:lastPrinted>
  <dcterms:created xsi:type="dcterms:W3CDTF">2022-01-11T11:39:00Z</dcterms:created>
  <dcterms:modified xsi:type="dcterms:W3CDTF">2022-01-11T11:39:00Z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