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807C88A" w14:textId="77777777" w:rsidTr="00B20551">
        <w:trPr>
          <w:cantSplit/>
          <w:trHeight w:hRule="exact" w:val="851"/>
        </w:trPr>
        <w:tc>
          <w:tcPr>
            <w:tcW w:w="1276" w:type="dxa"/>
            <w:tcBorders>
              <w:bottom w:val="single" w:sz="4" w:space="0" w:color="auto"/>
            </w:tcBorders>
            <w:vAlign w:val="bottom"/>
          </w:tcPr>
          <w:p w14:paraId="56851062" w14:textId="77777777" w:rsidR="009E6CB7" w:rsidRDefault="009E6CB7" w:rsidP="00B20551">
            <w:pPr>
              <w:spacing w:after="80"/>
            </w:pPr>
          </w:p>
        </w:tc>
        <w:tc>
          <w:tcPr>
            <w:tcW w:w="2268" w:type="dxa"/>
            <w:tcBorders>
              <w:bottom w:val="single" w:sz="4" w:space="0" w:color="auto"/>
            </w:tcBorders>
            <w:vAlign w:val="bottom"/>
          </w:tcPr>
          <w:p w14:paraId="49D25B8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60E921A" w14:textId="728CEBA9" w:rsidR="009E6CB7" w:rsidRPr="00D47EEA" w:rsidRDefault="0091204D" w:rsidP="0091204D">
            <w:pPr>
              <w:jc w:val="right"/>
            </w:pPr>
            <w:r w:rsidRPr="0091204D">
              <w:rPr>
                <w:sz w:val="40"/>
              </w:rPr>
              <w:t>ECE</w:t>
            </w:r>
            <w:r>
              <w:t>/TRANS/WP.15/AC.2/78</w:t>
            </w:r>
          </w:p>
        </w:tc>
      </w:tr>
      <w:tr w:rsidR="009E6CB7" w14:paraId="4406787A" w14:textId="77777777" w:rsidTr="00B20551">
        <w:trPr>
          <w:cantSplit/>
          <w:trHeight w:hRule="exact" w:val="2835"/>
        </w:trPr>
        <w:tc>
          <w:tcPr>
            <w:tcW w:w="1276" w:type="dxa"/>
            <w:tcBorders>
              <w:top w:val="single" w:sz="4" w:space="0" w:color="auto"/>
              <w:bottom w:val="single" w:sz="12" w:space="0" w:color="auto"/>
            </w:tcBorders>
          </w:tcPr>
          <w:p w14:paraId="7DA5087B" w14:textId="77777777" w:rsidR="009E6CB7" w:rsidRDefault="00686A48" w:rsidP="00B20551">
            <w:pPr>
              <w:spacing w:before="120"/>
            </w:pPr>
            <w:r>
              <w:rPr>
                <w:noProof/>
                <w:lang w:val="fr-CH" w:eastAsia="fr-CH"/>
              </w:rPr>
              <w:drawing>
                <wp:inline distT="0" distB="0" distL="0" distR="0" wp14:anchorId="4B8ACF08" wp14:editId="27354D8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43594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995569E" w14:textId="77777777" w:rsidR="009E6CB7" w:rsidRDefault="0091204D" w:rsidP="0091204D">
            <w:pPr>
              <w:spacing w:before="240" w:line="240" w:lineRule="exact"/>
            </w:pPr>
            <w:r>
              <w:t>Distr.: General</w:t>
            </w:r>
          </w:p>
          <w:p w14:paraId="2B012E13" w14:textId="7E4EC81E" w:rsidR="0091204D" w:rsidRDefault="00273B73" w:rsidP="0091204D">
            <w:pPr>
              <w:spacing w:line="240" w:lineRule="exact"/>
            </w:pPr>
            <w:r>
              <w:t>2</w:t>
            </w:r>
            <w:r w:rsidR="009C7CA1">
              <w:t>8</w:t>
            </w:r>
            <w:r>
              <w:t xml:space="preserve"> </w:t>
            </w:r>
            <w:r w:rsidR="0091204D">
              <w:t>September 2021</w:t>
            </w:r>
          </w:p>
          <w:p w14:paraId="3588BC99" w14:textId="77777777" w:rsidR="0091204D" w:rsidRDefault="0091204D" w:rsidP="0091204D">
            <w:pPr>
              <w:spacing w:line="240" w:lineRule="exact"/>
            </w:pPr>
          </w:p>
          <w:p w14:paraId="15C51013" w14:textId="59B80B7A" w:rsidR="0091204D" w:rsidRDefault="0091204D" w:rsidP="0091204D">
            <w:pPr>
              <w:spacing w:line="240" w:lineRule="exact"/>
            </w:pPr>
            <w:r>
              <w:t>Original: English</w:t>
            </w:r>
          </w:p>
        </w:tc>
      </w:tr>
    </w:tbl>
    <w:p w14:paraId="15121151" w14:textId="77777777" w:rsidR="001E24FD" w:rsidRPr="007D68EB" w:rsidRDefault="001E24FD" w:rsidP="001E24FD">
      <w:pPr>
        <w:spacing w:before="120"/>
        <w:rPr>
          <w:b/>
          <w:bCs/>
          <w:sz w:val="28"/>
          <w:szCs w:val="28"/>
        </w:rPr>
      </w:pPr>
      <w:r w:rsidRPr="007D68EB">
        <w:rPr>
          <w:b/>
          <w:bCs/>
          <w:sz w:val="28"/>
          <w:szCs w:val="28"/>
        </w:rPr>
        <w:t>Economic Commission for Europe</w:t>
      </w:r>
    </w:p>
    <w:p w14:paraId="712F00E7" w14:textId="77777777" w:rsidR="001E24FD" w:rsidRPr="007D68EB" w:rsidRDefault="001E24FD" w:rsidP="001E24FD">
      <w:pPr>
        <w:spacing w:before="120"/>
        <w:rPr>
          <w:sz w:val="28"/>
          <w:szCs w:val="28"/>
        </w:rPr>
      </w:pPr>
      <w:r w:rsidRPr="007D68EB">
        <w:rPr>
          <w:sz w:val="28"/>
          <w:szCs w:val="28"/>
        </w:rPr>
        <w:t>Inland Transport Committee</w:t>
      </w:r>
    </w:p>
    <w:p w14:paraId="33428BC4" w14:textId="77777777" w:rsidR="001E24FD" w:rsidRDefault="001E24FD" w:rsidP="001E24FD">
      <w:pPr>
        <w:spacing w:before="120" w:after="120"/>
        <w:rPr>
          <w:b/>
          <w:sz w:val="24"/>
          <w:szCs w:val="24"/>
        </w:rPr>
      </w:pPr>
      <w:r>
        <w:rPr>
          <w:b/>
          <w:sz w:val="24"/>
          <w:szCs w:val="24"/>
        </w:rPr>
        <w:t>Working Party on the Transport of Dangerous Goods</w:t>
      </w:r>
    </w:p>
    <w:p w14:paraId="1AF89CC5" w14:textId="77777777" w:rsidR="001E24FD" w:rsidRPr="009A75CB" w:rsidRDefault="001E24FD" w:rsidP="001E24FD">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4EA2FEBE" w14:textId="5B1F1AA1" w:rsidR="001E24FD" w:rsidRPr="009A75CB" w:rsidRDefault="001E24FD" w:rsidP="001E24FD">
      <w:pPr>
        <w:rPr>
          <w:b/>
          <w:bCs/>
        </w:rPr>
      </w:pPr>
      <w:r w:rsidRPr="009A75CB">
        <w:rPr>
          <w:b/>
          <w:bCs/>
        </w:rPr>
        <w:t>Thirt</w:t>
      </w:r>
      <w:r>
        <w:rPr>
          <w:b/>
          <w:bCs/>
        </w:rPr>
        <w:t>y-eighth</w:t>
      </w:r>
      <w:r w:rsidRPr="009A75CB">
        <w:rPr>
          <w:b/>
          <w:bCs/>
        </w:rPr>
        <w:t xml:space="preserve"> session</w:t>
      </w:r>
    </w:p>
    <w:p w14:paraId="5E139C4F" w14:textId="4A7A2ED9" w:rsidR="001E24FD" w:rsidRDefault="001E24FD" w:rsidP="001E24FD">
      <w:r>
        <w:t>Geneva, 23-27 August 2021</w:t>
      </w:r>
    </w:p>
    <w:p w14:paraId="31606202" w14:textId="7E2B4C10" w:rsidR="001E24FD" w:rsidRPr="009455DF" w:rsidRDefault="001E24FD" w:rsidP="001E24FD">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Pr>
          <w:lang w:val="en-US"/>
        </w:rPr>
        <w:t>thirty-eighth</w:t>
      </w:r>
      <w:r w:rsidRPr="00CE6D3E">
        <w:rPr>
          <w:lang w:val="en-US"/>
        </w:rPr>
        <w:t xml:space="preserve"> session</w:t>
      </w:r>
      <w:bookmarkEnd w:id="0"/>
      <w:bookmarkEnd w:id="1"/>
      <w:bookmarkEnd w:id="2"/>
      <w:bookmarkEnd w:id="3"/>
      <w:r w:rsidRPr="00107111">
        <w:rPr>
          <w:rStyle w:val="FootnoteReference"/>
          <w:szCs w:val="28"/>
          <w:lang w:val="en-US"/>
        </w:rPr>
        <w:footnoteReference w:customMarkFollows="1" w:id="2"/>
        <w:sym w:font="Symbol" w:char="F02A"/>
      </w:r>
      <w:bookmarkEnd w:id="4"/>
      <w:bookmarkEnd w:id="5"/>
      <w:bookmarkEnd w:id="6"/>
      <w:bookmarkEnd w:id="7"/>
    </w:p>
    <w:p w14:paraId="264C6E43" w14:textId="36CA5889" w:rsidR="001E24FD" w:rsidRDefault="001E24FD" w:rsidP="001E24FD">
      <w:pPr>
        <w:spacing w:before="120"/>
      </w:pPr>
      <w:r>
        <w:br w:type="page"/>
      </w:r>
    </w:p>
    <w:p w14:paraId="3948B9B2" w14:textId="77777777" w:rsidR="001E24FD" w:rsidRDefault="001E24FD" w:rsidP="00185041">
      <w:pPr>
        <w:spacing w:after="120"/>
        <w:rPr>
          <w:sz w:val="28"/>
        </w:rPr>
      </w:pPr>
      <w:r>
        <w:rPr>
          <w:sz w:val="28"/>
        </w:rPr>
        <w:lastRenderedPageBreak/>
        <w:t>Contents</w:t>
      </w:r>
    </w:p>
    <w:p w14:paraId="06844742" w14:textId="745504D4" w:rsidR="001E24FD" w:rsidRDefault="001E24FD" w:rsidP="0060182D">
      <w:pPr>
        <w:tabs>
          <w:tab w:val="right" w:pos="9638"/>
        </w:tabs>
        <w:spacing w:after="120"/>
        <w:ind w:left="283"/>
      </w:pPr>
      <w:r>
        <w:rPr>
          <w:i/>
          <w:sz w:val="18"/>
        </w:rPr>
        <w:tab/>
        <w:t>Page</w:t>
      </w:r>
    </w:p>
    <w:p w14:paraId="57A1FCC9" w14:textId="631B988A" w:rsidR="00BC3304" w:rsidRDefault="00BC3304" w:rsidP="00BC3304">
      <w:pPr>
        <w:tabs>
          <w:tab w:val="right" w:pos="850"/>
          <w:tab w:val="left" w:pos="1134"/>
          <w:tab w:val="left" w:pos="1559"/>
          <w:tab w:val="left" w:pos="1984"/>
          <w:tab w:val="left" w:leader="dot" w:pos="8929"/>
          <w:tab w:val="right" w:pos="9638"/>
        </w:tabs>
        <w:spacing w:after="120"/>
        <w:rPr>
          <w:noProof/>
        </w:rPr>
      </w:pPr>
      <w:r>
        <w:tab/>
      </w:r>
      <w:r w:rsidRPr="00BC3304">
        <w:rPr>
          <w:noProof/>
        </w:rPr>
        <w:t>I.</w:t>
      </w:r>
      <w:r>
        <w:rPr>
          <w:noProof/>
        </w:rPr>
        <w:tab/>
      </w:r>
      <w:r w:rsidRPr="00BC3304">
        <w:rPr>
          <w:noProof/>
        </w:rPr>
        <w:t>Attendance</w:t>
      </w:r>
      <w:r>
        <w:rPr>
          <w:noProof/>
          <w:webHidden/>
        </w:rPr>
        <w:tab/>
      </w:r>
      <w:r>
        <w:rPr>
          <w:noProof/>
          <w:webHidden/>
        </w:rPr>
        <w:tab/>
      </w:r>
      <w:r w:rsidR="0060182D">
        <w:rPr>
          <w:noProof/>
          <w:webHidden/>
        </w:rPr>
        <w:t>4</w:t>
      </w:r>
    </w:p>
    <w:p w14:paraId="7C6B86E1" w14:textId="5ACF995E"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II.</w:t>
      </w:r>
      <w:r>
        <w:rPr>
          <w:noProof/>
        </w:rPr>
        <w:tab/>
      </w:r>
      <w:r w:rsidRPr="00BC3304">
        <w:rPr>
          <w:noProof/>
        </w:rPr>
        <w:t>Organizational matters</w:t>
      </w:r>
      <w:r>
        <w:rPr>
          <w:noProof/>
          <w:webHidden/>
        </w:rPr>
        <w:tab/>
      </w:r>
      <w:r>
        <w:rPr>
          <w:noProof/>
          <w:webHidden/>
        </w:rPr>
        <w:tab/>
      </w:r>
      <w:r w:rsidR="0060182D">
        <w:rPr>
          <w:noProof/>
          <w:webHidden/>
        </w:rPr>
        <w:t>4</w:t>
      </w:r>
    </w:p>
    <w:p w14:paraId="44225A1A" w14:textId="53BD3543"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III.</w:t>
      </w:r>
      <w:r>
        <w:rPr>
          <w:noProof/>
        </w:rPr>
        <w:tab/>
      </w:r>
      <w:r w:rsidRPr="00BC3304">
        <w:rPr>
          <w:noProof/>
        </w:rPr>
        <w:t>Adoption of the agenda (agenda item 1)</w:t>
      </w:r>
      <w:r>
        <w:rPr>
          <w:noProof/>
          <w:webHidden/>
        </w:rPr>
        <w:tab/>
      </w:r>
      <w:r>
        <w:rPr>
          <w:noProof/>
          <w:webHidden/>
        </w:rPr>
        <w:tab/>
      </w:r>
      <w:r w:rsidR="0060182D">
        <w:rPr>
          <w:noProof/>
          <w:webHidden/>
        </w:rPr>
        <w:t>4</w:t>
      </w:r>
    </w:p>
    <w:p w14:paraId="74E774BA" w14:textId="3DC706F0"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IV.</w:t>
      </w:r>
      <w:r>
        <w:rPr>
          <w:noProof/>
        </w:rPr>
        <w:tab/>
      </w:r>
      <w:r w:rsidRPr="00BC3304">
        <w:rPr>
          <w:noProof/>
        </w:rPr>
        <w:t>Matters arising from the work of United Nations bodies or other organizations (agenda item 2)</w:t>
      </w:r>
      <w:r>
        <w:rPr>
          <w:noProof/>
          <w:webHidden/>
        </w:rPr>
        <w:tab/>
      </w:r>
      <w:r>
        <w:rPr>
          <w:noProof/>
          <w:webHidden/>
        </w:rPr>
        <w:tab/>
      </w:r>
      <w:r w:rsidR="0060182D">
        <w:rPr>
          <w:noProof/>
          <w:webHidden/>
        </w:rPr>
        <w:t>4</w:t>
      </w:r>
    </w:p>
    <w:p w14:paraId="6E76093D" w14:textId="45357EA4"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Work of the Inland Transport Committee</w:t>
      </w:r>
      <w:r>
        <w:rPr>
          <w:noProof/>
          <w:webHidden/>
        </w:rPr>
        <w:tab/>
      </w:r>
      <w:r>
        <w:rPr>
          <w:noProof/>
          <w:webHidden/>
        </w:rPr>
        <w:tab/>
      </w:r>
      <w:r w:rsidR="0060182D">
        <w:rPr>
          <w:noProof/>
          <w:webHidden/>
        </w:rPr>
        <w:t>4</w:t>
      </w:r>
    </w:p>
    <w:p w14:paraId="414D6B29" w14:textId="71A33493"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Status on stability booklet requirements</w:t>
      </w:r>
      <w:r>
        <w:rPr>
          <w:noProof/>
          <w:webHidden/>
        </w:rPr>
        <w:tab/>
      </w:r>
      <w:r>
        <w:rPr>
          <w:noProof/>
          <w:webHidden/>
        </w:rPr>
        <w:tab/>
      </w:r>
      <w:r w:rsidR="0060182D">
        <w:rPr>
          <w:noProof/>
          <w:webHidden/>
        </w:rPr>
        <w:t>5</w:t>
      </w:r>
    </w:p>
    <w:p w14:paraId="0665BD25" w14:textId="7DAF7B4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C.</w:t>
      </w:r>
      <w:r>
        <w:rPr>
          <w:noProof/>
        </w:rPr>
        <w:tab/>
      </w:r>
      <w:r w:rsidRPr="00BC3304">
        <w:rPr>
          <w:noProof/>
        </w:rPr>
        <w:t>Documents and other records on board in electronic form</w:t>
      </w:r>
      <w:r>
        <w:rPr>
          <w:noProof/>
          <w:webHidden/>
        </w:rPr>
        <w:tab/>
      </w:r>
      <w:r>
        <w:rPr>
          <w:noProof/>
          <w:webHidden/>
        </w:rPr>
        <w:tab/>
      </w:r>
      <w:r w:rsidR="0060182D">
        <w:rPr>
          <w:noProof/>
          <w:webHidden/>
        </w:rPr>
        <w:t>5</w:t>
      </w:r>
    </w:p>
    <w:p w14:paraId="4A6C3FAF" w14:textId="746E512B"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D.</w:t>
      </w:r>
      <w:r>
        <w:rPr>
          <w:noProof/>
        </w:rPr>
        <w:tab/>
      </w:r>
      <w:r w:rsidRPr="00BC3304">
        <w:rPr>
          <w:noProof/>
        </w:rPr>
        <w:t>Report from the Danube Commission</w:t>
      </w:r>
      <w:r>
        <w:rPr>
          <w:noProof/>
          <w:webHidden/>
        </w:rPr>
        <w:tab/>
      </w:r>
      <w:r>
        <w:rPr>
          <w:noProof/>
          <w:webHidden/>
        </w:rPr>
        <w:tab/>
      </w:r>
      <w:r w:rsidR="0060182D">
        <w:rPr>
          <w:noProof/>
          <w:webHidden/>
        </w:rPr>
        <w:t>5</w:t>
      </w:r>
    </w:p>
    <w:p w14:paraId="1DA728F2" w14:textId="140329B9" w:rsidR="00BC3304" w:rsidRDefault="00BC3304" w:rsidP="00BC3304">
      <w:pPr>
        <w:tabs>
          <w:tab w:val="right" w:pos="850"/>
          <w:tab w:val="left" w:pos="1134"/>
          <w:tab w:val="left" w:pos="1559"/>
          <w:tab w:val="left" w:pos="1984"/>
          <w:tab w:val="left" w:leader="dot" w:pos="8929"/>
          <w:tab w:val="right" w:pos="9638"/>
        </w:tabs>
        <w:spacing w:after="120"/>
        <w:ind w:left="1134" w:hanging="1134"/>
        <w:rPr>
          <w:noProof/>
        </w:rPr>
      </w:pPr>
      <w:r>
        <w:rPr>
          <w:noProof/>
        </w:rPr>
        <w:tab/>
      </w:r>
      <w:r w:rsidRPr="00BC3304">
        <w:rPr>
          <w:noProof/>
        </w:rPr>
        <w:t>V.</w:t>
      </w:r>
      <w:r>
        <w:rPr>
          <w:noProof/>
        </w:rPr>
        <w:tab/>
      </w:r>
      <w:r w:rsidRPr="00BC3304">
        <w:rPr>
          <w:noProof/>
        </w:rPr>
        <w:t xml:space="preserve">Implementation of the European Agreement concerning the International Carriage </w:t>
      </w:r>
      <w:r>
        <w:rPr>
          <w:noProof/>
        </w:rPr>
        <w:br/>
      </w:r>
      <w:r w:rsidRPr="00BC3304">
        <w:rPr>
          <w:noProof/>
        </w:rPr>
        <w:t>of Dangerous Goods by Inland Waterways (ADN) (agenda item 3)</w:t>
      </w:r>
      <w:r>
        <w:rPr>
          <w:noProof/>
          <w:webHidden/>
        </w:rPr>
        <w:tab/>
      </w:r>
      <w:r>
        <w:rPr>
          <w:noProof/>
          <w:webHidden/>
        </w:rPr>
        <w:tab/>
      </w:r>
      <w:r w:rsidR="0060182D">
        <w:rPr>
          <w:noProof/>
          <w:webHidden/>
        </w:rPr>
        <w:t>6</w:t>
      </w:r>
    </w:p>
    <w:p w14:paraId="30DA7B58" w14:textId="060C3AB8"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Status of ADN</w:t>
      </w:r>
      <w:r>
        <w:rPr>
          <w:noProof/>
          <w:webHidden/>
        </w:rPr>
        <w:tab/>
      </w:r>
      <w:r>
        <w:rPr>
          <w:noProof/>
          <w:webHidden/>
        </w:rPr>
        <w:tab/>
      </w:r>
      <w:r w:rsidR="0060182D">
        <w:rPr>
          <w:noProof/>
          <w:webHidden/>
        </w:rPr>
        <w:t>6</w:t>
      </w:r>
    </w:p>
    <w:p w14:paraId="48BAB7FC" w14:textId="20CE512D"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Special authorizations, derogations and equivalents</w:t>
      </w:r>
      <w:r>
        <w:rPr>
          <w:noProof/>
          <w:webHidden/>
        </w:rPr>
        <w:tab/>
      </w:r>
      <w:r>
        <w:rPr>
          <w:noProof/>
          <w:webHidden/>
        </w:rPr>
        <w:tab/>
      </w:r>
      <w:r w:rsidR="0060182D">
        <w:rPr>
          <w:noProof/>
          <w:webHidden/>
        </w:rPr>
        <w:t>6</w:t>
      </w:r>
    </w:p>
    <w:p w14:paraId="3E31104B" w14:textId="087EA65E"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w:t>
      </w:r>
      <w:r>
        <w:rPr>
          <w:noProof/>
        </w:rPr>
        <w:tab/>
      </w:r>
      <w:r w:rsidRPr="00BC3304">
        <w:rPr>
          <w:noProof/>
        </w:rPr>
        <w:t>Special authorization</w:t>
      </w:r>
      <w:r>
        <w:rPr>
          <w:noProof/>
          <w:webHidden/>
        </w:rPr>
        <w:tab/>
      </w:r>
      <w:r>
        <w:rPr>
          <w:noProof/>
          <w:webHidden/>
        </w:rPr>
        <w:tab/>
      </w:r>
      <w:r w:rsidR="0060182D">
        <w:rPr>
          <w:noProof/>
          <w:webHidden/>
        </w:rPr>
        <w:t>6</w:t>
      </w:r>
    </w:p>
    <w:p w14:paraId="419737B6" w14:textId="0E02471E"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2.</w:t>
      </w:r>
      <w:r>
        <w:rPr>
          <w:noProof/>
        </w:rPr>
        <w:tab/>
      </w:r>
      <w:r w:rsidRPr="00BC3304">
        <w:rPr>
          <w:noProof/>
        </w:rPr>
        <w:t>Request for recommendation</w:t>
      </w:r>
      <w:r>
        <w:rPr>
          <w:noProof/>
          <w:webHidden/>
        </w:rPr>
        <w:tab/>
      </w:r>
      <w:r>
        <w:rPr>
          <w:noProof/>
          <w:webHidden/>
        </w:rPr>
        <w:tab/>
      </w:r>
      <w:r w:rsidR="0060182D">
        <w:rPr>
          <w:noProof/>
          <w:webHidden/>
        </w:rPr>
        <w:t>6</w:t>
      </w:r>
    </w:p>
    <w:p w14:paraId="18246CA8" w14:textId="656D051F"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C.</w:t>
      </w:r>
      <w:r>
        <w:rPr>
          <w:noProof/>
        </w:rPr>
        <w:tab/>
      </w:r>
      <w:r w:rsidRPr="00BC3304">
        <w:rPr>
          <w:noProof/>
        </w:rPr>
        <w:t>Interpretation of the Regulations annexed to the ADN</w:t>
      </w:r>
      <w:r>
        <w:rPr>
          <w:noProof/>
          <w:webHidden/>
        </w:rPr>
        <w:tab/>
      </w:r>
      <w:r>
        <w:rPr>
          <w:noProof/>
          <w:webHidden/>
        </w:rPr>
        <w:tab/>
      </w:r>
      <w:r w:rsidR="0060182D">
        <w:rPr>
          <w:noProof/>
          <w:webHidden/>
        </w:rPr>
        <w:t>6</w:t>
      </w:r>
    </w:p>
    <w:p w14:paraId="4869196F" w14:textId="5BBA0B45"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D.</w:t>
      </w:r>
      <w:r>
        <w:rPr>
          <w:noProof/>
        </w:rPr>
        <w:tab/>
      </w:r>
      <w:r w:rsidRPr="00BC3304">
        <w:rPr>
          <w:noProof/>
        </w:rPr>
        <w:t>Training of experts</w:t>
      </w:r>
      <w:r>
        <w:rPr>
          <w:noProof/>
          <w:webHidden/>
        </w:rPr>
        <w:tab/>
      </w:r>
      <w:r>
        <w:rPr>
          <w:noProof/>
          <w:webHidden/>
        </w:rPr>
        <w:tab/>
      </w:r>
      <w:r w:rsidR="0060182D">
        <w:rPr>
          <w:noProof/>
          <w:webHidden/>
        </w:rPr>
        <w:t>6</w:t>
      </w:r>
    </w:p>
    <w:p w14:paraId="03019E34" w14:textId="08A7CB0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w:t>
      </w:r>
      <w:r>
        <w:rPr>
          <w:noProof/>
        </w:rPr>
        <w:tab/>
      </w:r>
      <w:r w:rsidRPr="00BC3304">
        <w:rPr>
          <w:noProof/>
        </w:rPr>
        <w:t>ADN Catalogue of questions 2021</w:t>
      </w:r>
      <w:r>
        <w:rPr>
          <w:noProof/>
          <w:webHidden/>
        </w:rPr>
        <w:tab/>
      </w:r>
      <w:r>
        <w:rPr>
          <w:noProof/>
          <w:webHidden/>
        </w:rPr>
        <w:tab/>
      </w:r>
      <w:r w:rsidR="0060182D">
        <w:rPr>
          <w:noProof/>
          <w:webHidden/>
        </w:rPr>
        <w:t>6</w:t>
      </w:r>
    </w:p>
    <w:p w14:paraId="6E6D81D3" w14:textId="5A47288E"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2.</w:t>
      </w:r>
      <w:r>
        <w:rPr>
          <w:noProof/>
        </w:rPr>
        <w:tab/>
      </w:r>
      <w:r w:rsidRPr="00BC3304">
        <w:rPr>
          <w:noProof/>
        </w:rPr>
        <w:t>Directive on the use of the catalogue of questions for the ADN expert examination</w:t>
      </w:r>
      <w:r>
        <w:rPr>
          <w:noProof/>
          <w:webHidden/>
        </w:rPr>
        <w:tab/>
      </w:r>
      <w:r>
        <w:rPr>
          <w:noProof/>
          <w:webHidden/>
        </w:rPr>
        <w:tab/>
      </w:r>
      <w:r w:rsidR="0060182D">
        <w:rPr>
          <w:noProof/>
          <w:webHidden/>
        </w:rPr>
        <w:t>7</w:t>
      </w:r>
    </w:p>
    <w:p w14:paraId="65089290" w14:textId="3844F01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E.</w:t>
      </w:r>
      <w:r>
        <w:rPr>
          <w:noProof/>
        </w:rPr>
        <w:tab/>
      </w:r>
      <w:r w:rsidRPr="00BC3304">
        <w:rPr>
          <w:noProof/>
        </w:rPr>
        <w:t>Matters related to classification societies</w:t>
      </w:r>
      <w:r>
        <w:rPr>
          <w:noProof/>
          <w:webHidden/>
        </w:rPr>
        <w:tab/>
      </w:r>
      <w:r>
        <w:rPr>
          <w:noProof/>
          <w:webHidden/>
        </w:rPr>
        <w:tab/>
      </w:r>
      <w:r w:rsidR="0060182D">
        <w:rPr>
          <w:noProof/>
          <w:webHidden/>
        </w:rPr>
        <w:t>7</w:t>
      </w:r>
    </w:p>
    <w:p w14:paraId="14EB86FE" w14:textId="446C3821"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VI.</w:t>
      </w:r>
      <w:r>
        <w:rPr>
          <w:noProof/>
        </w:rPr>
        <w:tab/>
      </w:r>
      <w:r w:rsidRPr="00BC3304">
        <w:rPr>
          <w:noProof/>
        </w:rPr>
        <w:t>Proposals for amendments to the Regulations annexed to ADN (agenda item 4)</w:t>
      </w:r>
      <w:r>
        <w:rPr>
          <w:noProof/>
          <w:webHidden/>
        </w:rPr>
        <w:tab/>
      </w:r>
      <w:r>
        <w:rPr>
          <w:noProof/>
          <w:webHidden/>
        </w:rPr>
        <w:tab/>
      </w:r>
      <w:r w:rsidR="0060182D">
        <w:rPr>
          <w:noProof/>
          <w:webHidden/>
        </w:rPr>
        <w:t>7</w:t>
      </w:r>
    </w:p>
    <w:p w14:paraId="2AA6683C" w14:textId="0EEA3EE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Work of the RID/ADR/ADN Joint Meeting</w:t>
      </w:r>
      <w:r>
        <w:rPr>
          <w:noProof/>
          <w:webHidden/>
        </w:rPr>
        <w:tab/>
      </w:r>
      <w:r>
        <w:rPr>
          <w:noProof/>
          <w:webHidden/>
        </w:rPr>
        <w:tab/>
      </w:r>
      <w:r w:rsidR="0060182D">
        <w:rPr>
          <w:noProof/>
          <w:webHidden/>
        </w:rPr>
        <w:t>7</w:t>
      </w:r>
    </w:p>
    <w:p w14:paraId="4CF994D9" w14:textId="37D8C63A"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Other proposals</w:t>
      </w:r>
      <w:r>
        <w:rPr>
          <w:noProof/>
          <w:webHidden/>
        </w:rPr>
        <w:tab/>
      </w:r>
      <w:r>
        <w:rPr>
          <w:noProof/>
          <w:webHidden/>
        </w:rPr>
        <w:tab/>
      </w:r>
      <w:r w:rsidR="0060182D">
        <w:rPr>
          <w:noProof/>
          <w:webHidden/>
        </w:rPr>
        <w:t>7</w:t>
      </w:r>
    </w:p>
    <w:p w14:paraId="1DD01483" w14:textId="3E4C3AAB"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w:t>
      </w:r>
      <w:r>
        <w:rPr>
          <w:noProof/>
        </w:rPr>
        <w:tab/>
      </w:r>
      <w:r w:rsidRPr="00BC3304">
        <w:rPr>
          <w:noProof/>
        </w:rPr>
        <w:t>Proposal for amendments</w:t>
      </w:r>
      <w:r>
        <w:rPr>
          <w:noProof/>
          <w:webHidden/>
        </w:rPr>
        <w:tab/>
      </w:r>
      <w:r>
        <w:rPr>
          <w:noProof/>
          <w:webHidden/>
        </w:rPr>
        <w:tab/>
      </w:r>
      <w:r w:rsidR="0060182D">
        <w:rPr>
          <w:noProof/>
          <w:webHidden/>
        </w:rPr>
        <w:t>7</w:t>
      </w:r>
    </w:p>
    <w:p w14:paraId="52AFAA99" w14:textId="52AFCFC0"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2.</w:t>
      </w:r>
      <w:r>
        <w:rPr>
          <w:noProof/>
        </w:rPr>
        <w:tab/>
      </w:r>
      <w:r w:rsidRPr="00BC3304">
        <w:rPr>
          <w:noProof/>
        </w:rPr>
        <w:t>Proposal for amendment of Article 7.2.4.41 regarding electronic cigarette limitations</w:t>
      </w:r>
      <w:r>
        <w:rPr>
          <w:noProof/>
          <w:webHidden/>
        </w:rPr>
        <w:tab/>
      </w:r>
      <w:r>
        <w:rPr>
          <w:noProof/>
          <w:webHidden/>
        </w:rPr>
        <w:tab/>
      </w:r>
      <w:r w:rsidR="0060182D">
        <w:rPr>
          <w:noProof/>
          <w:webHidden/>
        </w:rPr>
        <w:t>8</w:t>
      </w:r>
    </w:p>
    <w:p w14:paraId="3AC112A3" w14:textId="47E0B25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3.</w:t>
      </w:r>
      <w:r>
        <w:rPr>
          <w:noProof/>
        </w:rPr>
        <w:tab/>
      </w:r>
      <w:r w:rsidRPr="00BC3304">
        <w:rPr>
          <w:noProof/>
        </w:rPr>
        <w:t>Various amendments and corrections to ADN 2021 subject to notification</w:t>
      </w:r>
      <w:r>
        <w:rPr>
          <w:noProof/>
          <w:webHidden/>
        </w:rPr>
        <w:tab/>
      </w:r>
      <w:r>
        <w:rPr>
          <w:noProof/>
          <w:webHidden/>
        </w:rPr>
        <w:tab/>
      </w:r>
      <w:r w:rsidR="0060182D">
        <w:rPr>
          <w:noProof/>
          <w:webHidden/>
        </w:rPr>
        <w:t>8</w:t>
      </w:r>
    </w:p>
    <w:p w14:paraId="19EAF8ED" w14:textId="5E81B5EA"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4.</w:t>
      </w:r>
      <w:r>
        <w:rPr>
          <w:noProof/>
        </w:rPr>
        <w:tab/>
      </w:r>
      <w:r w:rsidRPr="00BC3304">
        <w:rPr>
          <w:noProof/>
        </w:rPr>
        <w:t>Section 8.2.1 ADN - Requirements for the training of experts</w:t>
      </w:r>
      <w:r>
        <w:rPr>
          <w:noProof/>
          <w:webHidden/>
        </w:rPr>
        <w:tab/>
      </w:r>
      <w:r>
        <w:rPr>
          <w:noProof/>
          <w:webHidden/>
        </w:rPr>
        <w:tab/>
      </w:r>
      <w:r w:rsidR="0060182D">
        <w:rPr>
          <w:noProof/>
          <w:webHidden/>
        </w:rPr>
        <w:t>8</w:t>
      </w:r>
    </w:p>
    <w:p w14:paraId="7E236F0C" w14:textId="28F8F32F" w:rsidR="00BC3304" w:rsidRDefault="00BC3304" w:rsidP="00BC3304">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5.</w:t>
      </w:r>
      <w:r>
        <w:rPr>
          <w:noProof/>
        </w:rPr>
        <w:tab/>
      </w:r>
      <w:r w:rsidRPr="00BC3304">
        <w:rPr>
          <w:noProof/>
        </w:rPr>
        <w:t xml:space="preserve">Carriage of fumigated bulk cargoes in cargo holds and fumigated cargo holds of </w:t>
      </w:r>
      <w:r>
        <w:rPr>
          <w:noProof/>
        </w:rPr>
        <w:br/>
      </w:r>
      <w:r w:rsidRPr="00BC3304">
        <w:rPr>
          <w:noProof/>
        </w:rPr>
        <w:t>dry-cargo vessels</w:t>
      </w:r>
      <w:r>
        <w:rPr>
          <w:noProof/>
          <w:webHidden/>
        </w:rPr>
        <w:tab/>
      </w:r>
      <w:r>
        <w:rPr>
          <w:noProof/>
          <w:webHidden/>
        </w:rPr>
        <w:tab/>
      </w:r>
      <w:r w:rsidR="0060182D">
        <w:rPr>
          <w:noProof/>
          <w:webHidden/>
        </w:rPr>
        <w:t>8</w:t>
      </w:r>
    </w:p>
    <w:p w14:paraId="4127D0F7" w14:textId="0D6DD01E" w:rsidR="00BC3304" w:rsidRDefault="00BC3304" w:rsidP="00BC3304">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6.</w:t>
      </w:r>
      <w:r>
        <w:rPr>
          <w:noProof/>
        </w:rPr>
        <w:tab/>
      </w:r>
      <w:r w:rsidRPr="00BC3304">
        <w:rPr>
          <w:noProof/>
        </w:rPr>
        <w:t xml:space="preserve">Parts 4 and 6 of ADN – derogations due to multilateral agreements in accordance </w:t>
      </w:r>
      <w:r>
        <w:rPr>
          <w:noProof/>
        </w:rPr>
        <w:br/>
      </w:r>
      <w:r w:rsidRPr="00BC3304">
        <w:rPr>
          <w:noProof/>
        </w:rPr>
        <w:t>with ADR/RID</w:t>
      </w:r>
      <w:r>
        <w:rPr>
          <w:noProof/>
          <w:webHidden/>
        </w:rPr>
        <w:tab/>
      </w:r>
      <w:r>
        <w:rPr>
          <w:noProof/>
          <w:webHidden/>
        </w:rPr>
        <w:tab/>
      </w:r>
      <w:r w:rsidR="0060182D">
        <w:rPr>
          <w:noProof/>
          <w:webHidden/>
        </w:rPr>
        <w:t>8</w:t>
      </w:r>
    </w:p>
    <w:p w14:paraId="1E989A75" w14:textId="6D15593D"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7.</w:t>
      </w:r>
      <w:r>
        <w:rPr>
          <w:noProof/>
        </w:rPr>
        <w:tab/>
      </w:r>
      <w:r w:rsidRPr="00BC3304">
        <w:rPr>
          <w:noProof/>
        </w:rPr>
        <w:t>Proposal of correction to paragraph 9.3.3.60</w:t>
      </w:r>
      <w:r>
        <w:rPr>
          <w:noProof/>
          <w:webHidden/>
        </w:rPr>
        <w:tab/>
      </w:r>
      <w:r>
        <w:rPr>
          <w:noProof/>
          <w:webHidden/>
        </w:rPr>
        <w:tab/>
      </w:r>
      <w:r w:rsidR="0060182D">
        <w:rPr>
          <w:noProof/>
          <w:webHidden/>
        </w:rPr>
        <w:t>9</w:t>
      </w:r>
    </w:p>
    <w:p w14:paraId="08CBB857" w14:textId="40A21416"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8.</w:t>
      </w:r>
      <w:r>
        <w:rPr>
          <w:noProof/>
        </w:rPr>
        <w:tab/>
      </w:r>
      <w:r w:rsidRPr="00BC3304">
        <w:rPr>
          <w:noProof/>
        </w:rPr>
        <w:t>Provisions of cofferdams</w:t>
      </w:r>
      <w:r>
        <w:rPr>
          <w:noProof/>
          <w:webHidden/>
        </w:rPr>
        <w:tab/>
      </w:r>
      <w:r>
        <w:rPr>
          <w:noProof/>
          <w:webHidden/>
        </w:rPr>
        <w:tab/>
      </w:r>
      <w:r w:rsidR="0060182D">
        <w:rPr>
          <w:noProof/>
          <w:webHidden/>
        </w:rPr>
        <w:t>9</w:t>
      </w:r>
    </w:p>
    <w:p w14:paraId="5CD2D1D5" w14:textId="6EBD136F"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9.</w:t>
      </w:r>
      <w:r>
        <w:rPr>
          <w:noProof/>
        </w:rPr>
        <w:tab/>
      </w:r>
      <w:r w:rsidRPr="00BC3304">
        <w:rPr>
          <w:noProof/>
        </w:rPr>
        <w:t>Loading and unloading instructions</w:t>
      </w:r>
      <w:r>
        <w:rPr>
          <w:noProof/>
          <w:webHidden/>
        </w:rPr>
        <w:tab/>
      </w:r>
      <w:r>
        <w:rPr>
          <w:noProof/>
          <w:webHidden/>
        </w:rPr>
        <w:tab/>
      </w:r>
      <w:r w:rsidR="0060182D">
        <w:rPr>
          <w:noProof/>
          <w:webHidden/>
        </w:rPr>
        <w:t>9</w:t>
      </w:r>
    </w:p>
    <w:p w14:paraId="5BAE884A" w14:textId="431301A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10.</w:t>
      </w:r>
      <w:r>
        <w:rPr>
          <w:noProof/>
        </w:rPr>
        <w:tab/>
      </w:r>
      <w:r w:rsidRPr="00BC3304">
        <w:rPr>
          <w:noProof/>
        </w:rPr>
        <w:t>3.2.3.3 Scheme B</w:t>
      </w:r>
      <w:r>
        <w:rPr>
          <w:noProof/>
          <w:webHidden/>
        </w:rPr>
        <w:tab/>
      </w:r>
      <w:r>
        <w:rPr>
          <w:noProof/>
          <w:webHidden/>
        </w:rPr>
        <w:tab/>
      </w:r>
      <w:r w:rsidR="0060182D">
        <w:rPr>
          <w:noProof/>
          <w:webHidden/>
        </w:rPr>
        <w:t>10</w:t>
      </w:r>
    </w:p>
    <w:p w14:paraId="536C2F05" w14:textId="52C5AF8A"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11.</w:t>
      </w:r>
      <w:r>
        <w:rPr>
          <w:noProof/>
        </w:rPr>
        <w:tab/>
      </w:r>
      <w:r w:rsidRPr="00BC3304">
        <w:rPr>
          <w:noProof/>
        </w:rPr>
        <w:t>Construction materials</w:t>
      </w:r>
      <w:r>
        <w:rPr>
          <w:noProof/>
          <w:webHidden/>
        </w:rPr>
        <w:tab/>
      </w:r>
      <w:r>
        <w:rPr>
          <w:noProof/>
          <w:webHidden/>
        </w:rPr>
        <w:tab/>
      </w:r>
      <w:r w:rsidR="0060182D">
        <w:rPr>
          <w:noProof/>
          <w:webHidden/>
        </w:rPr>
        <w:t>10</w:t>
      </w:r>
    </w:p>
    <w:p w14:paraId="62EF2085" w14:textId="0A2CE525"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12.</w:t>
      </w:r>
      <w:r>
        <w:rPr>
          <w:noProof/>
        </w:rPr>
        <w:tab/>
      </w:r>
      <w:r w:rsidRPr="00BC3304">
        <w:rPr>
          <w:noProof/>
        </w:rPr>
        <w:t>Harmonisation of the terminology used in 8.1.2.2 (f) and 8.1.2.3 (s) of ADN 2021</w:t>
      </w:r>
      <w:r>
        <w:rPr>
          <w:noProof/>
          <w:webHidden/>
        </w:rPr>
        <w:tab/>
      </w:r>
      <w:r>
        <w:rPr>
          <w:noProof/>
          <w:webHidden/>
        </w:rPr>
        <w:tab/>
      </w:r>
      <w:r w:rsidR="0060182D">
        <w:rPr>
          <w:noProof/>
          <w:webHidden/>
        </w:rPr>
        <w:t>10</w:t>
      </w:r>
    </w:p>
    <w:p w14:paraId="70C8A1A0" w14:textId="392E2AB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13.</w:t>
      </w:r>
      <w:r>
        <w:rPr>
          <w:noProof/>
        </w:rPr>
        <w:tab/>
      </w:r>
      <w:r w:rsidRPr="00BC3304">
        <w:rPr>
          <w:noProof/>
        </w:rPr>
        <w:t>Harmonisation of terminology used in 1.9.3 (c) of ADN 2021</w:t>
      </w:r>
      <w:r>
        <w:rPr>
          <w:noProof/>
          <w:webHidden/>
        </w:rPr>
        <w:tab/>
      </w:r>
      <w:r>
        <w:rPr>
          <w:noProof/>
          <w:webHidden/>
        </w:rPr>
        <w:tab/>
      </w:r>
      <w:r w:rsidR="0060182D">
        <w:rPr>
          <w:noProof/>
          <w:webHidden/>
        </w:rPr>
        <w:t>10</w:t>
      </w:r>
    </w:p>
    <w:p w14:paraId="3E0DBA06" w14:textId="131B2B96"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14.</w:t>
      </w:r>
      <w:r>
        <w:rPr>
          <w:noProof/>
        </w:rPr>
        <w:tab/>
      </w:r>
      <w:r w:rsidRPr="00BC3304">
        <w:rPr>
          <w:noProof/>
        </w:rPr>
        <w:t>Use of consistent terminology on damage stability calculations in 9.3.x.15.2</w:t>
      </w:r>
      <w:r>
        <w:rPr>
          <w:noProof/>
          <w:webHidden/>
        </w:rPr>
        <w:tab/>
      </w:r>
      <w:r>
        <w:rPr>
          <w:noProof/>
          <w:webHidden/>
        </w:rPr>
        <w:tab/>
      </w:r>
      <w:r w:rsidR="0060182D">
        <w:rPr>
          <w:noProof/>
          <w:webHidden/>
        </w:rPr>
        <w:t>10</w:t>
      </w:r>
    </w:p>
    <w:p w14:paraId="1B157672" w14:textId="6392F946"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lastRenderedPageBreak/>
        <w:tab/>
      </w:r>
      <w:r>
        <w:rPr>
          <w:noProof/>
        </w:rPr>
        <w:tab/>
      </w:r>
      <w:r>
        <w:rPr>
          <w:noProof/>
        </w:rPr>
        <w:tab/>
      </w:r>
      <w:r w:rsidRPr="00BC3304">
        <w:rPr>
          <w:noProof/>
        </w:rPr>
        <w:t>15.</w:t>
      </w:r>
      <w:r>
        <w:rPr>
          <w:noProof/>
        </w:rPr>
        <w:tab/>
      </w:r>
      <w:r w:rsidRPr="00BC3304">
        <w:rPr>
          <w:noProof/>
        </w:rPr>
        <w:t>Use of consistent terminology on intact stability calculations in 9.3.x.14.2 (a) and (b)</w:t>
      </w:r>
      <w:r>
        <w:rPr>
          <w:noProof/>
          <w:webHidden/>
        </w:rPr>
        <w:tab/>
      </w:r>
      <w:r>
        <w:rPr>
          <w:noProof/>
          <w:webHidden/>
        </w:rPr>
        <w:tab/>
      </w:r>
      <w:r w:rsidR="0060182D">
        <w:rPr>
          <w:noProof/>
          <w:webHidden/>
        </w:rPr>
        <w:t>10</w:t>
      </w:r>
    </w:p>
    <w:p w14:paraId="0B3FF59C" w14:textId="2713FF9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16.</w:t>
      </w:r>
      <w:r>
        <w:rPr>
          <w:noProof/>
        </w:rPr>
        <w:tab/>
      </w:r>
      <w:r w:rsidRPr="00BC3304">
        <w:rPr>
          <w:noProof/>
        </w:rPr>
        <w:t>Table C - UN No. 1202, second entry on GAS OIL</w:t>
      </w:r>
      <w:r>
        <w:rPr>
          <w:noProof/>
          <w:webHidden/>
        </w:rPr>
        <w:tab/>
      </w:r>
      <w:r>
        <w:rPr>
          <w:noProof/>
          <w:webHidden/>
        </w:rPr>
        <w:tab/>
      </w:r>
      <w:r w:rsidR="0060182D">
        <w:rPr>
          <w:noProof/>
          <w:webHidden/>
        </w:rPr>
        <w:t>10</w:t>
      </w:r>
    </w:p>
    <w:p w14:paraId="2A8BC0FD" w14:textId="75297100"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17.</w:t>
      </w:r>
      <w:r>
        <w:rPr>
          <w:noProof/>
        </w:rPr>
        <w:tab/>
      </w:r>
      <w:r w:rsidRPr="00BC3304">
        <w:rPr>
          <w:noProof/>
        </w:rPr>
        <w:t>Proposal to correct two UN No. 3295 entries in Table C</w:t>
      </w:r>
      <w:r>
        <w:rPr>
          <w:noProof/>
          <w:webHidden/>
        </w:rPr>
        <w:tab/>
      </w:r>
      <w:r>
        <w:rPr>
          <w:noProof/>
          <w:webHidden/>
        </w:rPr>
        <w:tab/>
      </w:r>
      <w:r w:rsidR="0060182D">
        <w:rPr>
          <w:noProof/>
          <w:webHidden/>
        </w:rPr>
        <w:t>10</w:t>
      </w:r>
    </w:p>
    <w:p w14:paraId="54C7CAD1" w14:textId="00FB6D9C"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18.</w:t>
      </w:r>
      <w:r>
        <w:rPr>
          <w:noProof/>
        </w:rPr>
        <w:tab/>
      </w:r>
      <w:r w:rsidRPr="00BC3304">
        <w:rPr>
          <w:noProof/>
        </w:rPr>
        <w:t>Request for merging two UN 1202 entries into one</w:t>
      </w:r>
      <w:r>
        <w:rPr>
          <w:noProof/>
          <w:webHidden/>
        </w:rPr>
        <w:tab/>
      </w:r>
      <w:r>
        <w:rPr>
          <w:noProof/>
          <w:webHidden/>
        </w:rPr>
        <w:tab/>
      </w:r>
      <w:r w:rsidR="0060182D">
        <w:rPr>
          <w:noProof/>
          <w:webHidden/>
        </w:rPr>
        <w:t>11</w:t>
      </w:r>
    </w:p>
    <w:p w14:paraId="507A7FA8" w14:textId="49F4B98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19.</w:t>
      </w:r>
      <w:r>
        <w:rPr>
          <w:noProof/>
        </w:rPr>
        <w:tab/>
      </w:r>
      <w:r w:rsidRPr="00BC3304">
        <w:rPr>
          <w:noProof/>
        </w:rPr>
        <w:t>UN No. 1972 - Request to correct an inconsistency in Table C, Column (2)</w:t>
      </w:r>
      <w:r>
        <w:rPr>
          <w:noProof/>
          <w:webHidden/>
        </w:rPr>
        <w:tab/>
      </w:r>
      <w:r>
        <w:rPr>
          <w:noProof/>
          <w:webHidden/>
        </w:rPr>
        <w:tab/>
      </w:r>
      <w:r w:rsidR="0060182D">
        <w:rPr>
          <w:noProof/>
          <w:webHidden/>
        </w:rPr>
        <w:t>11</w:t>
      </w:r>
    </w:p>
    <w:p w14:paraId="00B5E073" w14:textId="27B3B80C" w:rsidR="00BC3304" w:rsidRDefault="00BC3304" w:rsidP="00BC3304">
      <w:pPr>
        <w:tabs>
          <w:tab w:val="right" w:pos="850"/>
          <w:tab w:val="left" w:pos="1134"/>
          <w:tab w:val="left" w:pos="1559"/>
          <w:tab w:val="left" w:pos="1984"/>
          <w:tab w:val="left" w:leader="dot" w:pos="8929"/>
          <w:tab w:val="right" w:pos="9638"/>
        </w:tabs>
        <w:spacing w:after="120"/>
        <w:ind w:left="1985" w:hanging="1985"/>
        <w:rPr>
          <w:noProof/>
        </w:rPr>
      </w:pPr>
      <w:r>
        <w:rPr>
          <w:noProof/>
        </w:rPr>
        <w:tab/>
      </w:r>
      <w:r>
        <w:rPr>
          <w:noProof/>
        </w:rPr>
        <w:tab/>
      </w:r>
      <w:r>
        <w:rPr>
          <w:noProof/>
        </w:rPr>
        <w:tab/>
      </w:r>
      <w:r w:rsidRPr="00BC3304">
        <w:rPr>
          <w:noProof/>
        </w:rPr>
        <w:t>20.</w:t>
      </w:r>
      <w:r>
        <w:rPr>
          <w:noProof/>
        </w:rPr>
        <w:tab/>
      </w:r>
      <w:r w:rsidRPr="00BC3304">
        <w:rPr>
          <w:noProof/>
        </w:rPr>
        <w:t xml:space="preserve">Minor conflict of allowed location of cooking and refrigeration appliances between </w:t>
      </w:r>
      <w:r>
        <w:rPr>
          <w:noProof/>
        </w:rPr>
        <w:br/>
      </w:r>
      <w:r w:rsidRPr="00BC3304">
        <w:rPr>
          <w:noProof/>
        </w:rPr>
        <w:t>ADN 7.2.3.41.2 and 9.3.x.41.2</w:t>
      </w:r>
      <w:r>
        <w:rPr>
          <w:noProof/>
          <w:webHidden/>
        </w:rPr>
        <w:tab/>
      </w:r>
      <w:r>
        <w:rPr>
          <w:noProof/>
          <w:webHidden/>
        </w:rPr>
        <w:tab/>
      </w:r>
      <w:r w:rsidR="0060182D">
        <w:rPr>
          <w:noProof/>
          <w:webHidden/>
        </w:rPr>
        <w:t>11</w:t>
      </w:r>
    </w:p>
    <w:p w14:paraId="5DCDC911" w14:textId="553F599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Pr="00BC3304">
        <w:rPr>
          <w:noProof/>
        </w:rPr>
        <w:t>21.</w:t>
      </w:r>
      <w:r>
        <w:rPr>
          <w:noProof/>
        </w:rPr>
        <w:tab/>
      </w:r>
      <w:r w:rsidRPr="00BC3304">
        <w:rPr>
          <w:noProof/>
        </w:rPr>
        <w:t>Certificate of approval for dry cargo vessels</w:t>
      </w:r>
      <w:r>
        <w:rPr>
          <w:noProof/>
          <w:webHidden/>
        </w:rPr>
        <w:tab/>
      </w:r>
      <w:r>
        <w:rPr>
          <w:noProof/>
          <w:webHidden/>
        </w:rPr>
        <w:tab/>
      </w:r>
      <w:r w:rsidR="0060182D">
        <w:rPr>
          <w:noProof/>
          <w:webHidden/>
        </w:rPr>
        <w:t>11</w:t>
      </w:r>
    </w:p>
    <w:p w14:paraId="5D217FFD" w14:textId="644587B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VII.</w:t>
      </w:r>
      <w:r>
        <w:rPr>
          <w:noProof/>
        </w:rPr>
        <w:tab/>
      </w:r>
      <w:r w:rsidRPr="00BC3304">
        <w:rPr>
          <w:noProof/>
        </w:rPr>
        <w:t>Reports of informal working groups (agenda item 5)</w:t>
      </w:r>
      <w:r>
        <w:rPr>
          <w:noProof/>
          <w:webHidden/>
        </w:rPr>
        <w:tab/>
      </w:r>
      <w:r>
        <w:rPr>
          <w:noProof/>
          <w:webHidden/>
        </w:rPr>
        <w:tab/>
      </w:r>
      <w:r w:rsidR="0060182D">
        <w:rPr>
          <w:noProof/>
          <w:webHidden/>
        </w:rPr>
        <w:t>11</w:t>
      </w:r>
    </w:p>
    <w:p w14:paraId="6937F5F5" w14:textId="052AC7D5" w:rsidR="00BC3304" w:rsidRDefault="00BC3304" w:rsidP="00BC3304">
      <w:pPr>
        <w:tabs>
          <w:tab w:val="right" w:pos="850"/>
          <w:tab w:val="left" w:pos="1134"/>
          <w:tab w:val="left" w:pos="1559"/>
          <w:tab w:val="left" w:pos="1701"/>
          <w:tab w:val="left" w:pos="1984"/>
          <w:tab w:val="left" w:leader="dot" w:pos="8929"/>
          <w:tab w:val="right" w:pos="9638"/>
        </w:tabs>
        <w:spacing w:after="120"/>
        <w:ind w:left="1560" w:hanging="1560"/>
        <w:rPr>
          <w:noProof/>
        </w:rPr>
      </w:pPr>
      <w:r>
        <w:rPr>
          <w:noProof/>
        </w:rPr>
        <w:tab/>
      </w:r>
      <w:r>
        <w:rPr>
          <w:noProof/>
        </w:rPr>
        <w:tab/>
      </w:r>
      <w:r w:rsidRPr="00BC3304">
        <w:rPr>
          <w:noProof/>
        </w:rPr>
        <w:t>A.</w:t>
      </w:r>
      <w:r>
        <w:rPr>
          <w:noProof/>
        </w:rPr>
        <w:tab/>
      </w:r>
      <w:r w:rsidRPr="00BC3304">
        <w:rPr>
          <w:noProof/>
        </w:rPr>
        <w:t xml:space="preserve">Report of the twenty-first meeting of the Group of Recommended </w:t>
      </w:r>
      <w:r>
        <w:rPr>
          <w:noProof/>
        </w:rPr>
        <w:br/>
      </w:r>
      <w:r w:rsidRPr="00BC3304">
        <w:rPr>
          <w:noProof/>
        </w:rPr>
        <w:t>ADN Classification Societies</w:t>
      </w:r>
      <w:r>
        <w:rPr>
          <w:noProof/>
          <w:webHidden/>
        </w:rPr>
        <w:tab/>
      </w:r>
      <w:r>
        <w:rPr>
          <w:noProof/>
          <w:webHidden/>
        </w:rPr>
        <w:tab/>
      </w:r>
      <w:r w:rsidR="0060182D">
        <w:rPr>
          <w:noProof/>
          <w:webHidden/>
        </w:rPr>
        <w:t>11</w:t>
      </w:r>
    </w:p>
    <w:p w14:paraId="5E4E5683" w14:textId="6ED67669"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Report of the third meeting of the informal working group on “loading on top of barges”</w:t>
      </w:r>
      <w:r>
        <w:rPr>
          <w:noProof/>
          <w:webHidden/>
        </w:rPr>
        <w:tab/>
      </w:r>
      <w:r>
        <w:rPr>
          <w:noProof/>
          <w:webHidden/>
        </w:rPr>
        <w:tab/>
      </w:r>
      <w:r w:rsidR="0060182D">
        <w:rPr>
          <w:noProof/>
          <w:webHidden/>
        </w:rPr>
        <w:t>12</w:t>
      </w:r>
    </w:p>
    <w:p w14:paraId="5328A2C3" w14:textId="5EC5DB75"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VIII.</w:t>
      </w:r>
      <w:r>
        <w:rPr>
          <w:noProof/>
        </w:rPr>
        <w:tab/>
      </w:r>
      <w:r w:rsidRPr="00BC3304">
        <w:rPr>
          <w:noProof/>
        </w:rPr>
        <w:t>Programme of work and calendar of meetings (agenda item 6)</w:t>
      </w:r>
      <w:r>
        <w:rPr>
          <w:noProof/>
          <w:webHidden/>
        </w:rPr>
        <w:tab/>
      </w:r>
      <w:r>
        <w:rPr>
          <w:noProof/>
          <w:webHidden/>
        </w:rPr>
        <w:tab/>
      </w:r>
      <w:r w:rsidR="0060182D">
        <w:rPr>
          <w:noProof/>
          <w:webHidden/>
        </w:rPr>
        <w:t>13</w:t>
      </w:r>
    </w:p>
    <w:p w14:paraId="58F8F06D" w14:textId="70EEC9AB"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IX.</w:t>
      </w:r>
      <w:r>
        <w:rPr>
          <w:noProof/>
        </w:rPr>
        <w:tab/>
      </w:r>
      <w:r w:rsidRPr="00BC3304">
        <w:rPr>
          <w:noProof/>
        </w:rPr>
        <w:t>Any other business (agenda item 7)</w:t>
      </w:r>
      <w:r>
        <w:rPr>
          <w:noProof/>
          <w:webHidden/>
        </w:rPr>
        <w:tab/>
      </w:r>
      <w:r>
        <w:rPr>
          <w:noProof/>
          <w:webHidden/>
        </w:rPr>
        <w:tab/>
      </w:r>
      <w:r w:rsidR="0060182D">
        <w:rPr>
          <w:noProof/>
          <w:webHidden/>
        </w:rPr>
        <w:t>13</w:t>
      </w:r>
    </w:p>
    <w:p w14:paraId="612C5A6A" w14:textId="7B10D667"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A.</w:t>
      </w:r>
      <w:r>
        <w:rPr>
          <w:noProof/>
        </w:rPr>
        <w:tab/>
      </w:r>
      <w:r w:rsidRPr="00BC3304">
        <w:rPr>
          <w:noProof/>
        </w:rPr>
        <w:t>Rules of Procedure for the ADN Safety Committee</w:t>
      </w:r>
      <w:r>
        <w:rPr>
          <w:noProof/>
          <w:webHidden/>
        </w:rPr>
        <w:tab/>
      </w:r>
      <w:r>
        <w:rPr>
          <w:noProof/>
          <w:webHidden/>
        </w:rPr>
        <w:tab/>
      </w:r>
      <w:r w:rsidR="0060182D">
        <w:rPr>
          <w:noProof/>
          <w:webHidden/>
        </w:rPr>
        <w:t>13</w:t>
      </w:r>
    </w:p>
    <w:p w14:paraId="6C437522" w14:textId="06F504CE"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B.</w:t>
      </w:r>
      <w:r>
        <w:rPr>
          <w:noProof/>
        </w:rPr>
        <w:tab/>
      </w:r>
      <w:r w:rsidRPr="00BC3304">
        <w:rPr>
          <w:noProof/>
        </w:rPr>
        <w:t>Information on funding opportunities for “greening” the transport of dangerous goods</w:t>
      </w:r>
      <w:r>
        <w:rPr>
          <w:noProof/>
          <w:webHidden/>
        </w:rPr>
        <w:tab/>
      </w:r>
      <w:r>
        <w:rPr>
          <w:noProof/>
          <w:webHidden/>
        </w:rPr>
        <w:tab/>
      </w:r>
      <w:r w:rsidR="0060182D">
        <w:rPr>
          <w:noProof/>
          <w:webHidden/>
        </w:rPr>
        <w:t>13</w:t>
      </w:r>
    </w:p>
    <w:p w14:paraId="39E1AB3B" w14:textId="3B644320"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Pr="00BC3304">
        <w:rPr>
          <w:noProof/>
        </w:rPr>
        <w:t>C.</w:t>
      </w:r>
      <w:r>
        <w:rPr>
          <w:noProof/>
        </w:rPr>
        <w:tab/>
      </w:r>
      <w:r w:rsidRPr="00BC3304">
        <w:rPr>
          <w:noProof/>
        </w:rPr>
        <w:t>Transport Community</w:t>
      </w:r>
      <w:r>
        <w:rPr>
          <w:noProof/>
          <w:webHidden/>
        </w:rPr>
        <w:tab/>
      </w:r>
      <w:r>
        <w:rPr>
          <w:noProof/>
          <w:webHidden/>
        </w:rPr>
        <w:tab/>
      </w:r>
      <w:r w:rsidR="0060182D">
        <w:rPr>
          <w:noProof/>
          <w:webHidden/>
        </w:rPr>
        <w:t>14</w:t>
      </w:r>
    </w:p>
    <w:p w14:paraId="2172C0B1" w14:textId="578E17C2" w:rsidR="00BC3304" w:rsidRDefault="00BC3304" w:rsidP="00BC3304">
      <w:pPr>
        <w:tabs>
          <w:tab w:val="right" w:pos="850"/>
          <w:tab w:val="left" w:pos="1134"/>
          <w:tab w:val="left" w:pos="1559"/>
          <w:tab w:val="left" w:pos="1984"/>
          <w:tab w:val="left" w:leader="dot" w:pos="8929"/>
          <w:tab w:val="right" w:pos="9638"/>
        </w:tabs>
        <w:spacing w:after="120"/>
        <w:rPr>
          <w:noProof/>
        </w:rPr>
      </w:pPr>
      <w:r>
        <w:rPr>
          <w:noProof/>
        </w:rPr>
        <w:tab/>
      </w:r>
      <w:r w:rsidRPr="00BC3304">
        <w:rPr>
          <w:noProof/>
        </w:rPr>
        <w:t>X.</w:t>
      </w:r>
      <w:r>
        <w:rPr>
          <w:noProof/>
        </w:rPr>
        <w:tab/>
      </w:r>
      <w:r w:rsidRPr="00BC3304">
        <w:rPr>
          <w:noProof/>
        </w:rPr>
        <w:t>Adoption of the report (agenda item 8)</w:t>
      </w:r>
      <w:r>
        <w:rPr>
          <w:noProof/>
          <w:webHidden/>
        </w:rPr>
        <w:tab/>
      </w:r>
      <w:r>
        <w:rPr>
          <w:noProof/>
          <w:webHidden/>
        </w:rPr>
        <w:tab/>
      </w:r>
      <w:r w:rsidR="0060182D">
        <w:rPr>
          <w:noProof/>
          <w:webHidden/>
        </w:rPr>
        <w:t>14</w:t>
      </w:r>
    </w:p>
    <w:p w14:paraId="0BB358DD" w14:textId="50A19D47" w:rsidR="001C6663" w:rsidRDefault="00072D30" w:rsidP="005A39E7">
      <w:pPr>
        <w:spacing w:after="120"/>
      </w:pPr>
      <w:r>
        <w:t>Annexes</w:t>
      </w:r>
    </w:p>
    <w:p w14:paraId="527B720F" w14:textId="5670135B" w:rsidR="00072D30" w:rsidRDefault="00181181" w:rsidP="00181181">
      <w:pPr>
        <w:tabs>
          <w:tab w:val="right" w:pos="850"/>
          <w:tab w:val="left" w:pos="1134"/>
          <w:tab w:val="left" w:pos="1559"/>
          <w:tab w:val="left" w:pos="1984"/>
          <w:tab w:val="left" w:leader="dot" w:pos="8929"/>
          <w:tab w:val="right" w:pos="9638"/>
        </w:tabs>
        <w:spacing w:after="120"/>
      </w:pPr>
      <w:r>
        <w:tab/>
        <w:t>I.</w:t>
      </w:r>
      <w:r>
        <w:tab/>
      </w:r>
      <w:r w:rsidRPr="00BA345B">
        <w:rPr>
          <w:spacing w:val="-2"/>
        </w:rPr>
        <w:t xml:space="preserve">Proposed </w:t>
      </w:r>
      <w:r w:rsidRPr="00BA345B">
        <w:rPr>
          <w:noProof/>
          <w:spacing w:val="-2"/>
        </w:rPr>
        <w:t>amendments</w:t>
      </w:r>
      <w:r w:rsidRPr="00BA345B">
        <w:rPr>
          <w:spacing w:val="-2"/>
        </w:rPr>
        <w:t xml:space="preserve"> to the Regulations annexed to ADN for entry into force on 1 January 2023</w:t>
      </w:r>
      <w:r>
        <w:tab/>
      </w:r>
      <w:r w:rsidR="00BA345B">
        <w:tab/>
      </w:r>
      <w:r>
        <w:t>15</w:t>
      </w:r>
    </w:p>
    <w:p w14:paraId="4C26D73C" w14:textId="031B0087" w:rsidR="00181181" w:rsidRDefault="00181181" w:rsidP="00181181">
      <w:pPr>
        <w:tabs>
          <w:tab w:val="right" w:pos="850"/>
          <w:tab w:val="left" w:pos="1134"/>
          <w:tab w:val="left" w:pos="1559"/>
          <w:tab w:val="left" w:pos="1984"/>
          <w:tab w:val="left" w:leader="dot" w:pos="8929"/>
          <w:tab w:val="right" w:pos="9638"/>
        </w:tabs>
        <w:spacing w:after="120"/>
      </w:pPr>
      <w:r>
        <w:tab/>
        <w:t>II.</w:t>
      </w:r>
      <w:r>
        <w:tab/>
      </w:r>
      <w:r w:rsidRPr="00181181">
        <w:t>Corrections to ECE/TRANS/301 (ADN 2021 publication)</w:t>
      </w:r>
      <w:r>
        <w:tab/>
      </w:r>
      <w:r>
        <w:tab/>
        <w:t>22</w:t>
      </w:r>
    </w:p>
    <w:p w14:paraId="0771F175" w14:textId="0A51C158" w:rsidR="001E24FD" w:rsidRDefault="001E24FD" w:rsidP="001E24FD">
      <w:pPr>
        <w:spacing w:before="120"/>
      </w:pPr>
      <w:r>
        <w:br w:type="page"/>
      </w:r>
    </w:p>
    <w:p w14:paraId="3A120518" w14:textId="77777777" w:rsidR="001E24FD" w:rsidRPr="00F11B71" w:rsidRDefault="001E24FD" w:rsidP="003064DA">
      <w:pPr>
        <w:pStyle w:val="HChG"/>
      </w:pPr>
      <w:r w:rsidRPr="00F11B71">
        <w:lastRenderedPageBreak/>
        <w:tab/>
      </w:r>
      <w:bookmarkStart w:id="8" w:name="_Toc81410355"/>
      <w:r w:rsidRPr="00F11B71">
        <w:t>I.</w:t>
      </w:r>
      <w:r w:rsidRPr="00F11B71">
        <w:tab/>
      </w:r>
      <w:r w:rsidRPr="003064DA">
        <w:t>Attendance</w:t>
      </w:r>
      <w:bookmarkEnd w:id="8"/>
    </w:p>
    <w:p w14:paraId="605A492D" w14:textId="77777777" w:rsidR="001E24FD" w:rsidRPr="00F11B71" w:rsidRDefault="001E24FD" w:rsidP="001E24FD">
      <w:pPr>
        <w:pStyle w:val="SingleTxtG"/>
      </w:pPr>
      <w:bookmarkStart w:id="9" w:name="_Hlk18340908"/>
      <w:r w:rsidRPr="00F11B71">
        <w:t>1.</w:t>
      </w:r>
      <w:r w:rsidRPr="00F11B71">
        <w:tab/>
        <w:t>The Joint Meeting of Experts on the Regulations annexed to the European Agreement concerning the International Carriage of Dangerous Goods by Inland Waterways (ADN) (ADN Safety Committee) held its thirty-</w:t>
      </w:r>
      <w:r>
        <w:t>eighth</w:t>
      </w:r>
      <w:r w:rsidRPr="00F11B71">
        <w:t xml:space="preserve"> session in Geneva from 2</w:t>
      </w:r>
      <w:r>
        <w:t>3</w:t>
      </w:r>
      <w:r w:rsidRPr="00F11B71">
        <w:t xml:space="preserve"> to </w:t>
      </w:r>
      <w:r>
        <w:t>27</w:t>
      </w:r>
      <w:r w:rsidRPr="00F11B71">
        <w:t xml:space="preserve"> August 20</w:t>
      </w:r>
      <w:r>
        <w:t>2</w:t>
      </w:r>
      <w:r w:rsidRPr="00F11B71">
        <w:t xml:space="preserve">1, </w:t>
      </w:r>
      <w:bookmarkStart w:id="10" w:name="_Hlk18487351"/>
      <w:r w:rsidRPr="00F11B71">
        <w:rPr>
          <w:w w:val="103"/>
        </w:rPr>
        <w:t xml:space="preserve">with Mr. H. </w:t>
      </w:r>
      <w:proofErr w:type="spellStart"/>
      <w:r w:rsidRPr="00F11B71">
        <w:t>Langenberg</w:t>
      </w:r>
      <w:proofErr w:type="spellEnd"/>
      <w:r w:rsidRPr="00F11B71">
        <w:rPr>
          <w:w w:val="103"/>
        </w:rPr>
        <w:t xml:space="preserve"> (Netherlands) as Chair and Mr. B. </w:t>
      </w:r>
      <w:proofErr w:type="spellStart"/>
      <w:r w:rsidRPr="00F11B71">
        <w:rPr>
          <w:w w:val="103"/>
        </w:rPr>
        <w:t>Birklhuber</w:t>
      </w:r>
      <w:proofErr w:type="spellEnd"/>
      <w:r w:rsidRPr="00F11B71">
        <w:rPr>
          <w:w w:val="103"/>
        </w:rPr>
        <w:t xml:space="preserve"> (Austria) as Vice-Chair</w:t>
      </w:r>
      <w:r w:rsidRPr="00F11B71">
        <w:t>.</w:t>
      </w:r>
      <w:bookmarkEnd w:id="10"/>
      <w:r w:rsidRPr="00F11B71">
        <w:t xml:space="preserve"> </w:t>
      </w:r>
    </w:p>
    <w:p w14:paraId="02B62CED" w14:textId="49CC1E28" w:rsidR="001E24FD" w:rsidRPr="00041C55" w:rsidRDefault="001E24FD" w:rsidP="001E24FD">
      <w:pPr>
        <w:pStyle w:val="SingleTxtG"/>
      </w:pPr>
      <w:r w:rsidRPr="00F11B71">
        <w:t>2.</w:t>
      </w:r>
      <w:r w:rsidRPr="00F11B71">
        <w:tab/>
        <w:t xml:space="preserve">Representatives of the following countries took part in the work of the session: Austria, Belgium, Bulgaria, </w:t>
      </w:r>
      <w:r w:rsidRPr="00041C55">
        <w:t xml:space="preserve">Czech Republic, France, Germany, Luxembourg, Netherlands, Poland, Romania, Russian Federation, Slovakia and Switzerland. </w:t>
      </w:r>
    </w:p>
    <w:p w14:paraId="21E630F4" w14:textId="36ADC87D" w:rsidR="001E24FD" w:rsidRPr="00F11B71" w:rsidRDefault="001E24FD" w:rsidP="001E24FD">
      <w:pPr>
        <w:pStyle w:val="SingleTxtG"/>
      </w:pPr>
      <w:r w:rsidRPr="00041C55">
        <w:t>3.</w:t>
      </w:r>
      <w:r w:rsidRPr="00041C55">
        <w:tab/>
        <w:t>The following intergovernmental organi</w:t>
      </w:r>
      <w:r w:rsidRPr="00F11B71">
        <w:t>zations were represented: the Central Commission for the Navigation of the Rhine (CCNR), the Danube Commission</w:t>
      </w:r>
      <w:r>
        <w:t>,</w:t>
      </w:r>
      <w:r w:rsidRPr="00F11B71">
        <w:t xml:space="preserve"> the European Union</w:t>
      </w:r>
      <w:r>
        <w:t xml:space="preserve"> and the Transport Community</w:t>
      </w:r>
      <w:r w:rsidRPr="00F11B71">
        <w:t>.</w:t>
      </w:r>
    </w:p>
    <w:p w14:paraId="16F0C49B" w14:textId="0B80EDAF" w:rsidR="001E24FD" w:rsidRPr="00F11B71" w:rsidRDefault="001E24FD" w:rsidP="001E24FD">
      <w:pPr>
        <w:pStyle w:val="SingleTxtG"/>
      </w:pPr>
      <w:r w:rsidRPr="00F11B71">
        <w:t>4.</w:t>
      </w:r>
      <w:r w:rsidRPr="00F11B71">
        <w:tab/>
        <w:t>The following non-governmental organizations were also represented:</w:t>
      </w:r>
      <w:r w:rsidR="00DD1F72">
        <w:t xml:space="preserve"> </w:t>
      </w:r>
      <w:r w:rsidRPr="00F11B71">
        <w:t>European Barge Union (EBU), European Chemical Industry Council (</w:t>
      </w:r>
      <w:proofErr w:type="spellStart"/>
      <w:r w:rsidRPr="00F11B71">
        <w:t>C</w:t>
      </w:r>
      <w:r w:rsidR="00A61B55">
        <w:t>efic</w:t>
      </w:r>
      <w:proofErr w:type="spellEnd"/>
      <w:r w:rsidRPr="00F11B71">
        <w:t xml:space="preserve">), European Skippers Organisation (ESO), Federation of European Tank Storage Associations (FETSA), </w:t>
      </w:r>
      <w:proofErr w:type="spellStart"/>
      <w:r w:rsidRPr="00F11B71">
        <w:t>FuelsEurope</w:t>
      </w:r>
      <w:proofErr w:type="spellEnd"/>
      <w:r w:rsidRPr="00F11B71">
        <w:t xml:space="preserve">, </w:t>
      </w:r>
      <w:r w:rsidRPr="00084BE5">
        <w:t>Grain and Feed Trade Association</w:t>
      </w:r>
      <w:r>
        <w:t xml:space="preserve"> (GAFTA), </w:t>
      </w:r>
      <w:r w:rsidRPr="00F11B71">
        <w:t xml:space="preserve">International Committee for the Prevention of Work Accidents in Inland Navigation (CIPA) and </w:t>
      </w:r>
      <w:r w:rsidR="008501C7">
        <w:t xml:space="preserve">the </w:t>
      </w:r>
      <w:r w:rsidR="008501C7" w:rsidRPr="008501C7">
        <w:t>Group of the Recommended ADN Classification Societies</w:t>
      </w:r>
      <w:r w:rsidRPr="00F11B71">
        <w:t>.</w:t>
      </w:r>
    </w:p>
    <w:p w14:paraId="2DB32F1F" w14:textId="77777777" w:rsidR="001E24FD" w:rsidRPr="00F11B71" w:rsidRDefault="001E24FD" w:rsidP="003064DA">
      <w:pPr>
        <w:pStyle w:val="HChG"/>
      </w:pPr>
      <w:r w:rsidRPr="00F11B71">
        <w:tab/>
      </w:r>
      <w:bookmarkStart w:id="11" w:name="_Toc81410356"/>
      <w:r w:rsidRPr="00F11B71">
        <w:t>II.</w:t>
      </w:r>
      <w:r w:rsidRPr="00F11B71">
        <w:tab/>
      </w:r>
      <w:r>
        <w:t xml:space="preserve">Organizational </w:t>
      </w:r>
      <w:r w:rsidRPr="003064DA">
        <w:t>matters</w:t>
      </w:r>
      <w:bookmarkEnd w:id="11"/>
    </w:p>
    <w:p w14:paraId="4E2396AC" w14:textId="6FB44CD1" w:rsidR="001E24FD" w:rsidRPr="00F11B71" w:rsidRDefault="001E24FD" w:rsidP="001E24FD">
      <w:pPr>
        <w:pStyle w:val="SingleTxtG"/>
      </w:pPr>
      <w:r w:rsidRPr="00F11B71">
        <w:t>5.</w:t>
      </w:r>
      <w:r w:rsidRPr="00F11B71">
        <w:tab/>
      </w:r>
      <w:r>
        <w:t xml:space="preserve">The </w:t>
      </w:r>
      <w:r w:rsidR="00A6013E">
        <w:t>Safety</w:t>
      </w:r>
      <w:r w:rsidR="007B5A21">
        <w:t xml:space="preserve"> </w:t>
      </w:r>
      <w:r>
        <w:t>Committee was informed that</w:t>
      </w:r>
      <w:r w:rsidRPr="00B93615">
        <w:t xml:space="preserve"> </w:t>
      </w:r>
      <w:r>
        <w:t xml:space="preserve">due </w:t>
      </w:r>
      <w:r w:rsidRPr="00B93615">
        <w:t xml:space="preserve">to a combination of COVID-19 response measures, financial constraints triggered by the United Nations liquidity crisis, ongoing renovation work at the Palais des Nations under the strategic heritage plan and technical constraints related to the number of meeting rooms available for hybrid meetings, the share of meetings with interpretation allocated to the Economic Commission for Europe was reduced from </w:t>
      </w:r>
      <w:r>
        <w:t xml:space="preserve">the usual </w:t>
      </w:r>
      <w:r w:rsidRPr="00B93615">
        <w:t xml:space="preserve">three meetings per day to just one per day for the first </w:t>
      </w:r>
      <w:r>
        <w:t>half</w:t>
      </w:r>
      <w:r w:rsidRPr="00B93615">
        <w:t xml:space="preserve"> of 2021.</w:t>
      </w:r>
      <w:r>
        <w:t xml:space="preserve"> For the second half, </w:t>
      </w:r>
      <w:r w:rsidR="00AB3A69">
        <w:t>UN</w:t>
      </w:r>
      <w:r>
        <w:t>ECE is trying to revert to normal business and increased under certain circumstances the duration of the morning or afternoon hybrid meetings (limited to two hours) to the usual three hours.</w:t>
      </w:r>
      <w:r w:rsidRPr="00B93615">
        <w:t xml:space="preserve"> Taking into account those factors and the quarantine and travel restrictions </w:t>
      </w:r>
      <w:r>
        <w:t xml:space="preserve">still </w:t>
      </w:r>
      <w:r w:rsidRPr="00B93615">
        <w:t xml:space="preserve">in force, and after consultation with the secretariat and conference services of the United Nations Office at Geneva, the officers of the </w:t>
      </w:r>
      <w:r w:rsidR="009A5B29">
        <w:t xml:space="preserve">Safety </w:t>
      </w:r>
      <w:r>
        <w:t xml:space="preserve">Committee </w:t>
      </w:r>
      <w:r w:rsidRPr="00B93615">
        <w:t xml:space="preserve">agreed to adapt </w:t>
      </w:r>
      <w:r>
        <w:t xml:space="preserve">again </w:t>
      </w:r>
      <w:r w:rsidRPr="00B93615">
        <w:t xml:space="preserve">the format of the </w:t>
      </w:r>
      <w:r>
        <w:t>thirty-eigh</w:t>
      </w:r>
      <w:r w:rsidRPr="00B93615">
        <w:t>th session</w:t>
      </w:r>
      <w:r>
        <w:t>.</w:t>
      </w:r>
    </w:p>
    <w:bookmarkEnd w:id="9"/>
    <w:p w14:paraId="4658193A" w14:textId="77777777" w:rsidR="001E24FD" w:rsidRPr="00F11B71" w:rsidRDefault="001E24FD" w:rsidP="003064DA">
      <w:pPr>
        <w:pStyle w:val="HChG"/>
      </w:pPr>
      <w:r w:rsidRPr="00F11B71">
        <w:tab/>
      </w:r>
      <w:bookmarkStart w:id="12" w:name="_Toc81410357"/>
      <w:r w:rsidRPr="00F11B71">
        <w:t>III.</w:t>
      </w:r>
      <w:r w:rsidRPr="00F11B71">
        <w:tab/>
        <w:t>Adoption of the agenda (</w:t>
      </w:r>
      <w:r w:rsidRPr="003064DA">
        <w:t>agenda</w:t>
      </w:r>
      <w:r w:rsidRPr="00F11B71">
        <w:t xml:space="preserve"> item 1)</w:t>
      </w:r>
      <w:bookmarkEnd w:id="12"/>
    </w:p>
    <w:p w14:paraId="3CCCB09E" w14:textId="77777777" w:rsidR="001E24FD" w:rsidRPr="00F11B71" w:rsidRDefault="001E24FD" w:rsidP="001E24FD">
      <w:pPr>
        <w:pStyle w:val="SingleTxtG"/>
        <w:tabs>
          <w:tab w:val="left" w:pos="2835"/>
        </w:tabs>
      </w:pPr>
      <w:r w:rsidRPr="00F11B71">
        <w:rPr>
          <w:i/>
          <w:lang w:eastAsia="en-US"/>
        </w:rPr>
        <w:t>Documents</w:t>
      </w:r>
      <w:r w:rsidRPr="00F11B71">
        <w:rPr>
          <w:i/>
        </w:rPr>
        <w:t>:</w:t>
      </w:r>
      <w:r w:rsidRPr="00F11B71">
        <w:tab/>
        <w:t>ECE/TRANS/WP.15/AC.2/7</w:t>
      </w:r>
      <w:r>
        <w:t>7</w:t>
      </w:r>
      <w:r w:rsidRPr="00F11B71">
        <w:t xml:space="preserve"> and Add.1</w:t>
      </w:r>
    </w:p>
    <w:p w14:paraId="13A0827B" w14:textId="77777777" w:rsidR="001E24FD" w:rsidRPr="00F11B71" w:rsidRDefault="001E24FD" w:rsidP="001E24FD">
      <w:pPr>
        <w:pStyle w:val="SingleTxtG"/>
      </w:pPr>
      <w:r w:rsidRPr="00F11B71">
        <w:rPr>
          <w:i/>
          <w:lang w:eastAsia="en-US"/>
        </w:rPr>
        <w:t>Informal</w:t>
      </w:r>
      <w:r w:rsidRPr="00F11B71">
        <w:t xml:space="preserve"> </w:t>
      </w:r>
      <w:r w:rsidRPr="00F11B71">
        <w:rPr>
          <w:i/>
        </w:rPr>
        <w:t>document:</w:t>
      </w:r>
      <w:r w:rsidRPr="00F11B71">
        <w:tab/>
        <w:t>INF.1 (Secretariat)</w:t>
      </w:r>
    </w:p>
    <w:p w14:paraId="0FBA5D70" w14:textId="7C79345D" w:rsidR="001E24FD" w:rsidRPr="00F11B71" w:rsidRDefault="001E24FD" w:rsidP="001E24FD">
      <w:pPr>
        <w:pStyle w:val="SingleTxtG"/>
      </w:pPr>
      <w:r w:rsidRPr="00F11B71">
        <w:t>6.</w:t>
      </w:r>
      <w:r w:rsidRPr="00F11B71">
        <w:tab/>
        <w:t>The Safety Committee adopted the agenda prepared by the secretariat, as amended by informal document INF.1 to take account of informal documents INF.2 to INF.</w:t>
      </w:r>
      <w:r>
        <w:t>20</w:t>
      </w:r>
      <w:r w:rsidRPr="00F11B71">
        <w:t>.</w:t>
      </w:r>
    </w:p>
    <w:p w14:paraId="7B9F405D" w14:textId="77777777" w:rsidR="001E24FD" w:rsidRPr="00F11B71" w:rsidRDefault="001E24FD" w:rsidP="003064DA">
      <w:pPr>
        <w:pStyle w:val="HChG"/>
      </w:pPr>
      <w:r w:rsidRPr="00F11B71">
        <w:tab/>
      </w:r>
      <w:bookmarkStart w:id="13" w:name="_Toc81410358"/>
      <w:r w:rsidRPr="00F11B71">
        <w:t>IV.</w:t>
      </w:r>
      <w:r w:rsidRPr="00F11B71">
        <w:tab/>
        <w:t xml:space="preserve">Matters arising from the </w:t>
      </w:r>
      <w:r w:rsidRPr="003064DA">
        <w:t>work</w:t>
      </w:r>
      <w:r w:rsidRPr="00F11B71">
        <w:t xml:space="preserve"> of United Nations bodies or other organizations (agenda item 2)</w:t>
      </w:r>
      <w:bookmarkEnd w:id="13"/>
    </w:p>
    <w:p w14:paraId="27753635" w14:textId="77777777" w:rsidR="001E24FD" w:rsidRDefault="001E24FD" w:rsidP="003064DA">
      <w:pPr>
        <w:pStyle w:val="H1G"/>
      </w:pPr>
      <w:r>
        <w:tab/>
      </w:r>
      <w:bookmarkStart w:id="14" w:name="_Toc81410359"/>
      <w:r>
        <w:t>A.</w:t>
      </w:r>
      <w:r>
        <w:tab/>
        <w:t xml:space="preserve">Work of the Inland Transport </w:t>
      </w:r>
      <w:r w:rsidRPr="003064DA">
        <w:t>Committee</w:t>
      </w:r>
      <w:bookmarkEnd w:id="14"/>
    </w:p>
    <w:p w14:paraId="56AD63FF" w14:textId="50DACCA5" w:rsidR="001E24FD" w:rsidRDefault="001E24FD" w:rsidP="001E24FD">
      <w:pPr>
        <w:pStyle w:val="SingleTxtG"/>
        <w:rPr>
          <w:bCs/>
          <w:i/>
          <w:iCs/>
        </w:rPr>
      </w:pPr>
      <w:r>
        <w:t>7.</w:t>
      </w:r>
      <w:r>
        <w:tab/>
        <w:t>The Safety Committee was informed that the eighty-third session of the Inland Transport Committee (ITC) was held in Geneva from 23 to 26 February 2021. T</w:t>
      </w:r>
      <w:r w:rsidRPr="00F6644E">
        <w:t xml:space="preserve">he ITC </w:t>
      </w:r>
      <w:r>
        <w:t xml:space="preserve">session </w:t>
      </w:r>
      <w:r w:rsidRPr="00F6644E">
        <w:t xml:space="preserve">covered </w:t>
      </w:r>
      <w:r>
        <w:t>areas</w:t>
      </w:r>
      <w:r w:rsidRPr="00F6644E">
        <w:t xml:space="preserve"> of global importance</w:t>
      </w:r>
      <w:r>
        <w:t xml:space="preserve"> </w:t>
      </w:r>
      <w:r w:rsidRPr="00F6644E">
        <w:t>such as road safety, autonomous vehicles, and transport digitalization</w:t>
      </w:r>
      <w:r>
        <w:t xml:space="preserve"> as well as </w:t>
      </w:r>
      <w:r w:rsidRPr="00F6644E">
        <w:t xml:space="preserve">the implementation of the ITC Strategy until 2030. </w:t>
      </w:r>
      <w:r>
        <w:t xml:space="preserve">The list of decision may be consulted in ITC informal document INF.8 and more detailed information is available in the sessions report (ECE/TRANS/304) at the UNECE website. The </w:t>
      </w:r>
      <w:r>
        <w:lastRenderedPageBreak/>
        <w:t>forthcoming session of ITC is scheduled to be held from 22-25 February 2022 and the Committee will celebrate its seventy-fifth anniversary.</w:t>
      </w:r>
    </w:p>
    <w:p w14:paraId="54E2182F" w14:textId="77777777" w:rsidR="001E24FD" w:rsidRDefault="001E24FD" w:rsidP="003064DA">
      <w:pPr>
        <w:pStyle w:val="H1G"/>
      </w:pPr>
      <w:r>
        <w:tab/>
      </w:r>
      <w:bookmarkStart w:id="15" w:name="_Toc81410360"/>
      <w:r>
        <w:t>B.</w:t>
      </w:r>
      <w:r>
        <w:tab/>
        <w:t xml:space="preserve">Status on stability </w:t>
      </w:r>
      <w:r w:rsidRPr="003064DA">
        <w:t>booklet</w:t>
      </w:r>
      <w:r>
        <w:t xml:space="preserve"> requirements</w:t>
      </w:r>
      <w:bookmarkEnd w:id="15"/>
    </w:p>
    <w:p w14:paraId="00C6A828" w14:textId="731F694D" w:rsidR="001E24FD" w:rsidRPr="00F11B71" w:rsidRDefault="001E24FD" w:rsidP="00BC3304">
      <w:pPr>
        <w:pStyle w:val="SingleTxtG"/>
        <w:rPr>
          <w:b/>
        </w:rPr>
      </w:pPr>
      <w:r w:rsidRPr="00BC3304">
        <w:rPr>
          <w:i/>
          <w:iCs/>
        </w:rPr>
        <w:tab/>
      </w:r>
      <w:bookmarkStart w:id="16" w:name="_Toc81410361"/>
      <w:r w:rsidRPr="00BC3304">
        <w:rPr>
          <w:i/>
          <w:iCs/>
        </w:rPr>
        <w:t>Informal document:</w:t>
      </w:r>
      <w:r w:rsidRPr="00F11B71">
        <w:tab/>
      </w:r>
      <w:r w:rsidRPr="00F11B71">
        <w:tab/>
        <w:t>INF.6 (</w:t>
      </w:r>
      <w:r>
        <w:t>CCNR</w:t>
      </w:r>
      <w:r w:rsidRPr="00F11B71">
        <w:t>)</w:t>
      </w:r>
      <w:bookmarkEnd w:id="16"/>
    </w:p>
    <w:p w14:paraId="602DBB47" w14:textId="5E20094A" w:rsidR="001E24FD" w:rsidRDefault="001E24FD" w:rsidP="001E24FD">
      <w:pPr>
        <w:pStyle w:val="SingleTxtG"/>
      </w:pPr>
      <w:r>
        <w:t>8</w:t>
      </w:r>
      <w:r w:rsidRPr="00F11B71">
        <w:t>.</w:t>
      </w:r>
      <w:r w:rsidRPr="00F11B71">
        <w:tab/>
        <w:t xml:space="preserve">The representative of </w:t>
      </w:r>
      <w:r>
        <w:t>CCNR</w:t>
      </w:r>
      <w:r w:rsidRPr="00F11B71">
        <w:t xml:space="preserve"> informed the Safety Committee about the </w:t>
      </w:r>
      <w:r>
        <w:t>status of the stability provisions in 9.3.x.13 that have been transitionally introduced in ADN until general stability provisions are included in the ES-TRIN for all inland vessels. ES-TRIN 2021 will enter into force on 1 January 2022, but the stability provisions have not yet been updated. The Safety Committee decided that the provisions needed to be kept in future versions of ADN, until the stability provisions in ES-TRIN have been updated. The representative of Germany indicated his intention of submitting a formal proposal intended to harmonize the provisions of 9.3.x.13.3 in all language versions.</w:t>
      </w:r>
    </w:p>
    <w:p w14:paraId="55768E33" w14:textId="77777777" w:rsidR="001E24FD" w:rsidRDefault="001E24FD" w:rsidP="003064DA">
      <w:pPr>
        <w:pStyle w:val="H1G"/>
      </w:pPr>
      <w:r>
        <w:tab/>
      </w:r>
      <w:bookmarkStart w:id="17" w:name="_Toc81410362"/>
      <w:r>
        <w:t>C.</w:t>
      </w:r>
      <w:r>
        <w:tab/>
        <w:t xml:space="preserve">Documents and </w:t>
      </w:r>
      <w:r w:rsidRPr="003064DA">
        <w:t>other</w:t>
      </w:r>
      <w:r>
        <w:t xml:space="preserve"> records on board in electronic form</w:t>
      </w:r>
      <w:bookmarkEnd w:id="17"/>
    </w:p>
    <w:p w14:paraId="403A260D" w14:textId="77777777" w:rsidR="001E24FD" w:rsidRPr="00F11B71" w:rsidRDefault="001E24FD" w:rsidP="001E24FD">
      <w:pPr>
        <w:pStyle w:val="H23G"/>
        <w:tabs>
          <w:tab w:val="left" w:pos="3402"/>
        </w:tabs>
        <w:rPr>
          <w:b w:val="0"/>
          <w:bCs/>
        </w:rPr>
      </w:pPr>
      <w:r w:rsidRPr="00F11B71">
        <w:rPr>
          <w:b w:val="0"/>
          <w:bCs/>
          <w:i/>
          <w:iCs/>
        </w:rPr>
        <w:tab/>
      </w:r>
      <w:r w:rsidRPr="00F11B71">
        <w:rPr>
          <w:b w:val="0"/>
          <w:bCs/>
          <w:i/>
          <w:iCs/>
        </w:rPr>
        <w:tab/>
      </w:r>
      <w:bookmarkStart w:id="18" w:name="_Toc81410363"/>
      <w:r w:rsidRPr="00F11B71">
        <w:rPr>
          <w:b w:val="0"/>
          <w:bCs/>
          <w:i/>
          <w:iCs/>
        </w:rPr>
        <w:t>Informal document</w:t>
      </w:r>
      <w:r w:rsidRPr="00F11B71">
        <w:rPr>
          <w:b w:val="0"/>
          <w:bCs/>
        </w:rPr>
        <w:t>:</w:t>
      </w:r>
      <w:r w:rsidRPr="00F11B71">
        <w:rPr>
          <w:b w:val="0"/>
          <w:bCs/>
        </w:rPr>
        <w:tab/>
      </w:r>
      <w:r w:rsidRPr="00F11B71">
        <w:rPr>
          <w:b w:val="0"/>
          <w:bCs/>
        </w:rPr>
        <w:tab/>
      </w:r>
      <w:r>
        <w:rPr>
          <w:b w:val="0"/>
          <w:bCs/>
        </w:rPr>
        <w:t xml:space="preserve">INF.9 </w:t>
      </w:r>
      <w:r w:rsidRPr="00F11B71">
        <w:rPr>
          <w:b w:val="0"/>
          <w:bCs/>
        </w:rPr>
        <w:t>(</w:t>
      </w:r>
      <w:r>
        <w:rPr>
          <w:b w:val="0"/>
          <w:bCs/>
        </w:rPr>
        <w:t>CCNR</w:t>
      </w:r>
      <w:r w:rsidRPr="00F11B71">
        <w:rPr>
          <w:b w:val="0"/>
          <w:bCs/>
        </w:rPr>
        <w:t>)</w:t>
      </w:r>
      <w:bookmarkEnd w:id="18"/>
    </w:p>
    <w:p w14:paraId="11D28D4D" w14:textId="4654FFB9" w:rsidR="001E24FD" w:rsidRDefault="001E24FD" w:rsidP="001E24FD">
      <w:pPr>
        <w:pStyle w:val="SingleTxtG"/>
      </w:pPr>
      <w:r>
        <w:t>9.</w:t>
      </w:r>
      <w:r>
        <w:tab/>
        <w:t>The Safety Committee discussed whether the use of electronic documents on board should be possible in the future under ADN as an option (informal document INF.9). The Safety Committee agreed to develop detailed provisions on the use of electronic documents in general and not only for the transport document. It was recalled that the Joint Meeting of the RID Committee of Experts and the Working Party on the Transport of Dangerous Goods already took a similar initiative and established a working group on telematics for the transport of dangerous goods, taking into account the ongoing activities within the European Union on the implementation process of the EU Regulation on electronic Freight Transport Information (</w:t>
      </w:r>
      <w:proofErr w:type="spellStart"/>
      <w:r>
        <w:t>eFTI</w:t>
      </w:r>
      <w:proofErr w:type="spellEnd"/>
      <w:r>
        <w:t>).</w:t>
      </w:r>
    </w:p>
    <w:p w14:paraId="55838EE0" w14:textId="37FC4346" w:rsidR="001E24FD" w:rsidRDefault="001E24FD" w:rsidP="001E24FD">
      <w:pPr>
        <w:pStyle w:val="SingleTxtG"/>
      </w:pPr>
      <w:r>
        <w:t>10.</w:t>
      </w:r>
      <w:r>
        <w:tab/>
        <w:t>Following the discussion, the Safety Committee decided to set up an informal working group to further discuss the legal basis, taking into account the existing work done, to determine which documents were suitable to be dematerialized and to be used in an electronic format and under which conditions those documents could be used (i.e. format, cyber-security, database and data protection, etc.). The CCNR Secretariat volunteered to prepare for the next session a proposal for draft Terms of Reference and a roadmap for the informal working group.</w:t>
      </w:r>
    </w:p>
    <w:p w14:paraId="330D014A" w14:textId="77777777" w:rsidR="001E24FD" w:rsidRDefault="001E24FD" w:rsidP="003064DA">
      <w:pPr>
        <w:pStyle w:val="H1G"/>
      </w:pPr>
      <w:r>
        <w:tab/>
      </w:r>
      <w:bookmarkStart w:id="19" w:name="_Toc81410364"/>
      <w:r>
        <w:t>D.</w:t>
      </w:r>
      <w:r>
        <w:tab/>
        <w:t xml:space="preserve">Report from the Danube </w:t>
      </w:r>
      <w:r w:rsidRPr="003064DA">
        <w:t>Commission</w:t>
      </w:r>
      <w:bookmarkEnd w:id="19"/>
    </w:p>
    <w:p w14:paraId="14F74C87" w14:textId="77777777" w:rsidR="001E24FD" w:rsidRPr="001B0772" w:rsidRDefault="001E24FD" w:rsidP="001E24FD">
      <w:pPr>
        <w:pStyle w:val="H23G"/>
        <w:tabs>
          <w:tab w:val="left" w:pos="3402"/>
        </w:tabs>
        <w:rPr>
          <w:b w:val="0"/>
          <w:bCs/>
          <w:lang w:val="fr-CH"/>
        </w:rPr>
      </w:pPr>
      <w:r w:rsidRPr="00F11B71">
        <w:rPr>
          <w:b w:val="0"/>
          <w:bCs/>
          <w:i/>
          <w:iCs/>
        </w:rPr>
        <w:tab/>
      </w:r>
      <w:r w:rsidRPr="00F11B71">
        <w:rPr>
          <w:b w:val="0"/>
          <w:bCs/>
          <w:i/>
          <w:iCs/>
        </w:rPr>
        <w:tab/>
      </w:r>
      <w:bookmarkStart w:id="20" w:name="_Toc81410365"/>
      <w:r w:rsidRPr="001B0772">
        <w:rPr>
          <w:b w:val="0"/>
          <w:bCs/>
          <w:i/>
          <w:iCs/>
          <w:lang w:val="fr-CH"/>
        </w:rPr>
        <w:t>Informal document</w:t>
      </w:r>
      <w:r w:rsidRPr="001B0772">
        <w:rPr>
          <w:b w:val="0"/>
          <w:bCs/>
          <w:lang w:val="fr-CH"/>
        </w:rPr>
        <w:t>:</w:t>
      </w:r>
      <w:r w:rsidRPr="001B0772">
        <w:rPr>
          <w:b w:val="0"/>
          <w:bCs/>
          <w:lang w:val="fr-CH"/>
        </w:rPr>
        <w:tab/>
      </w:r>
      <w:r w:rsidRPr="001B0772">
        <w:rPr>
          <w:b w:val="0"/>
          <w:bCs/>
          <w:lang w:val="fr-CH"/>
        </w:rPr>
        <w:tab/>
        <w:t>INF.14 (Danube Commission)</w:t>
      </w:r>
      <w:bookmarkEnd w:id="20"/>
    </w:p>
    <w:p w14:paraId="6E3F85F2" w14:textId="77777777" w:rsidR="001E24FD" w:rsidRDefault="001E24FD" w:rsidP="001E24FD">
      <w:pPr>
        <w:pStyle w:val="SingleTxtG"/>
      </w:pPr>
      <w:r>
        <w:t>11</w:t>
      </w:r>
      <w:r w:rsidRPr="00F11B71">
        <w:t>.</w:t>
      </w:r>
      <w:r w:rsidRPr="00F11B71">
        <w:tab/>
        <w:t xml:space="preserve">The representative of </w:t>
      </w:r>
      <w:r>
        <w:t>the Danube Commission reported on</w:t>
      </w:r>
      <w:r w:rsidRPr="00F11B71">
        <w:t xml:space="preserve"> the</w:t>
      </w:r>
      <w:r>
        <w:t>ir planned activities to modernize in future inland waterway vessels to reduce</w:t>
      </w:r>
      <w:r w:rsidRPr="00452EEF">
        <w:t xml:space="preserve"> harmful emissions from marine diesel engines </w:t>
      </w:r>
      <w:r>
        <w:t xml:space="preserve">and to use alternative fuels (hydrogen, LNG, biofuels and other fuels) in their propulsion system. He added that the Danube Commission is developing a specific working platform on fleet modernisation for 2022 and beyond. </w:t>
      </w:r>
    </w:p>
    <w:p w14:paraId="160289E1" w14:textId="63ADAE6B" w:rsidR="001E24FD" w:rsidRDefault="001E24FD" w:rsidP="001E24FD">
      <w:pPr>
        <w:pStyle w:val="SingleTxtG"/>
      </w:pPr>
      <w:r>
        <w:t>12.</w:t>
      </w:r>
      <w:r>
        <w:tab/>
        <w:t>The Safety Committee welcomed the information and noted that a detailed discussion at the level of ADN was premature. It was noted that for the discussion of the ADN provisions, a clear differentiation must be made for the carriage of hydrogen on vessels when transported as a cargo or used as a fuel for propulsion. It was agreed to resume the discussion on the transport of hydrogen as a cargo at a later stage, once requests for carriage of hydrogen were received and that the informal working group on substances would be best positioned to start more detailed discussions on the transport conditions.</w:t>
      </w:r>
    </w:p>
    <w:p w14:paraId="4886776E" w14:textId="77777777" w:rsidR="00B27959" w:rsidRPr="00F11B71" w:rsidRDefault="00B27959" w:rsidP="003064DA">
      <w:pPr>
        <w:pStyle w:val="HChG"/>
      </w:pPr>
      <w:r w:rsidRPr="00F11B71">
        <w:lastRenderedPageBreak/>
        <w:tab/>
      </w:r>
      <w:bookmarkStart w:id="21" w:name="_Toc81410366"/>
      <w:r w:rsidRPr="00F11B71">
        <w:t>V.</w:t>
      </w:r>
      <w:r w:rsidRPr="00F11B71">
        <w:tab/>
        <w:t>Implementation of the European Agreement concerning the International Carriage of Dangerous Goods by Inland Waterways (ADN) (agenda item 3)</w:t>
      </w:r>
      <w:bookmarkEnd w:id="21"/>
    </w:p>
    <w:p w14:paraId="69A08868" w14:textId="77777777" w:rsidR="00B27959" w:rsidRPr="003064DA" w:rsidRDefault="00B27959" w:rsidP="003064DA">
      <w:pPr>
        <w:pStyle w:val="H1G"/>
      </w:pPr>
      <w:r w:rsidRPr="00F11B71">
        <w:tab/>
      </w:r>
      <w:bookmarkStart w:id="22" w:name="_Toc81410367"/>
      <w:r w:rsidRPr="00F11B71">
        <w:t>A.</w:t>
      </w:r>
      <w:r w:rsidRPr="00F11B71">
        <w:tab/>
        <w:t>Status of ADN</w:t>
      </w:r>
      <w:bookmarkEnd w:id="22"/>
    </w:p>
    <w:p w14:paraId="4E9DE8A1" w14:textId="77777777" w:rsidR="00B27959" w:rsidRPr="00F11B71" w:rsidRDefault="00B27959" w:rsidP="00B27959">
      <w:pPr>
        <w:pStyle w:val="SingleTxtG"/>
      </w:pPr>
      <w:r>
        <w:t>13</w:t>
      </w:r>
      <w:r w:rsidRPr="00F11B71">
        <w:t>.</w:t>
      </w:r>
      <w:r w:rsidRPr="00F11B71">
        <w:tab/>
        <w:t xml:space="preserve">The Safety Committee noted no new information </w:t>
      </w:r>
      <w:r>
        <w:t>on</w:t>
      </w:r>
      <w:r w:rsidRPr="00F11B71">
        <w:t xml:space="preserve"> the status of the ADN.</w:t>
      </w:r>
    </w:p>
    <w:p w14:paraId="1AF24314" w14:textId="77777777" w:rsidR="00B27959" w:rsidRPr="00F11B71" w:rsidRDefault="00B27959" w:rsidP="003064DA">
      <w:pPr>
        <w:pStyle w:val="H1G"/>
      </w:pPr>
      <w:r w:rsidRPr="00F11B71">
        <w:tab/>
      </w:r>
      <w:bookmarkStart w:id="23" w:name="_Toc81410368"/>
      <w:r w:rsidRPr="00F11B71">
        <w:t>B.</w:t>
      </w:r>
      <w:r w:rsidRPr="00F11B71">
        <w:tab/>
        <w:t xml:space="preserve">Special authorizations, derogations and </w:t>
      </w:r>
      <w:r w:rsidRPr="003064DA">
        <w:t>equivalents</w:t>
      </w:r>
      <w:bookmarkEnd w:id="23"/>
    </w:p>
    <w:p w14:paraId="5B0420E5" w14:textId="77777777" w:rsidR="00B27959" w:rsidRPr="00F11B71" w:rsidRDefault="00B27959" w:rsidP="003064DA">
      <w:pPr>
        <w:pStyle w:val="H23G"/>
      </w:pPr>
      <w:r w:rsidRPr="00F11B71">
        <w:tab/>
      </w:r>
      <w:bookmarkStart w:id="24" w:name="_Toc81410369"/>
      <w:r w:rsidRPr="00F11B71">
        <w:t>1.</w:t>
      </w:r>
      <w:r w:rsidRPr="00F11B71">
        <w:tab/>
      </w:r>
      <w:r>
        <w:t>Special authorization</w:t>
      </w:r>
      <w:bookmarkEnd w:id="24"/>
    </w:p>
    <w:p w14:paraId="486EC7BC" w14:textId="77777777" w:rsidR="00B27959" w:rsidRPr="00621C52" w:rsidRDefault="00B27959" w:rsidP="00B27959">
      <w:pPr>
        <w:pStyle w:val="H23G"/>
        <w:tabs>
          <w:tab w:val="left" w:pos="3402"/>
        </w:tabs>
        <w:spacing w:after="0"/>
        <w:rPr>
          <w:b w:val="0"/>
          <w:bCs/>
        </w:rPr>
      </w:pPr>
      <w:r w:rsidRPr="00F11B71">
        <w:rPr>
          <w:b w:val="0"/>
          <w:bCs/>
        </w:rPr>
        <w:tab/>
      </w:r>
      <w:r w:rsidRPr="00F11B71">
        <w:rPr>
          <w:b w:val="0"/>
          <w:bCs/>
        </w:rPr>
        <w:tab/>
      </w:r>
      <w:bookmarkStart w:id="25" w:name="_Toc81410370"/>
      <w:r w:rsidRPr="00621C52">
        <w:rPr>
          <w:b w:val="0"/>
          <w:bCs/>
          <w:i/>
          <w:iCs/>
        </w:rPr>
        <w:t>Document</w:t>
      </w:r>
      <w:r w:rsidRPr="00621C52">
        <w:rPr>
          <w:b w:val="0"/>
          <w:bCs/>
        </w:rPr>
        <w:t>:</w:t>
      </w:r>
      <w:r w:rsidRPr="00621C52">
        <w:rPr>
          <w:b w:val="0"/>
          <w:bCs/>
        </w:rPr>
        <w:tab/>
        <w:t>ECE/TRANS/WP.15/AC.2/2021/20 (Netherlands)</w:t>
      </w:r>
      <w:bookmarkEnd w:id="25"/>
    </w:p>
    <w:p w14:paraId="5CF14944" w14:textId="77777777" w:rsidR="00B27959" w:rsidRPr="00F11B71" w:rsidRDefault="00B27959" w:rsidP="00B27959">
      <w:pPr>
        <w:pStyle w:val="H23G"/>
        <w:tabs>
          <w:tab w:val="left" w:pos="3402"/>
        </w:tabs>
        <w:spacing w:before="0"/>
        <w:rPr>
          <w:b w:val="0"/>
          <w:bCs/>
        </w:rPr>
      </w:pPr>
      <w:r w:rsidRPr="00621C52">
        <w:rPr>
          <w:b w:val="0"/>
          <w:bCs/>
        </w:rPr>
        <w:tab/>
      </w:r>
      <w:r w:rsidRPr="00621C52">
        <w:rPr>
          <w:b w:val="0"/>
          <w:bCs/>
        </w:rPr>
        <w:tab/>
      </w:r>
      <w:bookmarkStart w:id="26" w:name="_Toc81410371"/>
      <w:r w:rsidRPr="00F11B71">
        <w:rPr>
          <w:b w:val="0"/>
          <w:bCs/>
          <w:i/>
          <w:iCs/>
        </w:rPr>
        <w:t>Informal documen</w:t>
      </w:r>
      <w:r>
        <w:rPr>
          <w:b w:val="0"/>
          <w:bCs/>
          <w:i/>
          <w:iCs/>
        </w:rPr>
        <w:t>t</w:t>
      </w:r>
      <w:r w:rsidRPr="00F11B71">
        <w:rPr>
          <w:b w:val="0"/>
          <w:bCs/>
        </w:rPr>
        <w:t>:</w:t>
      </w:r>
      <w:r w:rsidRPr="00F11B71">
        <w:rPr>
          <w:b w:val="0"/>
          <w:bCs/>
        </w:rPr>
        <w:tab/>
        <w:t>INF.</w:t>
      </w:r>
      <w:r>
        <w:rPr>
          <w:b w:val="0"/>
          <w:bCs/>
        </w:rPr>
        <w:t>3</w:t>
      </w:r>
      <w:r w:rsidRPr="00F11B71">
        <w:rPr>
          <w:b w:val="0"/>
          <w:bCs/>
        </w:rPr>
        <w:t xml:space="preserve"> (</w:t>
      </w:r>
      <w:r>
        <w:rPr>
          <w:b w:val="0"/>
          <w:bCs/>
        </w:rPr>
        <w:t>Netherlands</w:t>
      </w:r>
      <w:r w:rsidRPr="00F11B71">
        <w:rPr>
          <w:b w:val="0"/>
          <w:bCs/>
        </w:rPr>
        <w:t>)</w:t>
      </w:r>
      <w:bookmarkEnd w:id="26"/>
    </w:p>
    <w:p w14:paraId="2F94AAF8" w14:textId="0DE325D6" w:rsidR="00B27959" w:rsidRPr="001A7981" w:rsidRDefault="00B27959" w:rsidP="00B27959">
      <w:pPr>
        <w:pStyle w:val="SingleTxtG"/>
        <w:rPr>
          <w:snapToGrid w:val="0"/>
          <w:lang w:val="en-US"/>
        </w:rPr>
      </w:pPr>
      <w:r>
        <w:t>14</w:t>
      </w:r>
      <w:r w:rsidRPr="00F11B71">
        <w:t>.</w:t>
      </w:r>
      <w:r w:rsidRPr="00F11B71">
        <w:tab/>
      </w:r>
      <w:r>
        <w:t xml:space="preserve">The Safety Committee considered </w:t>
      </w:r>
      <w:r w:rsidRPr="00A81FC6">
        <w:t xml:space="preserve">ECE/TRANS/WP.15/AC.2/2021/20 </w:t>
      </w:r>
      <w:r>
        <w:t>and informal document INF.3 on a special authorization, in accordance with 1.5.2, for the transport of UN No. 1288 Shale Oil in tank vessels. Some representatives endorsed in principle the special authorization but preferred to consider inserting in table C of the ADN a new entry for UN No. 1288. The Safety Committee agreed to resume the discussion on this subject at its next session on the basis of a formal proposal by the Netherlands, taking into account 3.2.4.2 of ADN.</w:t>
      </w:r>
    </w:p>
    <w:p w14:paraId="756FA9D5" w14:textId="77777777" w:rsidR="00B27959" w:rsidRPr="00F11B71" w:rsidRDefault="00B27959" w:rsidP="003064DA">
      <w:pPr>
        <w:pStyle w:val="H23G"/>
      </w:pPr>
      <w:r w:rsidRPr="00F11B71">
        <w:tab/>
      </w:r>
      <w:bookmarkStart w:id="27" w:name="_Toc81410372"/>
      <w:r>
        <w:t>2</w:t>
      </w:r>
      <w:r w:rsidRPr="00F11B71">
        <w:t>.</w:t>
      </w:r>
      <w:r w:rsidRPr="00F11B71">
        <w:tab/>
      </w:r>
      <w:r>
        <w:t>Request for recommendation</w:t>
      </w:r>
      <w:bookmarkEnd w:id="27"/>
    </w:p>
    <w:p w14:paraId="57D343FE" w14:textId="77777777" w:rsidR="00B27959" w:rsidRPr="00F11B71" w:rsidRDefault="00B27959" w:rsidP="00B27959">
      <w:pPr>
        <w:pStyle w:val="H23G"/>
        <w:tabs>
          <w:tab w:val="left" w:pos="3402"/>
        </w:tabs>
        <w:spacing w:before="0"/>
        <w:rPr>
          <w:b w:val="0"/>
          <w:bCs/>
        </w:rPr>
      </w:pPr>
      <w:r w:rsidRPr="00621C52">
        <w:rPr>
          <w:b w:val="0"/>
          <w:bCs/>
        </w:rPr>
        <w:tab/>
      </w:r>
      <w:r w:rsidRPr="00621C52">
        <w:rPr>
          <w:b w:val="0"/>
          <w:bCs/>
        </w:rPr>
        <w:tab/>
      </w:r>
      <w:bookmarkStart w:id="28" w:name="_Toc81410373"/>
      <w:r w:rsidRPr="00F11B71">
        <w:rPr>
          <w:b w:val="0"/>
          <w:bCs/>
          <w:i/>
          <w:iCs/>
        </w:rPr>
        <w:t>Informal documen</w:t>
      </w:r>
      <w:r>
        <w:rPr>
          <w:b w:val="0"/>
          <w:bCs/>
          <w:i/>
          <w:iCs/>
        </w:rPr>
        <w:t>t</w:t>
      </w:r>
      <w:r w:rsidRPr="00F11B71">
        <w:rPr>
          <w:b w:val="0"/>
          <w:bCs/>
        </w:rPr>
        <w:t xml:space="preserve">: </w:t>
      </w:r>
      <w:r w:rsidRPr="00F11B71">
        <w:rPr>
          <w:b w:val="0"/>
          <w:bCs/>
        </w:rPr>
        <w:tab/>
        <w:t>INF.</w:t>
      </w:r>
      <w:r>
        <w:rPr>
          <w:b w:val="0"/>
          <w:bCs/>
        </w:rPr>
        <w:t>17</w:t>
      </w:r>
      <w:r w:rsidRPr="00F11B71">
        <w:rPr>
          <w:b w:val="0"/>
          <w:bCs/>
        </w:rPr>
        <w:t xml:space="preserve"> (</w:t>
      </w:r>
      <w:r>
        <w:rPr>
          <w:b w:val="0"/>
          <w:bCs/>
        </w:rPr>
        <w:t>Netherlands</w:t>
      </w:r>
      <w:r w:rsidRPr="00F11B71">
        <w:rPr>
          <w:b w:val="0"/>
          <w:bCs/>
        </w:rPr>
        <w:t>)</w:t>
      </w:r>
      <w:bookmarkEnd w:id="28"/>
    </w:p>
    <w:p w14:paraId="5EE44B9A" w14:textId="77777777" w:rsidR="00B27959" w:rsidRPr="00F11B71" w:rsidRDefault="00B27959" w:rsidP="00B27959">
      <w:pPr>
        <w:pStyle w:val="SingleTxtG"/>
      </w:pPr>
      <w:r>
        <w:t>15.</w:t>
      </w:r>
      <w:r>
        <w:tab/>
        <w:t>Following the request for recommendation on a derogation for the installation of fixed fire-extinguishing system for physical protection, the Dutch delegation volunteered to present the request at the January 2022 session. The Safety Committee also clarified that it preferred to keep the relevant provisions in ADN and to harmonize them with ES-TRIN provisions, for the sake of clarity for all parties. It was agreed to consider at the next session a proposal by the Netherlands for amendment to ADN.</w:t>
      </w:r>
    </w:p>
    <w:p w14:paraId="77353519" w14:textId="77777777" w:rsidR="00B27959" w:rsidRPr="00F11B71" w:rsidRDefault="00B27959" w:rsidP="003064DA">
      <w:pPr>
        <w:pStyle w:val="H1G"/>
      </w:pPr>
      <w:r w:rsidRPr="00F11B71">
        <w:tab/>
      </w:r>
      <w:bookmarkStart w:id="29" w:name="_Toc81410374"/>
      <w:r w:rsidRPr="00F11B71">
        <w:t>C.</w:t>
      </w:r>
      <w:r w:rsidRPr="00F11B71">
        <w:tab/>
        <w:t xml:space="preserve">Interpretation of the </w:t>
      </w:r>
      <w:r w:rsidRPr="003064DA">
        <w:t>Regulations</w:t>
      </w:r>
      <w:r w:rsidRPr="00F11B71">
        <w:t xml:space="preserve"> annexed to the ADN</w:t>
      </w:r>
      <w:bookmarkEnd w:id="29"/>
    </w:p>
    <w:p w14:paraId="4F42FE56" w14:textId="77777777" w:rsidR="00B27959" w:rsidRDefault="00B27959" w:rsidP="00B27959">
      <w:pPr>
        <w:pStyle w:val="SingleTxtG"/>
      </w:pPr>
      <w:r>
        <w:t>16.</w:t>
      </w:r>
      <w:r>
        <w:tab/>
        <w:t>As no document had been submitted under this agenda sub-item, no discussion took place on this subject.</w:t>
      </w:r>
    </w:p>
    <w:p w14:paraId="582405A1" w14:textId="77777777" w:rsidR="00B27959" w:rsidRPr="003064DA" w:rsidRDefault="00B27959" w:rsidP="003064DA">
      <w:pPr>
        <w:pStyle w:val="H1G"/>
      </w:pPr>
      <w:r w:rsidRPr="00F11B71">
        <w:tab/>
      </w:r>
      <w:bookmarkStart w:id="30" w:name="_Toc81410375"/>
      <w:r w:rsidRPr="00F11B71">
        <w:t>D.</w:t>
      </w:r>
      <w:r w:rsidRPr="00F11B71">
        <w:tab/>
        <w:t>Training of experts</w:t>
      </w:r>
      <w:bookmarkEnd w:id="30"/>
    </w:p>
    <w:p w14:paraId="78F8C9E7" w14:textId="77777777" w:rsidR="00B27959" w:rsidRPr="003064DA" w:rsidRDefault="00B27959" w:rsidP="003064DA">
      <w:pPr>
        <w:pStyle w:val="H23G"/>
      </w:pPr>
      <w:r w:rsidRPr="00F11B71">
        <w:tab/>
      </w:r>
      <w:bookmarkStart w:id="31" w:name="_Toc81410376"/>
      <w:r w:rsidRPr="00F11B71">
        <w:t>1.</w:t>
      </w:r>
      <w:r w:rsidRPr="00F11B71">
        <w:tab/>
      </w:r>
      <w:r w:rsidRPr="00F43028">
        <w:t>ADN Catalogue of questions 2021</w:t>
      </w:r>
      <w:bookmarkEnd w:id="31"/>
    </w:p>
    <w:p w14:paraId="7B6689A4" w14:textId="77777777" w:rsidR="00B27959" w:rsidRPr="00621C52" w:rsidRDefault="00B27959" w:rsidP="00B27959">
      <w:pPr>
        <w:pStyle w:val="H23G"/>
        <w:tabs>
          <w:tab w:val="left" w:pos="1134"/>
          <w:tab w:val="left" w:pos="3402"/>
        </w:tabs>
        <w:spacing w:before="0"/>
        <w:ind w:left="3402" w:hanging="3402"/>
        <w:rPr>
          <w:b w:val="0"/>
          <w:bCs/>
        </w:rPr>
      </w:pPr>
      <w:r w:rsidRPr="00F11B71">
        <w:rPr>
          <w:b w:val="0"/>
          <w:bCs/>
        </w:rPr>
        <w:tab/>
      </w:r>
      <w:r w:rsidRPr="00F11B71">
        <w:rPr>
          <w:b w:val="0"/>
          <w:bCs/>
        </w:rPr>
        <w:tab/>
      </w:r>
      <w:bookmarkStart w:id="32" w:name="_Toc81410377"/>
      <w:r w:rsidRPr="00621C52">
        <w:rPr>
          <w:b w:val="0"/>
          <w:bCs/>
          <w:i/>
          <w:iCs/>
        </w:rPr>
        <w:t>Documents</w:t>
      </w:r>
      <w:r w:rsidRPr="00621C52">
        <w:rPr>
          <w:b w:val="0"/>
          <w:bCs/>
        </w:rPr>
        <w:t>:</w:t>
      </w:r>
      <w:r w:rsidRPr="00621C52">
        <w:rPr>
          <w:b w:val="0"/>
          <w:bCs/>
        </w:rPr>
        <w:tab/>
        <w:t>ECE/TRANS/WP.15/AC.2/2021/11, ECE/TRANS/WP.15/AC.2/2021/12, ECE/TRANS/WP.15/AC.2/2021/13 (CCNR), and ECE/</w:t>
      </w:r>
      <w:r w:rsidRPr="0061174F">
        <w:rPr>
          <w:b w:val="0"/>
          <w:bCs/>
        </w:rPr>
        <w:t>TRANS</w:t>
      </w:r>
      <w:r w:rsidRPr="00621C52">
        <w:rPr>
          <w:b w:val="0"/>
          <w:bCs/>
        </w:rPr>
        <w:t>/WP.15/AC.2/2021/15 (Austria)</w:t>
      </w:r>
      <w:bookmarkEnd w:id="32"/>
    </w:p>
    <w:p w14:paraId="27BB59FB" w14:textId="65961DE9" w:rsidR="00B27959" w:rsidRDefault="00B27959" w:rsidP="00B27959">
      <w:pPr>
        <w:pStyle w:val="SingleTxtG"/>
        <w:rPr>
          <w:bCs/>
        </w:rPr>
      </w:pPr>
      <w:r>
        <w:t>17</w:t>
      </w:r>
      <w:r w:rsidRPr="00F11B71">
        <w:t>.</w:t>
      </w:r>
      <w:r w:rsidRPr="00F11B71">
        <w:tab/>
      </w:r>
      <w:r w:rsidRPr="001D577B">
        <w:t xml:space="preserve">The Safety Committee recalled the outcome of </w:t>
      </w:r>
      <w:r>
        <w:t>the</w:t>
      </w:r>
      <w:r w:rsidRPr="001D577B">
        <w:t xml:space="preserve"> discussion at </w:t>
      </w:r>
      <w:r>
        <w:t>its</w:t>
      </w:r>
      <w:r w:rsidRPr="001D577B">
        <w:t xml:space="preserve"> previous session and reconfirmed the adoption of the </w:t>
      </w:r>
      <w:r>
        <w:t xml:space="preserve">proposals to update the </w:t>
      </w:r>
      <w:r w:rsidRPr="001D577B">
        <w:t xml:space="preserve">catalogues of questions 2021 </w:t>
      </w:r>
      <w:r>
        <w:t>to take account of the provisions of the 2021 edition of the ADN</w:t>
      </w:r>
      <w:r w:rsidRPr="001D577B">
        <w:t xml:space="preserve"> </w:t>
      </w:r>
      <w:r>
        <w:t xml:space="preserve">as presented </w:t>
      </w:r>
      <w:r w:rsidRPr="001D577B">
        <w:t xml:space="preserve">in documents </w:t>
      </w:r>
      <w:r w:rsidRPr="001D577B">
        <w:rPr>
          <w:bCs/>
        </w:rPr>
        <w:t xml:space="preserve">ECE/TRANS/WP.15/AC.2/2021/11, ECE/TRANS/WP.15/AC.2/2021/12 </w:t>
      </w:r>
      <w:r>
        <w:rPr>
          <w:bCs/>
        </w:rPr>
        <w:t xml:space="preserve">and </w:t>
      </w:r>
      <w:r w:rsidRPr="001D577B">
        <w:rPr>
          <w:bCs/>
        </w:rPr>
        <w:t xml:space="preserve">ECE/TRANS/WP.15/AC.2/2021/13, including corrections and amendments </w:t>
      </w:r>
      <w:r>
        <w:rPr>
          <w:bCs/>
        </w:rPr>
        <w:t xml:space="preserve">to document </w:t>
      </w:r>
      <w:r w:rsidRPr="00621C52">
        <w:rPr>
          <w:bCs/>
        </w:rPr>
        <w:t>ECE/TRANS/WP.15/AC.2/2021/13</w:t>
      </w:r>
      <w:r>
        <w:rPr>
          <w:bCs/>
        </w:rPr>
        <w:t xml:space="preserve"> </w:t>
      </w:r>
      <w:r w:rsidRPr="001D577B">
        <w:rPr>
          <w:bCs/>
        </w:rPr>
        <w:t>listed in document ECE/TRANS/WP.15/AC.2/2021/15.</w:t>
      </w:r>
    </w:p>
    <w:p w14:paraId="5977C055" w14:textId="77777777" w:rsidR="00B27959" w:rsidRPr="00F11B71" w:rsidRDefault="00B27959" w:rsidP="003064DA">
      <w:pPr>
        <w:pStyle w:val="H23G"/>
      </w:pPr>
      <w:r w:rsidRPr="00F11B71">
        <w:lastRenderedPageBreak/>
        <w:tab/>
      </w:r>
      <w:bookmarkStart w:id="33" w:name="_Toc81410378"/>
      <w:r>
        <w:t>2</w:t>
      </w:r>
      <w:r w:rsidRPr="00F11B71">
        <w:t>.</w:t>
      </w:r>
      <w:r w:rsidRPr="00F11B71">
        <w:tab/>
      </w:r>
      <w:r w:rsidRPr="00AC68E5">
        <w:t xml:space="preserve">Directive on the use of the catalogue of </w:t>
      </w:r>
      <w:r w:rsidRPr="003064DA">
        <w:t>questions</w:t>
      </w:r>
      <w:r w:rsidRPr="00AC68E5">
        <w:t xml:space="preserve"> for the ADN expert examination</w:t>
      </w:r>
      <w:bookmarkEnd w:id="33"/>
    </w:p>
    <w:p w14:paraId="621A6806" w14:textId="77777777" w:rsidR="00B27959" w:rsidRPr="00621C52" w:rsidRDefault="00B27959" w:rsidP="00B27959">
      <w:pPr>
        <w:pStyle w:val="H23G"/>
        <w:tabs>
          <w:tab w:val="left" w:pos="1134"/>
          <w:tab w:val="left" w:pos="3402"/>
        </w:tabs>
        <w:spacing w:before="0"/>
        <w:ind w:left="3402" w:hanging="3402"/>
        <w:rPr>
          <w:b w:val="0"/>
          <w:bCs/>
        </w:rPr>
      </w:pPr>
      <w:r w:rsidRPr="00F11B71">
        <w:rPr>
          <w:b w:val="0"/>
          <w:bCs/>
        </w:rPr>
        <w:tab/>
      </w:r>
      <w:r w:rsidRPr="00F11B71">
        <w:rPr>
          <w:b w:val="0"/>
          <w:bCs/>
        </w:rPr>
        <w:tab/>
      </w:r>
      <w:bookmarkStart w:id="34" w:name="_Toc81410379"/>
      <w:r w:rsidRPr="00621C52">
        <w:rPr>
          <w:b w:val="0"/>
          <w:bCs/>
          <w:i/>
          <w:iCs/>
        </w:rPr>
        <w:t>Documents</w:t>
      </w:r>
      <w:r w:rsidRPr="00621C52">
        <w:rPr>
          <w:b w:val="0"/>
          <w:bCs/>
        </w:rPr>
        <w:t>:</w:t>
      </w:r>
      <w:r w:rsidRPr="00621C52">
        <w:rPr>
          <w:b w:val="0"/>
          <w:bCs/>
        </w:rPr>
        <w:tab/>
        <w:t>ECE/TRANS/WP.15/AC.2/2021/14 and Corr.1 (CCNR)</w:t>
      </w:r>
      <w:bookmarkEnd w:id="34"/>
    </w:p>
    <w:p w14:paraId="2A15A4A5" w14:textId="77777777" w:rsidR="00B27959" w:rsidRDefault="00B27959" w:rsidP="00B27959">
      <w:pPr>
        <w:pStyle w:val="SingleTxtG"/>
      </w:pPr>
      <w:r>
        <w:t>18</w:t>
      </w:r>
      <w:r w:rsidRPr="00F11B71">
        <w:t>.</w:t>
      </w:r>
      <w:r w:rsidRPr="00F11B71">
        <w:tab/>
      </w:r>
      <w:r>
        <w:t>The Safety Committee took note of the proposed amendments to the directive of the Administrative Committee on the use of the catalogue of questions for the ADN expert examination in accordance with Chapter 8.2 of the ADN, including the deletion of the square brackets around the text in paragraph 51 of the document and some corrections to the German version.</w:t>
      </w:r>
    </w:p>
    <w:p w14:paraId="1B5A0817" w14:textId="77777777" w:rsidR="00B27959" w:rsidRDefault="00B27959" w:rsidP="00B27959">
      <w:pPr>
        <w:pStyle w:val="SingleTxtG"/>
      </w:pPr>
      <w:r>
        <w:t>19.</w:t>
      </w:r>
      <w:r>
        <w:tab/>
        <w:t xml:space="preserve">On a remark from the representative of Germany to ensure fairness at the level of difficulties of questions and rating for the answers, the Safety Committee invited the informal working group on the training of experts to reconsider the proposed amendments together with document </w:t>
      </w:r>
      <w:r w:rsidRPr="00641AC3">
        <w:t>ECE/TRANS/WP.15/AC.2/2021/</w:t>
      </w:r>
      <w:r>
        <w:t>19 and to resubmit an updated proposal for consideration at the forthcoming session in January 2022.</w:t>
      </w:r>
    </w:p>
    <w:p w14:paraId="67F50C08" w14:textId="77777777" w:rsidR="00B27959" w:rsidRPr="00F11B71" w:rsidRDefault="00B27959" w:rsidP="00B27959">
      <w:pPr>
        <w:pStyle w:val="H1G"/>
      </w:pPr>
      <w:r w:rsidRPr="00F11B71">
        <w:tab/>
      </w:r>
      <w:bookmarkStart w:id="35" w:name="_Toc81410380"/>
      <w:r w:rsidRPr="00F11B71">
        <w:t>E.</w:t>
      </w:r>
      <w:r w:rsidRPr="00F11B71">
        <w:tab/>
        <w:t>Matters related to classification societies</w:t>
      </w:r>
      <w:bookmarkEnd w:id="35"/>
    </w:p>
    <w:p w14:paraId="3EDB7928" w14:textId="77777777" w:rsidR="00B27959" w:rsidRDefault="00B27959" w:rsidP="00B27959">
      <w:pPr>
        <w:pStyle w:val="SingleTxtG"/>
      </w:pPr>
      <w:r>
        <w:t>20.</w:t>
      </w:r>
      <w:r>
        <w:tab/>
        <w:t>As no document had been submitted under this agenda sub-item, no discussion took place on this subject.</w:t>
      </w:r>
    </w:p>
    <w:p w14:paraId="04C3BCBD" w14:textId="77777777" w:rsidR="00B27959" w:rsidRPr="00F11B71" w:rsidRDefault="00B27959" w:rsidP="00B27959">
      <w:pPr>
        <w:pStyle w:val="HChG"/>
      </w:pPr>
      <w:r w:rsidRPr="00F11B71">
        <w:tab/>
      </w:r>
      <w:bookmarkStart w:id="36" w:name="_Toc81410381"/>
      <w:r w:rsidRPr="00F11B71">
        <w:t>VI.</w:t>
      </w:r>
      <w:r w:rsidRPr="00F11B71">
        <w:tab/>
        <w:t>Proposals for amendments to the Regulations annexed to ADN (agenda item 4)</w:t>
      </w:r>
      <w:bookmarkEnd w:id="36"/>
    </w:p>
    <w:p w14:paraId="642C63E4" w14:textId="77777777" w:rsidR="00B27959" w:rsidRPr="00F11B71" w:rsidRDefault="00B27959" w:rsidP="00B27959">
      <w:pPr>
        <w:pStyle w:val="H1G"/>
      </w:pPr>
      <w:r w:rsidRPr="00F11B71">
        <w:tab/>
      </w:r>
      <w:bookmarkStart w:id="37" w:name="_Toc81410382"/>
      <w:r w:rsidRPr="00F11B71">
        <w:t>A.</w:t>
      </w:r>
      <w:r w:rsidRPr="00F11B71">
        <w:tab/>
        <w:t>Work of the RID/ADR/ADN Joint Meeting</w:t>
      </w:r>
      <w:bookmarkEnd w:id="37"/>
    </w:p>
    <w:p w14:paraId="16011BBD" w14:textId="77777777" w:rsidR="00B27959" w:rsidRPr="00F11B71" w:rsidRDefault="00B27959" w:rsidP="00B27959">
      <w:pPr>
        <w:pStyle w:val="SingleTxtG"/>
        <w:ind w:left="3402" w:hanging="2268"/>
        <w:jc w:val="left"/>
      </w:pPr>
      <w:r w:rsidRPr="00F11B71">
        <w:rPr>
          <w:i/>
        </w:rPr>
        <w:t>Documents</w:t>
      </w:r>
      <w:r w:rsidRPr="00F11B71">
        <w:t>:</w:t>
      </w:r>
      <w:r w:rsidRPr="00F11B71">
        <w:tab/>
        <w:t>ECE/TRANS/WP.15/AC.1/15</w:t>
      </w:r>
      <w:r>
        <w:t>8</w:t>
      </w:r>
      <w:r w:rsidRPr="00F11B71">
        <w:t>, annex I</w:t>
      </w:r>
      <w:r>
        <w:t>I</w:t>
      </w:r>
      <w:r w:rsidRPr="00F11B71">
        <w:br/>
      </w:r>
      <w:r w:rsidRPr="00F11B71">
        <w:tab/>
        <w:t>ECE/TRANS/WP.15/AC.1/1</w:t>
      </w:r>
      <w:r>
        <w:t>60</w:t>
      </w:r>
      <w:r w:rsidRPr="00F11B71">
        <w:t>, annex II</w:t>
      </w:r>
      <w:r w:rsidRPr="00F11B71">
        <w:br/>
      </w:r>
      <w:r w:rsidRPr="00F11B71">
        <w:tab/>
        <w:t>ECE/TRANS/WP.15/2</w:t>
      </w:r>
      <w:r>
        <w:t>51</w:t>
      </w:r>
      <w:r w:rsidRPr="00F11B71">
        <w:t>, annex I</w:t>
      </w:r>
      <w:r w:rsidRPr="00F11B71">
        <w:br/>
      </w:r>
      <w:r w:rsidRPr="00F11B71">
        <w:tab/>
        <w:t>ECE/TRANS/WP.15/2</w:t>
      </w:r>
      <w:r>
        <w:t>53</w:t>
      </w:r>
      <w:r w:rsidRPr="00F11B71">
        <w:t>, annex</w:t>
      </w:r>
      <w:r>
        <w:t xml:space="preserve"> I</w:t>
      </w:r>
      <w:r>
        <w:br/>
      </w:r>
      <w:r w:rsidRPr="00D016B9">
        <w:t>ECE/TRANS/WP.15/AC.1/2021/24 and Add.1</w:t>
      </w:r>
    </w:p>
    <w:p w14:paraId="4391E971" w14:textId="77777777" w:rsidR="00B27959" w:rsidRPr="00F11B71" w:rsidRDefault="00B27959" w:rsidP="00B27959">
      <w:pPr>
        <w:pStyle w:val="SingleTxtG"/>
      </w:pPr>
      <w:r>
        <w:t>21</w:t>
      </w:r>
      <w:r w:rsidRPr="00F11B71">
        <w:t>.</w:t>
      </w:r>
      <w:r w:rsidRPr="00F11B71">
        <w:tab/>
        <w:t xml:space="preserve">The </w:t>
      </w:r>
      <w:r w:rsidRPr="00D016B9">
        <w:t xml:space="preserve">Safety Committee </w:t>
      </w:r>
      <w:r>
        <w:t>took note of the draft amendments to RID/ADR/ADN</w:t>
      </w:r>
      <w:r w:rsidRPr="00CB6166">
        <w:t xml:space="preserve"> </w:t>
      </w:r>
      <w:r w:rsidRPr="00F11B71">
        <w:t xml:space="preserve">adopted by the Joint Meeting and by </w:t>
      </w:r>
      <w:r>
        <w:t>the Working Party on the Transport of Dangerous Goods (</w:t>
      </w:r>
      <w:r w:rsidRPr="00F11B71">
        <w:t>WP.15</w:t>
      </w:r>
      <w:r>
        <w:t>)</w:t>
      </w:r>
      <w:r w:rsidRPr="00F11B71">
        <w:t xml:space="preserve"> in 20</w:t>
      </w:r>
      <w:r>
        <w:t>20</w:t>
      </w:r>
      <w:r w:rsidRPr="00F11B71">
        <w:t xml:space="preserve"> and 20</w:t>
      </w:r>
      <w:r>
        <w:t>2</w:t>
      </w:r>
      <w:r w:rsidRPr="00F11B71">
        <w:t>1</w:t>
      </w:r>
      <w:r>
        <w:t>.</w:t>
      </w:r>
      <w:r w:rsidRPr="00D016B9">
        <w:t xml:space="preserve"> The Safety Committee </w:t>
      </w:r>
      <w:r>
        <w:t xml:space="preserve">also </w:t>
      </w:r>
      <w:r w:rsidRPr="00D016B9">
        <w:t>note</w:t>
      </w:r>
      <w:r>
        <w:t>d</w:t>
      </w:r>
      <w:r w:rsidRPr="00D016B9">
        <w:t xml:space="preserve"> that at </w:t>
      </w:r>
      <w:r>
        <w:t>the</w:t>
      </w:r>
      <w:r w:rsidRPr="00D016B9">
        <w:t xml:space="preserve"> next autumn 2021 session, the RID/ADR/ADN Joint Meeting will </w:t>
      </w:r>
      <w:r>
        <w:t xml:space="preserve">also </w:t>
      </w:r>
      <w:r w:rsidRPr="00D016B9">
        <w:t xml:space="preserve">consider proposals of harmonization with the twenty-second revised edition of the United Nations Recommendations on the Transport of Dangerous Goods, </w:t>
      </w:r>
      <w:r>
        <w:t xml:space="preserve">as </w:t>
      </w:r>
      <w:r w:rsidRPr="00D016B9">
        <w:t>contained in ECE/TRANS/WP.15/AC.1/2021/24 and Add.1</w:t>
      </w:r>
      <w:r>
        <w:t>.</w:t>
      </w:r>
    </w:p>
    <w:p w14:paraId="4FB56E57" w14:textId="77777777" w:rsidR="00B27959" w:rsidRPr="003022AC" w:rsidRDefault="00B27959" w:rsidP="00B27959">
      <w:pPr>
        <w:pStyle w:val="SingleTxtG"/>
      </w:pPr>
      <w:r>
        <w:t>22.</w:t>
      </w:r>
      <w:r>
        <w:tab/>
        <w:t xml:space="preserve">The </w:t>
      </w:r>
      <w:r w:rsidRPr="00F11B71">
        <w:t xml:space="preserve">secretariat was asked to consolidate into a single document all the </w:t>
      </w:r>
      <w:r>
        <w:t xml:space="preserve">harmonization </w:t>
      </w:r>
      <w:r w:rsidRPr="00F11B71">
        <w:t xml:space="preserve">amendments that should be reflected in the Regulations annexed to ADN for </w:t>
      </w:r>
      <w:r>
        <w:t xml:space="preserve">detailed </w:t>
      </w:r>
      <w:r w:rsidRPr="00F11B71">
        <w:t>consideration at the next session</w:t>
      </w:r>
      <w:r>
        <w:t xml:space="preserve"> in January 2022</w:t>
      </w:r>
      <w:r w:rsidRPr="00F11B71">
        <w:t>.</w:t>
      </w:r>
    </w:p>
    <w:p w14:paraId="42C0DA20" w14:textId="77777777" w:rsidR="00B27959" w:rsidRPr="00F11B71" w:rsidRDefault="00B27959" w:rsidP="00B27959">
      <w:pPr>
        <w:pStyle w:val="H1G"/>
        <w:keepNext w:val="0"/>
        <w:keepLines w:val="0"/>
      </w:pPr>
      <w:r w:rsidRPr="00F11B71">
        <w:tab/>
      </w:r>
      <w:bookmarkStart w:id="38" w:name="_Toc81410383"/>
      <w:r w:rsidRPr="00F11B71">
        <w:t>B.</w:t>
      </w:r>
      <w:r w:rsidRPr="00F11B71">
        <w:tab/>
        <w:t>Other proposals</w:t>
      </w:r>
      <w:bookmarkEnd w:id="38"/>
    </w:p>
    <w:p w14:paraId="7B7CDE94" w14:textId="77777777" w:rsidR="00B27959" w:rsidRPr="00F11B71" w:rsidRDefault="00B27959" w:rsidP="003064DA">
      <w:pPr>
        <w:pStyle w:val="H23G"/>
      </w:pPr>
      <w:r w:rsidRPr="00F11B71">
        <w:tab/>
      </w:r>
      <w:bookmarkStart w:id="39" w:name="_Toc81410384"/>
      <w:r w:rsidRPr="00F11B71">
        <w:t>1.</w:t>
      </w:r>
      <w:r w:rsidRPr="00F11B71">
        <w:tab/>
        <w:t>Proposal for amendment</w:t>
      </w:r>
      <w:r>
        <w:t>s</w:t>
      </w:r>
      <w:bookmarkEnd w:id="39"/>
    </w:p>
    <w:p w14:paraId="0073D59F" w14:textId="77777777" w:rsidR="00B27959" w:rsidRPr="00F11B71" w:rsidRDefault="00B27959" w:rsidP="00B27959">
      <w:pPr>
        <w:pStyle w:val="SingleTxtG"/>
        <w:ind w:left="3402" w:hanging="2268"/>
        <w:jc w:val="left"/>
        <w:rPr>
          <w:b/>
          <w:bCs/>
          <w:lang w:val="fr-CH"/>
        </w:rPr>
      </w:pPr>
      <w:r w:rsidRPr="00F11B71">
        <w:rPr>
          <w:bCs/>
          <w:i/>
          <w:iCs/>
          <w:lang w:val="fr-CH"/>
        </w:rPr>
        <w:t>Document</w:t>
      </w:r>
      <w:r w:rsidRPr="00F11B71">
        <w:rPr>
          <w:bCs/>
          <w:lang w:val="fr-CH"/>
        </w:rPr>
        <w:t>:</w:t>
      </w:r>
      <w:r w:rsidRPr="00F11B71">
        <w:rPr>
          <w:bCs/>
          <w:lang w:val="fr-CH"/>
        </w:rPr>
        <w:tab/>
        <w:t>ECE/TRANS/WP.15/AC.2/20</w:t>
      </w:r>
      <w:r>
        <w:rPr>
          <w:bCs/>
          <w:lang w:val="fr-CH"/>
        </w:rPr>
        <w:t>2</w:t>
      </w:r>
      <w:r w:rsidRPr="00F11B71">
        <w:rPr>
          <w:bCs/>
          <w:lang w:val="fr-CH"/>
        </w:rPr>
        <w:t>1/</w:t>
      </w:r>
      <w:r>
        <w:rPr>
          <w:bCs/>
          <w:lang w:val="fr-CH"/>
        </w:rPr>
        <w:t>16</w:t>
      </w:r>
      <w:r w:rsidRPr="00F11B71">
        <w:rPr>
          <w:bCs/>
          <w:lang w:val="fr-CH"/>
        </w:rPr>
        <w:t xml:space="preserve"> (</w:t>
      </w:r>
      <w:r w:rsidRPr="00E3773F">
        <w:rPr>
          <w:bCs/>
          <w:lang w:val="fr-CH"/>
        </w:rPr>
        <w:t>Danube Commission</w:t>
      </w:r>
      <w:r w:rsidRPr="00F11B71">
        <w:rPr>
          <w:bCs/>
          <w:lang w:val="fr-CH"/>
        </w:rPr>
        <w:t>)</w:t>
      </w:r>
    </w:p>
    <w:p w14:paraId="76D6DFFE" w14:textId="7B6022ED" w:rsidR="00B27959" w:rsidRPr="00F11B71" w:rsidRDefault="00B27959" w:rsidP="00B27959">
      <w:pPr>
        <w:pStyle w:val="SingleTxtG"/>
      </w:pPr>
      <w:r w:rsidRPr="00F11B71">
        <w:t>2</w:t>
      </w:r>
      <w:r>
        <w:t>3</w:t>
      </w:r>
      <w:r w:rsidRPr="00F11B71">
        <w:t>.</w:t>
      </w:r>
      <w:r w:rsidRPr="00F11B71">
        <w:tab/>
      </w:r>
      <w:r>
        <w:t>The Safety Committee endorsed in principle the clarification to the Russian version of the definition of "membrane tank" in 1.2.1 Cargo tank type (d), but stressed the need to fully align it with the meaning of the other languages of ADN. On the proposed amendments to 9.3.1.18.1 and 9.3.1.18.2, the Safety Committee preferred not to merge both paragraphs as 9.3.1.18.1 is dealing with provisions for detection purposes and 9.3.</w:t>
      </w:r>
      <w:r w:rsidR="0089670B">
        <w:t>1</w:t>
      </w:r>
      <w:r>
        <w:t xml:space="preserve">.18.2 is related to the use of an inert gas for safety purposes. The representative of the Danube Commission </w:t>
      </w:r>
      <w:r w:rsidRPr="00F11B71">
        <w:t xml:space="preserve">volunteered to resubmit </w:t>
      </w:r>
      <w:r>
        <w:t xml:space="preserve">an updated </w:t>
      </w:r>
      <w:r w:rsidRPr="00F11B71">
        <w:t>prop</w:t>
      </w:r>
      <w:r>
        <w:t xml:space="preserve">osal </w:t>
      </w:r>
      <w:r w:rsidRPr="00F11B71">
        <w:t xml:space="preserve">for </w:t>
      </w:r>
      <w:r>
        <w:t>the next</w:t>
      </w:r>
      <w:r w:rsidRPr="00F11B71">
        <w:t xml:space="preserve"> session</w:t>
      </w:r>
      <w:r>
        <w:t xml:space="preserve"> taking into account the designs of inland navigation vessels</w:t>
      </w:r>
      <w:r w:rsidRPr="00F11B71">
        <w:t>.</w:t>
      </w:r>
      <w:r>
        <w:t xml:space="preserve"> </w:t>
      </w:r>
    </w:p>
    <w:p w14:paraId="2C5C0C0F" w14:textId="77777777" w:rsidR="00B27959" w:rsidRPr="00F11B71" w:rsidRDefault="00B27959" w:rsidP="003064DA">
      <w:pPr>
        <w:pStyle w:val="H23G"/>
      </w:pPr>
      <w:r w:rsidRPr="00F11B71">
        <w:lastRenderedPageBreak/>
        <w:tab/>
      </w:r>
      <w:bookmarkStart w:id="40" w:name="_Toc81410385"/>
      <w:r w:rsidRPr="00F11B71">
        <w:t>2.</w:t>
      </w:r>
      <w:r w:rsidRPr="00F11B71">
        <w:tab/>
      </w:r>
      <w:r w:rsidRPr="00E3773F">
        <w:t>Proposal for amendment of Article 7.2.4.41 regarding electronic cigarette limitations</w:t>
      </w:r>
      <w:bookmarkEnd w:id="40"/>
    </w:p>
    <w:p w14:paraId="62477955" w14:textId="77777777" w:rsidR="00B27959" w:rsidRPr="00072D30" w:rsidRDefault="00B27959" w:rsidP="00B27959">
      <w:pPr>
        <w:pStyle w:val="H23G"/>
        <w:keepNext w:val="0"/>
        <w:keepLines w:val="0"/>
        <w:tabs>
          <w:tab w:val="left" w:pos="1134"/>
          <w:tab w:val="left" w:pos="3402"/>
        </w:tabs>
        <w:ind w:firstLine="0"/>
        <w:rPr>
          <w:b w:val="0"/>
          <w:bCs/>
          <w:lang w:val="fr-CH"/>
        </w:rPr>
      </w:pPr>
      <w:bookmarkStart w:id="41" w:name="_Toc81410386"/>
      <w:r w:rsidRPr="00072D30">
        <w:rPr>
          <w:b w:val="0"/>
          <w:bCs/>
          <w:i/>
          <w:iCs/>
          <w:lang w:val="fr-CH"/>
        </w:rPr>
        <w:t>Document</w:t>
      </w:r>
      <w:r w:rsidRPr="00072D30">
        <w:rPr>
          <w:b w:val="0"/>
          <w:bCs/>
          <w:lang w:val="fr-CH"/>
        </w:rPr>
        <w:t>:</w:t>
      </w:r>
      <w:r w:rsidRPr="00072D30">
        <w:rPr>
          <w:b w:val="0"/>
          <w:bCs/>
          <w:lang w:val="fr-CH"/>
        </w:rPr>
        <w:tab/>
        <w:t>ECE/TRANS/WP.15/AC.2/2021/17 (CCNR)</w:t>
      </w:r>
      <w:bookmarkEnd w:id="41"/>
    </w:p>
    <w:p w14:paraId="6B06A292" w14:textId="77777777" w:rsidR="00B27959" w:rsidRPr="00F11B71" w:rsidRDefault="00B27959" w:rsidP="00B27959">
      <w:pPr>
        <w:pStyle w:val="SingleTxtG"/>
      </w:pPr>
      <w:r>
        <w:t>2</w:t>
      </w:r>
      <w:r w:rsidRPr="00F11B71">
        <w:t>4.</w:t>
      </w:r>
      <w:r w:rsidRPr="00F11B71">
        <w:tab/>
        <w:t>The Safety Committee adopted the propos</w:t>
      </w:r>
      <w:r>
        <w:t>ed</w:t>
      </w:r>
      <w:r w:rsidRPr="00F11B71">
        <w:t xml:space="preserve"> amend</w:t>
      </w:r>
      <w:r>
        <w:t>ment to</w:t>
      </w:r>
      <w:r w:rsidRPr="00F11B71">
        <w:t xml:space="preserve"> </w:t>
      </w:r>
      <w:r>
        <w:t>7</w:t>
      </w:r>
      <w:r w:rsidRPr="00F11B71">
        <w:t>.2.</w:t>
      </w:r>
      <w:r>
        <w:t>4.4</w:t>
      </w:r>
      <w:r w:rsidRPr="00F11B71">
        <w:t xml:space="preserve">1 </w:t>
      </w:r>
      <w:r>
        <w:t>prohibiting the use of electronic cigarettes</w:t>
      </w:r>
      <w:r w:rsidRPr="00F11B71">
        <w:t xml:space="preserve"> (see Annex I).</w:t>
      </w:r>
    </w:p>
    <w:p w14:paraId="78979C11" w14:textId="77777777" w:rsidR="00B27959" w:rsidRPr="00F11B71" w:rsidRDefault="00B27959" w:rsidP="003064DA">
      <w:pPr>
        <w:pStyle w:val="H23G"/>
      </w:pPr>
      <w:r w:rsidRPr="00F11B71">
        <w:tab/>
      </w:r>
      <w:bookmarkStart w:id="42" w:name="_Toc81410387"/>
      <w:r w:rsidRPr="00F11B71">
        <w:t>3.</w:t>
      </w:r>
      <w:r w:rsidRPr="00F11B71">
        <w:tab/>
      </w:r>
      <w:r w:rsidRPr="00E3773F">
        <w:t>Various amendments and corrections to ADN 2021 subject to notification</w:t>
      </w:r>
      <w:bookmarkEnd w:id="42"/>
    </w:p>
    <w:p w14:paraId="6B4B4111" w14:textId="77777777" w:rsidR="00B27959" w:rsidRPr="00133877" w:rsidRDefault="00B27959" w:rsidP="00B27959">
      <w:pPr>
        <w:pStyle w:val="H23G"/>
        <w:tabs>
          <w:tab w:val="left" w:pos="1134"/>
          <w:tab w:val="left" w:pos="3402"/>
        </w:tabs>
        <w:ind w:firstLine="0"/>
        <w:rPr>
          <w:b w:val="0"/>
          <w:bCs/>
        </w:rPr>
      </w:pPr>
      <w:bookmarkStart w:id="43" w:name="_Toc81410388"/>
      <w:r w:rsidRPr="00133877">
        <w:rPr>
          <w:b w:val="0"/>
          <w:bCs/>
          <w:i/>
          <w:iCs/>
        </w:rPr>
        <w:t>Document</w:t>
      </w:r>
      <w:r w:rsidRPr="00133877">
        <w:rPr>
          <w:b w:val="0"/>
          <w:bCs/>
        </w:rPr>
        <w:t>:</w:t>
      </w:r>
      <w:r w:rsidRPr="00133877">
        <w:rPr>
          <w:b w:val="0"/>
          <w:bCs/>
        </w:rPr>
        <w:tab/>
        <w:t>ECE/TRANS/WP.15/AC.2/2021/19 (Germany)</w:t>
      </w:r>
      <w:bookmarkEnd w:id="43"/>
    </w:p>
    <w:p w14:paraId="410C23FC" w14:textId="77777777" w:rsidR="00B27959" w:rsidRDefault="00B27959" w:rsidP="00B27959">
      <w:pPr>
        <w:pStyle w:val="SingleTxtG"/>
      </w:pPr>
      <w:r w:rsidRPr="00133877">
        <w:t>25.</w:t>
      </w:r>
      <w:r w:rsidRPr="00133877">
        <w:tab/>
        <w:t xml:space="preserve">The Safety Committee adopted the various amendments and corrections </w:t>
      </w:r>
      <w:r>
        <w:t xml:space="preserve">to tables A, C and 7.2.5.4.2 </w:t>
      </w:r>
      <w:r w:rsidRPr="00133877">
        <w:t xml:space="preserve">proposed in </w:t>
      </w:r>
      <w:r w:rsidRPr="00133877">
        <w:rPr>
          <w:bCs/>
        </w:rPr>
        <w:t xml:space="preserve">ECE/TRANS/WP.15/AC.2/2021/19, </w:t>
      </w:r>
      <w:r>
        <w:rPr>
          <w:bCs/>
        </w:rPr>
        <w:t>as amended</w:t>
      </w:r>
      <w:r w:rsidRPr="00133877">
        <w:rPr>
          <w:bCs/>
        </w:rPr>
        <w:t xml:space="preserve"> </w:t>
      </w:r>
      <w:r w:rsidRPr="00133877">
        <w:t>(see Annex I).</w:t>
      </w:r>
    </w:p>
    <w:p w14:paraId="09CD494D" w14:textId="77777777" w:rsidR="00B27959" w:rsidRPr="00F11B71" w:rsidRDefault="00B27959" w:rsidP="003064DA">
      <w:pPr>
        <w:pStyle w:val="H23G"/>
      </w:pPr>
      <w:r w:rsidRPr="00F11B71">
        <w:tab/>
      </w:r>
      <w:bookmarkStart w:id="44" w:name="_Toc81410389"/>
      <w:r w:rsidRPr="00F11B71">
        <w:t>4.</w:t>
      </w:r>
      <w:r w:rsidRPr="00F11B71">
        <w:tab/>
      </w:r>
      <w:r w:rsidRPr="005E47C5">
        <w:t>Section 8.2.1 ADN - Requirements for the training of experts</w:t>
      </w:r>
      <w:bookmarkEnd w:id="44"/>
    </w:p>
    <w:p w14:paraId="2381BEC7" w14:textId="77777777" w:rsidR="00B27959" w:rsidRPr="00F11B71" w:rsidRDefault="00B27959" w:rsidP="00B27959">
      <w:pPr>
        <w:pStyle w:val="H23G"/>
        <w:tabs>
          <w:tab w:val="left" w:pos="1134"/>
          <w:tab w:val="left" w:pos="3402"/>
        </w:tabs>
        <w:ind w:firstLine="0"/>
        <w:rPr>
          <w:b w:val="0"/>
          <w:bCs/>
        </w:rPr>
      </w:pPr>
      <w:bookmarkStart w:id="45" w:name="_Toc81410390"/>
      <w:r>
        <w:rPr>
          <w:b w:val="0"/>
          <w:bCs/>
          <w:i/>
          <w:iCs/>
        </w:rPr>
        <w:t>D</w:t>
      </w:r>
      <w:r w:rsidRPr="00F11B71">
        <w:rPr>
          <w:b w:val="0"/>
          <w:bCs/>
          <w:i/>
          <w:iCs/>
        </w:rPr>
        <w:t>ocument</w:t>
      </w:r>
      <w:r w:rsidRPr="00F11B71">
        <w:rPr>
          <w:b w:val="0"/>
          <w:bCs/>
        </w:rPr>
        <w:t>:</w:t>
      </w:r>
      <w:r w:rsidRPr="00F11B71">
        <w:rPr>
          <w:b w:val="0"/>
          <w:bCs/>
        </w:rPr>
        <w:tab/>
      </w:r>
      <w:r w:rsidRPr="005E47C5">
        <w:rPr>
          <w:b w:val="0"/>
          <w:bCs/>
        </w:rPr>
        <w:t>ECE/TRANS/WP.15/AC.2/2021/21 (Germany)</w:t>
      </w:r>
      <w:bookmarkEnd w:id="45"/>
    </w:p>
    <w:p w14:paraId="4380ADC9" w14:textId="6D6F97BF" w:rsidR="00B27959" w:rsidRPr="00F11B71" w:rsidRDefault="00B27959" w:rsidP="00B27959">
      <w:pPr>
        <w:pStyle w:val="SingleTxtG"/>
      </w:pPr>
      <w:r>
        <w:t>26</w:t>
      </w:r>
      <w:r w:rsidRPr="00F11B71">
        <w:t>.</w:t>
      </w:r>
      <w:r w:rsidRPr="00F11B71">
        <w:tab/>
      </w:r>
      <w:r>
        <w:t>T</w:t>
      </w:r>
      <w:r w:rsidRPr="00F11B71">
        <w:t>he Safety Committee</w:t>
      </w:r>
      <w:r>
        <w:t xml:space="preserve"> considered in detail and endorsed in principle the proposed amendments under items 1, 2, 3, 4 and 5 and adopted proposals under 2 and 5 (see Annex I). On proposal 3 the Safety Committee concluded that on educational grounds an amount of two retakes is desirable and that a comparison with other forms of examination is desirable. On the proposed amendments to 8.2.2.7.2.1 for the admission to the specialization courses on gases and chemicals, the </w:t>
      </w:r>
      <w:r w:rsidRPr="00F11B71">
        <w:t>Safety Committee</w:t>
      </w:r>
      <w:r>
        <w:t xml:space="preserve"> noted that candidates should not necessarily be in possession of the physical certificate to apply for the exam as they can be delayed. It was also agreed that special examination conditions for candidates with disabilities are authorized in accordance with state regulations. The representative of Germany offered </w:t>
      </w:r>
      <w:r w:rsidRPr="00F11B71">
        <w:t xml:space="preserve">to </w:t>
      </w:r>
      <w:r>
        <w:t>prepare</w:t>
      </w:r>
      <w:r w:rsidRPr="00F11B71">
        <w:t xml:space="preserve"> </w:t>
      </w:r>
      <w:r>
        <w:t xml:space="preserve">an updated </w:t>
      </w:r>
      <w:r w:rsidRPr="00F11B71">
        <w:t>prop</w:t>
      </w:r>
      <w:r>
        <w:t xml:space="preserve">osal </w:t>
      </w:r>
      <w:r w:rsidRPr="00F11B71">
        <w:t xml:space="preserve">for </w:t>
      </w:r>
      <w:r>
        <w:t>a final review at the next</w:t>
      </w:r>
      <w:r w:rsidRPr="00F11B71">
        <w:t xml:space="preserve"> session</w:t>
      </w:r>
      <w:r>
        <w:t xml:space="preserve"> in January 2022.</w:t>
      </w:r>
    </w:p>
    <w:p w14:paraId="3A97DB86" w14:textId="77777777" w:rsidR="00B27959" w:rsidRPr="00F11B71" w:rsidRDefault="00B27959" w:rsidP="003064DA">
      <w:pPr>
        <w:pStyle w:val="H23G"/>
      </w:pPr>
      <w:r w:rsidRPr="00F11B71">
        <w:tab/>
      </w:r>
      <w:bookmarkStart w:id="46" w:name="_Toc81410391"/>
      <w:r w:rsidRPr="00F11B71">
        <w:t>5.</w:t>
      </w:r>
      <w:r w:rsidRPr="00F11B71">
        <w:tab/>
      </w:r>
      <w:r w:rsidRPr="005E47C5">
        <w:t>Carriage of fumigated bulk cargoes in cargo holds and fumigated cargo holds of dry-cargo vessels</w:t>
      </w:r>
      <w:bookmarkEnd w:id="46"/>
    </w:p>
    <w:p w14:paraId="6ECD85E8" w14:textId="77777777" w:rsidR="00B27959" w:rsidRPr="00F11B71" w:rsidRDefault="00B27959" w:rsidP="00B27959">
      <w:pPr>
        <w:pStyle w:val="H23G"/>
        <w:tabs>
          <w:tab w:val="left" w:pos="3402"/>
        </w:tabs>
        <w:spacing w:after="0"/>
        <w:ind w:left="3402" w:hanging="2268"/>
        <w:rPr>
          <w:b w:val="0"/>
          <w:bCs/>
        </w:rPr>
      </w:pPr>
      <w:bookmarkStart w:id="47" w:name="_Toc81410392"/>
      <w:r w:rsidRPr="00F11B71">
        <w:rPr>
          <w:b w:val="0"/>
          <w:bCs/>
          <w:i/>
          <w:iCs/>
        </w:rPr>
        <w:t>Document</w:t>
      </w:r>
      <w:r w:rsidRPr="00F11B71">
        <w:rPr>
          <w:b w:val="0"/>
          <w:bCs/>
        </w:rPr>
        <w:t>:</w:t>
      </w:r>
      <w:r w:rsidRPr="00F11B71">
        <w:rPr>
          <w:b w:val="0"/>
          <w:bCs/>
        </w:rPr>
        <w:tab/>
        <w:t>ECE/TRANS/WP.15/AC.2/20</w:t>
      </w:r>
      <w:r>
        <w:rPr>
          <w:b w:val="0"/>
          <w:bCs/>
        </w:rPr>
        <w:t>2</w:t>
      </w:r>
      <w:r w:rsidRPr="00F11B71">
        <w:rPr>
          <w:b w:val="0"/>
          <w:bCs/>
        </w:rPr>
        <w:t>1/2</w:t>
      </w:r>
      <w:r>
        <w:rPr>
          <w:b w:val="0"/>
          <w:bCs/>
        </w:rPr>
        <w:t>2</w:t>
      </w:r>
      <w:r w:rsidRPr="00F11B71">
        <w:rPr>
          <w:b w:val="0"/>
          <w:bCs/>
        </w:rPr>
        <w:t xml:space="preserve"> (</w:t>
      </w:r>
      <w:r>
        <w:rPr>
          <w:b w:val="0"/>
          <w:bCs/>
        </w:rPr>
        <w:t>Germany</w:t>
      </w:r>
      <w:r w:rsidRPr="00F11B71">
        <w:rPr>
          <w:b w:val="0"/>
          <w:bCs/>
        </w:rPr>
        <w:t>)</w:t>
      </w:r>
      <w:bookmarkEnd w:id="47"/>
    </w:p>
    <w:p w14:paraId="5D971A81" w14:textId="77777777" w:rsidR="00B27959" w:rsidRPr="00F11B71" w:rsidRDefault="00B27959" w:rsidP="00B27959">
      <w:pPr>
        <w:pStyle w:val="H23G"/>
        <w:tabs>
          <w:tab w:val="left" w:pos="3402"/>
        </w:tabs>
        <w:spacing w:before="0"/>
        <w:ind w:left="3402" w:hanging="2268"/>
        <w:rPr>
          <w:b w:val="0"/>
          <w:bCs/>
        </w:rPr>
      </w:pPr>
      <w:bookmarkStart w:id="48" w:name="_Toc81410393"/>
      <w:r w:rsidRPr="00F11B71">
        <w:rPr>
          <w:b w:val="0"/>
          <w:bCs/>
          <w:i/>
          <w:iCs/>
        </w:rPr>
        <w:t>Informal document:</w:t>
      </w:r>
      <w:r w:rsidRPr="00F11B71">
        <w:rPr>
          <w:b w:val="0"/>
          <w:bCs/>
        </w:rPr>
        <w:tab/>
        <w:t>INF.</w:t>
      </w:r>
      <w:r>
        <w:rPr>
          <w:b w:val="0"/>
          <w:bCs/>
        </w:rPr>
        <w:t>5</w:t>
      </w:r>
      <w:r w:rsidRPr="00F11B71">
        <w:rPr>
          <w:b w:val="0"/>
          <w:bCs/>
        </w:rPr>
        <w:t xml:space="preserve"> (</w:t>
      </w:r>
      <w:r>
        <w:rPr>
          <w:b w:val="0"/>
          <w:bCs/>
        </w:rPr>
        <w:t>Austria</w:t>
      </w:r>
      <w:r w:rsidRPr="00F11B71">
        <w:rPr>
          <w:b w:val="0"/>
          <w:bCs/>
        </w:rPr>
        <w:t>)</w:t>
      </w:r>
      <w:bookmarkEnd w:id="48"/>
    </w:p>
    <w:p w14:paraId="08E09F35" w14:textId="6D1D7711" w:rsidR="00B27959" w:rsidRDefault="00B27959" w:rsidP="00B27959">
      <w:pPr>
        <w:pStyle w:val="SingleTxtG"/>
      </w:pPr>
      <w:r>
        <w:t>27</w:t>
      </w:r>
      <w:r w:rsidRPr="00F11B71">
        <w:t>.</w:t>
      </w:r>
      <w:r w:rsidRPr="00F11B71">
        <w:tab/>
      </w:r>
      <w:r>
        <w:t>T</w:t>
      </w:r>
      <w:r w:rsidRPr="00F11B71">
        <w:t xml:space="preserve">he Safety Committee </w:t>
      </w:r>
      <w:r>
        <w:t>agreed on the importance of amending the Regulations annexed to the ADN to cover the c</w:t>
      </w:r>
      <w:r w:rsidRPr="005F741A">
        <w:t>arriage of fumigated bulk cargoes in cargo holds and fumigated cargo holds of dry-cargo vessels</w:t>
      </w:r>
      <w:r>
        <w:t xml:space="preserve"> to ensure the safety of crew members and other persons on board. Taking into account the limitation to bulk cargoes of the German proposal, the representative of Austria presented in informal document INF.5 an alternative proposal to allocate the provisions under 5.5.2, instead of a new 5.5.5.</w:t>
      </w:r>
    </w:p>
    <w:p w14:paraId="2C486DA7" w14:textId="1E6DAA9C" w:rsidR="00B27959" w:rsidRPr="00F11B71" w:rsidRDefault="00B27959" w:rsidP="00B27959">
      <w:pPr>
        <w:pStyle w:val="SingleTxtG"/>
      </w:pPr>
      <w:r>
        <w:t>28.</w:t>
      </w:r>
      <w:r>
        <w:tab/>
        <w:t xml:space="preserve">Following the discussion, the </w:t>
      </w:r>
      <w:r w:rsidRPr="00F11B71">
        <w:t>Safety Committee</w:t>
      </w:r>
      <w:r>
        <w:t xml:space="preserve"> invited Germany and the Netherlands to facilitate a correspondence group to make progress on this subject. It was agreed that the proposal should</w:t>
      </w:r>
      <w:r w:rsidDel="00403B3B">
        <w:t xml:space="preserve"> </w:t>
      </w:r>
      <w:r>
        <w:t>focus on the safety of crew members and other persons on board taking into account all possible risks. It was also agreed that available technical and scientific literature on the subject as well as experts should be consulted to better understand the behaviour of these fumigation gases</w:t>
      </w:r>
      <w:r w:rsidDel="00403B3B">
        <w:t>.</w:t>
      </w:r>
      <w:r>
        <w:t xml:space="preserve"> The representative of GAFTA</w:t>
      </w:r>
      <w:r w:rsidRPr="00B5529F">
        <w:t xml:space="preserve"> </w:t>
      </w:r>
      <w:r>
        <w:t xml:space="preserve">offered their </w:t>
      </w:r>
      <w:r w:rsidRPr="00B5529F">
        <w:t>support and technical expertise in these important discussions going forward</w:t>
      </w:r>
      <w:r w:rsidRPr="00F11B71">
        <w:t>.</w:t>
      </w:r>
    </w:p>
    <w:p w14:paraId="5FFD4D0C" w14:textId="77777777" w:rsidR="00B27959" w:rsidRPr="00F11B71" w:rsidRDefault="00B27959" w:rsidP="003064DA">
      <w:pPr>
        <w:pStyle w:val="H23G"/>
      </w:pPr>
      <w:r w:rsidRPr="00F11B71">
        <w:tab/>
      </w:r>
      <w:bookmarkStart w:id="49" w:name="_Toc81410394"/>
      <w:r w:rsidRPr="00F11B71">
        <w:t>6.</w:t>
      </w:r>
      <w:r w:rsidRPr="00F11B71">
        <w:tab/>
      </w:r>
      <w:r w:rsidRPr="005E47C5">
        <w:t>Parts 4 and 6 of ADN – derogations due to multilateral agreements in accordance with ADR/RID</w:t>
      </w:r>
      <w:bookmarkEnd w:id="49"/>
    </w:p>
    <w:p w14:paraId="1381A5B8" w14:textId="77777777" w:rsidR="00B27959" w:rsidRPr="00F11B71" w:rsidRDefault="00B27959" w:rsidP="00B27959">
      <w:pPr>
        <w:pStyle w:val="H23G"/>
        <w:keepNext w:val="0"/>
        <w:keepLines w:val="0"/>
        <w:tabs>
          <w:tab w:val="left" w:pos="1134"/>
          <w:tab w:val="left" w:pos="3402"/>
        </w:tabs>
        <w:ind w:firstLine="0"/>
        <w:rPr>
          <w:b w:val="0"/>
          <w:bCs/>
        </w:rPr>
      </w:pPr>
      <w:bookmarkStart w:id="50" w:name="_Toc81410395"/>
      <w:r w:rsidRPr="00F11B71">
        <w:rPr>
          <w:b w:val="0"/>
          <w:bCs/>
          <w:i/>
          <w:iCs/>
        </w:rPr>
        <w:t>Document</w:t>
      </w:r>
      <w:r w:rsidRPr="00F11B71">
        <w:rPr>
          <w:b w:val="0"/>
          <w:bCs/>
        </w:rPr>
        <w:t>:</w:t>
      </w:r>
      <w:r w:rsidRPr="00F11B71">
        <w:rPr>
          <w:b w:val="0"/>
          <w:bCs/>
        </w:rPr>
        <w:tab/>
        <w:t>ECE/TRANS/WP.15/AC.2/20</w:t>
      </w:r>
      <w:r>
        <w:rPr>
          <w:b w:val="0"/>
          <w:bCs/>
        </w:rPr>
        <w:t>2</w:t>
      </w:r>
      <w:r w:rsidRPr="00F11B71">
        <w:rPr>
          <w:b w:val="0"/>
          <w:bCs/>
        </w:rPr>
        <w:t>1/</w:t>
      </w:r>
      <w:r>
        <w:rPr>
          <w:b w:val="0"/>
          <w:bCs/>
        </w:rPr>
        <w:t>23</w:t>
      </w:r>
      <w:r w:rsidRPr="00F11B71">
        <w:rPr>
          <w:b w:val="0"/>
          <w:bCs/>
        </w:rPr>
        <w:t xml:space="preserve"> (Germany)</w:t>
      </w:r>
      <w:bookmarkEnd w:id="50"/>
    </w:p>
    <w:p w14:paraId="6FBF4DF2" w14:textId="0ED704AD" w:rsidR="00B27959" w:rsidRDefault="00B27959" w:rsidP="00B27959">
      <w:pPr>
        <w:pStyle w:val="SingleTxtG"/>
      </w:pPr>
      <w:r>
        <w:t>29</w:t>
      </w:r>
      <w:r w:rsidRPr="00F11B71">
        <w:t>.</w:t>
      </w:r>
      <w:r w:rsidRPr="00F11B71">
        <w:tab/>
      </w:r>
      <w:r>
        <w:t>Opinions of t</w:t>
      </w:r>
      <w:r w:rsidRPr="00F11B71">
        <w:t>he Safety Committee</w:t>
      </w:r>
      <w:r>
        <w:t xml:space="preserve"> were divided on the proposal by Germany to insert in 1.5.1 a new provision for ADN Contracting Parties to "automatically" consider temporary derogations concerning Parts 4 and 6 of RID/ADR as bilateral or multilateral agreements among ADN Contracting Parties signatories to said bilateral/multilateral agreements and ADN Contracting Parties in general. It was clear from the discussions that interpretation and therefore application of this principle differed not only among Competent Authorities, but also among the different authorities competent for the different modes of transport within the </w:t>
      </w:r>
      <w:r>
        <w:lastRenderedPageBreak/>
        <w:t>territory of a Contracting Party and some concerns were raised on possible interruptions of the multimodal transport chain.</w:t>
      </w:r>
    </w:p>
    <w:p w14:paraId="191E2F68" w14:textId="77777777" w:rsidR="00B27959" w:rsidRDefault="00B27959" w:rsidP="00B27959">
      <w:pPr>
        <w:pStyle w:val="SingleTxtG"/>
      </w:pPr>
      <w:r>
        <w:t>30.</w:t>
      </w:r>
      <w:r>
        <w:tab/>
        <w:t>While some representatives were in favour of keeping some flexibility to determine on a case by case basis if temporary derogations for RID/ADR concerning Parts 4 and 6 were relevant to ADN, other agreed on the principle that inserting provisions on how to deal with these temporary derogations in the ADN would allow for harmonized application and legal certainty.</w:t>
      </w:r>
    </w:p>
    <w:p w14:paraId="360D713D" w14:textId="77777777" w:rsidR="00B27959" w:rsidRPr="00F11B71" w:rsidRDefault="00B27959" w:rsidP="00B27959">
      <w:pPr>
        <w:pStyle w:val="SingleTxtG"/>
      </w:pPr>
      <w:r>
        <w:t>31.</w:t>
      </w:r>
      <w:r>
        <w:tab/>
        <w:t>Following the discussion, it was agreed that this matter should be considered by the RID/ADR/ADN Joint Meeting at its forthcoming session based on a proposal by Germany.</w:t>
      </w:r>
    </w:p>
    <w:p w14:paraId="3CBDFD70" w14:textId="77777777" w:rsidR="00B27959" w:rsidRPr="00F11B71" w:rsidRDefault="00B27959" w:rsidP="003064DA">
      <w:pPr>
        <w:pStyle w:val="H23G"/>
      </w:pPr>
      <w:r w:rsidRPr="00F11B71">
        <w:tab/>
      </w:r>
      <w:bookmarkStart w:id="51" w:name="_Toc81410396"/>
      <w:r w:rsidRPr="00F11B71">
        <w:t>7.</w:t>
      </w:r>
      <w:r w:rsidRPr="00F11B71">
        <w:tab/>
      </w:r>
      <w:r w:rsidRPr="005E47C5">
        <w:t>Proposal of correction to paragraph 9.3.3.60</w:t>
      </w:r>
      <w:bookmarkEnd w:id="51"/>
    </w:p>
    <w:p w14:paraId="5FB08814" w14:textId="77777777" w:rsidR="00B27959" w:rsidRPr="00F11B71" w:rsidRDefault="00B27959" w:rsidP="00B27959">
      <w:pPr>
        <w:pStyle w:val="H23G"/>
        <w:tabs>
          <w:tab w:val="left" w:pos="1134"/>
          <w:tab w:val="left" w:pos="3402"/>
        </w:tabs>
        <w:ind w:firstLine="0"/>
        <w:rPr>
          <w:b w:val="0"/>
          <w:bCs/>
          <w:lang w:val="fr-CH"/>
        </w:rPr>
      </w:pPr>
      <w:bookmarkStart w:id="52" w:name="_Toc81410397"/>
      <w:r w:rsidRPr="00F11B71">
        <w:rPr>
          <w:b w:val="0"/>
          <w:bCs/>
          <w:i/>
          <w:iCs/>
          <w:lang w:val="fr-CH"/>
        </w:rPr>
        <w:t>Document</w:t>
      </w:r>
      <w:r w:rsidRPr="00F11B71">
        <w:rPr>
          <w:b w:val="0"/>
          <w:bCs/>
          <w:lang w:val="fr-CH"/>
        </w:rPr>
        <w:t>:</w:t>
      </w:r>
      <w:r w:rsidRPr="00F11B71">
        <w:rPr>
          <w:b w:val="0"/>
          <w:bCs/>
          <w:lang w:val="fr-CH"/>
        </w:rPr>
        <w:tab/>
        <w:t>ECE/TRANS/WP.15/AC.2/20</w:t>
      </w:r>
      <w:r>
        <w:rPr>
          <w:b w:val="0"/>
          <w:bCs/>
          <w:lang w:val="fr-CH"/>
        </w:rPr>
        <w:t>2</w:t>
      </w:r>
      <w:r w:rsidRPr="00F11B71">
        <w:rPr>
          <w:b w:val="0"/>
          <w:bCs/>
          <w:lang w:val="fr-CH"/>
        </w:rPr>
        <w:t>1/2</w:t>
      </w:r>
      <w:r>
        <w:rPr>
          <w:b w:val="0"/>
          <w:bCs/>
          <w:lang w:val="fr-CH"/>
        </w:rPr>
        <w:t>4</w:t>
      </w:r>
      <w:r w:rsidRPr="00F11B71">
        <w:rPr>
          <w:b w:val="0"/>
          <w:bCs/>
          <w:lang w:val="fr-CH"/>
        </w:rPr>
        <w:t xml:space="preserve"> (</w:t>
      </w:r>
      <w:r>
        <w:rPr>
          <w:b w:val="0"/>
          <w:bCs/>
          <w:lang w:val="fr-CH"/>
        </w:rPr>
        <w:t>CCNR</w:t>
      </w:r>
      <w:r w:rsidRPr="00F11B71">
        <w:rPr>
          <w:b w:val="0"/>
          <w:bCs/>
          <w:lang w:val="fr-CH"/>
        </w:rPr>
        <w:t>)</w:t>
      </w:r>
      <w:bookmarkEnd w:id="52"/>
    </w:p>
    <w:p w14:paraId="126151AB" w14:textId="16202BE3" w:rsidR="00B27959" w:rsidRPr="00F11B71" w:rsidRDefault="00B27959" w:rsidP="00B27959">
      <w:pPr>
        <w:pStyle w:val="SingleTxtG"/>
      </w:pPr>
      <w:r>
        <w:t>32</w:t>
      </w:r>
      <w:r w:rsidRPr="00F11B71">
        <w:t>.</w:t>
      </w:r>
      <w:r w:rsidRPr="00F11B71">
        <w:tab/>
        <w:t xml:space="preserve">The Safety Committee </w:t>
      </w:r>
      <w:r>
        <w:t xml:space="preserve">adopted the proposed corrections to the French and German version of 9.3.3.60 (see </w:t>
      </w:r>
      <w:r w:rsidR="006D5C5E">
        <w:t>A</w:t>
      </w:r>
      <w:r>
        <w:t xml:space="preserve">nnex </w:t>
      </w:r>
      <w:r w:rsidR="006D5C5E">
        <w:t>I</w:t>
      </w:r>
      <w:r>
        <w:t>).</w:t>
      </w:r>
    </w:p>
    <w:p w14:paraId="3A86BDE6" w14:textId="77777777" w:rsidR="00B27959" w:rsidRPr="00F11B71" w:rsidRDefault="00B27959" w:rsidP="003064DA">
      <w:pPr>
        <w:pStyle w:val="H23G"/>
      </w:pPr>
      <w:r w:rsidRPr="00F11B71">
        <w:tab/>
      </w:r>
      <w:bookmarkStart w:id="53" w:name="_Toc81410398"/>
      <w:r w:rsidRPr="00F11B71">
        <w:t>8.</w:t>
      </w:r>
      <w:r w:rsidRPr="00F11B71">
        <w:tab/>
      </w:r>
      <w:r w:rsidRPr="005E47C5">
        <w:t>Provisions of cofferdams</w:t>
      </w:r>
      <w:bookmarkEnd w:id="53"/>
    </w:p>
    <w:p w14:paraId="5E3003E8" w14:textId="77777777" w:rsidR="00B27959" w:rsidRPr="00F11B71" w:rsidRDefault="00B27959" w:rsidP="00B27959">
      <w:pPr>
        <w:pStyle w:val="H23G"/>
        <w:keepNext w:val="0"/>
        <w:keepLines w:val="0"/>
        <w:tabs>
          <w:tab w:val="left" w:pos="1134"/>
          <w:tab w:val="left" w:pos="3402"/>
        </w:tabs>
        <w:ind w:firstLine="0"/>
        <w:rPr>
          <w:b w:val="0"/>
          <w:bCs/>
        </w:rPr>
      </w:pPr>
      <w:bookmarkStart w:id="54" w:name="_Toc81410399"/>
      <w:r w:rsidRPr="00F11B71">
        <w:rPr>
          <w:b w:val="0"/>
          <w:bCs/>
          <w:i/>
          <w:iCs/>
        </w:rPr>
        <w:t>Document</w:t>
      </w:r>
      <w:r w:rsidRPr="00F11B71">
        <w:rPr>
          <w:b w:val="0"/>
          <w:bCs/>
        </w:rPr>
        <w:t>:</w:t>
      </w:r>
      <w:r w:rsidRPr="00F11B71">
        <w:rPr>
          <w:b w:val="0"/>
          <w:bCs/>
        </w:rPr>
        <w:tab/>
        <w:t>ECE/TRANS/WP.15/AC.2/20</w:t>
      </w:r>
      <w:r>
        <w:rPr>
          <w:b w:val="0"/>
          <w:bCs/>
        </w:rPr>
        <w:t>2</w:t>
      </w:r>
      <w:r w:rsidRPr="00F11B71">
        <w:rPr>
          <w:b w:val="0"/>
          <w:bCs/>
        </w:rPr>
        <w:t>1/2</w:t>
      </w:r>
      <w:r>
        <w:rPr>
          <w:b w:val="0"/>
          <w:bCs/>
        </w:rPr>
        <w:t>5</w:t>
      </w:r>
      <w:r w:rsidRPr="00F11B71">
        <w:rPr>
          <w:b w:val="0"/>
          <w:bCs/>
        </w:rPr>
        <w:t xml:space="preserve"> (</w:t>
      </w:r>
      <w:r>
        <w:rPr>
          <w:b w:val="0"/>
          <w:bCs/>
        </w:rPr>
        <w:t>EBU and ESO</w:t>
      </w:r>
      <w:r w:rsidRPr="00F11B71">
        <w:rPr>
          <w:b w:val="0"/>
          <w:bCs/>
        </w:rPr>
        <w:t>)</w:t>
      </w:r>
      <w:bookmarkEnd w:id="54"/>
    </w:p>
    <w:p w14:paraId="7312D5F0" w14:textId="6B407103" w:rsidR="00B27959" w:rsidRDefault="00B27959" w:rsidP="00B27959">
      <w:pPr>
        <w:pStyle w:val="SingleTxtG"/>
      </w:pPr>
      <w:r>
        <w:t>33</w:t>
      </w:r>
      <w:r w:rsidRPr="00F11B71">
        <w:t>.</w:t>
      </w:r>
      <w:r w:rsidRPr="00F11B71">
        <w:tab/>
      </w:r>
      <w:r>
        <w:t>In the absence of the reasons for the limitation in former ADN to no longer use cofferdam as extra ballast tank,</w:t>
      </w:r>
      <w:r w:rsidRPr="00F11B71">
        <w:t xml:space="preserve"> </w:t>
      </w:r>
      <w:r>
        <w:t>t</w:t>
      </w:r>
      <w:r w:rsidRPr="00F11B71">
        <w:t xml:space="preserve">he Safety Committee </w:t>
      </w:r>
      <w:r>
        <w:t>had a discussion on the proposal to reduce the risk of incidents and preferred to defer its adoption</w:t>
      </w:r>
      <w:r w:rsidRPr="00F11B71">
        <w:t>.</w:t>
      </w:r>
      <w:r>
        <w:t xml:space="preserve"> It was noted that navigating under low bridges could be avoided, in some cases, through other technical or administrative measures, such as the use of new technologies and engineering solutions or better route planning of vessels and construction solutions of bridges. It was also noted that a dry cofferdam eases the leakage inspections of the vessel</w:t>
      </w:r>
      <w:r w:rsidRPr="00E90EB3">
        <w:t xml:space="preserve"> </w:t>
      </w:r>
      <w:r>
        <w:t>and that the prohibition of using the cofferdam as ballast tanks applies to vessels constructed after the year 2000.</w:t>
      </w:r>
    </w:p>
    <w:p w14:paraId="34A63F4A" w14:textId="77777777" w:rsidR="00B27959" w:rsidRPr="00F11B71" w:rsidRDefault="00B27959" w:rsidP="00B27959">
      <w:pPr>
        <w:pStyle w:val="SingleTxtG"/>
      </w:pPr>
      <w:r>
        <w:t>34.</w:t>
      </w:r>
      <w:r>
        <w:tab/>
        <w:t xml:space="preserve">It was agreed to resume consideration in a more general way in which way safety devices could be used for operational purposes. The representative of EBU volunteered to do some research on this subject and to resubmit </w:t>
      </w:r>
      <w:r w:rsidRPr="00B27959">
        <w:t>an</w:t>
      </w:r>
      <w:r>
        <w:t xml:space="preserve"> updated proposal for the next session.</w:t>
      </w:r>
    </w:p>
    <w:p w14:paraId="0CCA3AA0" w14:textId="77777777" w:rsidR="00B27959" w:rsidRPr="00F11B71" w:rsidRDefault="00B27959" w:rsidP="003064DA">
      <w:pPr>
        <w:pStyle w:val="H23G"/>
      </w:pPr>
      <w:r w:rsidRPr="00F11B71">
        <w:tab/>
      </w:r>
      <w:bookmarkStart w:id="55" w:name="_Toc81410400"/>
      <w:r w:rsidRPr="00F11B71">
        <w:t>9.</w:t>
      </w:r>
      <w:r w:rsidRPr="00F11B71">
        <w:tab/>
      </w:r>
      <w:r w:rsidRPr="005E47C5">
        <w:t>Loading and unloading instructions</w:t>
      </w:r>
      <w:bookmarkEnd w:id="55"/>
    </w:p>
    <w:p w14:paraId="4537B39D" w14:textId="77777777" w:rsidR="00B27959" w:rsidRPr="00072D30" w:rsidRDefault="00B27959" w:rsidP="00B27959">
      <w:pPr>
        <w:pStyle w:val="H23G"/>
        <w:tabs>
          <w:tab w:val="left" w:pos="3402"/>
        </w:tabs>
        <w:spacing w:after="0"/>
        <w:ind w:left="3402" w:hanging="2268"/>
        <w:rPr>
          <w:b w:val="0"/>
          <w:bCs/>
        </w:rPr>
      </w:pPr>
      <w:bookmarkStart w:id="56" w:name="_Toc81410401"/>
      <w:r w:rsidRPr="00072D30">
        <w:rPr>
          <w:b w:val="0"/>
          <w:bCs/>
          <w:i/>
          <w:iCs/>
        </w:rPr>
        <w:t>Document</w:t>
      </w:r>
      <w:r w:rsidRPr="00072D30">
        <w:rPr>
          <w:b w:val="0"/>
          <w:bCs/>
        </w:rPr>
        <w:t>:</w:t>
      </w:r>
      <w:r w:rsidRPr="00072D30">
        <w:rPr>
          <w:b w:val="0"/>
          <w:bCs/>
        </w:rPr>
        <w:tab/>
        <w:t>ECE/TRANS/WP.15/AC.2/2021/26 (Netherlands)</w:t>
      </w:r>
      <w:bookmarkEnd w:id="56"/>
    </w:p>
    <w:p w14:paraId="04F25D50" w14:textId="77777777" w:rsidR="00B27959" w:rsidRPr="000E789C" w:rsidRDefault="00B27959" w:rsidP="00B27959">
      <w:pPr>
        <w:pStyle w:val="H23G"/>
        <w:tabs>
          <w:tab w:val="left" w:pos="3402"/>
        </w:tabs>
        <w:spacing w:before="0"/>
        <w:ind w:left="3402" w:hanging="2268"/>
        <w:rPr>
          <w:b w:val="0"/>
          <w:bCs/>
          <w:lang w:val="nl-NL"/>
        </w:rPr>
      </w:pPr>
      <w:bookmarkStart w:id="57" w:name="_Toc81410402"/>
      <w:proofErr w:type="spellStart"/>
      <w:r w:rsidRPr="000E789C">
        <w:rPr>
          <w:b w:val="0"/>
          <w:bCs/>
          <w:i/>
          <w:iCs/>
          <w:lang w:val="nl-NL"/>
        </w:rPr>
        <w:t>Informal</w:t>
      </w:r>
      <w:proofErr w:type="spellEnd"/>
      <w:r w:rsidRPr="000E789C">
        <w:rPr>
          <w:b w:val="0"/>
          <w:bCs/>
          <w:i/>
          <w:iCs/>
          <w:lang w:val="nl-NL"/>
        </w:rPr>
        <w:t xml:space="preserve"> document:</w:t>
      </w:r>
      <w:r w:rsidRPr="000E789C">
        <w:rPr>
          <w:b w:val="0"/>
          <w:bCs/>
          <w:lang w:val="nl-NL"/>
        </w:rPr>
        <w:tab/>
        <w:t>INF.2 (Netherlands)</w:t>
      </w:r>
      <w:bookmarkEnd w:id="57"/>
    </w:p>
    <w:p w14:paraId="60F28048" w14:textId="060FAF33" w:rsidR="00B27959" w:rsidRDefault="00B27959" w:rsidP="00B27959">
      <w:pPr>
        <w:pStyle w:val="SingleTxtG"/>
      </w:pPr>
      <w:r>
        <w:t>35</w:t>
      </w:r>
      <w:r w:rsidRPr="00F11B71">
        <w:t>.</w:t>
      </w:r>
      <w:r w:rsidRPr="00F11B71">
        <w:tab/>
        <w:t xml:space="preserve">The Safety Committee </w:t>
      </w:r>
      <w:r>
        <w:t xml:space="preserve">took note of some concerns on the use of "vapour density" in the proposed amendments, the availability of such data and on the need to clarify the responsibilities. The representative of the Netherlands confirmed that such data is available at industry level and that the applicability was already proved as best practice on national level. It was agreed that </w:t>
      </w:r>
      <w:r w:rsidRPr="00F11B71">
        <w:rPr>
          <w:bCs/>
        </w:rPr>
        <w:t>ECE/TRANS/WP.15/AC.2/20</w:t>
      </w:r>
      <w:r>
        <w:rPr>
          <w:bCs/>
        </w:rPr>
        <w:t>2</w:t>
      </w:r>
      <w:r w:rsidRPr="00F11B71">
        <w:rPr>
          <w:bCs/>
        </w:rPr>
        <w:t>1/2</w:t>
      </w:r>
      <w:r>
        <w:rPr>
          <w:bCs/>
        </w:rPr>
        <w:t>6</w:t>
      </w:r>
      <w:r w:rsidRPr="00F93795">
        <w:t xml:space="preserve"> </w:t>
      </w:r>
      <w:r>
        <w:t xml:space="preserve">is a good basis for discussion but should be further developed to clarify the concerns raised. The representative of </w:t>
      </w:r>
      <w:proofErr w:type="spellStart"/>
      <w:r>
        <w:t>Cefic</w:t>
      </w:r>
      <w:proofErr w:type="spellEnd"/>
      <w:r>
        <w:t xml:space="preserve"> believed that rather than using vapour density for the calculation of loading rates, the readily available vapour pressure could be used and, therefore, preferred to rediscuss the calculation method.</w:t>
      </w:r>
    </w:p>
    <w:p w14:paraId="5230292A" w14:textId="77777777" w:rsidR="00B27959" w:rsidRPr="00F11B71" w:rsidRDefault="00B27959" w:rsidP="00B27959">
      <w:pPr>
        <w:pStyle w:val="SingleTxtG"/>
      </w:pPr>
      <w:r>
        <w:t>36.</w:t>
      </w:r>
      <w:r>
        <w:tab/>
      </w:r>
      <w:r w:rsidRPr="00F11B71">
        <w:t>The Safety Committee</w:t>
      </w:r>
      <w:r>
        <w:t xml:space="preserve"> decided to establish an informal working group on l</w:t>
      </w:r>
      <w:r w:rsidRPr="005E47C5">
        <w:t>oading and unloading instructions</w:t>
      </w:r>
      <w:r>
        <w:t xml:space="preserve">. It discussed already a first set of items for the draft terms of reference. The representative of the Netherlands volunteered to further develop that draft and invited all interested delegates to send him an email about their interest to participate in the activities of the new group. </w:t>
      </w:r>
      <w:r w:rsidRPr="00F11B71">
        <w:t>The Safety Committee</w:t>
      </w:r>
      <w:r>
        <w:t xml:space="preserve"> agreed to consider</w:t>
      </w:r>
      <w:r w:rsidRPr="00F11B71">
        <w:t xml:space="preserve"> at </w:t>
      </w:r>
      <w:r>
        <w:t>its</w:t>
      </w:r>
      <w:r w:rsidRPr="00F11B71">
        <w:t xml:space="preserve"> next session the </w:t>
      </w:r>
      <w:r>
        <w:t>final proposal for the terms of reference of the informal working group</w:t>
      </w:r>
      <w:r w:rsidRPr="00F11B71">
        <w:t>.</w:t>
      </w:r>
    </w:p>
    <w:p w14:paraId="1CA81663" w14:textId="77777777" w:rsidR="00B27959" w:rsidRPr="000E789C" w:rsidRDefault="00B27959" w:rsidP="003064DA">
      <w:pPr>
        <w:pStyle w:val="H23G"/>
        <w:rPr>
          <w:lang w:val="nl-NL"/>
        </w:rPr>
      </w:pPr>
      <w:r w:rsidRPr="00F11B71">
        <w:lastRenderedPageBreak/>
        <w:tab/>
      </w:r>
      <w:bookmarkStart w:id="58" w:name="_Toc81410403"/>
      <w:r w:rsidRPr="000E789C">
        <w:rPr>
          <w:lang w:val="nl-NL"/>
        </w:rPr>
        <w:t>10.</w:t>
      </w:r>
      <w:r w:rsidRPr="000E789C">
        <w:rPr>
          <w:lang w:val="nl-NL"/>
        </w:rPr>
        <w:tab/>
        <w:t xml:space="preserve">3.2.3.3 </w:t>
      </w:r>
      <w:proofErr w:type="spellStart"/>
      <w:r w:rsidRPr="000E789C">
        <w:rPr>
          <w:lang w:val="nl-NL"/>
        </w:rPr>
        <w:t>Scheme</w:t>
      </w:r>
      <w:proofErr w:type="spellEnd"/>
      <w:r w:rsidRPr="000E789C">
        <w:rPr>
          <w:lang w:val="nl-NL"/>
        </w:rPr>
        <w:t xml:space="preserve"> B</w:t>
      </w:r>
      <w:bookmarkEnd w:id="58"/>
    </w:p>
    <w:p w14:paraId="776F9D8B" w14:textId="77777777" w:rsidR="00B27959" w:rsidRPr="00105A3B" w:rsidRDefault="00B27959" w:rsidP="00B27959">
      <w:pPr>
        <w:pStyle w:val="H23G"/>
        <w:tabs>
          <w:tab w:val="left" w:pos="1134"/>
          <w:tab w:val="left" w:pos="3402"/>
        </w:tabs>
        <w:ind w:firstLine="0"/>
        <w:rPr>
          <w:b w:val="0"/>
          <w:bCs/>
        </w:rPr>
      </w:pPr>
      <w:bookmarkStart w:id="59" w:name="_Toc81410404"/>
      <w:r w:rsidRPr="00105A3B">
        <w:rPr>
          <w:b w:val="0"/>
          <w:bCs/>
          <w:i/>
          <w:iCs/>
        </w:rPr>
        <w:t>Document</w:t>
      </w:r>
      <w:r w:rsidRPr="00105A3B">
        <w:rPr>
          <w:b w:val="0"/>
          <w:bCs/>
        </w:rPr>
        <w:t>:</w:t>
      </w:r>
      <w:r w:rsidRPr="00105A3B">
        <w:rPr>
          <w:b w:val="0"/>
          <w:bCs/>
        </w:rPr>
        <w:tab/>
        <w:t>ECE/TRANS/WP.15/AC.2/2021/28 (Netherlands)</w:t>
      </w:r>
      <w:bookmarkEnd w:id="59"/>
    </w:p>
    <w:p w14:paraId="0FFBC593" w14:textId="77777777" w:rsidR="00B27959" w:rsidRDefault="00B27959" w:rsidP="00B27959">
      <w:pPr>
        <w:pStyle w:val="SingleTxtG"/>
      </w:pPr>
      <w:r>
        <w:t>37</w:t>
      </w:r>
      <w:r w:rsidRPr="00F11B71">
        <w:t>.</w:t>
      </w:r>
      <w:r w:rsidRPr="00F11B71">
        <w:tab/>
        <w:t>The Safety Committee</w:t>
      </w:r>
      <w:r>
        <w:t xml:space="preserve"> welcomed and adopted the proposal to improve the legibility of Scheme B in ADN 3.2.3.3 (see Annex I).</w:t>
      </w:r>
    </w:p>
    <w:p w14:paraId="48D7576B" w14:textId="77777777" w:rsidR="00B27959" w:rsidRPr="00F11B71" w:rsidRDefault="00B27959" w:rsidP="003064DA">
      <w:pPr>
        <w:pStyle w:val="H23G"/>
      </w:pPr>
      <w:r w:rsidRPr="00F11B71">
        <w:tab/>
      </w:r>
      <w:bookmarkStart w:id="60" w:name="_Toc81410405"/>
      <w:r w:rsidRPr="00F11B71">
        <w:t>1</w:t>
      </w:r>
      <w:r>
        <w:t>1</w:t>
      </w:r>
      <w:r w:rsidRPr="00F11B71">
        <w:t>.</w:t>
      </w:r>
      <w:r w:rsidRPr="00F11B71">
        <w:tab/>
      </w:r>
      <w:r w:rsidRPr="00B20518">
        <w:t>Construction materials</w:t>
      </w:r>
      <w:bookmarkEnd w:id="60"/>
    </w:p>
    <w:p w14:paraId="0841747F" w14:textId="77777777" w:rsidR="00B27959" w:rsidRPr="00F11B71" w:rsidRDefault="00B27959" w:rsidP="00B27959">
      <w:pPr>
        <w:pStyle w:val="H23G"/>
        <w:tabs>
          <w:tab w:val="left" w:pos="1134"/>
          <w:tab w:val="left" w:pos="3402"/>
        </w:tabs>
        <w:ind w:firstLine="0"/>
        <w:rPr>
          <w:b w:val="0"/>
          <w:bCs/>
        </w:rPr>
      </w:pPr>
      <w:bookmarkStart w:id="61" w:name="_Toc81410406"/>
      <w:r w:rsidRPr="00F11B71">
        <w:rPr>
          <w:b w:val="0"/>
          <w:bCs/>
          <w:i/>
          <w:iCs/>
        </w:rPr>
        <w:t>Document</w:t>
      </w:r>
      <w:r w:rsidRPr="00F11B71">
        <w:rPr>
          <w:b w:val="0"/>
          <w:bCs/>
        </w:rPr>
        <w:t>:</w:t>
      </w:r>
      <w:r w:rsidRPr="00F11B71">
        <w:rPr>
          <w:b w:val="0"/>
          <w:bCs/>
        </w:rPr>
        <w:tab/>
        <w:t>ECE/TRANS/WP.15/AC.2/20</w:t>
      </w:r>
      <w:r>
        <w:rPr>
          <w:b w:val="0"/>
          <w:bCs/>
        </w:rPr>
        <w:t>2</w:t>
      </w:r>
      <w:r w:rsidRPr="00F11B71">
        <w:rPr>
          <w:b w:val="0"/>
          <w:bCs/>
        </w:rPr>
        <w:t>1/</w:t>
      </w:r>
      <w:r>
        <w:rPr>
          <w:b w:val="0"/>
          <w:bCs/>
        </w:rPr>
        <w:t>30</w:t>
      </w:r>
      <w:r w:rsidRPr="00F11B71">
        <w:rPr>
          <w:b w:val="0"/>
          <w:bCs/>
        </w:rPr>
        <w:t xml:space="preserve"> (</w:t>
      </w:r>
      <w:r>
        <w:rPr>
          <w:b w:val="0"/>
          <w:bCs/>
        </w:rPr>
        <w:t>EBU and ESO</w:t>
      </w:r>
      <w:r w:rsidRPr="00F11B71">
        <w:rPr>
          <w:b w:val="0"/>
          <w:bCs/>
        </w:rPr>
        <w:t>)</w:t>
      </w:r>
      <w:bookmarkEnd w:id="61"/>
    </w:p>
    <w:p w14:paraId="521EF0B2" w14:textId="77777777" w:rsidR="00B27959" w:rsidRDefault="00B27959" w:rsidP="00B27959">
      <w:pPr>
        <w:pStyle w:val="SingleTxtG"/>
      </w:pPr>
      <w:r>
        <w:t>38</w:t>
      </w:r>
      <w:r w:rsidRPr="00F11B71">
        <w:t>.</w:t>
      </w:r>
      <w:r w:rsidRPr="00F11B71">
        <w:tab/>
        <w:t>The document received some general support, but some clarification</w:t>
      </w:r>
      <w:r>
        <w:t>s</w:t>
      </w:r>
      <w:r w:rsidRPr="00F11B71">
        <w:t xml:space="preserve"> w</w:t>
      </w:r>
      <w:r>
        <w:t>ere</w:t>
      </w:r>
      <w:r w:rsidRPr="00F11B71">
        <w:t xml:space="preserve"> needed with respect to </w:t>
      </w:r>
      <w:r>
        <w:t>the proposed table with the list of materials, the numbering of paragraphs and a reference in the entry for photo-optical copies. Following the discussion, t</w:t>
      </w:r>
      <w:r w:rsidRPr="00F11B71">
        <w:t>he Safety Committee</w:t>
      </w:r>
      <w:r>
        <w:t xml:space="preserve"> adopted the proposal as amended </w:t>
      </w:r>
      <w:r w:rsidRPr="00E35B0C">
        <w:t>(see Annex I).</w:t>
      </w:r>
      <w:r>
        <w:t xml:space="preserve"> </w:t>
      </w:r>
    </w:p>
    <w:p w14:paraId="0804BE39" w14:textId="77777777" w:rsidR="00B27959" w:rsidRPr="00F11B71" w:rsidRDefault="00B27959" w:rsidP="003064DA">
      <w:pPr>
        <w:pStyle w:val="H23G"/>
      </w:pPr>
      <w:r w:rsidRPr="00F11B71">
        <w:tab/>
      </w:r>
      <w:bookmarkStart w:id="62" w:name="_Toc81410407"/>
      <w:r w:rsidRPr="00F11B71">
        <w:t>1</w:t>
      </w:r>
      <w:r>
        <w:t>2</w:t>
      </w:r>
      <w:r w:rsidRPr="00F11B71">
        <w:t>.</w:t>
      </w:r>
      <w:r w:rsidRPr="00F11B71">
        <w:tab/>
      </w:r>
      <w:r w:rsidRPr="00B20518">
        <w:t>Harmonisation of the terminology used in 8.1.2.2 (f) and 8.1.2.3 (s) of ADN 2021</w:t>
      </w:r>
      <w:bookmarkEnd w:id="62"/>
    </w:p>
    <w:p w14:paraId="39025737" w14:textId="77777777" w:rsidR="00B27959" w:rsidRPr="00547F3E" w:rsidRDefault="00B27959" w:rsidP="00B27959">
      <w:pPr>
        <w:pStyle w:val="H23G"/>
        <w:tabs>
          <w:tab w:val="left" w:pos="1134"/>
          <w:tab w:val="left" w:pos="3402"/>
        </w:tabs>
        <w:ind w:firstLine="0"/>
        <w:rPr>
          <w:b w:val="0"/>
          <w:bCs/>
          <w:lang w:val="fr-CH"/>
        </w:rPr>
      </w:pPr>
      <w:bookmarkStart w:id="63" w:name="_Toc81410408"/>
      <w:r w:rsidRPr="00547F3E">
        <w:rPr>
          <w:b w:val="0"/>
          <w:bCs/>
          <w:i/>
          <w:iCs/>
          <w:lang w:val="fr-CH"/>
        </w:rPr>
        <w:t>Document</w:t>
      </w:r>
      <w:r w:rsidRPr="00547F3E">
        <w:rPr>
          <w:b w:val="0"/>
          <w:bCs/>
          <w:lang w:val="fr-CH"/>
        </w:rPr>
        <w:t>:</w:t>
      </w:r>
      <w:r w:rsidRPr="00547F3E">
        <w:rPr>
          <w:b w:val="0"/>
          <w:bCs/>
          <w:lang w:val="fr-CH"/>
        </w:rPr>
        <w:tab/>
        <w:t>ECE/TRANS/WP.15/AC.2/2021/31 (CCNR)</w:t>
      </w:r>
      <w:bookmarkEnd w:id="63"/>
    </w:p>
    <w:p w14:paraId="29D8AFE6" w14:textId="77777777" w:rsidR="00B27959" w:rsidRDefault="00B27959" w:rsidP="00B27959">
      <w:pPr>
        <w:pStyle w:val="SingleTxtG"/>
      </w:pPr>
      <w:r>
        <w:t>39</w:t>
      </w:r>
      <w:r w:rsidRPr="00F11B71">
        <w:t>.</w:t>
      </w:r>
      <w:r w:rsidRPr="00F11B71">
        <w:tab/>
        <w:t xml:space="preserve">On the proposal of </w:t>
      </w:r>
      <w:r>
        <w:t>CCNR</w:t>
      </w:r>
      <w:r w:rsidRPr="00F11B71">
        <w:t xml:space="preserve"> to </w:t>
      </w:r>
      <w:r>
        <w:t>harmonize</w:t>
      </w:r>
      <w:r w:rsidRPr="00F11B71">
        <w:t xml:space="preserve"> the </w:t>
      </w:r>
      <w:r>
        <w:t>text in the different language versions of</w:t>
      </w:r>
      <w:r w:rsidRPr="00F11B71">
        <w:t xml:space="preserve"> 8.1.2.</w:t>
      </w:r>
      <w:r>
        <w:t>2</w:t>
      </w:r>
      <w:r w:rsidRPr="00F11B71">
        <w:t xml:space="preserve"> </w:t>
      </w:r>
      <w:r>
        <w:t xml:space="preserve">and </w:t>
      </w:r>
      <w:r w:rsidRPr="00F11B71">
        <w:t>8.1.2.3</w:t>
      </w:r>
      <w:r>
        <w:t xml:space="preserve"> </w:t>
      </w:r>
      <w:r w:rsidRPr="00F11B71">
        <w:t xml:space="preserve">the representative of </w:t>
      </w:r>
      <w:r>
        <w:t xml:space="preserve">Germany preferred to review, in a first step, if the wording of the German text of 8.1.2.3 (s) might be the right one. </w:t>
      </w:r>
      <w:r w:rsidRPr="00F11B71">
        <w:t>The</w:t>
      </w:r>
      <w:r>
        <w:t>refore, the</w:t>
      </w:r>
      <w:r w:rsidRPr="00F11B71">
        <w:t xml:space="preserve"> Safety Committee</w:t>
      </w:r>
      <w:r>
        <w:t xml:space="preserve"> deferred the discussion on the proposal to</w:t>
      </w:r>
      <w:r w:rsidRPr="00F11B71">
        <w:t xml:space="preserve"> </w:t>
      </w:r>
      <w:r>
        <w:t>its</w:t>
      </w:r>
      <w:r w:rsidRPr="00F11B71">
        <w:t xml:space="preserve"> next session</w:t>
      </w:r>
      <w:r>
        <w:t xml:space="preserve"> based on an updated document.</w:t>
      </w:r>
    </w:p>
    <w:p w14:paraId="78E0D900" w14:textId="77777777" w:rsidR="00B27959" w:rsidRPr="00F11B71" w:rsidRDefault="00B27959" w:rsidP="003064DA">
      <w:pPr>
        <w:pStyle w:val="H23G"/>
      </w:pPr>
      <w:r w:rsidRPr="00F11B71">
        <w:tab/>
      </w:r>
      <w:bookmarkStart w:id="64" w:name="_Toc81410409"/>
      <w:r w:rsidRPr="00F11B71">
        <w:t>1</w:t>
      </w:r>
      <w:r>
        <w:t>3</w:t>
      </w:r>
      <w:r w:rsidRPr="00F11B71">
        <w:t>.</w:t>
      </w:r>
      <w:r w:rsidRPr="00F11B71">
        <w:tab/>
      </w:r>
      <w:r w:rsidRPr="00B20518">
        <w:t>Harmonisation of terminology used in 1.9.3 (c) of ADN 2021</w:t>
      </w:r>
      <w:bookmarkEnd w:id="64"/>
    </w:p>
    <w:p w14:paraId="64F1DC05" w14:textId="77777777" w:rsidR="00B27959" w:rsidRPr="00F11B71" w:rsidRDefault="00B27959" w:rsidP="00B27959">
      <w:pPr>
        <w:pStyle w:val="H23G"/>
        <w:tabs>
          <w:tab w:val="left" w:pos="1134"/>
          <w:tab w:val="left" w:pos="3402"/>
        </w:tabs>
        <w:ind w:firstLine="0"/>
        <w:rPr>
          <w:b w:val="0"/>
          <w:bCs/>
          <w:i/>
          <w:iCs/>
        </w:rPr>
      </w:pPr>
      <w:bookmarkStart w:id="65" w:name="_Toc81410410"/>
      <w:r>
        <w:rPr>
          <w:b w:val="0"/>
          <w:bCs/>
          <w:i/>
          <w:iCs/>
        </w:rPr>
        <w:t>Informal d</w:t>
      </w:r>
      <w:r w:rsidRPr="00F11B71">
        <w:rPr>
          <w:b w:val="0"/>
          <w:bCs/>
          <w:i/>
          <w:iCs/>
        </w:rPr>
        <w:t>ocument</w:t>
      </w:r>
      <w:r w:rsidRPr="00F11B71">
        <w:rPr>
          <w:b w:val="0"/>
          <w:bCs/>
        </w:rPr>
        <w:t>:</w:t>
      </w:r>
      <w:r w:rsidRPr="00F11B71">
        <w:rPr>
          <w:b w:val="0"/>
          <w:bCs/>
        </w:rPr>
        <w:tab/>
      </w:r>
      <w:r>
        <w:rPr>
          <w:b w:val="0"/>
          <w:bCs/>
        </w:rPr>
        <w:t>INF.4</w:t>
      </w:r>
      <w:r w:rsidRPr="00F11B71">
        <w:rPr>
          <w:b w:val="0"/>
          <w:bCs/>
        </w:rPr>
        <w:t xml:space="preserve"> (</w:t>
      </w:r>
      <w:r>
        <w:rPr>
          <w:b w:val="0"/>
          <w:bCs/>
        </w:rPr>
        <w:t>CCNR</w:t>
      </w:r>
      <w:r w:rsidRPr="00F11B71">
        <w:rPr>
          <w:b w:val="0"/>
          <w:bCs/>
        </w:rPr>
        <w:t>)</w:t>
      </w:r>
      <w:bookmarkEnd w:id="65"/>
    </w:p>
    <w:p w14:paraId="2D9291F2" w14:textId="77777777" w:rsidR="00B27959" w:rsidRPr="00F11B71" w:rsidRDefault="00B27959" w:rsidP="00B27959">
      <w:pPr>
        <w:pStyle w:val="SingleTxtG"/>
      </w:pPr>
      <w:r>
        <w:t>40</w:t>
      </w:r>
      <w:r w:rsidRPr="00F11B71">
        <w:t>.</w:t>
      </w:r>
      <w:r w:rsidRPr="00F11B71">
        <w:tab/>
      </w:r>
      <w:r>
        <w:t xml:space="preserve">Referring to its decision on </w:t>
      </w:r>
      <w:r w:rsidRPr="00F11B71">
        <w:rPr>
          <w:bCs/>
        </w:rPr>
        <w:t>ECE/TRANS/WP.15/AC.2/20</w:t>
      </w:r>
      <w:r>
        <w:rPr>
          <w:bCs/>
        </w:rPr>
        <w:t>2</w:t>
      </w:r>
      <w:r w:rsidRPr="00F11B71">
        <w:rPr>
          <w:bCs/>
        </w:rPr>
        <w:t>1/3</w:t>
      </w:r>
      <w:r>
        <w:rPr>
          <w:bCs/>
        </w:rPr>
        <w:t>1, t</w:t>
      </w:r>
      <w:r w:rsidRPr="00F11B71">
        <w:t>he Safety Committee</w:t>
      </w:r>
      <w:r>
        <w:t xml:space="preserve"> also deferred the discussion on informal document INF.4 to</w:t>
      </w:r>
      <w:r w:rsidRPr="00F11B71">
        <w:t xml:space="preserve"> </w:t>
      </w:r>
      <w:r>
        <w:t>its</w:t>
      </w:r>
      <w:r w:rsidRPr="00F11B71">
        <w:t xml:space="preserve"> next session</w:t>
      </w:r>
      <w:r>
        <w:t>.</w:t>
      </w:r>
    </w:p>
    <w:p w14:paraId="6AF5BA7E" w14:textId="77777777" w:rsidR="00B27959" w:rsidRPr="00F11B71" w:rsidRDefault="00B27959" w:rsidP="003064DA">
      <w:pPr>
        <w:pStyle w:val="H23G"/>
      </w:pPr>
      <w:r w:rsidRPr="00F11B71">
        <w:tab/>
      </w:r>
      <w:bookmarkStart w:id="66" w:name="_Toc81410411"/>
      <w:r w:rsidRPr="00F11B71">
        <w:t>1</w:t>
      </w:r>
      <w:r>
        <w:t>4</w:t>
      </w:r>
      <w:r w:rsidRPr="00F11B71">
        <w:t>.</w:t>
      </w:r>
      <w:r w:rsidRPr="00F11B71">
        <w:tab/>
      </w:r>
      <w:r>
        <w:t>Use of consistent terminology on damage stability calculations in 9.3.x.15.2</w:t>
      </w:r>
      <w:bookmarkEnd w:id="66"/>
    </w:p>
    <w:p w14:paraId="70005BD9" w14:textId="77777777" w:rsidR="00B27959" w:rsidRPr="00F11B71" w:rsidRDefault="00B27959" w:rsidP="00B27959">
      <w:pPr>
        <w:pStyle w:val="H23G"/>
        <w:tabs>
          <w:tab w:val="left" w:pos="1134"/>
          <w:tab w:val="left" w:pos="3402"/>
        </w:tabs>
        <w:ind w:firstLine="0"/>
        <w:rPr>
          <w:b w:val="0"/>
          <w:bCs/>
        </w:rPr>
      </w:pPr>
      <w:bookmarkStart w:id="67" w:name="_Toc81410412"/>
      <w:r>
        <w:rPr>
          <w:b w:val="0"/>
          <w:bCs/>
          <w:i/>
          <w:iCs/>
        </w:rPr>
        <w:t>Informal d</w:t>
      </w:r>
      <w:r w:rsidRPr="00F11B71">
        <w:rPr>
          <w:b w:val="0"/>
          <w:bCs/>
          <w:i/>
          <w:iCs/>
        </w:rPr>
        <w:t>ocument</w:t>
      </w:r>
      <w:r w:rsidRPr="00F11B71">
        <w:rPr>
          <w:b w:val="0"/>
          <w:bCs/>
        </w:rPr>
        <w:t>:</w:t>
      </w:r>
      <w:r w:rsidRPr="00F11B71">
        <w:rPr>
          <w:b w:val="0"/>
          <w:bCs/>
        </w:rPr>
        <w:tab/>
      </w:r>
      <w:r>
        <w:rPr>
          <w:b w:val="0"/>
          <w:bCs/>
        </w:rPr>
        <w:t>INF.8</w:t>
      </w:r>
      <w:r w:rsidRPr="00F11B71">
        <w:rPr>
          <w:b w:val="0"/>
          <w:bCs/>
        </w:rPr>
        <w:t xml:space="preserve"> (</w:t>
      </w:r>
      <w:r>
        <w:rPr>
          <w:b w:val="0"/>
          <w:bCs/>
        </w:rPr>
        <w:t>CCNR</w:t>
      </w:r>
      <w:r w:rsidRPr="00F11B71">
        <w:rPr>
          <w:b w:val="0"/>
          <w:bCs/>
        </w:rPr>
        <w:t>)</w:t>
      </w:r>
      <w:bookmarkEnd w:id="67"/>
    </w:p>
    <w:p w14:paraId="58D07935" w14:textId="60A7D8A4" w:rsidR="00B27959" w:rsidRDefault="00B27959" w:rsidP="00B27959">
      <w:pPr>
        <w:pStyle w:val="SingleTxtG"/>
      </w:pPr>
      <w:r>
        <w:t>41</w:t>
      </w:r>
      <w:r w:rsidRPr="00F11B71">
        <w:t>.</w:t>
      </w:r>
      <w:r w:rsidRPr="00F11B71">
        <w:tab/>
        <w:t>The Safety Committee</w:t>
      </w:r>
      <w:r>
        <w:t xml:space="preserve"> adopted the proposed correction to 9.3.1.15.2, 9.3.2.15.2 and 9.3.3.15.2 (see </w:t>
      </w:r>
      <w:r w:rsidR="008871CB">
        <w:t>A</w:t>
      </w:r>
      <w:r>
        <w:t xml:space="preserve">nnex </w:t>
      </w:r>
      <w:r w:rsidR="008871CB">
        <w:t>I</w:t>
      </w:r>
      <w:r w:rsidR="00C02543">
        <w:t>I</w:t>
      </w:r>
      <w:r>
        <w:t>).</w:t>
      </w:r>
    </w:p>
    <w:p w14:paraId="50C6DD50" w14:textId="77777777" w:rsidR="00B27959" w:rsidRPr="00F11B71" w:rsidRDefault="00B27959" w:rsidP="003064DA">
      <w:pPr>
        <w:pStyle w:val="H23G"/>
      </w:pPr>
      <w:r w:rsidRPr="00F11B71">
        <w:tab/>
      </w:r>
      <w:bookmarkStart w:id="68" w:name="_Toc81410413"/>
      <w:r w:rsidRPr="00F11B71">
        <w:t>1</w:t>
      </w:r>
      <w:r>
        <w:t>5</w:t>
      </w:r>
      <w:r w:rsidRPr="00F11B71">
        <w:t>.</w:t>
      </w:r>
      <w:r w:rsidRPr="00F11B71">
        <w:tab/>
      </w:r>
      <w:r w:rsidRPr="0000102A">
        <w:t xml:space="preserve">Use of consistent terminology on intact stability calculations </w:t>
      </w:r>
      <w:r>
        <w:t>in</w:t>
      </w:r>
      <w:r w:rsidRPr="0000102A">
        <w:t xml:space="preserve"> 9.3.</w:t>
      </w:r>
      <w:r>
        <w:t>x</w:t>
      </w:r>
      <w:r w:rsidRPr="0000102A">
        <w:t>.14.2 (a) and (b)</w:t>
      </w:r>
      <w:bookmarkEnd w:id="68"/>
    </w:p>
    <w:p w14:paraId="782537F3" w14:textId="77777777" w:rsidR="00B27959" w:rsidRPr="00F11B71" w:rsidRDefault="00B27959" w:rsidP="00B27959">
      <w:pPr>
        <w:pStyle w:val="H23G"/>
        <w:tabs>
          <w:tab w:val="left" w:pos="1134"/>
          <w:tab w:val="left" w:pos="3402"/>
        </w:tabs>
        <w:ind w:firstLine="0"/>
        <w:rPr>
          <w:b w:val="0"/>
          <w:bCs/>
        </w:rPr>
      </w:pPr>
      <w:bookmarkStart w:id="69" w:name="_Toc81410414"/>
      <w:r>
        <w:rPr>
          <w:b w:val="0"/>
          <w:bCs/>
          <w:i/>
          <w:iCs/>
        </w:rPr>
        <w:t>Informal d</w:t>
      </w:r>
      <w:r w:rsidRPr="00F11B71">
        <w:rPr>
          <w:b w:val="0"/>
          <w:bCs/>
          <w:i/>
          <w:iCs/>
        </w:rPr>
        <w:t>ocument</w:t>
      </w:r>
      <w:r w:rsidRPr="00F11B71">
        <w:rPr>
          <w:b w:val="0"/>
          <w:bCs/>
        </w:rPr>
        <w:t>:</w:t>
      </w:r>
      <w:r w:rsidRPr="00F11B71">
        <w:rPr>
          <w:b w:val="0"/>
          <w:bCs/>
        </w:rPr>
        <w:tab/>
      </w:r>
      <w:r>
        <w:rPr>
          <w:b w:val="0"/>
          <w:bCs/>
        </w:rPr>
        <w:t>INF.18</w:t>
      </w:r>
      <w:r w:rsidRPr="00F11B71">
        <w:rPr>
          <w:b w:val="0"/>
          <w:bCs/>
        </w:rPr>
        <w:t xml:space="preserve"> (</w:t>
      </w:r>
      <w:r w:rsidRPr="00FC2C64">
        <w:rPr>
          <w:b w:val="0"/>
          <w:bCs/>
        </w:rPr>
        <w:t>Recommended ADN Classification Societies</w:t>
      </w:r>
      <w:r w:rsidRPr="00F11B71">
        <w:rPr>
          <w:b w:val="0"/>
          <w:bCs/>
        </w:rPr>
        <w:t>)</w:t>
      </w:r>
      <w:bookmarkEnd w:id="69"/>
    </w:p>
    <w:p w14:paraId="46E06913" w14:textId="006B3A46" w:rsidR="00B27959" w:rsidRDefault="00B27959" w:rsidP="00B27959">
      <w:pPr>
        <w:pStyle w:val="SingleTxtG"/>
      </w:pPr>
      <w:r>
        <w:t>42</w:t>
      </w:r>
      <w:r w:rsidRPr="00F11B71">
        <w:t>.</w:t>
      </w:r>
      <w:r w:rsidRPr="00F11B71">
        <w:tab/>
        <w:t>The Safety Committee</w:t>
      </w:r>
      <w:r>
        <w:t xml:space="preserve"> adopted the proposed correction to </w:t>
      </w:r>
      <w:r w:rsidRPr="0000102A">
        <w:t>9.3.</w:t>
      </w:r>
      <w:r>
        <w:t>1</w:t>
      </w:r>
      <w:r w:rsidRPr="0000102A">
        <w:t xml:space="preserve">.14.2, 9.3.2.14.2 and 9.3.3.14.2, </w:t>
      </w:r>
      <w:r>
        <w:t xml:space="preserve">sub-items </w:t>
      </w:r>
      <w:r w:rsidRPr="0000102A">
        <w:t>(a) and (b)</w:t>
      </w:r>
      <w:r>
        <w:t xml:space="preserve"> (see </w:t>
      </w:r>
      <w:r w:rsidR="008871CB">
        <w:t>A</w:t>
      </w:r>
      <w:r>
        <w:t xml:space="preserve">nnex </w:t>
      </w:r>
      <w:r w:rsidR="008871CB">
        <w:t>I</w:t>
      </w:r>
      <w:r w:rsidR="0037537F">
        <w:t>I</w:t>
      </w:r>
      <w:r>
        <w:t>).</w:t>
      </w:r>
    </w:p>
    <w:p w14:paraId="2A2BEB39" w14:textId="77777777" w:rsidR="00B27959" w:rsidRPr="00F11B71" w:rsidRDefault="00B27959" w:rsidP="003064DA">
      <w:pPr>
        <w:pStyle w:val="H23G"/>
      </w:pPr>
      <w:r w:rsidRPr="00F11B71">
        <w:tab/>
      </w:r>
      <w:bookmarkStart w:id="70" w:name="_Toc81410415"/>
      <w:r w:rsidRPr="00F11B71">
        <w:t>1</w:t>
      </w:r>
      <w:r>
        <w:t>6</w:t>
      </w:r>
      <w:r w:rsidRPr="00F11B71">
        <w:t>.</w:t>
      </w:r>
      <w:r w:rsidRPr="00F11B71">
        <w:tab/>
      </w:r>
      <w:r w:rsidRPr="008D3CB5">
        <w:t xml:space="preserve">Table C - UN </w:t>
      </w:r>
      <w:r>
        <w:t xml:space="preserve">No. </w:t>
      </w:r>
      <w:r w:rsidRPr="008D3CB5">
        <w:t>1202, second entry</w:t>
      </w:r>
      <w:r>
        <w:t xml:space="preserve"> on</w:t>
      </w:r>
      <w:r w:rsidRPr="008D3CB5">
        <w:t xml:space="preserve"> GAS</w:t>
      </w:r>
      <w:r>
        <w:t xml:space="preserve"> OIL</w:t>
      </w:r>
      <w:bookmarkEnd w:id="70"/>
    </w:p>
    <w:p w14:paraId="71EBC411" w14:textId="77777777" w:rsidR="00B27959" w:rsidRPr="00F11B71" w:rsidRDefault="00B27959" w:rsidP="00B27959">
      <w:pPr>
        <w:pStyle w:val="H23G"/>
        <w:tabs>
          <w:tab w:val="left" w:pos="1134"/>
          <w:tab w:val="left" w:pos="3402"/>
        </w:tabs>
        <w:ind w:firstLine="0"/>
        <w:rPr>
          <w:b w:val="0"/>
          <w:bCs/>
        </w:rPr>
      </w:pPr>
      <w:bookmarkStart w:id="71" w:name="_Toc81410416"/>
      <w:r>
        <w:rPr>
          <w:b w:val="0"/>
          <w:bCs/>
          <w:i/>
          <w:iCs/>
        </w:rPr>
        <w:t>Informal d</w:t>
      </w:r>
      <w:r w:rsidRPr="00F11B71">
        <w:rPr>
          <w:b w:val="0"/>
          <w:bCs/>
          <w:i/>
          <w:iCs/>
        </w:rPr>
        <w:t>ocument</w:t>
      </w:r>
      <w:r w:rsidRPr="00F11B71">
        <w:rPr>
          <w:b w:val="0"/>
          <w:bCs/>
        </w:rPr>
        <w:t>:</w:t>
      </w:r>
      <w:r w:rsidRPr="00F11B71">
        <w:rPr>
          <w:b w:val="0"/>
          <w:bCs/>
        </w:rPr>
        <w:tab/>
      </w:r>
      <w:r>
        <w:rPr>
          <w:b w:val="0"/>
          <w:bCs/>
        </w:rPr>
        <w:t>INF.10</w:t>
      </w:r>
      <w:r w:rsidRPr="00F11B71">
        <w:rPr>
          <w:b w:val="0"/>
          <w:bCs/>
        </w:rPr>
        <w:t xml:space="preserve"> </w:t>
      </w:r>
      <w:r>
        <w:rPr>
          <w:b w:val="0"/>
          <w:bCs/>
        </w:rPr>
        <w:t>(</w:t>
      </w:r>
      <w:proofErr w:type="spellStart"/>
      <w:r>
        <w:rPr>
          <w:b w:val="0"/>
          <w:bCs/>
        </w:rPr>
        <w:t>FuelsEurope</w:t>
      </w:r>
      <w:proofErr w:type="spellEnd"/>
      <w:r w:rsidRPr="00F11B71">
        <w:rPr>
          <w:b w:val="0"/>
          <w:bCs/>
        </w:rPr>
        <w:t>)</w:t>
      </w:r>
      <w:bookmarkEnd w:id="71"/>
    </w:p>
    <w:p w14:paraId="7CCDC29F" w14:textId="2817ABF2" w:rsidR="00B27959" w:rsidRDefault="00B27959" w:rsidP="00B27959">
      <w:pPr>
        <w:pStyle w:val="SingleTxtG"/>
      </w:pPr>
      <w:r>
        <w:t>43</w:t>
      </w:r>
      <w:r w:rsidRPr="00F11B71">
        <w:t>.</w:t>
      </w:r>
      <w:r w:rsidRPr="00F11B71">
        <w:tab/>
        <w:t>The Safety Committee</w:t>
      </w:r>
      <w:r>
        <w:t xml:space="preserve"> adopted the proposed corrections to the proper shipping name of the second entry for UN No. 1202, column (2) of Table C (see </w:t>
      </w:r>
      <w:r w:rsidR="00DC614F">
        <w:t>A</w:t>
      </w:r>
      <w:r>
        <w:t xml:space="preserve">nnex </w:t>
      </w:r>
      <w:r w:rsidR="00DC614F">
        <w:t>I</w:t>
      </w:r>
      <w:r w:rsidR="009C5576">
        <w:t>I</w:t>
      </w:r>
      <w:r>
        <w:t>).</w:t>
      </w:r>
    </w:p>
    <w:p w14:paraId="7CB0571A" w14:textId="77777777" w:rsidR="00B27959" w:rsidRPr="00F11B71" w:rsidRDefault="00B27959" w:rsidP="003064DA">
      <w:pPr>
        <w:pStyle w:val="H23G"/>
      </w:pPr>
      <w:r w:rsidRPr="00F11B71">
        <w:tab/>
      </w:r>
      <w:bookmarkStart w:id="72" w:name="_Toc81410417"/>
      <w:r w:rsidRPr="00F11B71">
        <w:t>1</w:t>
      </w:r>
      <w:r>
        <w:t>7</w:t>
      </w:r>
      <w:r w:rsidRPr="00F11B71">
        <w:t>.</w:t>
      </w:r>
      <w:r w:rsidRPr="00F11B71">
        <w:tab/>
      </w:r>
      <w:r w:rsidRPr="008E0A7D">
        <w:t xml:space="preserve">Proposal to correct two UN </w:t>
      </w:r>
      <w:r>
        <w:t xml:space="preserve">No. </w:t>
      </w:r>
      <w:r w:rsidRPr="008E0A7D">
        <w:t>3295 entries in Table C</w:t>
      </w:r>
      <w:bookmarkEnd w:id="72"/>
    </w:p>
    <w:p w14:paraId="140A7EB4" w14:textId="77777777" w:rsidR="00B27959" w:rsidRPr="00F11B71" w:rsidRDefault="00B27959" w:rsidP="00B27959">
      <w:pPr>
        <w:pStyle w:val="H23G"/>
        <w:tabs>
          <w:tab w:val="left" w:pos="1134"/>
          <w:tab w:val="left" w:pos="3402"/>
        </w:tabs>
        <w:ind w:firstLine="0"/>
        <w:rPr>
          <w:b w:val="0"/>
          <w:bCs/>
        </w:rPr>
      </w:pPr>
      <w:bookmarkStart w:id="73" w:name="_Toc81410418"/>
      <w:r>
        <w:rPr>
          <w:b w:val="0"/>
          <w:bCs/>
          <w:i/>
          <w:iCs/>
        </w:rPr>
        <w:t>Informal d</w:t>
      </w:r>
      <w:r w:rsidRPr="00F11B71">
        <w:rPr>
          <w:b w:val="0"/>
          <w:bCs/>
          <w:i/>
          <w:iCs/>
        </w:rPr>
        <w:t>ocument</w:t>
      </w:r>
      <w:r w:rsidRPr="00F11B71">
        <w:rPr>
          <w:b w:val="0"/>
          <w:bCs/>
        </w:rPr>
        <w:t>:</w:t>
      </w:r>
      <w:r w:rsidRPr="00F11B71">
        <w:rPr>
          <w:b w:val="0"/>
          <w:bCs/>
        </w:rPr>
        <w:tab/>
      </w:r>
      <w:r>
        <w:rPr>
          <w:b w:val="0"/>
          <w:bCs/>
        </w:rPr>
        <w:t>INF.11</w:t>
      </w:r>
      <w:r w:rsidRPr="00F11B71">
        <w:rPr>
          <w:b w:val="0"/>
          <w:bCs/>
        </w:rPr>
        <w:t xml:space="preserve"> </w:t>
      </w:r>
      <w:r>
        <w:rPr>
          <w:b w:val="0"/>
          <w:bCs/>
        </w:rPr>
        <w:t>(</w:t>
      </w:r>
      <w:proofErr w:type="spellStart"/>
      <w:r>
        <w:rPr>
          <w:b w:val="0"/>
          <w:bCs/>
        </w:rPr>
        <w:t>FuelsEurope</w:t>
      </w:r>
      <w:proofErr w:type="spellEnd"/>
      <w:r w:rsidRPr="00F11B71">
        <w:rPr>
          <w:b w:val="0"/>
          <w:bCs/>
        </w:rPr>
        <w:t>)</w:t>
      </w:r>
      <w:bookmarkEnd w:id="73"/>
    </w:p>
    <w:p w14:paraId="71AB7569" w14:textId="4EE5BC91" w:rsidR="00B27959" w:rsidRDefault="00B27959" w:rsidP="00B27959">
      <w:pPr>
        <w:pStyle w:val="SingleTxtG"/>
      </w:pPr>
      <w:r>
        <w:t>44</w:t>
      </w:r>
      <w:r w:rsidRPr="00F11B71">
        <w:t>.</w:t>
      </w:r>
      <w:r w:rsidRPr="00F11B71">
        <w:tab/>
        <w:t>The Safety Committee</w:t>
      </w:r>
      <w:r>
        <w:t xml:space="preserve"> adopted the proposed correction to the English language version of Table C, UN No. 3295, column (5) (see </w:t>
      </w:r>
      <w:r w:rsidR="00DC614F">
        <w:t>A</w:t>
      </w:r>
      <w:r>
        <w:t xml:space="preserve">nnex </w:t>
      </w:r>
      <w:r w:rsidR="00DC614F">
        <w:t>I</w:t>
      </w:r>
      <w:r w:rsidR="009C5576">
        <w:t>I</w:t>
      </w:r>
      <w:r>
        <w:t>).</w:t>
      </w:r>
    </w:p>
    <w:p w14:paraId="59C43BEC" w14:textId="77777777" w:rsidR="00B27959" w:rsidRPr="00F11B71" w:rsidRDefault="00B27959" w:rsidP="003064DA">
      <w:pPr>
        <w:pStyle w:val="H23G"/>
      </w:pPr>
      <w:r w:rsidRPr="00F11B71">
        <w:lastRenderedPageBreak/>
        <w:tab/>
      </w:r>
      <w:bookmarkStart w:id="74" w:name="_Toc81410419"/>
      <w:r w:rsidRPr="00F11B71">
        <w:t>1</w:t>
      </w:r>
      <w:r>
        <w:t>8</w:t>
      </w:r>
      <w:r w:rsidRPr="00F11B71">
        <w:t>.</w:t>
      </w:r>
      <w:r w:rsidRPr="00F11B71">
        <w:tab/>
      </w:r>
      <w:r w:rsidRPr="00C0526F">
        <w:t>Request for merging two UN 1202 entries into one</w:t>
      </w:r>
      <w:bookmarkEnd w:id="74"/>
    </w:p>
    <w:p w14:paraId="583BB376" w14:textId="77777777" w:rsidR="00B27959" w:rsidRPr="00F11B71" w:rsidRDefault="00B27959" w:rsidP="00B27959">
      <w:pPr>
        <w:pStyle w:val="H23G"/>
        <w:tabs>
          <w:tab w:val="left" w:pos="1134"/>
          <w:tab w:val="left" w:pos="3402"/>
        </w:tabs>
        <w:ind w:firstLine="0"/>
        <w:rPr>
          <w:b w:val="0"/>
          <w:bCs/>
        </w:rPr>
      </w:pPr>
      <w:bookmarkStart w:id="75" w:name="_Toc81410420"/>
      <w:r>
        <w:rPr>
          <w:b w:val="0"/>
          <w:bCs/>
          <w:i/>
          <w:iCs/>
        </w:rPr>
        <w:t>Informal d</w:t>
      </w:r>
      <w:r w:rsidRPr="00F11B71">
        <w:rPr>
          <w:b w:val="0"/>
          <w:bCs/>
          <w:i/>
          <w:iCs/>
        </w:rPr>
        <w:t>ocument</w:t>
      </w:r>
      <w:r w:rsidRPr="00F11B71">
        <w:rPr>
          <w:b w:val="0"/>
          <w:bCs/>
        </w:rPr>
        <w:t>:</w:t>
      </w:r>
      <w:r w:rsidRPr="00F11B71">
        <w:rPr>
          <w:b w:val="0"/>
          <w:bCs/>
        </w:rPr>
        <w:tab/>
      </w:r>
      <w:r>
        <w:rPr>
          <w:b w:val="0"/>
          <w:bCs/>
        </w:rPr>
        <w:t>INF.12</w:t>
      </w:r>
      <w:r w:rsidRPr="00F11B71">
        <w:rPr>
          <w:b w:val="0"/>
          <w:bCs/>
        </w:rPr>
        <w:t xml:space="preserve"> </w:t>
      </w:r>
      <w:r>
        <w:rPr>
          <w:b w:val="0"/>
          <w:bCs/>
        </w:rPr>
        <w:t>(</w:t>
      </w:r>
      <w:proofErr w:type="spellStart"/>
      <w:r>
        <w:rPr>
          <w:b w:val="0"/>
          <w:bCs/>
        </w:rPr>
        <w:t>FuelsEurope</w:t>
      </w:r>
      <w:proofErr w:type="spellEnd"/>
      <w:r w:rsidRPr="00F11B71">
        <w:rPr>
          <w:b w:val="0"/>
          <w:bCs/>
        </w:rPr>
        <w:t>)</w:t>
      </w:r>
      <w:bookmarkEnd w:id="75"/>
    </w:p>
    <w:p w14:paraId="056090D6" w14:textId="77777777" w:rsidR="00B27959" w:rsidRDefault="00B27959" w:rsidP="00B27959">
      <w:pPr>
        <w:pStyle w:val="SingleTxtG"/>
      </w:pPr>
      <w:r>
        <w:t>45</w:t>
      </w:r>
      <w:r w:rsidRPr="00F11B71">
        <w:t>.</w:t>
      </w:r>
      <w:r w:rsidRPr="00F11B71">
        <w:tab/>
      </w:r>
      <w:r>
        <w:t>S</w:t>
      </w:r>
      <w:r w:rsidRPr="00F11B71">
        <w:t xml:space="preserve">ome </w:t>
      </w:r>
      <w:r>
        <w:t xml:space="preserve">delegates raised caution to merge the two entries of UN No. 1202 as there was a founded reason for the existence of both entries taking into account the different values of the relative density. A modification would also impact the corresponding entries in the Table A of RID/ADR/ADN. Therefore, it was recommended to seek the advice of the RID/ADR/ADN Joint Meeting. The representative of </w:t>
      </w:r>
      <w:proofErr w:type="spellStart"/>
      <w:r>
        <w:t>FuelsEurope</w:t>
      </w:r>
      <w:proofErr w:type="spellEnd"/>
      <w:r>
        <w:t xml:space="preserve"> volunteered to submit to the RID/ADR/ADN Joint Meeting an updated document for consideration at the forthcoming session in September.</w:t>
      </w:r>
    </w:p>
    <w:p w14:paraId="64A1027C" w14:textId="77777777" w:rsidR="00B27959" w:rsidRPr="00F11B71" w:rsidRDefault="00B27959" w:rsidP="003064DA">
      <w:pPr>
        <w:pStyle w:val="H23G"/>
      </w:pPr>
      <w:r w:rsidRPr="00F11B71">
        <w:tab/>
      </w:r>
      <w:bookmarkStart w:id="76" w:name="_Toc81410421"/>
      <w:r>
        <w:t>19</w:t>
      </w:r>
      <w:r w:rsidRPr="00F11B71">
        <w:t>.</w:t>
      </w:r>
      <w:r w:rsidRPr="00F11B71">
        <w:tab/>
      </w:r>
      <w:r w:rsidRPr="0003671B">
        <w:t xml:space="preserve">UN </w:t>
      </w:r>
      <w:r>
        <w:t xml:space="preserve">No. </w:t>
      </w:r>
      <w:r w:rsidRPr="0003671B">
        <w:t>1972 - Request to correct an inconsistency in Table C, Column (2)</w:t>
      </w:r>
      <w:bookmarkEnd w:id="76"/>
    </w:p>
    <w:p w14:paraId="0FE9375A" w14:textId="77777777" w:rsidR="00B27959" w:rsidRPr="00F11B71" w:rsidRDefault="00B27959" w:rsidP="00B27959">
      <w:pPr>
        <w:pStyle w:val="H23G"/>
        <w:tabs>
          <w:tab w:val="left" w:pos="1134"/>
          <w:tab w:val="left" w:pos="3402"/>
        </w:tabs>
        <w:ind w:firstLine="0"/>
        <w:rPr>
          <w:b w:val="0"/>
          <w:bCs/>
        </w:rPr>
      </w:pPr>
      <w:bookmarkStart w:id="77" w:name="_Toc81410422"/>
      <w:r>
        <w:rPr>
          <w:b w:val="0"/>
          <w:bCs/>
          <w:i/>
          <w:iCs/>
        </w:rPr>
        <w:t>Informal d</w:t>
      </w:r>
      <w:r w:rsidRPr="00F11B71">
        <w:rPr>
          <w:b w:val="0"/>
          <w:bCs/>
          <w:i/>
          <w:iCs/>
        </w:rPr>
        <w:t>ocument</w:t>
      </w:r>
      <w:r w:rsidRPr="00F11B71">
        <w:rPr>
          <w:b w:val="0"/>
          <w:bCs/>
        </w:rPr>
        <w:t>:</w:t>
      </w:r>
      <w:r w:rsidRPr="00F11B71">
        <w:rPr>
          <w:b w:val="0"/>
          <w:bCs/>
        </w:rPr>
        <w:tab/>
      </w:r>
      <w:r>
        <w:rPr>
          <w:b w:val="0"/>
          <w:bCs/>
        </w:rPr>
        <w:t>INF.13</w:t>
      </w:r>
      <w:r w:rsidRPr="00F11B71">
        <w:rPr>
          <w:b w:val="0"/>
          <w:bCs/>
        </w:rPr>
        <w:t xml:space="preserve"> </w:t>
      </w:r>
      <w:r>
        <w:rPr>
          <w:b w:val="0"/>
          <w:bCs/>
        </w:rPr>
        <w:t>(</w:t>
      </w:r>
      <w:proofErr w:type="spellStart"/>
      <w:r>
        <w:rPr>
          <w:b w:val="0"/>
          <w:bCs/>
        </w:rPr>
        <w:t>FuelsEurope</w:t>
      </w:r>
      <w:proofErr w:type="spellEnd"/>
      <w:r w:rsidRPr="00F11B71">
        <w:rPr>
          <w:b w:val="0"/>
          <w:bCs/>
        </w:rPr>
        <w:t>)</w:t>
      </w:r>
      <w:bookmarkEnd w:id="77"/>
    </w:p>
    <w:p w14:paraId="00FD252E" w14:textId="5E7FD8C2" w:rsidR="00B27959" w:rsidRDefault="00B27959" w:rsidP="00B27959">
      <w:pPr>
        <w:pStyle w:val="SingleTxtG"/>
      </w:pPr>
      <w:r>
        <w:t>46</w:t>
      </w:r>
      <w:r w:rsidRPr="00F11B71">
        <w:t>.</w:t>
      </w:r>
      <w:r w:rsidRPr="00F11B71">
        <w:tab/>
      </w:r>
      <w:r>
        <w:t xml:space="preserve">On the correction of the omission of the word "LIQUID", the </w:t>
      </w:r>
      <w:r w:rsidRPr="00F11B71">
        <w:t>Safety Committee</w:t>
      </w:r>
      <w:r>
        <w:t xml:space="preserve"> felt it premature to adopt the proposal and preferred to consult in a first step with the informal working group on substances to </w:t>
      </w:r>
      <w:r w:rsidR="008114CA">
        <w:t xml:space="preserve">verify </w:t>
      </w:r>
      <w:r>
        <w:t>possible reasons for that omission.</w:t>
      </w:r>
    </w:p>
    <w:p w14:paraId="0A881302" w14:textId="77777777" w:rsidR="00B27959" w:rsidRDefault="00B27959" w:rsidP="00B27959">
      <w:pPr>
        <w:pStyle w:val="SingleTxtG"/>
      </w:pPr>
      <w:r>
        <w:t>47.</w:t>
      </w:r>
      <w:r>
        <w:tab/>
        <w:t>T</w:t>
      </w:r>
      <w:r w:rsidRPr="00F11B71">
        <w:t>he Safety Committee</w:t>
      </w:r>
      <w:r>
        <w:t xml:space="preserve"> only adopted the correction to the German language version proposed in paragraph 9</w:t>
      </w:r>
      <w:r w:rsidRPr="00E35B0C">
        <w:t>.</w:t>
      </w:r>
    </w:p>
    <w:p w14:paraId="214DD72C" w14:textId="77777777" w:rsidR="00B27959" w:rsidRPr="00F11B71" w:rsidRDefault="00B27959" w:rsidP="003064DA">
      <w:pPr>
        <w:pStyle w:val="H23G"/>
      </w:pPr>
      <w:r w:rsidRPr="00F11B71">
        <w:tab/>
      </w:r>
      <w:bookmarkStart w:id="78" w:name="_Toc81410423"/>
      <w:r>
        <w:t>20</w:t>
      </w:r>
      <w:r w:rsidRPr="00F11B71">
        <w:t>.</w:t>
      </w:r>
      <w:r w:rsidRPr="00F11B71">
        <w:tab/>
      </w:r>
      <w:r w:rsidRPr="008323D0">
        <w:t>Minor conflict of allowed location of cooking and refrigeration appliances between ADN 7.2.3.41.2 and 9.3.x.41.2</w:t>
      </w:r>
      <w:bookmarkEnd w:id="78"/>
    </w:p>
    <w:p w14:paraId="42446EBD" w14:textId="77777777" w:rsidR="00B27959" w:rsidRPr="00105A3B" w:rsidRDefault="00B27959" w:rsidP="00B27959">
      <w:pPr>
        <w:pStyle w:val="H23G"/>
        <w:tabs>
          <w:tab w:val="left" w:pos="1134"/>
          <w:tab w:val="left" w:pos="3402"/>
        </w:tabs>
        <w:ind w:firstLine="0"/>
        <w:rPr>
          <w:b w:val="0"/>
          <w:bCs/>
        </w:rPr>
      </w:pPr>
      <w:bookmarkStart w:id="79" w:name="_Toc81410424"/>
      <w:r w:rsidRPr="00105A3B">
        <w:rPr>
          <w:b w:val="0"/>
          <w:bCs/>
          <w:i/>
          <w:iCs/>
        </w:rPr>
        <w:t>Informal document</w:t>
      </w:r>
      <w:r w:rsidRPr="00105A3B">
        <w:rPr>
          <w:b w:val="0"/>
          <w:bCs/>
        </w:rPr>
        <w:t>:</w:t>
      </w:r>
      <w:r w:rsidRPr="00105A3B">
        <w:rPr>
          <w:b w:val="0"/>
          <w:bCs/>
        </w:rPr>
        <w:tab/>
        <w:t>INF.15 (EBU and ESO)</w:t>
      </w:r>
      <w:bookmarkEnd w:id="79"/>
    </w:p>
    <w:p w14:paraId="5659303F" w14:textId="77777777" w:rsidR="00B27959" w:rsidRPr="003022AC" w:rsidRDefault="00B27959" w:rsidP="00B27959">
      <w:pPr>
        <w:pStyle w:val="SingleTxtG"/>
      </w:pPr>
      <w:r>
        <w:t>48</w:t>
      </w:r>
      <w:r w:rsidRPr="00F11B71">
        <w:t>.</w:t>
      </w:r>
      <w:r w:rsidRPr="00F11B71">
        <w:tab/>
      </w:r>
      <w:r>
        <w:t>S</w:t>
      </w:r>
      <w:r w:rsidRPr="00F11B71">
        <w:t xml:space="preserve">ome </w:t>
      </w:r>
      <w:r>
        <w:t>representatives were of the opinion that the difference in the provisions existed already in the 1995 edition of ADNR and had been well justified. It was recommended to also verify the corresponding text in the other official languages of the ADN. The representative of EBU/ESO volunteered to do some research and to prepare an official document for consideration at the next session in January 2022.</w:t>
      </w:r>
    </w:p>
    <w:p w14:paraId="579A1E52" w14:textId="77777777" w:rsidR="003064DA" w:rsidRPr="00F11B71" w:rsidRDefault="003064DA" w:rsidP="003064DA">
      <w:pPr>
        <w:pStyle w:val="H23G"/>
      </w:pPr>
      <w:r w:rsidRPr="00F11B71">
        <w:tab/>
      </w:r>
      <w:bookmarkStart w:id="80" w:name="_Toc81410425"/>
      <w:r>
        <w:t>21</w:t>
      </w:r>
      <w:r w:rsidRPr="00F11B71">
        <w:t>.</w:t>
      </w:r>
      <w:r w:rsidRPr="00F11B71">
        <w:tab/>
      </w:r>
      <w:r w:rsidRPr="005E47C5">
        <w:t>Certificate of approval for dry cargo vessels</w:t>
      </w:r>
      <w:bookmarkEnd w:id="80"/>
    </w:p>
    <w:p w14:paraId="4E8A23ED" w14:textId="77777777" w:rsidR="003064DA" w:rsidRPr="00547F3E" w:rsidRDefault="003064DA" w:rsidP="003064DA">
      <w:pPr>
        <w:pStyle w:val="H23G"/>
        <w:tabs>
          <w:tab w:val="left" w:pos="3402"/>
        </w:tabs>
        <w:ind w:left="3402" w:hanging="2268"/>
        <w:rPr>
          <w:b w:val="0"/>
          <w:bCs/>
        </w:rPr>
      </w:pPr>
      <w:bookmarkStart w:id="81" w:name="_Toc81410426"/>
      <w:r w:rsidRPr="00547F3E">
        <w:rPr>
          <w:b w:val="0"/>
          <w:bCs/>
          <w:i/>
          <w:iCs/>
        </w:rPr>
        <w:t>Document</w:t>
      </w:r>
      <w:r w:rsidRPr="00547F3E">
        <w:rPr>
          <w:b w:val="0"/>
          <w:bCs/>
        </w:rPr>
        <w:t>:</w:t>
      </w:r>
      <w:r w:rsidRPr="00547F3E">
        <w:rPr>
          <w:b w:val="0"/>
          <w:bCs/>
        </w:rPr>
        <w:tab/>
        <w:t>ECE/TRANS/WP.15/AC.2/2021/27 (Belgium and the Netherlands)</w:t>
      </w:r>
      <w:bookmarkEnd w:id="81"/>
    </w:p>
    <w:p w14:paraId="249129C5" w14:textId="77777777" w:rsidR="003064DA" w:rsidRPr="00F11B71" w:rsidRDefault="003064DA" w:rsidP="003064DA">
      <w:pPr>
        <w:pStyle w:val="H23G"/>
        <w:tabs>
          <w:tab w:val="left" w:pos="3402"/>
        </w:tabs>
        <w:spacing w:before="120"/>
        <w:ind w:left="3402" w:hanging="2268"/>
        <w:rPr>
          <w:b w:val="0"/>
          <w:bCs/>
        </w:rPr>
      </w:pPr>
      <w:bookmarkStart w:id="82" w:name="_Toc81410427"/>
      <w:r>
        <w:rPr>
          <w:b w:val="0"/>
          <w:bCs/>
          <w:i/>
          <w:iCs/>
        </w:rPr>
        <w:t>Informal d</w:t>
      </w:r>
      <w:r w:rsidRPr="00F11B71">
        <w:rPr>
          <w:b w:val="0"/>
          <w:bCs/>
          <w:i/>
          <w:iCs/>
        </w:rPr>
        <w:t>ocument</w:t>
      </w:r>
      <w:r w:rsidRPr="00F11B71">
        <w:rPr>
          <w:b w:val="0"/>
          <w:bCs/>
        </w:rPr>
        <w:t>:</w:t>
      </w:r>
      <w:r w:rsidRPr="00F11B71">
        <w:rPr>
          <w:b w:val="0"/>
          <w:bCs/>
        </w:rPr>
        <w:tab/>
      </w:r>
      <w:r>
        <w:rPr>
          <w:b w:val="0"/>
          <w:bCs/>
        </w:rPr>
        <w:t>INF.20</w:t>
      </w:r>
      <w:r w:rsidRPr="00F11B71">
        <w:rPr>
          <w:b w:val="0"/>
          <w:bCs/>
        </w:rPr>
        <w:t xml:space="preserve"> (</w:t>
      </w:r>
      <w:r>
        <w:rPr>
          <w:b w:val="0"/>
          <w:bCs/>
        </w:rPr>
        <w:t>Netherlands</w:t>
      </w:r>
      <w:r w:rsidRPr="00F11B71">
        <w:rPr>
          <w:b w:val="0"/>
          <w:bCs/>
        </w:rPr>
        <w:t>)</w:t>
      </w:r>
      <w:bookmarkEnd w:id="82"/>
    </w:p>
    <w:p w14:paraId="6FFC28E7" w14:textId="720008E5" w:rsidR="003064DA" w:rsidRPr="00F11B71" w:rsidRDefault="003064DA" w:rsidP="003064DA">
      <w:pPr>
        <w:pStyle w:val="SingleTxtG"/>
      </w:pPr>
      <w:r>
        <w:t>49</w:t>
      </w:r>
      <w:r w:rsidRPr="00F11B71">
        <w:t>.</w:t>
      </w:r>
      <w:r w:rsidRPr="00F11B71">
        <w:tab/>
        <w:t xml:space="preserve">The Safety Committee </w:t>
      </w:r>
      <w:r>
        <w:t xml:space="preserve">considered document </w:t>
      </w:r>
      <w:r w:rsidRPr="00547F3E">
        <w:rPr>
          <w:bCs/>
        </w:rPr>
        <w:t xml:space="preserve">ECE/TRANS/WP.15/AC.2/2021/27 </w:t>
      </w:r>
      <w:r>
        <w:rPr>
          <w:bCs/>
        </w:rPr>
        <w:t xml:space="preserve">proposing </w:t>
      </w:r>
      <w:r>
        <w:t xml:space="preserve">to clarify the certificate or approval for dry cargo vessels in particular for vessels referred to in 7.1.2.19.1. Following the discussion, the </w:t>
      </w:r>
      <w:r w:rsidRPr="00F11B71">
        <w:t>Safety Committee</w:t>
      </w:r>
      <w:r>
        <w:t xml:space="preserve"> adopted the </w:t>
      </w:r>
      <w:r w:rsidRPr="00F11B71">
        <w:t>amendments</w:t>
      </w:r>
      <w:r>
        <w:t xml:space="preserve"> proposed in informal document INF.20, including option 2 for point 8 of the certificate of approval (see </w:t>
      </w:r>
      <w:r w:rsidR="00D84AF1">
        <w:t>A</w:t>
      </w:r>
      <w:r>
        <w:t>nnex</w:t>
      </w:r>
      <w:r w:rsidR="00D84AF1">
        <w:t xml:space="preserve"> I</w:t>
      </w:r>
      <w:r>
        <w:t>).</w:t>
      </w:r>
    </w:p>
    <w:p w14:paraId="37BA2AEB" w14:textId="77777777" w:rsidR="003064DA" w:rsidRPr="00F11B71" w:rsidRDefault="003064DA" w:rsidP="003064DA">
      <w:pPr>
        <w:pStyle w:val="HChG"/>
        <w:rPr>
          <w:i/>
        </w:rPr>
      </w:pPr>
      <w:r w:rsidRPr="00F11B71">
        <w:tab/>
      </w:r>
      <w:bookmarkStart w:id="83" w:name="_Toc81410428"/>
      <w:r w:rsidRPr="00F11B71">
        <w:t>VII.</w:t>
      </w:r>
      <w:r w:rsidRPr="00F11B71">
        <w:tab/>
        <w:t xml:space="preserve">Reports of informal working </w:t>
      </w:r>
      <w:r w:rsidRPr="003064DA">
        <w:t>groups</w:t>
      </w:r>
      <w:r w:rsidRPr="00F11B71">
        <w:t xml:space="preserve"> (agenda item 5)</w:t>
      </w:r>
      <w:bookmarkEnd w:id="83"/>
    </w:p>
    <w:p w14:paraId="7C0D3CBA" w14:textId="77777777" w:rsidR="003064DA" w:rsidRDefault="003064DA" w:rsidP="003064DA">
      <w:pPr>
        <w:pStyle w:val="H1G"/>
      </w:pPr>
      <w:r w:rsidRPr="00F11B71">
        <w:tab/>
      </w:r>
      <w:bookmarkStart w:id="84" w:name="_Toc81410429"/>
      <w:r w:rsidRPr="00F11B71">
        <w:t>A.</w:t>
      </w:r>
      <w:r w:rsidRPr="00F11B71">
        <w:tab/>
      </w:r>
      <w:r>
        <w:t>R</w:t>
      </w:r>
      <w:r w:rsidRPr="00E60BF4">
        <w:t xml:space="preserve">eport of the twenty-first meeting of the Group of Recommended </w:t>
      </w:r>
      <w:r w:rsidRPr="003064DA">
        <w:t>ADN</w:t>
      </w:r>
      <w:r w:rsidRPr="00E60BF4">
        <w:t xml:space="preserve"> Classification Societies</w:t>
      </w:r>
      <w:bookmarkEnd w:id="84"/>
    </w:p>
    <w:p w14:paraId="22DFB717" w14:textId="77777777" w:rsidR="003064DA" w:rsidRDefault="003064DA" w:rsidP="003064DA">
      <w:pPr>
        <w:pStyle w:val="H23G"/>
        <w:tabs>
          <w:tab w:val="left" w:pos="3402"/>
        </w:tabs>
        <w:spacing w:before="120"/>
        <w:ind w:left="3402" w:hanging="2268"/>
        <w:rPr>
          <w:b w:val="0"/>
          <w:bCs/>
        </w:rPr>
      </w:pPr>
      <w:bookmarkStart w:id="85" w:name="_Toc81410430"/>
      <w:r w:rsidRPr="00F11B71">
        <w:rPr>
          <w:b w:val="0"/>
          <w:bCs/>
          <w:i/>
          <w:iCs/>
        </w:rPr>
        <w:t>Document</w:t>
      </w:r>
      <w:r w:rsidRPr="00F11B71">
        <w:rPr>
          <w:b w:val="0"/>
          <w:bCs/>
        </w:rPr>
        <w:t>:</w:t>
      </w:r>
      <w:r w:rsidRPr="00F11B71">
        <w:rPr>
          <w:b w:val="0"/>
          <w:bCs/>
        </w:rPr>
        <w:tab/>
        <w:t>ECE/TRANS/WP.15/AC.2/20</w:t>
      </w:r>
      <w:r>
        <w:rPr>
          <w:b w:val="0"/>
          <w:bCs/>
        </w:rPr>
        <w:t>2</w:t>
      </w:r>
      <w:r w:rsidRPr="00F11B71">
        <w:rPr>
          <w:b w:val="0"/>
          <w:bCs/>
        </w:rPr>
        <w:t>1/</w:t>
      </w:r>
      <w:r>
        <w:rPr>
          <w:b w:val="0"/>
          <w:bCs/>
        </w:rPr>
        <w:t>18</w:t>
      </w:r>
      <w:r w:rsidRPr="00F11B71">
        <w:rPr>
          <w:b w:val="0"/>
          <w:bCs/>
        </w:rPr>
        <w:t xml:space="preserve"> (</w:t>
      </w:r>
      <w:r>
        <w:rPr>
          <w:b w:val="0"/>
          <w:bCs/>
        </w:rPr>
        <w:t>T</w:t>
      </w:r>
      <w:r w:rsidRPr="00E60BF4">
        <w:rPr>
          <w:b w:val="0"/>
          <w:bCs/>
        </w:rPr>
        <w:t>he Recommend</w:t>
      </w:r>
      <w:r>
        <w:rPr>
          <w:b w:val="0"/>
          <w:bCs/>
        </w:rPr>
        <w:t>ed</w:t>
      </w:r>
      <w:r w:rsidRPr="00E60BF4">
        <w:rPr>
          <w:b w:val="0"/>
          <w:bCs/>
        </w:rPr>
        <w:t xml:space="preserve"> </w:t>
      </w:r>
      <w:r>
        <w:rPr>
          <w:b w:val="0"/>
          <w:bCs/>
        </w:rPr>
        <w:t xml:space="preserve">ADN </w:t>
      </w:r>
      <w:r w:rsidRPr="00E60BF4">
        <w:rPr>
          <w:b w:val="0"/>
          <w:bCs/>
        </w:rPr>
        <w:t>Classification Societies</w:t>
      </w:r>
      <w:r w:rsidRPr="00F11B71">
        <w:rPr>
          <w:b w:val="0"/>
          <w:bCs/>
        </w:rPr>
        <w:t>)</w:t>
      </w:r>
      <w:bookmarkEnd w:id="85"/>
    </w:p>
    <w:p w14:paraId="7B7FA938" w14:textId="77777777" w:rsidR="003064DA" w:rsidRPr="00F11B71" w:rsidRDefault="003064DA" w:rsidP="003064DA">
      <w:pPr>
        <w:pStyle w:val="H23G"/>
        <w:tabs>
          <w:tab w:val="left" w:pos="3402"/>
        </w:tabs>
        <w:spacing w:before="120"/>
        <w:ind w:left="3402" w:hanging="2268"/>
        <w:rPr>
          <w:b w:val="0"/>
          <w:bCs/>
        </w:rPr>
      </w:pPr>
      <w:bookmarkStart w:id="86" w:name="_Toc81410431"/>
      <w:r>
        <w:rPr>
          <w:b w:val="0"/>
          <w:bCs/>
          <w:i/>
          <w:iCs/>
        </w:rPr>
        <w:t>Informal d</w:t>
      </w:r>
      <w:r w:rsidRPr="00F11B71">
        <w:rPr>
          <w:b w:val="0"/>
          <w:bCs/>
          <w:i/>
          <w:iCs/>
        </w:rPr>
        <w:t>ocument</w:t>
      </w:r>
      <w:r w:rsidRPr="00F11B71">
        <w:rPr>
          <w:b w:val="0"/>
          <w:bCs/>
        </w:rPr>
        <w:t>:</w:t>
      </w:r>
      <w:r w:rsidRPr="00F11B71">
        <w:rPr>
          <w:b w:val="0"/>
          <w:bCs/>
        </w:rPr>
        <w:tab/>
      </w:r>
      <w:r>
        <w:rPr>
          <w:b w:val="0"/>
          <w:bCs/>
        </w:rPr>
        <w:t>INF.16</w:t>
      </w:r>
      <w:r w:rsidRPr="00F11B71">
        <w:rPr>
          <w:b w:val="0"/>
          <w:bCs/>
        </w:rPr>
        <w:t xml:space="preserve"> (</w:t>
      </w:r>
      <w:r>
        <w:rPr>
          <w:b w:val="0"/>
          <w:bCs/>
        </w:rPr>
        <w:t>Germany</w:t>
      </w:r>
      <w:r w:rsidRPr="00F11B71">
        <w:rPr>
          <w:b w:val="0"/>
          <w:bCs/>
        </w:rPr>
        <w:t>)</w:t>
      </w:r>
      <w:bookmarkEnd w:id="86"/>
    </w:p>
    <w:p w14:paraId="6B8BCE90" w14:textId="77777777" w:rsidR="003064DA" w:rsidRDefault="003064DA" w:rsidP="003064DA">
      <w:pPr>
        <w:pStyle w:val="SingleTxtG"/>
      </w:pPr>
      <w:r>
        <w:t>50.</w:t>
      </w:r>
      <w:r>
        <w:tab/>
      </w:r>
      <w:r w:rsidRPr="00F11B71">
        <w:t xml:space="preserve">The Safety Committee welcomed the report of the </w:t>
      </w:r>
      <w:r>
        <w:t>twenty-first</w:t>
      </w:r>
      <w:r w:rsidRPr="00F11B71">
        <w:t xml:space="preserve"> meeting of the </w:t>
      </w:r>
      <w:r w:rsidRPr="00E60BF4">
        <w:t>Group of Recommended ADN Classification Societies</w:t>
      </w:r>
      <w:r w:rsidRPr="00F11B71">
        <w:t xml:space="preserve"> (ECE/TRANS/WP.15/AC.2/20</w:t>
      </w:r>
      <w:r>
        <w:t>2</w:t>
      </w:r>
      <w:r w:rsidRPr="00F11B71">
        <w:t>1/</w:t>
      </w:r>
      <w:r>
        <w:t>18</w:t>
      </w:r>
      <w:r w:rsidRPr="00F11B71">
        <w:t>) and, in particular</w:t>
      </w:r>
      <w:r>
        <w:t>, commented on the following items of the report:</w:t>
      </w:r>
    </w:p>
    <w:p w14:paraId="6D806904" w14:textId="77777777" w:rsidR="003064DA" w:rsidRDefault="003064DA" w:rsidP="003064DA">
      <w:pPr>
        <w:pStyle w:val="SingleTxtG"/>
        <w:tabs>
          <w:tab w:val="left" w:pos="1418"/>
        </w:tabs>
        <w:ind w:left="2268" w:hanging="1134"/>
      </w:pPr>
      <w:r>
        <w:lastRenderedPageBreak/>
        <w:tab/>
        <w:t>II.(b)</w:t>
      </w:r>
      <w:r>
        <w:tab/>
        <w:t>urged the authors of the project to submit their proposal as an official document to the Safety Committee to ensure translation in all official languages and reminded that the deadline for submission of official documents to the January 2022 session is 29 October 2021;</w:t>
      </w:r>
    </w:p>
    <w:p w14:paraId="72499E49" w14:textId="06621C40" w:rsidR="003064DA" w:rsidRDefault="003064DA" w:rsidP="003064DA">
      <w:pPr>
        <w:pStyle w:val="SingleTxtG"/>
        <w:tabs>
          <w:tab w:val="left" w:pos="1418"/>
        </w:tabs>
        <w:ind w:left="2268" w:hanging="1134"/>
      </w:pPr>
      <w:r>
        <w:tab/>
        <w:t>II.(h)</w:t>
      </w:r>
      <w:r>
        <w:tab/>
        <w:t xml:space="preserve">urged the </w:t>
      </w:r>
      <w:r w:rsidRPr="00E60BF4">
        <w:t>Recommended ADN Classification Societies</w:t>
      </w:r>
      <w:r w:rsidRPr="00F11B71">
        <w:t xml:space="preserve"> </w:t>
      </w:r>
      <w:r>
        <w:t>to submit to the Safety Committee replies to the questions already raised at the twenty-third and twenty-fourth session of the ADN Administrative Committee</w:t>
      </w:r>
      <w:r>
        <w:rPr>
          <w:rStyle w:val="FootnoteReference"/>
        </w:rPr>
        <w:footnoteReference w:id="3"/>
      </w:r>
      <w:r>
        <w:t xml:space="preserve"> (among others the equivalence of certificates issued according to ISO 9001 and those granted according to ISO/IEC 17020, revision of Chapter 1.15 of ADN to clarify how the information of compliance need be presented in future and to identify possible problems with the requirements, in particular 1.15.3.8 of ADN);</w:t>
      </w:r>
    </w:p>
    <w:p w14:paraId="0D4A3CA6" w14:textId="77777777" w:rsidR="003064DA" w:rsidRDefault="003064DA" w:rsidP="003064DA">
      <w:pPr>
        <w:pStyle w:val="SingleTxtG"/>
        <w:tabs>
          <w:tab w:val="left" w:pos="1418"/>
        </w:tabs>
        <w:ind w:left="2268" w:hanging="1134"/>
      </w:pPr>
      <w:r>
        <w:tab/>
        <w:t>III.(a)</w:t>
      </w:r>
      <w:r>
        <w:tab/>
        <w:t>following the presentation of</w:t>
      </w:r>
      <w:r w:rsidRPr="00A77486">
        <w:t xml:space="preserve"> informal document INF.16</w:t>
      </w:r>
      <w:r>
        <w:t>, the Safety Committee confirmed that the current ADN provides only transitional provisions for the temperature class and explosion group of non-electrical installations and equipment but not for the location in which those could be used;</w:t>
      </w:r>
    </w:p>
    <w:p w14:paraId="740575F5" w14:textId="77777777" w:rsidR="003064DA" w:rsidRDefault="003064DA" w:rsidP="003064DA">
      <w:pPr>
        <w:pStyle w:val="SingleTxtG"/>
        <w:tabs>
          <w:tab w:val="left" w:pos="1418"/>
        </w:tabs>
        <w:ind w:left="2268" w:hanging="1134"/>
      </w:pPr>
      <w:r>
        <w:tab/>
        <w:t>III.(b)</w:t>
      </w:r>
      <w:r>
        <w:tab/>
        <w:t xml:space="preserve">requested that the </w:t>
      </w:r>
      <w:r w:rsidRPr="00E60BF4">
        <w:t>Recommended ADN Classification Societies</w:t>
      </w:r>
      <w:r>
        <w:t xml:space="preserve"> present, in a working document for the January 2022 session, any necessary amendments to clarify the text of ADN;</w:t>
      </w:r>
    </w:p>
    <w:p w14:paraId="108B270D" w14:textId="7CE27BD1" w:rsidR="003064DA" w:rsidRDefault="003064DA" w:rsidP="003064DA">
      <w:pPr>
        <w:pStyle w:val="SingleTxtG"/>
        <w:tabs>
          <w:tab w:val="left" w:pos="1418"/>
        </w:tabs>
        <w:ind w:left="2268" w:hanging="1134"/>
      </w:pPr>
      <w:r>
        <w:tab/>
        <w:t>III.(e)</w:t>
      </w:r>
      <w:r>
        <w:tab/>
        <w:t xml:space="preserve">urged the members of the </w:t>
      </w:r>
      <w:r w:rsidRPr="00E60BF4">
        <w:t>Recommended ADN Classification Societies</w:t>
      </w:r>
      <w:r w:rsidRPr="00F11B71">
        <w:t xml:space="preserve"> </w:t>
      </w:r>
      <w:r>
        <w:t>to analyse if there is a need to develop, in addition to the general requirements of ES-TRIN, further specific safety requirements for vessels carrying dangerous goods and to determine if dangerous interactions could occur between the dangerous goods carried and the energy storage/production units used;</w:t>
      </w:r>
    </w:p>
    <w:p w14:paraId="4565D8B1" w14:textId="1E524B58" w:rsidR="003064DA" w:rsidRDefault="003064DA" w:rsidP="003064DA">
      <w:pPr>
        <w:pStyle w:val="SingleTxtG"/>
        <w:tabs>
          <w:tab w:val="left" w:pos="1418"/>
        </w:tabs>
        <w:ind w:left="2268" w:hanging="1134"/>
      </w:pPr>
      <w:r>
        <w:tab/>
        <w:t>V.(a)</w:t>
      </w:r>
      <w:r>
        <w:tab/>
        <w:t xml:space="preserve">confirmed that </w:t>
      </w:r>
      <w:r w:rsidRPr="009F05CE">
        <w:t xml:space="preserve">if the transport of </w:t>
      </w:r>
      <w:r>
        <w:t xml:space="preserve">substances which are currently classified as </w:t>
      </w:r>
      <w:r w:rsidRPr="009F05CE">
        <w:t>UN 3082 ENVIRONMENTALLY HAZARDOUS SUBSTANCE, LIQUID, N.O.S.</w:t>
      </w:r>
      <w:r>
        <w:t xml:space="preserve"> (BILGE WATER, FREE OF SLUDGE), UN 3082</w:t>
      </w:r>
      <w:r w:rsidRPr="002B0502">
        <w:t xml:space="preserve"> </w:t>
      </w:r>
      <w:r w:rsidRPr="009F05CE">
        <w:t>ENVIRONMENTALLY HAZARDOUS SUBSTANCE, LIQUID, N.O.S.</w:t>
      </w:r>
      <w:r>
        <w:t xml:space="preserve"> (BILGE WATER, CONTAINS SLUDGE)</w:t>
      </w:r>
      <w:r w:rsidRPr="009F05CE">
        <w:t xml:space="preserve"> or UN 3</w:t>
      </w:r>
      <w:r>
        <w:t>082</w:t>
      </w:r>
      <w:r w:rsidRPr="009F05CE">
        <w:t xml:space="preserve"> ENVIRONMENTALLY HAZARDOUS SUBSTANCE, LIQUID, N.O.S.</w:t>
      </w:r>
      <w:r>
        <w:t xml:space="preserve"> (OIL SLUDGE) , and were permitted</w:t>
      </w:r>
      <w:r w:rsidRPr="009F05CE">
        <w:t xml:space="preserve"> for a particular vessel for the period before 31.12.2008, then </w:t>
      </w:r>
      <w:r>
        <w:t xml:space="preserve">those substances, classified under their appropriate </w:t>
      </w:r>
      <w:r w:rsidRPr="009F05CE">
        <w:t xml:space="preserve">UN </w:t>
      </w:r>
      <w:r>
        <w:t>entry</w:t>
      </w:r>
      <w:r w:rsidRPr="009F05CE">
        <w:t xml:space="preserve"> can be entered in the vessel </w:t>
      </w:r>
      <w:r>
        <w:t>substances</w:t>
      </w:r>
      <w:r w:rsidRPr="009F05CE">
        <w:t xml:space="preserve"> list</w:t>
      </w:r>
      <w:r>
        <w:t>.</w:t>
      </w:r>
    </w:p>
    <w:p w14:paraId="6F36D644" w14:textId="77777777" w:rsidR="003064DA" w:rsidRPr="00821C6C" w:rsidRDefault="003064DA" w:rsidP="003064DA">
      <w:pPr>
        <w:pStyle w:val="SingleTxtG"/>
        <w:rPr>
          <w:b/>
        </w:rPr>
      </w:pPr>
      <w:r>
        <w:t>51.</w:t>
      </w:r>
      <w:r>
        <w:tab/>
        <w:t>On informal document INF.16, t</w:t>
      </w:r>
      <w:r w:rsidRPr="00F11B71">
        <w:t xml:space="preserve">he Safety Committee </w:t>
      </w:r>
      <w:r>
        <w:t xml:space="preserve">invited the </w:t>
      </w:r>
      <w:r w:rsidRPr="00E60BF4">
        <w:t>Group of Recommended ADN Classification Societies</w:t>
      </w:r>
      <w:r>
        <w:t xml:space="preserve"> to further clarify the scope of the existing transitional provision for non-electric installations and equipment and also decided to set up a comprehensive list of equipment.</w:t>
      </w:r>
    </w:p>
    <w:p w14:paraId="25C6D1FC" w14:textId="07F6EA7E" w:rsidR="003064DA" w:rsidRPr="003064DA" w:rsidRDefault="003064DA" w:rsidP="003064DA">
      <w:pPr>
        <w:pStyle w:val="H1G"/>
      </w:pPr>
      <w:r w:rsidRPr="00F11B71">
        <w:tab/>
      </w:r>
      <w:bookmarkStart w:id="87" w:name="_Toc81410432"/>
      <w:r w:rsidRPr="00F11B71">
        <w:t>B.</w:t>
      </w:r>
      <w:r w:rsidRPr="00F11B71">
        <w:tab/>
        <w:t xml:space="preserve">Report of the </w:t>
      </w:r>
      <w:r w:rsidR="00CA43EE">
        <w:t>fi</w:t>
      </w:r>
      <w:r w:rsidR="007D5CD0">
        <w:t>f</w:t>
      </w:r>
      <w:r w:rsidR="00CA43EE">
        <w:t>th</w:t>
      </w:r>
      <w:r w:rsidRPr="00F11B71">
        <w:t xml:space="preserve"> meeting of the informal working group on “loading on top of barges”</w:t>
      </w:r>
      <w:bookmarkEnd w:id="87"/>
    </w:p>
    <w:p w14:paraId="57727DF2" w14:textId="77777777" w:rsidR="003064DA" w:rsidRPr="0001596E" w:rsidRDefault="003064DA" w:rsidP="003064DA">
      <w:pPr>
        <w:pStyle w:val="H23G"/>
        <w:tabs>
          <w:tab w:val="left" w:pos="1134"/>
          <w:tab w:val="left" w:pos="3402"/>
        </w:tabs>
        <w:ind w:firstLine="0"/>
        <w:rPr>
          <w:b w:val="0"/>
          <w:bCs/>
          <w:lang w:val="fr-CH"/>
        </w:rPr>
      </w:pPr>
      <w:bookmarkStart w:id="88" w:name="_Toc81410433"/>
      <w:r w:rsidRPr="0001596E">
        <w:rPr>
          <w:b w:val="0"/>
          <w:bCs/>
          <w:i/>
          <w:iCs/>
          <w:lang w:val="fr-CH"/>
        </w:rPr>
        <w:t>Document</w:t>
      </w:r>
      <w:r w:rsidRPr="0001596E">
        <w:rPr>
          <w:b w:val="0"/>
          <w:bCs/>
          <w:lang w:val="fr-CH"/>
        </w:rPr>
        <w:t>:</w:t>
      </w:r>
      <w:r w:rsidRPr="0001596E">
        <w:rPr>
          <w:b w:val="0"/>
          <w:bCs/>
          <w:lang w:val="fr-CH"/>
        </w:rPr>
        <w:tab/>
        <w:t>ECE/TRANS/WP.15/AC.2/2021/29 (</w:t>
      </w:r>
      <w:proofErr w:type="spellStart"/>
      <w:r w:rsidRPr="0001596E">
        <w:rPr>
          <w:b w:val="0"/>
          <w:bCs/>
          <w:lang w:val="fr-CH"/>
        </w:rPr>
        <w:t>Netherlands</w:t>
      </w:r>
      <w:proofErr w:type="spellEnd"/>
      <w:r w:rsidRPr="0001596E">
        <w:rPr>
          <w:b w:val="0"/>
          <w:bCs/>
          <w:lang w:val="fr-CH"/>
        </w:rPr>
        <w:t>)</w:t>
      </w:r>
      <w:bookmarkEnd w:id="88"/>
    </w:p>
    <w:p w14:paraId="5E569F1A" w14:textId="56213420" w:rsidR="003064DA" w:rsidRDefault="003064DA" w:rsidP="003064DA">
      <w:pPr>
        <w:pStyle w:val="SingleTxtG"/>
      </w:pPr>
      <w:r>
        <w:t>52</w:t>
      </w:r>
      <w:r w:rsidRPr="00F11B71">
        <w:t>.</w:t>
      </w:r>
      <w:r w:rsidRPr="00F11B71">
        <w:tab/>
        <w:t xml:space="preserve">The </w:t>
      </w:r>
      <w:r>
        <w:t>representative of the Dutch delegation</w:t>
      </w:r>
      <w:r w:rsidRPr="00F11B71">
        <w:t xml:space="preserve"> reported on the outcome of its meeting held </w:t>
      </w:r>
      <w:r>
        <w:t>remotely on 22 and 23 April 2021.</w:t>
      </w:r>
    </w:p>
    <w:p w14:paraId="3C22A1C1" w14:textId="1CA89CD2" w:rsidR="003064DA" w:rsidRDefault="003064DA" w:rsidP="003064DA">
      <w:pPr>
        <w:pStyle w:val="SingleTxtG"/>
      </w:pPr>
      <w:r>
        <w:t>53.</w:t>
      </w:r>
      <w:r>
        <w:tab/>
        <w:t>For case 3(a), the Safety Committee welcomed the proposed principles on loading on top of the same cargo, i</w:t>
      </w:r>
      <w:r w:rsidRPr="00F66C72">
        <w:t xml:space="preserve">.e. </w:t>
      </w:r>
      <w:r>
        <w:t>l</w:t>
      </w:r>
      <w:r w:rsidRPr="00F66C72">
        <w:t xml:space="preserve">oading of dangerous good on top of a dangerous good with the same UN number and entry in </w:t>
      </w:r>
      <w:r>
        <w:t>T</w:t>
      </w:r>
      <w:r w:rsidRPr="00F66C72">
        <w:t>able C</w:t>
      </w:r>
      <w:r>
        <w:t xml:space="preserve">. Nevertheless general caution on this case was raised, as reactions might take place even with substances of the same UN number dangerous.  It was suggested that the informal working group on Substances should evaluate Table C to establish a so-called "positive list" with substances that might be allowed for the loading on </w:t>
      </w:r>
      <w:r>
        <w:lastRenderedPageBreak/>
        <w:t>top principles (following appropriate testing if necessary) and which could be extended in future.</w:t>
      </w:r>
    </w:p>
    <w:p w14:paraId="17A445E1" w14:textId="0E039F3B" w:rsidR="003064DA" w:rsidRDefault="003064DA" w:rsidP="003064DA">
      <w:pPr>
        <w:pStyle w:val="SingleTxtG"/>
      </w:pPr>
      <w:r>
        <w:t>54.</w:t>
      </w:r>
      <w:r>
        <w:tab/>
        <w:t xml:space="preserve">For case 3(b), it was suggested that the informal working group on loading on top of barges should continue its work into finding the correct legal instrument, to which ADN could refer to, in order to facilitate loading on top processes. The representative of Belgium requested the informal working group on loading on top, to also study cases in which inhibitors, additives and colourants are added to the cargo during transport. </w:t>
      </w:r>
    </w:p>
    <w:p w14:paraId="14197746" w14:textId="1379283B" w:rsidR="003064DA" w:rsidRDefault="003064DA" w:rsidP="003064DA">
      <w:pPr>
        <w:pStyle w:val="SingleTxtG"/>
      </w:pPr>
      <w:r>
        <w:t>55.</w:t>
      </w:r>
      <w:r>
        <w:tab/>
        <w:t>For case 3(c), opinions were divided on whether work should continue on the l</w:t>
      </w:r>
      <w:r w:rsidRPr="00F66C72">
        <w:t>oading of a dangerous good on top of another dangerous good</w:t>
      </w:r>
      <w:r>
        <w:t xml:space="preserve">. </w:t>
      </w:r>
      <w:r w:rsidR="009D2B56">
        <w:t xml:space="preserve">The representative of </w:t>
      </w:r>
      <w:r>
        <w:t xml:space="preserve">Fuels Europe offered their help to work in cases 3(a) and 3(b) but it would not put more effort on the development of case 3(c). </w:t>
      </w:r>
    </w:p>
    <w:p w14:paraId="30016430" w14:textId="3C005780" w:rsidR="003064DA" w:rsidRDefault="003064DA" w:rsidP="003064DA">
      <w:pPr>
        <w:pStyle w:val="SingleTxtG"/>
      </w:pPr>
      <w:r>
        <w:t>56.</w:t>
      </w:r>
      <w:r>
        <w:tab/>
        <w:t>In conclusion, opinions were divided on the issue of legislating loading on top of any kind in the ADN. Some representatives were of the opinion that when loading is taking place, the vessel is berthed, and it is not clear if the procedure could be considered as part of the transport operation. It would also need in-depth expertise of the committee and bear in future further risks for the transport of dangerous goods. Others suggested to minimize the insertion of such provisions referring to existing guidelines and standards for maritime transport and to other national or international legal instruments on this subject.</w:t>
      </w:r>
    </w:p>
    <w:p w14:paraId="406D6246" w14:textId="77777777" w:rsidR="003064DA" w:rsidRDefault="003064DA" w:rsidP="003064DA">
      <w:pPr>
        <w:pStyle w:val="SingleTxtG"/>
      </w:pPr>
      <w:r>
        <w:t>57.</w:t>
      </w:r>
      <w:r>
        <w:tab/>
        <w:t>As a way of compromise, it was suggested that the “positive list” of substances that can be loaded on top, could be added to the vessel’s list of substances, clearly indicating all the relevant conditions for the loading operation.</w:t>
      </w:r>
    </w:p>
    <w:p w14:paraId="3F5FF34B" w14:textId="77777777" w:rsidR="003064DA" w:rsidRPr="00F11B71" w:rsidRDefault="003064DA" w:rsidP="003064DA">
      <w:pPr>
        <w:pStyle w:val="SingleTxtG"/>
      </w:pPr>
      <w:r>
        <w:t>58</w:t>
      </w:r>
      <w:r w:rsidRPr="00F11B71">
        <w:t>.</w:t>
      </w:r>
      <w:r w:rsidRPr="00F11B71">
        <w:tab/>
      </w:r>
      <w:r>
        <w:t>The representative of the Netherlands announced his intention to organize further meetings and to report back to the Safety Committee at the next session, in order to facilitate its decision on whether to continue work on this subject</w:t>
      </w:r>
      <w:r w:rsidRPr="00F11B71">
        <w:t>.</w:t>
      </w:r>
    </w:p>
    <w:p w14:paraId="5F05523F" w14:textId="77777777" w:rsidR="003064DA" w:rsidRPr="003064DA" w:rsidRDefault="003064DA" w:rsidP="003064DA">
      <w:pPr>
        <w:pStyle w:val="HChG"/>
      </w:pPr>
      <w:r w:rsidRPr="00F11B71">
        <w:tab/>
      </w:r>
      <w:bookmarkStart w:id="89" w:name="_Toc81410434"/>
      <w:r w:rsidRPr="00F11B71">
        <w:t>VIII.</w:t>
      </w:r>
      <w:r w:rsidRPr="00F11B71">
        <w:tab/>
        <w:t>Programme of work and calendar of meetings (agenda item 6)</w:t>
      </w:r>
      <w:bookmarkEnd w:id="89"/>
    </w:p>
    <w:p w14:paraId="6A311818" w14:textId="77777777" w:rsidR="003064DA" w:rsidRPr="00DD6CE9" w:rsidRDefault="003064DA" w:rsidP="003064DA">
      <w:pPr>
        <w:pStyle w:val="SingleTxtG"/>
      </w:pPr>
      <w:r w:rsidRPr="00DD6CE9">
        <w:t>5</w:t>
      </w:r>
      <w:r>
        <w:t>9</w:t>
      </w:r>
      <w:r w:rsidRPr="00DD6CE9">
        <w:t>.</w:t>
      </w:r>
      <w:r w:rsidRPr="00DD6CE9">
        <w:tab/>
        <w:t>The Safety Committee noted that its thirty-ninth session was scheduled to be held in Geneva from 24 to 28 January 2022 and that the twenty-seventh session of the ADN Administrative Committee was scheduled to take place on 28 January 2022 (from 12:00 to 13:00). The deadline for the submission of documents for these meetings was 29 October 2021.</w:t>
      </w:r>
    </w:p>
    <w:p w14:paraId="78764F6B" w14:textId="77777777" w:rsidR="003064DA" w:rsidRPr="00DD6CE9" w:rsidRDefault="003064DA" w:rsidP="003064DA">
      <w:pPr>
        <w:pStyle w:val="HChG"/>
        <w:rPr>
          <w:i/>
        </w:rPr>
      </w:pPr>
      <w:r w:rsidRPr="00DD6CE9">
        <w:tab/>
      </w:r>
      <w:bookmarkStart w:id="90" w:name="_Toc81410435"/>
      <w:r w:rsidRPr="00DD6CE9">
        <w:t>IX.</w:t>
      </w:r>
      <w:r w:rsidRPr="00DD6CE9">
        <w:tab/>
        <w:t>Any other business (agenda item 7)</w:t>
      </w:r>
      <w:bookmarkEnd w:id="90"/>
    </w:p>
    <w:p w14:paraId="6DD1C1FE" w14:textId="77777777" w:rsidR="003064DA" w:rsidRPr="00DD6CE9" w:rsidRDefault="003064DA" w:rsidP="003064DA">
      <w:pPr>
        <w:pStyle w:val="H1G"/>
      </w:pPr>
      <w:r w:rsidRPr="00DD6CE9">
        <w:tab/>
      </w:r>
      <w:bookmarkStart w:id="91" w:name="_Toc81410436"/>
      <w:r w:rsidRPr="00DD6CE9">
        <w:t>A.</w:t>
      </w:r>
      <w:r w:rsidRPr="00DD6CE9">
        <w:tab/>
        <w:t xml:space="preserve">Rules of Procedure for the ADN Safety </w:t>
      </w:r>
      <w:r w:rsidRPr="003064DA">
        <w:t>Committee</w:t>
      </w:r>
      <w:bookmarkEnd w:id="91"/>
    </w:p>
    <w:p w14:paraId="230C0C82" w14:textId="77777777" w:rsidR="003064DA" w:rsidRPr="00DD6CE9" w:rsidRDefault="003064DA" w:rsidP="003064DA">
      <w:pPr>
        <w:pStyle w:val="H23G"/>
        <w:tabs>
          <w:tab w:val="left" w:pos="1134"/>
          <w:tab w:val="left" w:pos="3402"/>
        </w:tabs>
        <w:ind w:firstLine="0"/>
        <w:rPr>
          <w:b w:val="0"/>
          <w:bCs/>
        </w:rPr>
      </w:pPr>
      <w:bookmarkStart w:id="92" w:name="_Toc81410437"/>
      <w:r w:rsidRPr="00DD6CE9">
        <w:rPr>
          <w:b w:val="0"/>
          <w:bCs/>
          <w:i/>
          <w:iCs/>
        </w:rPr>
        <w:t>Informal document</w:t>
      </w:r>
      <w:r w:rsidRPr="00DD6CE9">
        <w:rPr>
          <w:b w:val="0"/>
          <w:bCs/>
        </w:rPr>
        <w:t>:</w:t>
      </w:r>
      <w:r w:rsidRPr="00DD6CE9">
        <w:rPr>
          <w:b w:val="0"/>
          <w:bCs/>
        </w:rPr>
        <w:tab/>
        <w:t>INF.7 (Austria, Germany and the Netherlands)</w:t>
      </w:r>
      <w:bookmarkEnd w:id="92"/>
    </w:p>
    <w:p w14:paraId="2048ABF9" w14:textId="6D87FA15" w:rsidR="003064DA" w:rsidRDefault="003064DA" w:rsidP="003064DA">
      <w:pPr>
        <w:pStyle w:val="SingleTxtG"/>
      </w:pPr>
      <w:r w:rsidRPr="00DD6CE9">
        <w:t>6</w:t>
      </w:r>
      <w:r>
        <w:t>0</w:t>
      </w:r>
      <w:r w:rsidRPr="00DD6CE9">
        <w:t>.</w:t>
      </w:r>
      <w:r w:rsidRPr="00DD6CE9">
        <w:tab/>
        <w:t>The Safety Committee considered the draft Rules of Procedure for the ADN Safety Committee in informal document INF.7</w:t>
      </w:r>
      <w:r>
        <w:t>. It was</w:t>
      </w:r>
      <w:r w:rsidRPr="00DD6CE9">
        <w:t xml:space="preserve"> agreed to resume its consideration at the next session on the basis of an official document </w:t>
      </w:r>
      <w:r w:rsidR="00E0341D">
        <w:t xml:space="preserve">by the authors </w:t>
      </w:r>
      <w:r w:rsidRPr="00DD6CE9">
        <w:t>taking into account the comments received.</w:t>
      </w:r>
    </w:p>
    <w:p w14:paraId="1EFA33A5" w14:textId="77777777" w:rsidR="003064DA" w:rsidRPr="00DD6CE9" w:rsidRDefault="003064DA" w:rsidP="003064DA">
      <w:pPr>
        <w:pStyle w:val="SingleTxtG"/>
      </w:pPr>
      <w:r>
        <w:t>61.</w:t>
      </w:r>
      <w:r>
        <w:tab/>
        <w:t>The secretariat was requested to clarify the status of the group of Recommended ADN Classification Societies in the Safety Committee.</w:t>
      </w:r>
    </w:p>
    <w:p w14:paraId="7F9BFFA7" w14:textId="77777777" w:rsidR="003064DA" w:rsidRPr="00DD6CE9" w:rsidRDefault="003064DA" w:rsidP="003064DA">
      <w:pPr>
        <w:pStyle w:val="H1G"/>
      </w:pPr>
      <w:r w:rsidRPr="00DD6CE9">
        <w:tab/>
      </w:r>
      <w:bookmarkStart w:id="93" w:name="_Toc81410438"/>
      <w:r w:rsidRPr="00DD6CE9">
        <w:t>B.</w:t>
      </w:r>
      <w:r w:rsidRPr="00DD6CE9">
        <w:tab/>
        <w:t xml:space="preserve">Information on funding opportunities for “greening” </w:t>
      </w:r>
      <w:r w:rsidRPr="003064DA">
        <w:t>the</w:t>
      </w:r>
      <w:r w:rsidRPr="00DD6CE9">
        <w:t xml:space="preserve"> transport of dangerous goods</w:t>
      </w:r>
      <w:bookmarkEnd w:id="93"/>
    </w:p>
    <w:p w14:paraId="1EABAB25" w14:textId="77777777" w:rsidR="003064DA" w:rsidRPr="00F801E8" w:rsidRDefault="003064DA" w:rsidP="003064DA">
      <w:pPr>
        <w:pStyle w:val="H23G"/>
        <w:tabs>
          <w:tab w:val="left" w:pos="1134"/>
          <w:tab w:val="left" w:pos="3402"/>
        </w:tabs>
        <w:ind w:firstLine="0"/>
        <w:rPr>
          <w:b w:val="0"/>
          <w:bCs/>
          <w:lang w:val="fr-CH"/>
        </w:rPr>
      </w:pPr>
      <w:bookmarkStart w:id="94" w:name="_Toc81410439"/>
      <w:r w:rsidRPr="00F801E8">
        <w:rPr>
          <w:b w:val="0"/>
          <w:bCs/>
          <w:i/>
          <w:iCs/>
          <w:lang w:val="fr-CH"/>
        </w:rPr>
        <w:t>Informal document</w:t>
      </w:r>
      <w:r w:rsidRPr="00F801E8">
        <w:rPr>
          <w:b w:val="0"/>
          <w:bCs/>
          <w:lang w:val="fr-CH"/>
        </w:rPr>
        <w:t>:</w:t>
      </w:r>
      <w:r w:rsidRPr="00F801E8">
        <w:rPr>
          <w:b w:val="0"/>
          <w:bCs/>
          <w:lang w:val="fr-CH"/>
        </w:rPr>
        <w:tab/>
        <w:t>INF.19 (</w:t>
      </w:r>
      <w:proofErr w:type="spellStart"/>
      <w:r w:rsidRPr="00F801E8">
        <w:rPr>
          <w:b w:val="0"/>
          <w:bCs/>
          <w:lang w:val="fr-CH"/>
        </w:rPr>
        <w:t>European</w:t>
      </w:r>
      <w:proofErr w:type="spellEnd"/>
      <w:r w:rsidRPr="00F801E8">
        <w:rPr>
          <w:b w:val="0"/>
          <w:bCs/>
          <w:lang w:val="fr-CH"/>
        </w:rPr>
        <w:t xml:space="preserve"> Commission)</w:t>
      </w:r>
      <w:bookmarkEnd w:id="94"/>
    </w:p>
    <w:p w14:paraId="3AD17F7C" w14:textId="7429A4C3" w:rsidR="003064DA" w:rsidRPr="00DD6CE9" w:rsidRDefault="003064DA" w:rsidP="003064DA">
      <w:pPr>
        <w:pStyle w:val="SingleTxtG"/>
      </w:pPr>
      <w:r>
        <w:t>62</w:t>
      </w:r>
      <w:r w:rsidRPr="00DD6CE9">
        <w:t>.</w:t>
      </w:r>
      <w:r w:rsidRPr="00DD6CE9">
        <w:tab/>
        <w:t xml:space="preserve">The Safety Committee took note of informal document INF.19 on funding opportunities by the European Commission for “greening” the transport of dangerous goods </w:t>
      </w:r>
      <w:r w:rsidRPr="00DD6CE9">
        <w:lastRenderedPageBreak/>
        <w:t>including detailed information on the LIFE sub-programme for environment.</w:t>
      </w:r>
      <w:r>
        <w:t xml:space="preserve"> It was clarified that this</w:t>
      </w:r>
      <w:r w:rsidRPr="003E7BCC">
        <w:t xml:space="preserve"> programme c</w:t>
      </w:r>
      <w:r>
        <w:t>ould</w:t>
      </w:r>
      <w:r w:rsidRPr="003E7BCC">
        <w:t xml:space="preserve"> also finance activities outside the E</w:t>
      </w:r>
      <w:r w:rsidR="00970A69">
        <w:t xml:space="preserve">uropean </w:t>
      </w:r>
      <w:r w:rsidRPr="003E7BCC">
        <w:t>U</w:t>
      </w:r>
      <w:r w:rsidR="00970A69">
        <w:t>nion</w:t>
      </w:r>
      <w:r w:rsidRPr="003E7BCC">
        <w:t xml:space="preserve"> </w:t>
      </w:r>
      <w:r>
        <w:t>even</w:t>
      </w:r>
      <w:r w:rsidRPr="003E7BCC">
        <w:t xml:space="preserve"> in overseas countries and territories, but only if the project leader </w:t>
      </w:r>
      <w:r>
        <w:t>wa</w:t>
      </w:r>
      <w:r w:rsidRPr="003E7BCC">
        <w:t>s based in the E</w:t>
      </w:r>
      <w:r w:rsidR="00CD444F">
        <w:t xml:space="preserve">uropean </w:t>
      </w:r>
      <w:r w:rsidRPr="003E7BCC">
        <w:t>U</w:t>
      </w:r>
      <w:r w:rsidR="00CD444F">
        <w:t>nion</w:t>
      </w:r>
      <w:r w:rsidRPr="003E7BCC">
        <w:t>.</w:t>
      </w:r>
    </w:p>
    <w:p w14:paraId="1214981C" w14:textId="77777777" w:rsidR="003064DA" w:rsidRPr="00DD6CE9" w:rsidRDefault="003064DA" w:rsidP="003064DA">
      <w:pPr>
        <w:pStyle w:val="H1G"/>
      </w:pPr>
      <w:r w:rsidRPr="00DD6CE9">
        <w:tab/>
      </w:r>
      <w:bookmarkStart w:id="95" w:name="_Toc81410440"/>
      <w:r w:rsidRPr="00DD6CE9">
        <w:t>C.</w:t>
      </w:r>
      <w:r w:rsidRPr="00DD6CE9">
        <w:tab/>
        <w:t xml:space="preserve">Transport </w:t>
      </w:r>
      <w:r w:rsidRPr="003064DA">
        <w:t>Community</w:t>
      </w:r>
      <w:bookmarkEnd w:id="95"/>
    </w:p>
    <w:p w14:paraId="3B1C1867" w14:textId="7CA2AFD1" w:rsidR="003064DA" w:rsidRPr="00DD6CE9" w:rsidRDefault="003064DA" w:rsidP="003064DA">
      <w:pPr>
        <w:pStyle w:val="SingleTxtG"/>
        <w:keepNext/>
        <w:keepLines/>
      </w:pPr>
      <w:r>
        <w:t>63</w:t>
      </w:r>
      <w:r w:rsidRPr="00DD6CE9">
        <w:t>.</w:t>
      </w:r>
      <w:r w:rsidRPr="00DD6CE9">
        <w:tab/>
        <w:t xml:space="preserve">The representative of Transport Community presented her international governmental organisation in the field of mobility and transport (https://www.transport-community.org/). It was established in 2019 by a treaty signed between the European Union and six South East European Parties to ease their integration. They develop a guideline on activities such as the transport of dangerous goods, set up a corresponding technical committee that </w:t>
      </w:r>
      <w:r w:rsidR="00F3422A">
        <w:t xml:space="preserve">members </w:t>
      </w:r>
      <w:r w:rsidRPr="00DD6CE9">
        <w:t>may wish to participate also in the Safety Committee. The Safety Committee welcomed their participation in and contributions to the future sessions.</w:t>
      </w:r>
    </w:p>
    <w:p w14:paraId="3FE10408" w14:textId="77777777" w:rsidR="003064DA" w:rsidRPr="00DD6CE9" w:rsidRDefault="003064DA" w:rsidP="003064DA">
      <w:pPr>
        <w:pStyle w:val="HChG"/>
        <w:rPr>
          <w:i/>
        </w:rPr>
      </w:pPr>
      <w:r w:rsidRPr="00DD6CE9">
        <w:tab/>
      </w:r>
      <w:bookmarkStart w:id="96" w:name="_Toc81410441"/>
      <w:r w:rsidRPr="00DD6CE9">
        <w:t>X.</w:t>
      </w:r>
      <w:r w:rsidRPr="00DD6CE9">
        <w:tab/>
        <w:t xml:space="preserve">Adoption of the report (agenda </w:t>
      </w:r>
      <w:r w:rsidRPr="003064DA">
        <w:t>item</w:t>
      </w:r>
      <w:r w:rsidRPr="00DD6CE9">
        <w:t xml:space="preserve"> 8)</w:t>
      </w:r>
      <w:bookmarkEnd w:id="96"/>
    </w:p>
    <w:p w14:paraId="36646DDD" w14:textId="083FE32F" w:rsidR="003064DA" w:rsidRPr="00F11B71" w:rsidRDefault="003064DA" w:rsidP="003064DA">
      <w:pPr>
        <w:pStyle w:val="SingleTxtG"/>
      </w:pPr>
      <w:r>
        <w:t>64</w:t>
      </w:r>
      <w:r w:rsidRPr="00F11B71">
        <w:t>.</w:t>
      </w:r>
      <w:r w:rsidRPr="00F11B71">
        <w:tab/>
        <w:t>The Safety Committee adopted the report on its thirty-</w:t>
      </w:r>
      <w:r>
        <w:t>eighth</w:t>
      </w:r>
      <w:r w:rsidRPr="00F11B71">
        <w:t xml:space="preserve"> session and its annexes on the basis of a draft prepared by the secretariat.</w:t>
      </w:r>
    </w:p>
    <w:p w14:paraId="7A36C0B3" w14:textId="77777777" w:rsidR="003F0DF0" w:rsidRDefault="003F0DF0" w:rsidP="003064DA">
      <w:pPr>
        <w:pStyle w:val="SingleTxtG"/>
        <w:sectPr w:rsidR="003F0DF0" w:rsidSect="0091204D">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4CF8423" w14:textId="392D321D" w:rsidR="00181181" w:rsidRDefault="008F2382" w:rsidP="008F2382">
      <w:pPr>
        <w:pStyle w:val="HChG"/>
      </w:pPr>
      <w:bookmarkStart w:id="98" w:name="_Hlk536607922"/>
      <w:r>
        <w:lastRenderedPageBreak/>
        <w:tab/>
      </w:r>
      <w:r w:rsidR="00181181">
        <w:t xml:space="preserve">Annex </w:t>
      </w:r>
      <w:r>
        <w:t>I</w:t>
      </w:r>
    </w:p>
    <w:p w14:paraId="15E850FD" w14:textId="71F4F170" w:rsidR="00432E24" w:rsidRPr="00432E24" w:rsidRDefault="001361AD" w:rsidP="001361AD">
      <w:pPr>
        <w:jc w:val="right"/>
      </w:pPr>
      <w:r>
        <w:rPr>
          <w:lang w:val="en-US"/>
        </w:rPr>
        <w:t>[Original: English and French]</w:t>
      </w:r>
    </w:p>
    <w:p w14:paraId="19F3F435" w14:textId="557D01DD" w:rsidR="008F2382" w:rsidRDefault="00181181" w:rsidP="008F2382">
      <w:pPr>
        <w:pStyle w:val="HChG"/>
      </w:pPr>
      <w:r>
        <w:tab/>
      </w:r>
      <w:r>
        <w:tab/>
      </w:r>
      <w:r w:rsidR="008F2382" w:rsidRPr="00322AA1">
        <w:t>Proposed amendments to the Regulations annexed to ADN for entry into force on 1 January 2023</w:t>
      </w:r>
    </w:p>
    <w:bookmarkEnd w:id="98"/>
    <w:p w14:paraId="3EEC42A9" w14:textId="77777777" w:rsidR="008F2382" w:rsidRPr="00254E2A" w:rsidRDefault="008F2382" w:rsidP="008F2382">
      <w:pPr>
        <w:pStyle w:val="H23G"/>
      </w:pPr>
      <w:r>
        <w:tab/>
      </w:r>
      <w:r w:rsidRPr="00254E2A">
        <w:tab/>
      </w:r>
      <w:r w:rsidRPr="00254E2A">
        <w:tab/>
        <w:t>Chapter 1.6</w:t>
      </w:r>
    </w:p>
    <w:p w14:paraId="08C62A16" w14:textId="77777777" w:rsidR="008F2382" w:rsidRDefault="008F2382" w:rsidP="008F2382">
      <w:pPr>
        <w:spacing w:after="120"/>
        <w:ind w:left="1134"/>
        <w:jc w:val="both"/>
        <w:rPr>
          <w:color w:val="000000"/>
          <w:lang w:val="en-US"/>
        </w:rPr>
      </w:pPr>
      <w:r w:rsidRPr="004A3E52">
        <w:t>1.6.7.2.</w:t>
      </w:r>
      <w:r>
        <w:t>1.1</w:t>
      </w:r>
      <w:r>
        <w:tab/>
        <w:t>I</w:t>
      </w:r>
      <w:proofErr w:type="spellStart"/>
      <w:r>
        <w:rPr>
          <w:color w:val="000000"/>
          <w:lang w:val="en-US"/>
        </w:rPr>
        <w:t>nsert</w:t>
      </w:r>
      <w:proofErr w:type="spellEnd"/>
      <w:r>
        <w:rPr>
          <w:color w:val="000000"/>
          <w:lang w:val="en-US"/>
        </w:rPr>
        <w:t xml:space="preserve"> the following new transitional provision: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599"/>
        <w:gridCol w:w="4526"/>
      </w:tblGrid>
      <w:tr w:rsidR="008F2382" w:rsidRPr="007629AC" w14:paraId="254372B5" w14:textId="77777777" w:rsidTr="00181181">
        <w:tc>
          <w:tcPr>
            <w:tcW w:w="1086" w:type="dxa"/>
            <w:shd w:val="clear" w:color="auto" w:fill="auto"/>
          </w:tcPr>
          <w:p w14:paraId="3549358E" w14:textId="77777777" w:rsidR="008F2382" w:rsidRPr="007629AC" w:rsidRDefault="008F2382" w:rsidP="00181181">
            <w:pPr>
              <w:spacing w:after="240"/>
              <w:jc w:val="both"/>
              <w:rPr>
                <w:bCs/>
                <w:color w:val="000000"/>
                <w:lang w:val="en-US"/>
              </w:rPr>
            </w:pPr>
            <w:r w:rsidRPr="007629AC">
              <w:rPr>
                <w:bCs/>
                <w:color w:val="000000"/>
                <w:lang w:val="en-US"/>
              </w:rPr>
              <w:t>8.6.1.1</w:t>
            </w:r>
          </w:p>
        </w:tc>
        <w:tc>
          <w:tcPr>
            <w:tcW w:w="2599" w:type="dxa"/>
            <w:shd w:val="clear" w:color="auto" w:fill="auto"/>
          </w:tcPr>
          <w:p w14:paraId="54985ED4" w14:textId="77777777" w:rsidR="008F2382" w:rsidRPr="007629AC" w:rsidRDefault="008F2382" w:rsidP="00181181">
            <w:pPr>
              <w:spacing w:after="240"/>
              <w:jc w:val="both"/>
              <w:rPr>
                <w:bCs/>
                <w:color w:val="000000"/>
                <w:lang w:val="en-US"/>
              </w:rPr>
            </w:pPr>
            <w:r w:rsidRPr="007629AC">
              <w:rPr>
                <w:bCs/>
                <w:color w:val="000000"/>
                <w:lang w:val="en-US"/>
              </w:rPr>
              <w:t>Changes to certificate of approval, numbers 4 and 8</w:t>
            </w:r>
          </w:p>
        </w:tc>
        <w:tc>
          <w:tcPr>
            <w:tcW w:w="4526" w:type="dxa"/>
            <w:shd w:val="clear" w:color="auto" w:fill="auto"/>
          </w:tcPr>
          <w:p w14:paraId="747AC779" w14:textId="77777777" w:rsidR="008F2382" w:rsidRPr="007629AC" w:rsidRDefault="008F2382" w:rsidP="00181181">
            <w:pPr>
              <w:spacing w:after="240"/>
              <w:jc w:val="center"/>
              <w:rPr>
                <w:bCs/>
                <w:color w:val="000000"/>
                <w:lang w:val="en-US"/>
              </w:rPr>
            </w:pPr>
            <w:r w:rsidRPr="007629AC">
              <w:rPr>
                <w:bCs/>
                <w:color w:val="000000"/>
                <w:lang w:val="en-US"/>
              </w:rPr>
              <w:t>N.R.M. from 1. January 2023</w:t>
            </w:r>
            <w:r w:rsidRPr="007629AC">
              <w:rPr>
                <w:bCs/>
                <w:color w:val="000000"/>
                <w:lang w:val="en-US"/>
              </w:rPr>
              <w:br/>
              <w:t>Renewal of the certificate of approval after 31 December 2022</w:t>
            </w:r>
          </w:p>
        </w:tc>
      </w:tr>
    </w:tbl>
    <w:p w14:paraId="27944613" w14:textId="77777777" w:rsidR="008F2382" w:rsidRDefault="008F2382" w:rsidP="008F2382">
      <w:pPr>
        <w:pStyle w:val="SingleTxtG"/>
        <w:tabs>
          <w:tab w:val="left" w:pos="1985"/>
          <w:tab w:val="left" w:pos="2127"/>
        </w:tabs>
        <w:spacing w:before="120"/>
      </w:pPr>
      <w:r w:rsidRPr="004A3E52">
        <w:rPr>
          <w:i/>
        </w:rPr>
        <w:t>(Reference document: ECE/TRANS/WP.15/AC.2/2021/</w:t>
      </w:r>
      <w:r>
        <w:rPr>
          <w:i/>
        </w:rPr>
        <w:t>27</w:t>
      </w:r>
      <w:r w:rsidRPr="004A3E52">
        <w:rPr>
          <w:i/>
        </w:rPr>
        <w:t xml:space="preserve">, </w:t>
      </w:r>
      <w:r>
        <w:rPr>
          <w:i/>
        </w:rPr>
        <w:t>as amended by informal document INF.20</w:t>
      </w:r>
      <w:r w:rsidRPr="004A3E52">
        <w:rPr>
          <w:i/>
        </w:rPr>
        <w:t>)</w:t>
      </w:r>
    </w:p>
    <w:p w14:paraId="7E5102D7" w14:textId="77777777" w:rsidR="008F2382" w:rsidRDefault="008F2382" w:rsidP="008F2382">
      <w:pPr>
        <w:pStyle w:val="SingleTxtG"/>
        <w:tabs>
          <w:tab w:val="left" w:pos="1985"/>
          <w:tab w:val="left" w:pos="2127"/>
        </w:tabs>
      </w:pPr>
      <w:r w:rsidRPr="004A3E52">
        <w:t>1.6.7.2.2.2</w:t>
      </w:r>
      <w:r w:rsidRPr="004A3E52">
        <w:tab/>
      </w:r>
      <w:r w:rsidRPr="004A3E52">
        <w:tab/>
        <w:t xml:space="preserve">Renumber </w:t>
      </w:r>
      <w:r>
        <w:t>t</w:t>
      </w:r>
      <w:r w:rsidRPr="004A3E52">
        <w:t>ransitional provision for 9.3.1.0.3 d), 9.3.2.0.3 d) and 9.3.3.0.3 d) "Fire-resistant materials of accommodation and wheelhouse" as 9.3.1.0.6, 9.3.2.0.6 and 9.3.3.0.6</w:t>
      </w:r>
      <w:r>
        <w:t>.</w:t>
      </w:r>
    </w:p>
    <w:p w14:paraId="04E6FE4D" w14:textId="77777777" w:rsidR="008F2382" w:rsidRDefault="008F2382" w:rsidP="008F2382">
      <w:pPr>
        <w:pStyle w:val="SingleTxtG"/>
        <w:tabs>
          <w:tab w:val="left" w:pos="1985"/>
          <w:tab w:val="left" w:pos="2127"/>
        </w:tabs>
      </w:pPr>
      <w:r w:rsidRPr="004A3E52">
        <w:rPr>
          <w:i/>
        </w:rPr>
        <w:t>(Reference document: ECE/TRANS/WP.15/AC.2/2021/30, consequential</w:t>
      </w:r>
      <w:r>
        <w:rPr>
          <w:i/>
        </w:rPr>
        <w:t xml:space="preserve"> amendment</w:t>
      </w:r>
      <w:r w:rsidRPr="004A3E52">
        <w:rPr>
          <w:i/>
        </w:rPr>
        <w:t>)</w:t>
      </w:r>
    </w:p>
    <w:p w14:paraId="2CB67DC1" w14:textId="77777777" w:rsidR="008F2382" w:rsidRPr="00254E2A" w:rsidRDefault="008F2382" w:rsidP="008F2382">
      <w:pPr>
        <w:pStyle w:val="SingleTxtG"/>
        <w:tabs>
          <w:tab w:val="left" w:pos="1985"/>
          <w:tab w:val="left" w:pos="2127"/>
        </w:tabs>
      </w:pPr>
      <w:r w:rsidRPr="00254E2A">
        <w:t>1.6.8.1</w:t>
      </w:r>
      <w:r w:rsidRPr="00254E2A">
        <w:tab/>
        <w:t>Delete and insert: “1.6.8.1</w:t>
      </w:r>
      <w:r w:rsidRPr="00254E2A">
        <w:tab/>
        <w:t>Deleted”.</w:t>
      </w:r>
    </w:p>
    <w:p w14:paraId="70032E46" w14:textId="77777777" w:rsidR="008F2382" w:rsidRPr="00E73D52" w:rsidRDefault="008F2382" w:rsidP="008F2382">
      <w:pPr>
        <w:pStyle w:val="SingleTxtG"/>
        <w:rPr>
          <w:i/>
        </w:rPr>
      </w:pPr>
      <w:r w:rsidRPr="00E73D52">
        <w:rPr>
          <w:i/>
        </w:rPr>
        <w:t>(Reference document: ECE/TRANS/WP.15/AC.2/2021/21)</w:t>
      </w:r>
    </w:p>
    <w:p w14:paraId="4513397A" w14:textId="77777777" w:rsidR="008F2382" w:rsidRDefault="008F2382" w:rsidP="008F2382">
      <w:pPr>
        <w:pStyle w:val="H23G"/>
      </w:pPr>
      <w:r>
        <w:tab/>
      </w:r>
      <w:r>
        <w:tab/>
      </w:r>
      <w:r>
        <w:tab/>
      </w:r>
      <w:r w:rsidRPr="00BD1E21">
        <w:t xml:space="preserve">Chapter </w:t>
      </w:r>
      <w:r>
        <w:t>3.2, Table A</w:t>
      </w:r>
    </w:p>
    <w:p w14:paraId="0D90D584" w14:textId="77777777" w:rsidR="008F2382" w:rsidRPr="00574E74" w:rsidRDefault="008F2382" w:rsidP="008F2382">
      <w:pPr>
        <w:pStyle w:val="SingleTxtG"/>
      </w:pPr>
      <w:r w:rsidRPr="00574E74">
        <w:t xml:space="preserve">For UN Nos. 2381, 3483, 3543, 3544, 3545, 3546, 3547 and </w:t>
      </w:r>
      <w:r>
        <w:t>3548,</w:t>
      </w:r>
      <w:r w:rsidRPr="00574E74">
        <w:t xml:space="preserve"> in column (6) insert “802”.</w:t>
      </w:r>
    </w:p>
    <w:p w14:paraId="085BD46A" w14:textId="77777777" w:rsidR="008F2382" w:rsidRDefault="008F2382" w:rsidP="008F2382">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19)</w:t>
      </w:r>
    </w:p>
    <w:p w14:paraId="45F0A778" w14:textId="77777777" w:rsidR="008F2382" w:rsidRDefault="008F2382" w:rsidP="008F2382">
      <w:pPr>
        <w:pStyle w:val="SingleTxtG"/>
      </w:pPr>
      <w:r w:rsidRPr="00AE785B">
        <w:t xml:space="preserve">For UN No. </w:t>
      </w:r>
      <w:r>
        <w:t>3440, all entries,</w:t>
      </w:r>
      <w:r w:rsidRPr="00AE785B">
        <w:t xml:space="preserve"> in column (6) </w:t>
      </w:r>
      <w:r>
        <w:t>insert</w:t>
      </w:r>
      <w:r w:rsidRPr="00AE785B">
        <w:t xml:space="preserve"> “</w:t>
      </w:r>
      <w:r>
        <w:t>563</w:t>
      </w:r>
      <w:r w:rsidRPr="00AE785B">
        <w:t>”</w:t>
      </w:r>
      <w:r>
        <w:t>.</w:t>
      </w:r>
    </w:p>
    <w:p w14:paraId="3C5592F1" w14:textId="77777777" w:rsidR="008F2382" w:rsidRDefault="008F2382" w:rsidP="008F2382">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19)</w:t>
      </w:r>
    </w:p>
    <w:p w14:paraId="39F2F40E" w14:textId="77777777" w:rsidR="008F2382" w:rsidRDefault="008F2382" w:rsidP="008F2382">
      <w:pPr>
        <w:pStyle w:val="SingleTxtG"/>
      </w:pPr>
      <w:r w:rsidRPr="00AE785B">
        <w:t xml:space="preserve">For UN No. </w:t>
      </w:r>
      <w:r>
        <w:t>3494, all entries,</w:t>
      </w:r>
      <w:r w:rsidRPr="00AE785B">
        <w:t xml:space="preserve"> in column (6) </w:t>
      </w:r>
      <w:r>
        <w:t>delete</w:t>
      </w:r>
      <w:r w:rsidRPr="00AE785B">
        <w:t xml:space="preserve"> “</w:t>
      </w:r>
      <w:r>
        <w:t>649</w:t>
      </w:r>
      <w:r w:rsidRPr="00AE785B">
        <w:t>”</w:t>
      </w:r>
      <w:r>
        <w:t>.</w:t>
      </w:r>
    </w:p>
    <w:p w14:paraId="38898205" w14:textId="77777777" w:rsidR="008F2382" w:rsidRDefault="008F2382" w:rsidP="008F2382">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19)</w:t>
      </w:r>
    </w:p>
    <w:p w14:paraId="0E4DD7DB" w14:textId="77777777" w:rsidR="008F2382" w:rsidRDefault="008F2382" w:rsidP="008F2382">
      <w:pPr>
        <w:pStyle w:val="SingleTxtG"/>
      </w:pPr>
      <w:r w:rsidRPr="00AE785B">
        <w:t>For UN No</w:t>
      </w:r>
      <w:r>
        <w:t>s</w:t>
      </w:r>
      <w:r w:rsidRPr="00AE785B">
        <w:t xml:space="preserve">. </w:t>
      </w:r>
      <w:r>
        <w:t>3537, 3539, 3540, 3541 and 3542,</w:t>
      </w:r>
      <w:r w:rsidRPr="00AE785B">
        <w:t xml:space="preserve"> in column (6) </w:t>
      </w:r>
      <w:r>
        <w:t>delete</w:t>
      </w:r>
      <w:r w:rsidRPr="00AE785B">
        <w:t xml:space="preserve"> “</w:t>
      </w:r>
      <w:r>
        <w:t>649</w:t>
      </w:r>
      <w:r w:rsidRPr="00AE785B">
        <w:t>”</w:t>
      </w:r>
      <w:r>
        <w:t>.</w:t>
      </w:r>
    </w:p>
    <w:p w14:paraId="5B5E9E76" w14:textId="77777777" w:rsidR="008F2382" w:rsidRDefault="008F2382" w:rsidP="008F2382">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19)</w:t>
      </w:r>
    </w:p>
    <w:p w14:paraId="57F1EDA8" w14:textId="77777777" w:rsidR="008F2382" w:rsidRPr="00BD1E21" w:rsidRDefault="008F2382" w:rsidP="008F2382">
      <w:pPr>
        <w:pStyle w:val="H23G"/>
        <w:rPr>
          <w:rStyle w:val="Emphasis"/>
        </w:rPr>
      </w:pPr>
      <w:r>
        <w:tab/>
      </w:r>
      <w:r>
        <w:tab/>
      </w:r>
      <w:r>
        <w:tab/>
      </w:r>
      <w:r w:rsidRPr="00BD1E21">
        <w:t xml:space="preserve">Chapter </w:t>
      </w:r>
      <w:r>
        <w:t>3.2, Table C</w:t>
      </w:r>
    </w:p>
    <w:p w14:paraId="7737293C" w14:textId="77777777" w:rsidR="008F2382" w:rsidRPr="0076559E" w:rsidRDefault="008F2382" w:rsidP="008F2382">
      <w:pPr>
        <w:pStyle w:val="SingleTxtG"/>
      </w:pPr>
      <w:r w:rsidRPr="0076559E">
        <w:t xml:space="preserve">For </w:t>
      </w:r>
      <w:r>
        <w:t>identification No. 9004, amend column (5) to read “9+S”</w:t>
      </w:r>
    </w:p>
    <w:p w14:paraId="1A35CF85" w14:textId="77777777" w:rsidR="008F2382" w:rsidRPr="00611F8A" w:rsidRDefault="008F2382" w:rsidP="008F2382">
      <w:pPr>
        <w:pStyle w:val="SingleTxtG"/>
        <w:rPr>
          <w:i/>
          <w:lang w:val="en-US"/>
        </w:rPr>
      </w:pPr>
      <w:r w:rsidRPr="00611F8A">
        <w:rPr>
          <w:i/>
          <w:lang w:val="en-US"/>
        </w:rPr>
        <w:t>(Reference document: ECE/TRANS/WP.15/AC.2/2021/19)</w:t>
      </w:r>
    </w:p>
    <w:p w14:paraId="1D66EA60" w14:textId="77777777" w:rsidR="008F2382" w:rsidRPr="00611F8A" w:rsidRDefault="008F2382" w:rsidP="008F2382">
      <w:pPr>
        <w:pStyle w:val="H23G"/>
        <w:rPr>
          <w:lang w:val="en-US"/>
        </w:rPr>
      </w:pPr>
      <w:r w:rsidRPr="00611F8A">
        <w:rPr>
          <w:lang w:val="en-US"/>
        </w:rPr>
        <w:tab/>
      </w:r>
      <w:r w:rsidRPr="00611F8A">
        <w:rPr>
          <w:lang w:val="en-US"/>
        </w:rPr>
        <w:tab/>
      </w:r>
      <w:r w:rsidRPr="00611F8A">
        <w:rPr>
          <w:lang w:val="en-US"/>
        </w:rPr>
        <w:tab/>
        <w:t>Chapter 3.2</w:t>
      </w:r>
    </w:p>
    <w:p w14:paraId="103A1C2D" w14:textId="77777777" w:rsidR="008F2382" w:rsidRDefault="008F2382" w:rsidP="008F2382">
      <w:pPr>
        <w:pStyle w:val="SingleTxtG"/>
        <w:tabs>
          <w:tab w:val="left" w:pos="1985"/>
          <w:tab w:val="left" w:pos="2127"/>
        </w:tabs>
      </w:pPr>
      <w:r>
        <w:t>3.2.3.3</w:t>
      </w:r>
      <w:r w:rsidRPr="00254E2A">
        <w:tab/>
      </w:r>
      <w:r>
        <w:t>Amend Scheme B to read as follows:</w:t>
      </w:r>
    </w:p>
    <w:p w14:paraId="20579FC6" w14:textId="77777777" w:rsidR="008F2382" w:rsidRDefault="008F2382" w:rsidP="008F2382">
      <w:pPr>
        <w:pStyle w:val="SingleTxtG"/>
        <w:rPr>
          <w:bCs/>
          <w:szCs w:val="24"/>
          <w:lang w:eastAsia="en-GB"/>
        </w:rPr>
      </w:pPr>
    </w:p>
    <w:p w14:paraId="5C9935F6" w14:textId="77777777" w:rsidR="008F2382" w:rsidRDefault="008F2382" w:rsidP="008F2382">
      <w:pPr>
        <w:keepNext/>
        <w:spacing w:after="240"/>
        <w:ind w:left="1134"/>
        <w:jc w:val="center"/>
        <w:outlineLvl w:val="1"/>
        <w:rPr>
          <w:b/>
          <w:bCs/>
          <w:sz w:val="22"/>
          <w:szCs w:val="22"/>
        </w:rPr>
        <w:sectPr w:rsidR="008F2382" w:rsidSect="0018118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pPr>
    </w:p>
    <w:p w14:paraId="7CB7FFB2" w14:textId="77777777" w:rsidR="008F2382" w:rsidRDefault="008F2382" w:rsidP="008F2382">
      <w:pPr>
        <w:pStyle w:val="H1G"/>
        <w:spacing w:before="120"/>
      </w:pPr>
      <w:r>
        <w:lastRenderedPageBreak/>
        <w:tab/>
      </w:r>
      <w:r>
        <w:tab/>
      </w:r>
      <w:r w:rsidRPr="00881B7A">
        <w:t>Scheme B:  Criteria for equipment of vessels of type N with closed cargo tanks</w:t>
      </w:r>
    </w:p>
    <w:p w14:paraId="39D94DFE" w14:textId="77777777" w:rsidR="008F2382" w:rsidRPr="0032215F" w:rsidRDefault="008F2382" w:rsidP="008F2382">
      <w:pPr>
        <w:pStyle w:val="SingleTxtG"/>
      </w:pPr>
      <w:r w:rsidRPr="0032215F">
        <w:t xml:space="preserve">Ascertain which </w:t>
      </w:r>
      <w:r w:rsidRPr="0083239F">
        <w:t>substance</w:t>
      </w:r>
      <w:r w:rsidRPr="0032215F">
        <w:t>/cargo tank characteristics in the first six columns are relevant. Select the applicable row in the relevant column. The cargo tank equipment requirements for N-vessels with closed cargo tanks are then described in this row in the seventh column. If multiple columns are relevant select the topmost relevant row in the seventh column.</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054"/>
        <w:gridCol w:w="1751"/>
        <w:gridCol w:w="1577"/>
        <w:gridCol w:w="2361"/>
        <w:gridCol w:w="3059"/>
        <w:gridCol w:w="2623"/>
      </w:tblGrid>
      <w:tr w:rsidR="008F2382" w:rsidRPr="00881B7A" w14:paraId="03E439A7" w14:textId="77777777" w:rsidTr="00181181">
        <w:trPr>
          <w:trHeight w:val="355"/>
        </w:trPr>
        <w:tc>
          <w:tcPr>
            <w:tcW w:w="11552" w:type="dxa"/>
            <w:gridSpan w:val="6"/>
            <w:vAlign w:val="center"/>
          </w:tcPr>
          <w:p w14:paraId="6091ECB4" w14:textId="77777777" w:rsidR="008F2382" w:rsidRPr="0032215F" w:rsidRDefault="008F2382" w:rsidP="00181181">
            <w:pPr>
              <w:jc w:val="center"/>
              <w:rPr>
                <w:b/>
                <w:bCs/>
              </w:rPr>
            </w:pPr>
            <w:r w:rsidRPr="0032215F">
              <w:rPr>
                <w:b/>
                <w:bCs/>
              </w:rPr>
              <w:t>Substance/cargo tank characteristics</w:t>
            </w:r>
          </w:p>
        </w:tc>
        <w:tc>
          <w:tcPr>
            <w:tcW w:w="2623" w:type="dxa"/>
          </w:tcPr>
          <w:p w14:paraId="593290A7" w14:textId="77777777" w:rsidR="008F2382" w:rsidRPr="0032215F" w:rsidRDefault="008F2382" w:rsidP="00181181">
            <w:pPr>
              <w:jc w:val="center"/>
              <w:rPr>
                <w:b/>
                <w:bCs/>
              </w:rPr>
            </w:pPr>
            <w:r w:rsidRPr="0032215F">
              <w:rPr>
                <w:b/>
                <w:bCs/>
              </w:rPr>
              <w:t>Requirements arising</w:t>
            </w:r>
          </w:p>
        </w:tc>
      </w:tr>
      <w:tr w:rsidR="008F2382" w:rsidRPr="00881B7A" w14:paraId="065437F2" w14:textId="77777777" w:rsidTr="00181181">
        <w:trPr>
          <w:trHeight w:val="355"/>
        </w:trPr>
        <w:tc>
          <w:tcPr>
            <w:tcW w:w="6132" w:type="dxa"/>
            <w:gridSpan w:val="4"/>
            <w:vAlign w:val="center"/>
          </w:tcPr>
          <w:p w14:paraId="65846D1E" w14:textId="77777777" w:rsidR="008F2382" w:rsidRPr="0032215F" w:rsidRDefault="008F2382" w:rsidP="00181181">
            <w:pPr>
              <w:jc w:val="center"/>
            </w:pPr>
            <w:r w:rsidRPr="0032215F">
              <w:t>Class 3, flash-point &lt; 23°C</w:t>
            </w:r>
          </w:p>
        </w:tc>
        <w:tc>
          <w:tcPr>
            <w:tcW w:w="2361" w:type="dxa"/>
            <w:vAlign w:val="center"/>
          </w:tcPr>
          <w:p w14:paraId="245B139B" w14:textId="77777777" w:rsidR="008F2382" w:rsidRPr="0032215F" w:rsidRDefault="008F2382" w:rsidP="00181181">
            <w:pPr>
              <w:jc w:val="center"/>
            </w:pPr>
            <w:r w:rsidRPr="0032215F">
              <w:t>Corrosive substances</w:t>
            </w:r>
          </w:p>
        </w:tc>
        <w:tc>
          <w:tcPr>
            <w:tcW w:w="3059" w:type="dxa"/>
            <w:vAlign w:val="center"/>
          </w:tcPr>
          <w:p w14:paraId="550BF6E0" w14:textId="77777777" w:rsidR="008F2382" w:rsidRPr="0032215F" w:rsidRDefault="008F2382" w:rsidP="00181181">
            <w:pPr>
              <w:jc w:val="center"/>
            </w:pPr>
            <w:r w:rsidRPr="0032215F">
              <w:t>CMR substances</w:t>
            </w:r>
          </w:p>
        </w:tc>
        <w:tc>
          <w:tcPr>
            <w:tcW w:w="2623" w:type="dxa"/>
          </w:tcPr>
          <w:p w14:paraId="470AD9D9" w14:textId="77777777" w:rsidR="008F2382" w:rsidRPr="0032215F" w:rsidRDefault="008F2382" w:rsidP="00181181">
            <w:pPr>
              <w:jc w:val="center"/>
            </w:pPr>
            <w:r w:rsidRPr="0032215F">
              <w:t>Cargo tank equipment</w:t>
            </w:r>
          </w:p>
        </w:tc>
      </w:tr>
      <w:tr w:rsidR="008F2382" w:rsidRPr="00881B7A" w14:paraId="32B74563" w14:textId="77777777" w:rsidTr="00181181">
        <w:tc>
          <w:tcPr>
            <w:tcW w:w="1750" w:type="dxa"/>
          </w:tcPr>
          <w:p w14:paraId="67F2F7C8" w14:textId="77777777" w:rsidR="008F2382" w:rsidRPr="00881B7A" w:rsidRDefault="008F2382" w:rsidP="00181181">
            <w:r w:rsidRPr="00881B7A">
              <w:t xml:space="preserve">175 kPa ≤ </w:t>
            </w:r>
            <w:proofErr w:type="spellStart"/>
            <w:r w:rsidRPr="00881B7A">
              <w:t>P</w:t>
            </w:r>
            <w:r>
              <w:rPr>
                <w:vertAlign w:val="subscript"/>
              </w:rPr>
              <w:t>v</w:t>
            </w:r>
            <w:proofErr w:type="spellEnd"/>
            <w:r w:rsidRPr="00881B7A">
              <w:rPr>
                <w:vertAlign w:val="subscript"/>
              </w:rPr>
              <w:t xml:space="preserve"> 50 </w:t>
            </w:r>
            <w:r w:rsidRPr="00881B7A">
              <w:rPr>
                <w:vertAlign w:val="subscript"/>
              </w:rPr>
              <w:br/>
            </w:r>
            <w:r w:rsidRPr="00881B7A">
              <w:t>&lt; 300 kPa without refrigeration</w:t>
            </w:r>
          </w:p>
        </w:tc>
        <w:tc>
          <w:tcPr>
            <w:tcW w:w="1054" w:type="dxa"/>
          </w:tcPr>
          <w:p w14:paraId="6F18AEB0" w14:textId="77777777" w:rsidR="008F2382" w:rsidRPr="00881B7A" w:rsidRDefault="008F2382" w:rsidP="00181181"/>
        </w:tc>
        <w:tc>
          <w:tcPr>
            <w:tcW w:w="1751" w:type="dxa"/>
          </w:tcPr>
          <w:p w14:paraId="20F27985" w14:textId="77777777" w:rsidR="008F2382" w:rsidRPr="00881B7A" w:rsidRDefault="008F2382" w:rsidP="00181181"/>
        </w:tc>
        <w:tc>
          <w:tcPr>
            <w:tcW w:w="1577" w:type="dxa"/>
          </w:tcPr>
          <w:p w14:paraId="112CA63B" w14:textId="77777777" w:rsidR="008F2382" w:rsidRPr="00881B7A" w:rsidRDefault="008F2382" w:rsidP="00181181"/>
        </w:tc>
        <w:tc>
          <w:tcPr>
            <w:tcW w:w="2361" w:type="dxa"/>
          </w:tcPr>
          <w:p w14:paraId="78F1E0C6" w14:textId="77777777" w:rsidR="008F2382" w:rsidRPr="00881B7A" w:rsidRDefault="008F2382" w:rsidP="00181181"/>
        </w:tc>
        <w:tc>
          <w:tcPr>
            <w:tcW w:w="3059" w:type="dxa"/>
          </w:tcPr>
          <w:p w14:paraId="724906BC" w14:textId="77777777" w:rsidR="008F2382" w:rsidRPr="00881B7A" w:rsidRDefault="008F2382" w:rsidP="00181181"/>
        </w:tc>
        <w:tc>
          <w:tcPr>
            <w:tcW w:w="2623" w:type="dxa"/>
          </w:tcPr>
          <w:p w14:paraId="76944F68" w14:textId="77777777" w:rsidR="008F2382" w:rsidRPr="0032215F" w:rsidRDefault="008F2382" w:rsidP="00181181">
            <w:r w:rsidRPr="0032215F">
              <w:t>Pressure tank (400 kPa)</w:t>
            </w:r>
          </w:p>
        </w:tc>
      </w:tr>
      <w:tr w:rsidR="008F2382" w:rsidRPr="00881B7A" w14:paraId="162AA15B" w14:textId="77777777" w:rsidTr="00181181">
        <w:tc>
          <w:tcPr>
            <w:tcW w:w="1750" w:type="dxa"/>
          </w:tcPr>
          <w:p w14:paraId="3BEDC380" w14:textId="77777777" w:rsidR="008F2382" w:rsidRPr="00881B7A" w:rsidRDefault="008F2382" w:rsidP="00181181">
            <w:r w:rsidRPr="00881B7A">
              <w:t xml:space="preserve">175 kPa ≤ P </w:t>
            </w:r>
            <w:r>
              <w:rPr>
                <w:vertAlign w:val="subscript"/>
              </w:rPr>
              <w:t>v</w:t>
            </w:r>
            <w:r w:rsidRPr="00881B7A">
              <w:rPr>
                <w:vertAlign w:val="subscript"/>
              </w:rPr>
              <w:t xml:space="preserve"> 50 </w:t>
            </w:r>
            <w:r w:rsidRPr="00881B7A">
              <w:rPr>
                <w:vertAlign w:val="subscript"/>
              </w:rPr>
              <w:br/>
            </w:r>
            <w:r w:rsidRPr="00881B7A">
              <w:t xml:space="preserve">&lt; 300 kPa, with refrigeration </w:t>
            </w:r>
          </w:p>
        </w:tc>
        <w:tc>
          <w:tcPr>
            <w:tcW w:w="1054" w:type="dxa"/>
          </w:tcPr>
          <w:p w14:paraId="2B71EBDB" w14:textId="77777777" w:rsidR="008F2382" w:rsidRPr="00AC2F5F" w:rsidRDefault="008F2382" w:rsidP="00181181">
            <w:pPr>
              <w:rPr>
                <w:strike/>
              </w:rPr>
            </w:pPr>
          </w:p>
        </w:tc>
        <w:tc>
          <w:tcPr>
            <w:tcW w:w="1751" w:type="dxa"/>
          </w:tcPr>
          <w:p w14:paraId="4C71E8AE" w14:textId="77777777" w:rsidR="008F2382" w:rsidRPr="00881B7A" w:rsidRDefault="008F2382" w:rsidP="00181181"/>
        </w:tc>
        <w:tc>
          <w:tcPr>
            <w:tcW w:w="1577" w:type="dxa"/>
          </w:tcPr>
          <w:p w14:paraId="48F836EC" w14:textId="77777777" w:rsidR="008F2382" w:rsidRPr="00881B7A" w:rsidRDefault="008F2382" w:rsidP="00181181"/>
        </w:tc>
        <w:tc>
          <w:tcPr>
            <w:tcW w:w="2361" w:type="dxa"/>
          </w:tcPr>
          <w:p w14:paraId="755FE229" w14:textId="77777777" w:rsidR="008F2382" w:rsidRPr="00881B7A" w:rsidRDefault="008F2382" w:rsidP="00181181"/>
        </w:tc>
        <w:tc>
          <w:tcPr>
            <w:tcW w:w="3059" w:type="dxa"/>
          </w:tcPr>
          <w:p w14:paraId="7A742458" w14:textId="77777777" w:rsidR="008F2382" w:rsidRPr="00881B7A" w:rsidRDefault="008F2382" w:rsidP="00181181"/>
        </w:tc>
        <w:tc>
          <w:tcPr>
            <w:tcW w:w="2623" w:type="dxa"/>
          </w:tcPr>
          <w:p w14:paraId="54A34212" w14:textId="77777777" w:rsidR="008F2382" w:rsidRPr="0032215F" w:rsidRDefault="008F2382" w:rsidP="00181181">
            <w:pPr>
              <w:suppressAutoHyphens w:val="0"/>
              <w:spacing w:line="240" w:lineRule="auto"/>
              <w:rPr>
                <w:lang w:val="en-US"/>
              </w:rPr>
            </w:pPr>
            <w:r w:rsidRPr="0032215F">
              <w:t>Pressure relief valve/high</w:t>
            </w:r>
            <w:r w:rsidRPr="0032215F" w:rsidDel="00EB558F">
              <w:rPr>
                <w:lang w:val="en-US"/>
              </w:rPr>
              <w:t xml:space="preserve"> </w:t>
            </w:r>
            <w:r w:rsidRPr="0032215F">
              <w:rPr>
                <w:lang w:val="en-US"/>
              </w:rPr>
              <w:t>velocity vent valve opening pressure: 50 kPa (</w:t>
            </w:r>
            <w:r w:rsidRPr="0032215F">
              <w:t>with refrigeration (No. 1 in column (9)))</w:t>
            </w:r>
          </w:p>
        </w:tc>
      </w:tr>
      <w:tr w:rsidR="008F2382" w:rsidRPr="00881B7A" w14:paraId="41ED898E" w14:textId="77777777" w:rsidTr="00181181">
        <w:tc>
          <w:tcPr>
            <w:tcW w:w="1750" w:type="dxa"/>
          </w:tcPr>
          <w:p w14:paraId="7C7CDA59" w14:textId="77777777" w:rsidR="008F2382" w:rsidRPr="00881B7A" w:rsidRDefault="008F2382" w:rsidP="00181181"/>
        </w:tc>
        <w:tc>
          <w:tcPr>
            <w:tcW w:w="1054" w:type="dxa"/>
          </w:tcPr>
          <w:p w14:paraId="5CD194AC" w14:textId="77777777" w:rsidR="008F2382" w:rsidRPr="0032215F" w:rsidRDefault="008F2382" w:rsidP="00181181">
            <w:r w:rsidRPr="0032215F">
              <w:t xml:space="preserve">150 kPa ≤ </w:t>
            </w:r>
            <w:proofErr w:type="spellStart"/>
            <w:r w:rsidRPr="0032215F">
              <w:t>P</w:t>
            </w:r>
            <w:r>
              <w:rPr>
                <w:vertAlign w:val="subscript"/>
              </w:rPr>
              <w:t>v</w:t>
            </w:r>
            <w:proofErr w:type="spellEnd"/>
            <w:r w:rsidRPr="0032215F">
              <w:rPr>
                <w:vertAlign w:val="subscript"/>
              </w:rPr>
              <w:t xml:space="preserve"> 50 </w:t>
            </w:r>
            <w:r w:rsidRPr="0032215F">
              <w:rPr>
                <w:vertAlign w:val="subscript"/>
              </w:rPr>
              <w:br/>
            </w:r>
            <w:r w:rsidRPr="0032215F">
              <w:t xml:space="preserve">&lt; 175 kPa </w:t>
            </w:r>
          </w:p>
        </w:tc>
        <w:tc>
          <w:tcPr>
            <w:tcW w:w="1751" w:type="dxa"/>
          </w:tcPr>
          <w:p w14:paraId="6F416C90" w14:textId="77777777" w:rsidR="008F2382" w:rsidRPr="0032215F" w:rsidRDefault="008F2382" w:rsidP="00181181">
            <w:r w:rsidRPr="0032215F">
              <w:t xml:space="preserve">110 kPa ≤ </w:t>
            </w:r>
            <w:proofErr w:type="spellStart"/>
            <w:r w:rsidRPr="0032215F">
              <w:t>P</w:t>
            </w:r>
            <w:r>
              <w:rPr>
                <w:vertAlign w:val="subscript"/>
              </w:rPr>
              <w:t>v</w:t>
            </w:r>
            <w:proofErr w:type="spellEnd"/>
            <w:r w:rsidRPr="0032215F">
              <w:rPr>
                <w:vertAlign w:val="subscript"/>
              </w:rPr>
              <w:t xml:space="preserve"> 50 </w:t>
            </w:r>
            <w:r w:rsidRPr="0032215F">
              <w:rPr>
                <w:vertAlign w:val="subscript"/>
              </w:rPr>
              <w:br/>
            </w:r>
            <w:r w:rsidRPr="0032215F">
              <w:t>&lt; 150 kPa without water spraying</w:t>
            </w:r>
          </w:p>
        </w:tc>
        <w:tc>
          <w:tcPr>
            <w:tcW w:w="1577" w:type="dxa"/>
          </w:tcPr>
          <w:p w14:paraId="3BEEC799" w14:textId="77777777" w:rsidR="008F2382" w:rsidRPr="00881B7A" w:rsidRDefault="008F2382" w:rsidP="00181181"/>
        </w:tc>
        <w:tc>
          <w:tcPr>
            <w:tcW w:w="2361" w:type="dxa"/>
          </w:tcPr>
          <w:p w14:paraId="526C1904" w14:textId="77777777" w:rsidR="008F2382" w:rsidRPr="00881B7A" w:rsidRDefault="008F2382" w:rsidP="00181181"/>
        </w:tc>
        <w:tc>
          <w:tcPr>
            <w:tcW w:w="3059" w:type="dxa"/>
          </w:tcPr>
          <w:p w14:paraId="18087F87" w14:textId="77777777" w:rsidR="008F2382" w:rsidRPr="00881B7A" w:rsidRDefault="008F2382" w:rsidP="00181181"/>
        </w:tc>
        <w:tc>
          <w:tcPr>
            <w:tcW w:w="2623" w:type="dxa"/>
          </w:tcPr>
          <w:p w14:paraId="1911260D" w14:textId="77777777" w:rsidR="008F2382" w:rsidRPr="0032215F" w:rsidRDefault="008F2382" w:rsidP="00181181">
            <w:pPr>
              <w:suppressAutoHyphens w:val="0"/>
              <w:spacing w:line="240" w:lineRule="auto"/>
              <w:rPr>
                <w:lang w:val="en-US"/>
              </w:rPr>
            </w:pPr>
            <w:r w:rsidRPr="0032215F">
              <w:t>Pressure relief valve/high</w:t>
            </w:r>
            <w:r w:rsidRPr="0032215F" w:rsidDel="00EB558F">
              <w:rPr>
                <w:lang w:val="en-US"/>
              </w:rPr>
              <w:t xml:space="preserve"> </w:t>
            </w:r>
            <w:r w:rsidRPr="0032215F">
              <w:rPr>
                <w:lang w:val="en-US"/>
              </w:rPr>
              <w:t xml:space="preserve">velocity vent valve opening pressure: 50 kPa </w:t>
            </w:r>
          </w:p>
        </w:tc>
      </w:tr>
      <w:tr w:rsidR="008F2382" w:rsidRPr="00881B7A" w14:paraId="7092B4E1" w14:textId="77777777" w:rsidTr="00181181">
        <w:tc>
          <w:tcPr>
            <w:tcW w:w="1750" w:type="dxa"/>
          </w:tcPr>
          <w:p w14:paraId="50C2D557" w14:textId="77777777" w:rsidR="008F2382" w:rsidRPr="00881B7A" w:rsidRDefault="008F2382" w:rsidP="00181181"/>
        </w:tc>
        <w:tc>
          <w:tcPr>
            <w:tcW w:w="1054" w:type="dxa"/>
          </w:tcPr>
          <w:p w14:paraId="5D7F52C1" w14:textId="77777777" w:rsidR="008F2382" w:rsidRPr="00881B7A" w:rsidRDefault="008F2382" w:rsidP="00181181"/>
        </w:tc>
        <w:tc>
          <w:tcPr>
            <w:tcW w:w="1751" w:type="dxa"/>
          </w:tcPr>
          <w:p w14:paraId="7896A262" w14:textId="77777777" w:rsidR="008F2382" w:rsidRPr="00881B7A" w:rsidRDefault="008F2382" w:rsidP="00181181">
            <w:r w:rsidRPr="00881B7A">
              <w:t xml:space="preserve">110 kPa ≤ </w:t>
            </w:r>
            <w:proofErr w:type="spellStart"/>
            <w:r w:rsidRPr="00881B7A">
              <w:t>P</w:t>
            </w:r>
            <w:r>
              <w:rPr>
                <w:vertAlign w:val="subscript"/>
              </w:rPr>
              <w:t>v</w:t>
            </w:r>
            <w:proofErr w:type="spellEnd"/>
            <w:r w:rsidRPr="00881B7A">
              <w:rPr>
                <w:vertAlign w:val="subscript"/>
              </w:rPr>
              <w:t xml:space="preserve"> 50 </w:t>
            </w:r>
            <w:r w:rsidRPr="00881B7A">
              <w:rPr>
                <w:vertAlign w:val="subscript"/>
              </w:rPr>
              <w:br/>
            </w:r>
            <w:r w:rsidRPr="00881B7A">
              <w:t xml:space="preserve">&lt; 150 kPa with water spraying </w:t>
            </w:r>
          </w:p>
        </w:tc>
        <w:tc>
          <w:tcPr>
            <w:tcW w:w="1577" w:type="dxa"/>
          </w:tcPr>
          <w:p w14:paraId="45E07580" w14:textId="77777777" w:rsidR="008F2382" w:rsidRPr="00AC2F5F" w:rsidRDefault="008F2382" w:rsidP="00181181">
            <w:pPr>
              <w:rPr>
                <w:strike/>
              </w:rPr>
            </w:pPr>
          </w:p>
        </w:tc>
        <w:tc>
          <w:tcPr>
            <w:tcW w:w="2361" w:type="dxa"/>
          </w:tcPr>
          <w:p w14:paraId="4F08788E" w14:textId="77777777" w:rsidR="008F2382" w:rsidRPr="006706A9" w:rsidRDefault="008F2382" w:rsidP="00181181">
            <w:pPr>
              <w:rPr>
                <w:strike/>
              </w:rPr>
            </w:pPr>
          </w:p>
        </w:tc>
        <w:tc>
          <w:tcPr>
            <w:tcW w:w="3059" w:type="dxa"/>
          </w:tcPr>
          <w:p w14:paraId="1305BD40" w14:textId="77777777" w:rsidR="008F2382" w:rsidRPr="00881B7A" w:rsidRDefault="008F2382" w:rsidP="00181181">
            <w:r>
              <w:t>V</w:t>
            </w:r>
            <w:r w:rsidRPr="00881B7A">
              <w:t>apour pressure &gt; 10</w:t>
            </w:r>
            <w:r>
              <w:t> </w:t>
            </w:r>
            <w:r w:rsidRPr="00881B7A">
              <w:t xml:space="preserve">kPa (calculation of the vapour pressure according to the formula for column 10, except that </w:t>
            </w:r>
            <w:proofErr w:type="spellStart"/>
            <w:r w:rsidRPr="00881B7A">
              <w:t>v</w:t>
            </w:r>
            <w:r w:rsidRPr="00881B7A">
              <w:rPr>
                <w:vertAlign w:val="subscript"/>
              </w:rPr>
              <w:t>a</w:t>
            </w:r>
            <w:proofErr w:type="spellEnd"/>
            <w:r w:rsidRPr="00881B7A">
              <w:rPr>
                <w:vertAlign w:val="subscript"/>
              </w:rPr>
              <w:t xml:space="preserve"> </w:t>
            </w:r>
            <w:r w:rsidRPr="00881B7A">
              <w:t>= 0.03)</w:t>
            </w:r>
          </w:p>
        </w:tc>
        <w:tc>
          <w:tcPr>
            <w:tcW w:w="2623" w:type="dxa"/>
          </w:tcPr>
          <w:p w14:paraId="5E39F5AC" w14:textId="77777777" w:rsidR="008F2382" w:rsidRPr="0032215F" w:rsidRDefault="008F2382" w:rsidP="00181181">
            <w:pPr>
              <w:suppressAutoHyphens w:val="0"/>
              <w:spacing w:line="240" w:lineRule="auto"/>
            </w:pPr>
            <w:r w:rsidRPr="0032215F">
              <w:t>Pressure relief valve/high</w:t>
            </w:r>
            <w:r w:rsidRPr="0032215F" w:rsidDel="00EB558F">
              <w:t xml:space="preserve"> </w:t>
            </w:r>
            <w:r w:rsidRPr="0032215F">
              <w:rPr>
                <w:lang w:val="en-US"/>
              </w:rPr>
              <w:t>velocity vent valve opening pressure: 10 kPa (with water spraying (No. 3 in column (9)))</w:t>
            </w:r>
          </w:p>
        </w:tc>
      </w:tr>
      <w:tr w:rsidR="008F2382" w:rsidRPr="00881B7A" w14:paraId="67064B02" w14:textId="77777777" w:rsidTr="00181181">
        <w:tc>
          <w:tcPr>
            <w:tcW w:w="1750" w:type="dxa"/>
          </w:tcPr>
          <w:p w14:paraId="4731FD12" w14:textId="77777777" w:rsidR="008F2382" w:rsidRPr="00881B7A" w:rsidRDefault="008F2382" w:rsidP="00181181"/>
        </w:tc>
        <w:tc>
          <w:tcPr>
            <w:tcW w:w="1054" w:type="dxa"/>
          </w:tcPr>
          <w:p w14:paraId="63C67394" w14:textId="77777777" w:rsidR="008F2382" w:rsidRPr="00881B7A" w:rsidRDefault="008F2382" w:rsidP="00181181"/>
        </w:tc>
        <w:tc>
          <w:tcPr>
            <w:tcW w:w="1751" w:type="dxa"/>
          </w:tcPr>
          <w:p w14:paraId="4F4CDF03" w14:textId="77777777" w:rsidR="008F2382" w:rsidRPr="00881B7A" w:rsidRDefault="008F2382" w:rsidP="00181181"/>
        </w:tc>
        <w:tc>
          <w:tcPr>
            <w:tcW w:w="1577" w:type="dxa"/>
          </w:tcPr>
          <w:p w14:paraId="531465A8" w14:textId="77777777" w:rsidR="008F2382" w:rsidRPr="0032215F" w:rsidRDefault="008F2382" w:rsidP="00181181">
            <w:proofErr w:type="spellStart"/>
            <w:r w:rsidRPr="0032215F">
              <w:t>P</w:t>
            </w:r>
            <w:r>
              <w:rPr>
                <w:vertAlign w:val="subscript"/>
              </w:rPr>
              <w:t>v</w:t>
            </w:r>
            <w:proofErr w:type="spellEnd"/>
            <w:r w:rsidRPr="0032215F">
              <w:rPr>
                <w:vertAlign w:val="subscript"/>
              </w:rPr>
              <w:t xml:space="preserve"> 50 </w:t>
            </w:r>
            <w:r w:rsidRPr="0032215F">
              <w:t>&lt; 110 kPa</w:t>
            </w:r>
          </w:p>
        </w:tc>
        <w:tc>
          <w:tcPr>
            <w:tcW w:w="2361" w:type="dxa"/>
          </w:tcPr>
          <w:p w14:paraId="508CC9A1" w14:textId="77777777" w:rsidR="008F2382" w:rsidRPr="0032215F" w:rsidRDefault="008F2382" w:rsidP="00181181">
            <w:r w:rsidRPr="0032215F">
              <w:t xml:space="preserve">Packing group I or II with </w:t>
            </w:r>
            <w:proofErr w:type="spellStart"/>
            <w:r w:rsidRPr="0032215F">
              <w:t>P</w:t>
            </w:r>
            <w:r>
              <w:rPr>
                <w:vertAlign w:val="subscript"/>
              </w:rPr>
              <w:t>v</w:t>
            </w:r>
            <w:proofErr w:type="spellEnd"/>
            <w:r w:rsidRPr="0032215F">
              <w:rPr>
                <w:vertAlign w:val="subscript"/>
              </w:rPr>
              <w:t xml:space="preserve"> 50</w:t>
            </w:r>
            <w:r w:rsidRPr="0032215F">
              <w:t xml:space="preserve"> &gt; 12.5 kPa or reacting dangerously with water or with gases in solution</w:t>
            </w:r>
          </w:p>
        </w:tc>
        <w:tc>
          <w:tcPr>
            <w:tcW w:w="3059" w:type="dxa"/>
          </w:tcPr>
          <w:p w14:paraId="441FF909" w14:textId="77777777" w:rsidR="008F2382" w:rsidRPr="00881B7A" w:rsidRDefault="008F2382" w:rsidP="00181181">
            <w:r>
              <w:t>V</w:t>
            </w:r>
            <w:r w:rsidRPr="00881B7A">
              <w:t xml:space="preserve">apour pressure </w:t>
            </w:r>
            <w:r>
              <w:t>≤</w:t>
            </w:r>
            <w:r w:rsidRPr="00881B7A">
              <w:t xml:space="preserve"> 10</w:t>
            </w:r>
            <w:r>
              <w:t> </w:t>
            </w:r>
            <w:r w:rsidRPr="00881B7A">
              <w:t xml:space="preserve">kPa (calculation of the vapour pressure according to the formula for column 10, except that </w:t>
            </w:r>
            <w:proofErr w:type="spellStart"/>
            <w:r w:rsidRPr="00881B7A">
              <w:t>v</w:t>
            </w:r>
            <w:r w:rsidRPr="00881B7A">
              <w:rPr>
                <w:vertAlign w:val="subscript"/>
              </w:rPr>
              <w:t>a</w:t>
            </w:r>
            <w:proofErr w:type="spellEnd"/>
            <w:r w:rsidRPr="00881B7A">
              <w:rPr>
                <w:vertAlign w:val="subscript"/>
              </w:rPr>
              <w:t xml:space="preserve"> </w:t>
            </w:r>
            <w:r w:rsidRPr="00881B7A">
              <w:t>= 0.03)</w:t>
            </w:r>
          </w:p>
        </w:tc>
        <w:tc>
          <w:tcPr>
            <w:tcW w:w="2623" w:type="dxa"/>
          </w:tcPr>
          <w:p w14:paraId="19A1960E" w14:textId="77777777" w:rsidR="008F2382" w:rsidRPr="0032215F" w:rsidRDefault="008F2382" w:rsidP="00181181">
            <w:pPr>
              <w:suppressAutoHyphens w:val="0"/>
              <w:spacing w:line="240" w:lineRule="auto"/>
            </w:pPr>
            <w:r w:rsidRPr="0032215F">
              <w:t>Pressure relief valve/high</w:t>
            </w:r>
            <w:r w:rsidRPr="0032215F" w:rsidDel="00EB558F">
              <w:t xml:space="preserve"> </w:t>
            </w:r>
            <w:r w:rsidRPr="0032215F">
              <w:rPr>
                <w:lang w:val="en-US"/>
              </w:rPr>
              <w:t>velocity vent valve opening pressure: 10 kPa</w:t>
            </w:r>
          </w:p>
        </w:tc>
      </w:tr>
    </w:tbl>
    <w:p w14:paraId="77788735" w14:textId="77777777" w:rsidR="008F2382" w:rsidRPr="00A777C7" w:rsidRDefault="008F2382" w:rsidP="008F2382">
      <w:pPr>
        <w:pStyle w:val="SingleTxtG"/>
        <w:spacing w:before="240"/>
        <w:rPr>
          <w:i/>
        </w:rPr>
      </w:pPr>
      <w:r w:rsidRPr="00A777C7">
        <w:rPr>
          <w:i/>
        </w:rPr>
        <w:t>(Reference document: ECE/TRANS/WP.15/AC.2/2021/28 as amended)</w:t>
      </w:r>
    </w:p>
    <w:p w14:paraId="65E7E347" w14:textId="77777777" w:rsidR="008F2382" w:rsidRDefault="008F2382" w:rsidP="008F2382"/>
    <w:p w14:paraId="0C0711B5" w14:textId="77777777" w:rsidR="008F2382" w:rsidRPr="00416117" w:rsidRDefault="008F2382" w:rsidP="008F2382">
      <w:pPr>
        <w:sectPr w:rsidR="008F2382" w:rsidRPr="00416117" w:rsidSect="00181181">
          <w:headerReference w:type="even" r:id="rId23"/>
          <w:headerReference w:type="default" r:id="rId24"/>
          <w:footerReference w:type="even" r:id="rId25"/>
          <w:footerReference w:type="default" r:id="rId26"/>
          <w:endnotePr>
            <w:numFmt w:val="decimal"/>
          </w:endnotePr>
          <w:pgSz w:w="16840" w:h="11907" w:orient="landscape" w:code="9"/>
          <w:pgMar w:top="1134" w:right="1417" w:bottom="1134" w:left="1134" w:header="567" w:footer="567" w:gutter="0"/>
          <w:cols w:space="720"/>
          <w:docGrid w:linePitch="272"/>
        </w:sectPr>
      </w:pPr>
    </w:p>
    <w:p w14:paraId="063F0A59" w14:textId="77777777" w:rsidR="008F2382" w:rsidRPr="00E73D52" w:rsidRDefault="008F2382" w:rsidP="008F2382">
      <w:pPr>
        <w:pStyle w:val="H23G"/>
      </w:pPr>
      <w:r w:rsidRPr="00E73D52">
        <w:lastRenderedPageBreak/>
        <w:tab/>
      </w:r>
      <w:r w:rsidRPr="00E73D52">
        <w:tab/>
        <w:t>Chapter 7.2</w:t>
      </w:r>
    </w:p>
    <w:p w14:paraId="3B7CB7A6" w14:textId="77777777" w:rsidR="008F2382" w:rsidRDefault="008F2382" w:rsidP="008F2382">
      <w:pPr>
        <w:pStyle w:val="SingleTxtG"/>
      </w:pPr>
      <w:r>
        <w:t>7.2.4.41</w:t>
      </w:r>
      <w:r>
        <w:tab/>
        <w:t>In the first sentence, after “and smoking” insert “, including electronical cigarettes”.</w:t>
      </w:r>
    </w:p>
    <w:p w14:paraId="3A9E2170" w14:textId="77777777" w:rsidR="008F2382" w:rsidRDefault="008F2382" w:rsidP="008F2382">
      <w:pPr>
        <w:pStyle w:val="SingleTxtG"/>
      </w:pPr>
      <w:r w:rsidRPr="006A5EC9">
        <w:rPr>
          <w:i/>
        </w:rPr>
        <w:t>(Reference document: ECE/TRANS/WP.15/AC.2/2021/17)</w:t>
      </w:r>
    </w:p>
    <w:p w14:paraId="5F75A020" w14:textId="77777777" w:rsidR="008F2382" w:rsidRDefault="008F2382" w:rsidP="008F2382">
      <w:pPr>
        <w:pStyle w:val="SingleTxtG"/>
      </w:pPr>
      <w:r w:rsidRPr="000A24A8">
        <w:t>7.2.5.4.2</w:t>
      </w:r>
      <w:r w:rsidRPr="000A24A8">
        <w:tab/>
        <w:t xml:space="preserve">Amend the </w:t>
      </w:r>
      <w:r>
        <w:t xml:space="preserve">beginning of the </w:t>
      </w:r>
      <w:r w:rsidRPr="000A24A8">
        <w:t>first sentence t</w:t>
      </w:r>
      <w:r>
        <w:t>o read as follows:</w:t>
      </w:r>
    </w:p>
    <w:p w14:paraId="3E8CCEAE" w14:textId="77777777" w:rsidR="008F2382" w:rsidRDefault="008F2382" w:rsidP="008F2382">
      <w:pPr>
        <w:pStyle w:val="SingleTxtG"/>
      </w:pPr>
      <w:r>
        <w:t>“</w:t>
      </w:r>
      <w:r w:rsidRPr="00E81F44">
        <w:t>An expert in accordance with 8.2.1.2 shall be permanently</w:t>
      </w:r>
      <w:r>
        <w:t xml:space="preserve"> on board…”. Remainder unchanged.</w:t>
      </w:r>
    </w:p>
    <w:p w14:paraId="3AE1C7FF" w14:textId="77777777" w:rsidR="008F2382" w:rsidRDefault="008F2382" w:rsidP="008F2382">
      <w:pPr>
        <w:pStyle w:val="SingleTxtG"/>
        <w:rPr>
          <w:i/>
        </w:rPr>
      </w:pPr>
      <w:r w:rsidRPr="002F22AE">
        <w:rPr>
          <w:i/>
        </w:rPr>
        <w:t>(Reference document: ECE/TRANS/WP.15/AC.2/2021/19 as amended)</w:t>
      </w:r>
    </w:p>
    <w:p w14:paraId="02C252DD" w14:textId="77777777" w:rsidR="008F2382" w:rsidRPr="00FB0173" w:rsidRDefault="008F2382" w:rsidP="008F2382">
      <w:pPr>
        <w:pStyle w:val="H23G"/>
      </w:pPr>
      <w:r w:rsidRPr="005338ED">
        <w:tab/>
      </w:r>
      <w:r w:rsidRPr="005338ED">
        <w:tab/>
      </w:r>
      <w:r w:rsidRPr="005338ED">
        <w:tab/>
      </w:r>
      <w:r w:rsidRPr="00FB0173">
        <w:t>Chapter 8.2</w:t>
      </w:r>
    </w:p>
    <w:p w14:paraId="73F197DD" w14:textId="77777777" w:rsidR="008F2382" w:rsidRPr="00254E2A" w:rsidRDefault="008F2382" w:rsidP="008F2382">
      <w:pPr>
        <w:pStyle w:val="SingleTxtG"/>
      </w:pPr>
      <w:r w:rsidRPr="00254E2A">
        <w:t>8.2.2.7.2.1</w:t>
      </w:r>
      <w:r w:rsidRPr="00254E2A">
        <w:tab/>
        <w:t>Amend the second sentence to read as follows: “This examination shall be held either immediately after the training or within six months following the completion of such training.”</w:t>
      </w:r>
    </w:p>
    <w:p w14:paraId="165BE03E" w14:textId="77777777" w:rsidR="008F2382" w:rsidRPr="00611F8A" w:rsidRDefault="008F2382" w:rsidP="008F2382">
      <w:pPr>
        <w:pStyle w:val="SingleTxtG"/>
        <w:rPr>
          <w:i/>
          <w:lang w:val="en-US"/>
        </w:rPr>
      </w:pPr>
      <w:r w:rsidRPr="00611F8A">
        <w:rPr>
          <w:i/>
          <w:lang w:val="en-US"/>
        </w:rPr>
        <w:t>(Reference document: ECE/TRANS/WP.15/AC.2/2021/21)</w:t>
      </w:r>
    </w:p>
    <w:p w14:paraId="5DB664BE" w14:textId="77777777" w:rsidR="008F2382" w:rsidRPr="00611F8A" w:rsidRDefault="008F2382" w:rsidP="008F2382">
      <w:pPr>
        <w:pStyle w:val="H23G"/>
        <w:rPr>
          <w:lang w:val="en-US"/>
        </w:rPr>
      </w:pPr>
      <w:r w:rsidRPr="00611F8A">
        <w:rPr>
          <w:lang w:val="en-US"/>
        </w:rPr>
        <w:tab/>
      </w:r>
      <w:r w:rsidRPr="00611F8A">
        <w:rPr>
          <w:lang w:val="en-US"/>
        </w:rPr>
        <w:tab/>
      </w:r>
      <w:r w:rsidRPr="00611F8A">
        <w:rPr>
          <w:lang w:val="en-US"/>
        </w:rPr>
        <w:tab/>
        <w:t>Chapter 8.6</w:t>
      </w:r>
    </w:p>
    <w:p w14:paraId="3943AC09" w14:textId="77777777" w:rsidR="008F2382" w:rsidRPr="001A5B59" w:rsidRDefault="008F2382" w:rsidP="008F2382">
      <w:pPr>
        <w:spacing w:after="120"/>
        <w:ind w:left="1134"/>
        <w:jc w:val="both"/>
        <w:rPr>
          <w:color w:val="000000"/>
          <w:lang w:val="en-US"/>
        </w:rPr>
      </w:pPr>
      <w:r>
        <w:rPr>
          <w:color w:val="000000"/>
          <w:lang w:val="en-US"/>
        </w:rPr>
        <w:t>8.6.1.1 and 8.6.1.2</w:t>
      </w:r>
      <w:r>
        <w:rPr>
          <w:color w:val="000000"/>
          <w:lang w:val="en-US"/>
        </w:rPr>
        <w:tab/>
        <w:t xml:space="preserve">In point 4, replace </w:t>
      </w:r>
      <w:r w:rsidRPr="001A5B59">
        <w:rPr>
          <w:color w:val="000000"/>
          <w:lang w:val="en-US"/>
        </w:rPr>
        <w:t>“</w:t>
      </w:r>
      <w:r w:rsidRPr="001A5B59">
        <w:t>Additional requirements” by “Requirements”</w:t>
      </w:r>
      <w:r>
        <w:t>.</w:t>
      </w:r>
    </w:p>
    <w:p w14:paraId="742B9508" w14:textId="77777777" w:rsidR="008F2382" w:rsidRPr="00D25B39" w:rsidRDefault="008F2382" w:rsidP="008F2382">
      <w:pPr>
        <w:pStyle w:val="SingleTxtG"/>
        <w:rPr>
          <w:i/>
          <w:lang w:val="fr-CH"/>
        </w:rPr>
      </w:pPr>
      <w:r w:rsidRPr="00D25B39">
        <w:rPr>
          <w:i/>
          <w:lang w:val="fr-CH"/>
        </w:rPr>
        <w:t xml:space="preserve">(Reference document: </w:t>
      </w:r>
      <w:proofErr w:type="spellStart"/>
      <w:r w:rsidRPr="00D25B39">
        <w:rPr>
          <w:i/>
          <w:lang w:val="fr-CH"/>
        </w:rPr>
        <w:t>informal</w:t>
      </w:r>
      <w:proofErr w:type="spellEnd"/>
      <w:r w:rsidRPr="00D25B39">
        <w:rPr>
          <w:i/>
          <w:lang w:val="fr-CH"/>
        </w:rPr>
        <w:t xml:space="preserve"> document INF.20)</w:t>
      </w:r>
    </w:p>
    <w:p w14:paraId="470143D9" w14:textId="77777777" w:rsidR="008F2382" w:rsidRPr="001F3E0B" w:rsidRDefault="008F2382" w:rsidP="008F2382">
      <w:pPr>
        <w:pStyle w:val="SingleTxtG"/>
        <w:rPr>
          <w:iCs/>
        </w:rPr>
      </w:pPr>
      <w:r w:rsidRPr="001F3E0B">
        <w:rPr>
          <w:iCs/>
        </w:rPr>
        <w:t>8.6.1.1</w:t>
      </w:r>
      <w:r w:rsidRPr="001F3E0B">
        <w:rPr>
          <w:iCs/>
        </w:rPr>
        <w:tab/>
      </w:r>
      <w:r w:rsidRPr="001F3E0B">
        <w:rPr>
          <w:iCs/>
        </w:rPr>
        <w:tab/>
        <w:t xml:space="preserve">In </w:t>
      </w:r>
      <w:r w:rsidRPr="005E2113">
        <w:t>point</w:t>
      </w:r>
      <w:r w:rsidRPr="001F3E0B">
        <w:rPr>
          <w:iCs/>
        </w:rPr>
        <w:t xml:space="preserve"> 8, amend the introductory text to read as follows: “</w:t>
      </w:r>
      <w:r w:rsidRPr="001F3E0B">
        <w:t>This certificate is delivered on the basis of:”.</w:t>
      </w:r>
    </w:p>
    <w:p w14:paraId="1694C40F" w14:textId="77777777" w:rsidR="008F2382" w:rsidRPr="00197F4E" w:rsidRDefault="008F2382" w:rsidP="008F2382">
      <w:pPr>
        <w:pStyle w:val="SingleTxtG"/>
        <w:rPr>
          <w:iCs/>
          <w:lang w:val="en-US"/>
        </w:rPr>
      </w:pPr>
      <w:r w:rsidRPr="004A3E52">
        <w:rPr>
          <w:i/>
        </w:rPr>
        <w:t>(Reference document: ECE/TRANS/WP.15/AC.2/2021/</w:t>
      </w:r>
      <w:r>
        <w:rPr>
          <w:i/>
        </w:rPr>
        <w:t>27</w:t>
      </w:r>
      <w:r w:rsidRPr="004A3E52">
        <w:rPr>
          <w:i/>
        </w:rPr>
        <w:t xml:space="preserve">, </w:t>
      </w:r>
      <w:r>
        <w:rPr>
          <w:i/>
        </w:rPr>
        <w:t>as amended by informal document INF.20</w:t>
      </w:r>
      <w:r w:rsidRPr="004A3E52">
        <w:rPr>
          <w:i/>
        </w:rPr>
        <w:t>)</w:t>
      </w:r>
    </w:p>
    <w:p w14:paraId="64324053" w14:textId="77777777" w:rsidR="008F2382" w:rsidRPr="00E73D52" w:rsidRDefault="008F2382" w:rsidP="008F2382">
      <w:pPr>
        <w:pStyle w:val="H23G"/>
      </w:pPr>
      <w:r w:rsidRPr="00BD5798">
        <w:tab/>
      </w:r>
      <w:r w:rsidRPr="00BD5798">
        <w:tab/>
      </w:r>
      <w:r w:rsidRPr="00BD5798">
        <w:tab/>
      </w:r>
      <w:r w:rsidRPr="00E73D52">
        <w:t>Chapter 9.3</w:t>
      </w:r>
    </w:p>
    <w:p w14:paraId="76DA97ED" w14:textId="77777777" w:rsidR="008F2382" w:rsidRDefault="008F2382" w:rsidP="008F2382">
      <w:pPr>
        <w:pStyle w:val="SingleTxtG"/>
      </w:pPr>
      <w:r>
        <w:t>9.3.1.0</w:t>
      </w:r>
      <w:r>
        <w:tab/>
      </w:r>
      <w:r>
        <w:tab/>
        <w:t>Amend as follows:</w:t>
      </w:r>
    </w:p>
    <w:p w14:paraId="3B034EE4" w14:textId="63E5F6C4" w:rsidR="008F2382" w:rsidRDefault="008F2382" w:rsidP="008F2382">
      <w:pPr>
        <w:pStyle w:val="SingleTxtG"/>
        <w:ind w:left="1843"/>
      </w:pPr>
      <w:r>
        <w:t xml:space="preserve">Renumber the first paragraph of 9.3.1.0.1 (a) as 9.3.1.0.1.1. At the end, after “equivalent metal” add </w:t>
      </w:r>
      <w:r w:rsidRPr="00F75ACD">
        <w:t>“</w:t>
      </w:r>
      <w:r>
        <w:t xml:space="preserve">, </w:t>
      </w:r>
      <w:r w:rsidRPr="00F75ACD">
        <w:t>special provisions of the additional requirements/remarks of column 20 of Table C of Chapter 3.2 excepted</w:t>
      </w:r>
      <w:r w:rsidR="00A61B55">
        <w:t>”</w:t>
      </w:r>
      <w:r w:rsidRPr="00F75ACD">
        <w:t>.</w:t>
      </w:r>
    </w:p>
    <w:p w14:paraId="08F65AF8" w14:textId="77777777" w:rsidR="008F2382" w:rsidRDefault="008F2382" w:rsidP="008F2382">
      <w:pPr>
        <w:pStyle w:val="SingleTxtG"/>
        <w:ind w:left="1843"/>
      </w:pPr>
      <w:r>
        <w:t>Renumber the second paragraph of 9.3.1.0.1 (a) as 9.3.1.0.1.2.</w:t>
      </w:r>
    </w:p>
    <w:p w14:paraId="6E0CA346" w14:textId="77777777" w:rsidR="008F2382" w:rsidRDefault="008F2382" w:rsidP="008F2382">
      <w:pPr>
        <w:pStyle w:val="SingleTxtG"/>
        <w:ind w:left="1843"/>
      </w:pPr>
      <w:r>
        <w:t>Renumber 9.3.1.0.1 (b) as 9.3.1.0.2.</w:t>
      </w:r>
    </w:p>
    <w:p w14:paraId="75E0A3B2" w14:textId="77777777" w:rsidR="008F2382" w:rsidRPr="00980850" w:rsidRDefault="008F2382" w:rsidP="008F2382">
      <w:pPr>
        <w:pStyle w:val="SingleTxtG"/>
        <w:ind w:left="1843"/>
      </w:pPr>
      <w:r w:rsidRPr="00980850">
        <w:t xml:space="preserve">Renumber 9.3.1.0.2 as 9.3.1.0.3. </w:t>
      </w:r>
      <w:r>
        <w:t>Replace “</w:t>
      </w:r>
      <w:r w:rsidRPr="00881B7A">
        <w:t>plastic materials or rubber</w:t>
      </w:r>
      <w:r>
        <w:t>” by “</w:t>
      </w:r>
      <w:r w:rsidRPr="00980850">
        <w:t>plastic materials, rubber, glass or composite</w:t>
      </w:r>
      <w:r>
        <w:t>”.</w:t>
      </w:r>
    </w:p>
    <w:p w14:paraId="45F4D9D3" w14:textId="77777777" w:rsidR="008F2382" w:rsidRDefault="008F2382" w:rsidP="008F2382">
      <w:pPr>
        <w:pStyle w:val="SingleTxtG"/>
        <w:ind w:left="1843"/>
      </w:pPr>
      <w:r>
        <w:t>Renumber 9.3.1.0.3 as 9.3.1.0.4. Replace “</w:t>
      </w:r>
      <w:r w:rsidRPr="00881B7A">
        <w:t>plastic materials or rubber</w:t>
      </w:r>
      <w:r>
        <w:t>” by “</w:t>
      </w:r>
      <w:r w:rsidRPr="00980850">
        <w:t>plastic materials, rubber, glass or composite</w:t>
      </w:r>
      <w:r>
        <w:t>”.</w:t>
      </w:r>
    </w:p>
    <w:p w14:paraId="5D555EB9" w14:textId="77777777" w:rsidR="008F2382" w:rsidRDefault="008F2382" w:rsidP="008F2382">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30 as amended)</w:t>
      </w:r>
    </w:p>
    <w:p w14:paraId="2F1FCEB4" w14:textId="77777777" w:rsidR="008F2382" w:rsidRDefault="008F2382" w:rsidP="008F2382">
      <w:pPr>
        <w:pStyle w:val="SingleTxtG"/>
      </w:pPr>
      <w:r>
        <w:t>9.3.2.0</w:t>
      </w:r>
      <w:r>
        <w:tab/>
        <w:t xml:space="preserve"> and 9.3.3.0</w:t>
      </w:r>
      <w:r>
        <w:tab/>
        <w:t>Amend as follows:</w:t>
      </w:r>
    </w:p>
    <w:p w14:paraId="72498DA7" w14:textId="6048C5D3" w:rsidR="008F2382" w:rsidRDefault="008F2382" w:rsidP="008F2382">
      <w:pPr>
        <w:pStyle w:val="SingleTxtG"/>
        <w:ind w:left="1843"/>
      </w:pPr>
      <w:r>
        <w:t xml:space="preserve">Renumber the first paragraph of 9.3.2.0.1 (a) and 9.3.3.0.1 (a) as 9.3.2.0.1.1 and 9.3.3.0.1.1, respectively. At the end, after “equivalent metal” add </w:t>
      </w:r>
      <w:r w:rsidRPr="00F75ACD">
        <w:t>“</w:t>
      </w:r>
      <w:r>
        <w:t xml:space="preserve">, </w:t>
      </w:r>
      <w:r w:rsidRPr="00F75ACD">
        <w:t>special provisions of the additional requirements/remarks of column 20 of Table C of Chapter 3.2 excepted</w:t>
      </w:r>
      <w:r w:rsidR="00A61B55">
        <w:t>”</w:t>
      </w:r>
      <w:r w:rsidRPr="00F75ACD">
        <w:t>.</w:t>
      </w:r>
    </w:p>
    <w:p w14:paraId="0ACC3DB3" w14:textId="77777777" w:rsidR="008F2382" w:rsidRDefault="008F2382" w:rsidP="008F2382">
      <w:pPr>
        <w:pStyle w:val="SingleTxtG"/>
        <w:ind w:left="1843"/>
      </w:pPr>
      <w:r>
        <w:t>Renumber the second paragraph of 9.3.2.0.1 (a) and 9.3.3.0.1 (a) as 9.3.2.0.1.2 and 9.3.3.0.1.2, respectively.</w:t>
      </w:r>
    </w:p>
    <w:p w14:paraId="5867C395" w14:textId="77777777" w:rsidR="008F2382" w:rsidRDefault="008F2382" w:rsidP="008F2382">
      <w:pPr>
        <w:pStyle w:val="SingleTxtG"/>
        <w:ind w:left="1843"/>
      </w:pPr>
      <w:r>
        <w:t>Renumber 9.3.2.0.1 (b) and 9.3.3.0.1 (b) as 9.3.2.0.2 and 9.3.3.0.2, respectively.</w:t>
      </w:r>
    </w:p>
    <w:p w14:paraId="1FC716E1" w14:textId="77777777" w:rsidR="008F2382" w:rsidRPr="00980850" w:rsidRDefault="008F2382" w:rsidP="008F2382">
      <w:pPr>
        <w:pStyle w:val="SingleTxtG"/>
        <w:ind w:left="1843"/>
      </w:pPr>
      <w:r w:rsidRPr="00980850">
        <w:t>Renumber 9.3.</w:t>
      </w:r>
      <w:r>
        <w:t>2</w:t>
      </w:r>
      <w:r w:rsidRPr="00980850">
        <w:t xml:space="preserve">.0.2 </w:t>
      </w:r>
      <w:r>
        <w:t xml:space="preserve">and </w:t>
      </w:r>
      <w:r w:rsidRPr="00980850">
        <w:t>9.3.</w:t>
      </w:r>
      <w:r>
        <w:t>3</w:t>
      </w:r>
      <w:r w:rsidRPr="00980850">
        <w:t>.0.2</w:t>
      </w:r>
      <w:r>
        <w:t xml:space="preserve"> </w:t>
      </w:r>
      <w:r w:rsidRPr="00980850">
        <w:t>as 9.3.</w:t>
      </w:r>
      <w:r>
        <w:t>2</w:t>
      </w:r>
      <w:r w:rsidRPr="00980850">
        <w:t>.0.3</w:t>
      </w:r>
      <w:r>
        <w:t xml:space="preserve"> and 9.3.3.0.3, respectively</w:t>
      </w:r>
      <w:r w:rsidRPr="00980850">
        <w:t xml:space="preserve">. </w:t>
      </w:r>
      <w:r>
        <w:t>Replace “</w:t>
      </w:r>
      <w:r w:rsidRPr="00881B7A">
        <w:t>plastic materials or rubber</w:t>
      </w:r>
      <w:r>
        <w:t>” by “</w:t>
      </w:r>
      <w:r w:rsidRPr="00980850">
        <w:t>plastic materials, rubber, glass or composite</w:t>
      </w:r>
      <w:r>
        <w:t>”.</w:t>
      </w:r>
    </w:p>
    <w:p w14:paraId="33C570DC" w14:textId="77777777" w:rsidR="008F2382" w:rsidRDefault="008F2382" w:rsidP="008F2382">
      <w:pPr>
        <w:pStyle w:val="SingleTxtG"/>
        <w:ind w:left="1843"/>
      </w:pPr>
      <w:r>
        <w:lastRenderedPageBreak/>
        <w:t xml:space="preserve">Renumber 9.3.2.0.3 and </w:t>
      </w:r>
      <w:r w:rsidRPr="00980850">
        <w:t>9.3.</w:t>
      </w:r>
      <w:r>
        <w:t>3</w:t>
      </w:r>
      <w:r w:rsidRPr="00980850">
        <w:t>.0.</w:t>
      </w:r>
      <w:r>
        <w:t xml:space="preserve">3 </w:t>
      </w:r>
      <w:r w:rsidRPr="00980850">
        <w:t>as 9.3.</w:t>
      </w:r>
      <w:r>
        <w:t>2</w:t>
      </w:r>
      <w:r w:rsidRPr="00980850">
        <w:t>.0.</w:t>
      </w:r>
      <w:r>
        <w:t>4 and 9.3.3.0.4, respectively. Replace “</w:t>
      </w:r>
      <w:r w:rsidRPr="00881B7A">
        <w:t>plastic materials or rubber</w:t>
      </w:r>
      <w:r>
        <w:t>” by “</w:t>
      </w:r>
      <w:r w:rsidRPr="00980850">
        <w:t>plastic materials, rubber, glass or composite</w:t>
      </w:r>
      <w:r>
        <w:t>”.</w:t>
      </w:r>
    </w:p>
    <w:p w14:paraId="38876776" w14:textId="77777777" w:rsidR="008F2382" w:rsidRDefault="008F2382" w:rsidP="008F2382">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30 as amended)</w:t>
      </w:r>
    </w:p>
    <w:p w14:paraId="3D98F4E8" w14:textId="77777777" w:rsidR="008F2382" w:rsidRDefault="008F2382" w:rsidP="008F2382">
      <w:pPr>
        <w:pStyle w:val="SingleTxtG"/>
      </w:pPr>
      <w:r>
        <w:t>9.3.x.0</w:t>
      </w:r>
      <w:r>
        <w:tab/>
      </w:r>
      <w:r>
        <w:tab/>
        <w:t>Replace the Table under 9.3.x.0.4 (former 9.3.x.0.3) by the following Table:</w:t>
      </w:r>
    </w:p>
    <w:p w14:paraId="2FF8365C" w14:textId="77777777" w:rsidR="008F2382" w:rsidRDefault="008F2382" w:rsidP="008F2382">
      <w:pPr>
        <w:pStyle w:val="SingleTxtG"/>
      </w:pPr>
    </w:p>
    <w:p w14:paraId="604A253C" w14:textId="77777777" w:rsidR="008F2382" w:rsidRDefault="008F2382" w:rsidP="008F2382">
      <w:pPr>
        <w:tabs>
          <w:tab w:val="left" w:pos="1134"/>
          <w:tab w:val="left" w:pos="11907"/>
        </w:tabs>
        <w:spacing w:before="180"/>
        <w:rPr>
          <w:rFonts w:ascii="Arial" w:hAnsi="Arial" w:cs="Arial"/>
          <w:b/>
          <w:bCs/>
          <w:sz w:val="18"/>
          <w:szCs w:val="18"/>
        </w:rPr>
        <w:sectPr w:rsidR="008F2382" w:rsidSect="00181181">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pPr>
    </w:p>
    <w:p w14:paraId="17836962" w14:textId="77777777" w:rsidR="008F2382" w:rsidRPr="00137FFA" w:rsidRDefault="008F2382" w:rsidP="008F2382">
      <w:pPr>
        <w:pStyle w:val="SingleTxtG"/>
        <w:rPr>
          <w:b/>
          <w:bCs/>
        </w:rPr>
      </w:pPr>
      <w:r w:rsidRPr="00137FFA">
        <w:rPr>
          <w:b/>
          <w:bCs/>
        </w:rPr>
        <w:lastRenderedPageBreak/>
        <w:t>(X means "allowed")</w:t>
      </w:r>
    </w:p>
    <w:tbl>
      <w:tblPr>
        <w:tblW w:w="1263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1701"/>
        <w:gridCol w:w="1417"/>
        <w:gridCol w:w="1277"/>
      </w:tblGrid>
      <w:tr w:rsidR="008F2382" w:rsidRPr="00137FFA" w14:paraId="5B898657" w14:textId="77777777" w:rsidTr="00181181">
        <w:trPr>
          <w:trHeight w:val="270"/>
          <w:tblHeader/>
        </w:trPr>
        <w:tc>
          <w:tcPr>
            <w:tcW w:w="5684" w:type="dxa"/>
            <w:tcBorders>
              <w:top w:val="nil"/>
              <w:left w:val="nil"/>
            </w:tcBorders>
            <w:shd w:val="clear" w:color="auto" w:fill="auto"/>
            <w:noWrap/>
            <w:vAlign w:val="bottom"/>
            <w:hideMark/>
          </w:tcPr>
          <w:p w14:paraId="276E8E60" w14:textId="77777777" w:rsidR="008F2382" w:rsidRPr="006C3911" w:rsidRDefault="008F2382" w:rsidP="00181181">
            <w:pPr>
              <w:spacing w:before="40" w:after="40"/>
              <w:contextualSpacing/>
              <w:rPr>
                <w:rFonts w:asciiTheme="majorBidi" w:hAnsiTheme="majorBidi" w:cstheme="majorBidi"/>
                <w:b/>
              </w:rPr>
            </w:pPr>
          </w:p>
        </w:tc>
        <w:tc>
          <w:tcPr>
            <w:tcW w:w="1154" w:type="dxa"/>
            <w:gridSpan w:val="2"/>
            <w:tcBorders>
              <w:top w:val="single" w:sz="4" w:space="0" w:color="auto"/>
            </w:tcBorders>
            <w:shd w:val="clear" w:color="auto" w:fill="auto"/>
            <w:noWrap/>
            <w:vAlign w:val="center"/>
            <w:hideMark/>
          </w:tcPr>
          <w:p w14:paraId="5758AE13"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Wood</w:t>
            </w:r>
          </w:p>
        </w:tc>
        <w:tc>
          <w:tcPr>
            <w:tcW w:w="1398" w:type="dxa"/>
            <w:shd w:val="clear" w:color="auto" w:fill="auto"/>
            <w:noWrap/>
            <w:vAlign w:val="center"/>
            <w:hideMark/>
          </w:tcPr>
          <w:p w14:paraId="001AE766"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Aluminium </w:t>
            </w:r>
            <w:proofErr w:type="spellStart"/>
            <w:r w:rsidRPr="006C3911">
              <w:rPr>
                <w:rFonts w:asciiTheme="majorBidi" w:hAnsiTheme="majorBidi" w:cstheme="majorBidi"/>
                <w:b/>
                <w:lang w:val="fr-FR"/>
              </w:rPr>
              <w:t>alloys</w:t>
            </w:r>
            <w:proofErr w:type="spellEnd"/>
          </w:p>
        </w:tc>
        <w:tc>
          <w:tcPr>
            <w:tcW w:w="1701" w:type="dxa"/>
            <w:shd w:val="clear" w:color="auto" w:fill="auto"/>
            <w:noWrap/>
            <w:vAlign w:val="center"/>
            <w:hideMark/>
          </w:tcPr>
          <w:p w14:paraId="232BD506"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Plastic </w:t>
            </w:r>
            <w:r w:rsidRPr="006C3911">
              <w:rPr>
                <w:rFonts w:asciiTheme="majorBidi" w:hAnsiTheme="majorBidi" w:cstheme="majorBidi"/>
                <w:b/>
                <w:lang w:val="fr-FR"/>
              </w:rPr>
              <w:br/>
            </w:r>
            <w:proofErr w:type="spellStart"/>
            <w:r w:rsidRPr="006C3911">
              <w:rPr>
                <w:rFonts w:asciiTheme="majorBidi" w:hAnsiTheme="majorBidi" w:cstheme="majorBidi"/>
                <w:b/>
                <w:lang w:val="fr-FR"/>
              </w:rPr>
              <w:t>material</w:t>
            </w:r>
            <w:proofErr w:type="spellEnd"/>
            <w:r w:rsidRPr="006C3911">
              <w:rPr>
                <w:rFonts w:asciiTheme="majorBidi" w:hAnsiTheme="majorBidi" w:cstheme="majorBidi"/>
                <w:b/>
                <w:lang w:val="fr-FR"/>
              </w:rPr>
              <w:t xml:space="preserve"> / Composite</w:t>
            </w:r>
          </w:p>
        </w:tc>
        <w:tc>
          <w:tcPr>
            <w:tcW w:w="1417" w:type="dxa"/>
            <w:shd w:val="clear" w:color="auto" w:fill="auto"/>
            <w:noWrap/>
            <w:vAlign w:val="center"/>
            <w:hideMark/>
          </w:tcPr>
          <w:p w14:paraId="63981E05" w14:textId="77777777" w:rsidR="008F2382" w:rsidRPr="006C3911" w:rsidRDefault="008F2382" w:rsidP="00181181">
            <w:pPr>
              <w:spacing w:before="40" w:after="40"/>
              <w:contextualSpacing/>
              <w:jc w:val="center"/>
              <w:rPr>
                <w:rFonts w:asciiTheme="majorBidi" w:hAnsiTheme="majorBidi" w:cstheme="majorBidi"/>
                <w:b/>
                <w:lang w:val="fr-FR"/>
              </w:rPr>
            </w:pPr>
            <w:proofErr w:type="spellStart"/>
            <w:r w:rsidRPr="006C3911">
              <w:rPr>
                <w:rFonts w:asciiTheme="majorBidi" w:hAnsiTheme="majorBidi" w:cstheme="majorBidi"/>
                <w:b/>
                <w:lang w:val="fr-FR"/>
              </w:rPr>
              <w:t>Rubber</w:t>
            </w:r>
            <w:proofErr w:type="spellEnd"/>
          </w:p>
        </w:tc>
        <w:tc>
          <w:tcPr>
            <w:tcW w:w="1277" w:type="dxa"/>
          </w:tcPr>
          <w:p w14:paraId="5DC4A20C"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Glass</w:t>
            </w:r>
          </w:p>
        </w:tc>
      </w:tr>
      <w:tr w:rsidR="008F2382" w:rsidRPr="00137FFA" w14:paraId="1A4CD249" w14:textId="77777777" w:rsidTr="00181181">
        <w:tc>
          <w:tcPr>
            <w:tcW w:w="5684" w:type="dxa"/>
            <w:shd w:val="clear" w:color="auto" w:fill="D9D9D9" w:themeFill="background1" w:themeFillShade="D9"/>
            <w:vAlign w:val="bottom"/>
          </w:tcPr>
          <w:p w14:paraId="45F3AB98" w14:textId="77777777" w:rsidR="008F2382" w:rsidRPr="00137FFA" w:rsidRDefault="008F2382" w:rsidP="00181181">
            <w:pPr>
              <w:spacing w:before="40" w:after="40"/>
              <w:contextualSpacing/>
              <w:rPr>
                <w:rFonts w:asciiTheme="majorBidi" w:hAnsiTheme="majorBidi" w:cstheme="majorBidi"/>
                <w:b/>
                <w:lang w:val="fr-FR"/>
              </w:rPr>
            </w:pPr>
            <w:proofErr w:type="spellStart"/>
            <w:r w:rsidRPr="00137FFA">
              <w:rPr>
                <w:rFonts w:asciiTheme="majorBidi" w:hAnsiTheme="majorBidi" w:cstheme="majorBidi"/>
                <w:b/>
                <w:lang w:val="fr-FR"/>
              </w:rPr>
              <w:t>Permanently</w:t>
            </w:r>
            <w:proofErr w:type="spellEnd"/>
            <w:r w:rsidRPr="00137FFA">
              <w:rPr>
                <w:rFonts w:asciiTheme="majorBidi" w:hAnsiTheme="majorBidi" w:cstheme="majorBidi"/>
                <w:b/>
                <w:lang w:val="fr-FR"/>
              </w:rPr>
              <w:t xml:space="preserve"> </w:t>
            </w:r>
            <w:proofErr w:type="spellStart"/>
            <w:r w:rsidRPr="00137FFA">
              <w:rPr>
                <w:rFonts w:asciiTheme="majorBidi" w:hAnsiTheme="majorBidi" w:cstheme="majorBidi"/>
                <w:b/>
                <w:lang w:val="fr-FR"/>
              </w:rPr>
              <w:t>installed</w:t>
            </w:r>
            <w:proofErr w:type="spellEnd"/>
            <w:r w:rsidRPr="00137FFA">
              <w:rPr>
                <w:rFonts w:asciiTheme="majorBidi" w:hAnsiTheme="majorBidi" w:cstheme="majorBidi"/>
                <w:b/>
                <w:lang w:val="fr-FR"/>
              </w:rPr>
              <w:t xml:space="preserve"> </w:t>
            </w:r>
            <w:proofErr w:type="spellStart"/>
            <w:r w:rsidRPr="00137FFA">
              <w:rPr>
                <w:rFonts w:asciiTheme="majorBidi" w:hAnsiTheme="majorBidi" w:cstheme="majorBidi"/>
                <w:b/>
                <w:lang w:val="fr-FR"/>
              </w:rPr>
              <w:t>materials</w:t>
            </w:r>
            <w:proofErr w:type="spellEnd"/>
          </w:p>
        </w:tc>
        <w:tc>
          <w:tcPr>
            <w:tcW w:w="1154" w:type="dxa"/>
            <w:gridSpan w:val="2"/>
            <w:shd w:val="clear" w:color="auto" w:fill="D9D9D9" w:themeFill="background1" w:themeFillShade="D9"/>
            <w:noWrap/>
            <w:vAlign w:val="center"/>
          </w:tcPr>
          <w:p w14:paraId="300AC6F4"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398" w:type="dxa"/>
            <w:shd w:val="clear" w:color="auto" w:fill="D9D9D9" w:themeFill="background1" w:themeFillShade="D9"/>
            <w:noWrap/>
            <w:vAlign w:val="center"/>
          </w:tcPr>
          <w:p w14:paraId="287F453A"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701" w:type="dxa"/>
            <w:shd w:val="clear" w:color="auto" w:fill="D9D9D9" w:themeFill="background1" w:themeFillShade="D9"/>
            <w:noWrap/>
            <w:vAlign w:val="center"/>
          </w:tcPr>
          <w:p w14:paraId="358F7998"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417" w:type="dxa"/>
            <w:shd w:val="clear" w:color="auto" w:fill="D9D9D9" w:themeFill="background1" w:themeFillShade="D9"/>
            <w:noWrap/>
            <w:vAlign w:val="center"/>
          </w:tcPr>
          <w:p w14:paraId="5C38868C"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shd w:val="clear" w:color="auto" w:fill="D9D9D9" w:themeFill="background1" w:themeFillShade="D9"/>
          </w:tcPr>
          <w:p w14:paraId="7F8E89E3"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1B2CABE7" w14:textId="77777777" w:rsidTr="00181181">
        <w:tc>
          <w:tcPr>
            <w:tcW w:w="5684" w:type="dxa"/>
            <w:shd w:val="clear" w:color="auto" w:fill="auto"/>
            <w:vAlign w:val="bottom"/>
            <w:hideMark/>
          </w:tcPr>
          <w:p w14:paraId="102C0813"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Chocking of cargo tanks which are independent of the vessel’s hull and chocking of installations and equipment</w:t>
            </w:r>
          </w:p>
        </w:tc>
        <w:tc>
          <w:tcPr>
            <w:tcW w:w="1154" w:type="dxa"/>
            <w:gridSpan w:val="2"/>
            <w:shd w:val="clear" w:color="auto" w:fill="auto"/>
            <w:noWrap/>
            <w:vAlign w:val="center"/>
            <w:hideMark/>
          </w:tcPr>
          <w:p w14:paraId="043E744F"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398" w:type="dxa"/>
            <w:shd w:val="clear" w:color="auto" w:fill="auto"/>
            <w:noWrap/>
            <w:vAlign w:val="center"/>
            <w:hideMark/>
          </w:tcPr>
          <w:p w14:paraId="6B009F0A"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701" w:type="dxa"/>
            <w:shd w:val="clear" w:color="auto" w:fill="auto"/>
            <w:noWrap/>
            <w:vAlign w:val="center"/>
            <w:hideMark/>
          </w:tcPr>
          <w:p w14:paraId="11E22025"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2AF7F94B"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06238186"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3B13DCC4" w14:textId="77777777" w:rsidTr="00181181">
        <w:tc>
          <w:tcPr>
            <w:tcW w:w="5684" w:type="dxa"/>
            <w:shd w:val="clear" w:color="auto" w:fill="auto"/>
            <w:vAlign w:val="bottom"/>
            <w:hideMark/>
          </w:tcPr>
          <w:p w14:paraId="1BCB7591"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Masts and similar round timber</w:t>
            </w:r>
          </w:p>
        </w:tc>
        <w:tc>
          <w:tcPr>
            <w:tcW w:w="1154" w:type="dxa"/>
            <w:gridSpan w:val="2"/>
            <w:shd w:val="clear" w:color="auto" w:fill="auto"/>
            <w:noWrap/>
            <w:vAlign w:val="center"/>
            <w:hideMark/>
          </w:tcPr>
          <w:p w14:paraId="6769FB7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398" w:type="dxa"/>
            <w:shd w:val="clear" w:color="auto" w:fill="auto"/>
            <w:noWrap/>
            <w:vAlign w:val="center"/>
            <w:hideMark/>
          </w:tcPr>
          <w:p w14:paraId="67DFE7A1"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13C5F391"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2C1DC09E"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0C73370E"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22C575A9" w14:textId="77777777" w:rsidTr="00181181">
        <w:tc>
          <w:tcPr>
            <w:tcW w:w="5684" w:type="dxa"/>
            <w:shd w:val="clear" w:color="auto" w:fill="auto"/>
            <w:vAlign w:val="bottom"/>
            <w:hideMark/>
          </w:tcPr>
          <w:p w14:paraId="04092C64" w14:textId="77777777" w:rsidR="008F2382" w:rsidRPr="00137FFA" w:rsidRDefault="008F2382" w:rsidP="00181181">
            <w:pPr>
              <w:spacing w:before="40" w:after="40"/>
              <w:contextualSpacing/>
              <w:rPr>
                <w:rFonts w:asciiTheme="majorBidi" w:hAnsiTheme="majorBidi" w:cstheme="majorBidi"/>
                <w:bCs/>
                <w:lang w:val="fr-FR"/>
              </w:rPr>
            </w:pPr>
            <w:r w:rsidRPr="00137FFA">
              <w:rPr>
                <w:rFonts w:asciiTheme="majorBidi" w:hAnsiTheme="majorBidi" w:cstheme="majorBidi"/>
                <w:bCs/>
                <w:lang w:val="fr-FR"/>
              </w:rPr>
              <w:t>Engine parts</w:t>
            </w:r>
          </w:p>
        </w:tc>
        <w:tc>
          <w:tcPr>
            <w:tcW w:w="1154" w:type="dxa"/>
            <w:gridSpan w:val="2"/>
            <w:shd w:val="clear" w:color="auto" w:fill="auto"/>
            <w:noWrap/>
            <w:vAlign w:val="center"/>
            <w:hideMark/>
          </w:tcPr>
          <w:p w14:paraId="6EF89BFE"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398" w:type="dxa"/>
            <w:shd w:val="clear" w:color="auto" w:fill="auto"/>
            <w:noWrap/>
            <w:vAlign w:val="center"/>
            <w:hideMark/>
          </w:tcPr>
          <w:p w14:paraId="52854ACB"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5E9340C2"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52284BB6"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6EED5AE8"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2340A9BA" w14:textId="77777777" w:rsidTr="00181181">
        <w:tc>
          <w:tcPr>
            <w:tcW w:w="5684" w:type="dxa"/>
            <w:shd w:val="clear" w:color="auto" w:fill="auto"/>
            <w:vAlign w:val="bottom"/>
            <w:hideMark/>
          </w:tcPr>
          <w:p w14:paraId="0C3FA625"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 xml:space="preserve">Protective covers of engines and pumps </w:t>
            </w:r>
          </w:p>
        </w:tc>
        <w:tc>
          <w:tcPr>
            <w:tcW w:w="1154" w:type="dxa"/>
            <w:gridSpan w:val="2"/>
            <w:shd w:val="clear" w:color="auto" w:fill="auto"/>
            <w:noWrap/>
            <w:vAlign w:val="center"/>
            <w:hideMark/>
          </w:tcPr>
          <w:p w14:paraId="00D59371"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1C85F9CB" w14:textId="77777777" w:rsidR="008F2382" w:rsidRPr="00137FFA" w:rsidRDefault="008F2382" w:rsidP="00181181">
            <w:pPr>
              <w:spacing w:before="40" w:after="40"/>
              <w:contextualSpacing/>
              <w:jc w:val="center"/>
              <w:rPr>
                <w:rFonts w:asciiTheme="majorBidi" w:hAnsiTheme="majorBidi" w:cstheme="majorBidi"/>
                <w:bCs/>
              </w:rPr>
            </w:pPr>
          </w:p>
        </w:tc>
        <w:tc>
          <w:tcPr>
            <w:tcW w:w="1701" w:type="dxa"/>
            <w:shd w:val="clear" w:color="auto" w:fill="auto"/>
            <w:noWrap/>
            <w:vAlign w:val="center"/>
            <w:hideMark/>
          </w:tcPr>
          <w:p w14:paraId="5ACCACE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7910E154"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17A154D8"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4A6CB879" w14:textId="77777777" w:rsidTr="00181181">
        <w:tc>
          <w:tcPr>
            <w:tcW w:w="5684" w:type="dxa"/>
            <w:shd w:val="clear" w:color="auto" w:fill="auto"/>
          </w:tcPr>
          <w:p w14:paraId="02BC1473"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Notice boards (Prohibition of admittance and smoking)</w:t>
            </w:r>
          </w:p>
        </w:tc>
        <w:tc>
          <w:tcPr>
            <w:tcW w:w="1154" w:type="dxa"/>
            <w:gridSpan w:val="2"/>
            <w:shd w:val="clear" w:color="auto" w:fill="auto"/>
            <w:noWrap/>
            <w:vAlign w:val="center"/>
          </w:tcPr>
          <w:p w14:paraId="04692505"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tcPr>
          <w:p w14:paraId="50BDEEDC"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tcPr>
          <w:p w14:paraId="218147AE"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tcPr>
          <w:p w14:paraId="77A799A0"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73BD90E6"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241B4209" w14:textId="77777777" w:rsidTr="00181181">
        <w:tc>
          <w:tcPr>
            <w:tcW w:w="5684" w:type="dxa"/>
            <w:vMerge w:val="restart"/>
            <w:shd w:val="clear" w:color="auto" w:fill="auto"/>
            <w:hideMark/>
          </w:tcPr>
          <w:p w14:paraId="47EDC99B"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Parts of the electrical installation</w:t>
            </w:r>
          </w:p>
        </w:tc>
        <w:tc>
          <w:tcPr>
            <w:tcW w:w="1154" w:type="dxa"/>
            <w:gridSpan w:val="2"/>
            <w:shd w:val="clear" w:color="auto" w:fill="auto"/>
            <w:noWrap/>
            <w:vAlign w:val="center"/>
          </w:tcPr>
          <w:p w14:paraId="085C1C60"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50B932EA"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6BE32302"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03C2E211"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66674DA9"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5BA015FF" w14:textId="77777777" w:rsidTr="00181181">
        <w:tc>
          <w:tcPr>
            <w:tcW w:w="5684" w:type="dxa"/>
            <w:vMerge/>
            <w:shd w:val="clear" w:color="auto" w:fill="auto"/>
            <w:vAlign w:val="bottom"/>
          </w:tcPr>
          <w:p w14:paraId="44C10D7D" w14:textId="77777777" w:rsidR="008F2382" w:rsidRPr="00137FFA" w:rsidRDefault="008F2382" w:rsidP="00181181">
            <w:pPr>
              <w:spacing w:before="40" w:after="40"/>
              <w:contextualSpacing/>
              <w:rPr>
                <w:rFonts w:asciiTheme="majorBidi" w:hAnsiTheme="majorBidi" w:cstheme="majorBidi"/>
                <w:bCs/>
              </w:rPr>
            </w:pPr>
          </w:p>
        </w:tc>
        <w:tc>
          <w:tcPr>
            <w:tcW w:w="6947" w:type="dxa"/>
            <w:gridSpan w:val="6"/>
            <w:shd w:val="clear" w:color="auto" w:fill="auto"/>
            <w:noWrap/>
            <w:vAlign w:val="center"/>
          </w:tcPr>
          <w:p w14:paraId="3D2F536B"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According to the applicable technical norms</w:t>
            </w:r>
          </w:p>
        </w:tc>
      </w:tr>
      <w:tr w:rsidR="008F2382" w:rsidRPr="00137FFA" w14:paraId="581AEAB9" w14:textId="77777777" w:rsidTr="00181181">
        <w:tc>
          <w:tcPr>
            <w:tcW w:w="5684" w:type="dxa"/>
            <w:shd w:val="clear" w:color="auto" w:fill="auto"/>
            <w:vAlign w:val="bottom"/>
            <w:hideMark/>
          </w:tcPr>
          <w:p w14:paraId="2778C795"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Parts of the loading and unloading installation, e.g., gaskets</w:t>
            </w:r>
          </w:p>
        </w:tc>
        <w:tc>
          <w:tcPr>
            <w:tcW w:w="1154" w:type="dxa"/>
            <w:gridSpan w:val="2"/>
            <w:shd w:val="clear" w:color="auto" w:fill="auto"/>
            <w:noWrap/>
            <w:vAlign w:val="center"/>
          </w:tcPr>
          <w:p w14:paraId="5F8D60D7"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4DC8FD68"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32AE6ECD"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68DD7727"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7" w:type="dxa"/>
          </w:tcPr>
          <w:p w14:paraId="1330F45A"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3F0B7ADF" w14:textId="77777777" w:rsidTr="00181181">
        <w:tc>
          <w:tcPr>
            <w:tcW w:w="5684" w:type="dxa"/>
            <w:shd w:val="clear" w:color="auto" w:fill="auto"/>
            <w:vAlign w:val="bottom"/>
            <w:hideMark/>
          </w:tcPr>
          <w:p w14:paraId="1BABA6BB"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Supports and stops of any kind</w:t>
            </w:r>
          </w:p>
        </w:tc>
        <w:tc>
          <w:tcPr>
            <w:tcW w:w="1154" w:type="dxa"/>
            <w:gridSpan w:val="2"/>
            <w:shd w:val="clear" w:color="auto" w:fill="auto"/>
            <w:noWrap/>
            <w:vAlign w:val="center"/>
            <w:hideMark/>
          </w:tcPr>
          <w:p w14:paraId="23282083"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398" w:type="dxa"/>
            <w:shd w:val="clear" w:color="auto" w:fill="auto"/>
            <w:noWrap/>
            <w:vAlign w:val="center"/>
            <w:hideMark/>
          </w:tcPr>
          <w:p w14:paraId="55740D7E"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701" w:type="dxa"/>
            <w:shd w:val="clear" w:color="auto" w:fill="auto"/>
            <w:noWrap/>
            <w:vAlign w:val="center"/>
            <w:hideMark/>
          </w:tcPr>
          <w:p w14:paraId="603674B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24275C94"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15176F09"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115BE922" w14:textId="77777777" w:rsidTr="00181181">
        <w:tc>
          <w:tcPr>
            <w:tcW w:w="5684" w:type="dxa"/>
            <w:shd w:val="clear" w:color="auto" w:fill="auto"/>
            <w:vAlign w:val="bottom"/>
          </w:tcPr>
          <w:p w14:paraId="3675853E"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Ventilators, including hose assemblies for ventilation</w:t>
            </w:r>
          </w:p>
        </w:tc>
        <w:tc>
          <w:tcPr>
            <w:tcW w:w="1154" w:type="dxa"/>
            <w:gridSpan w:val="2"/>
            <w:shd w:val="clear" w:color="auto" w:fill="auto"/>
            <w:noWrap/>
            <w:vAlign w:val="center"/>
            <w:hideMark/>
          </w:tcPr>
          <w:p w14:paraId="55857942"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7C89BBBB"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4AF3DE35"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08A0790A"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0F5029AF"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06A677CB" w14:textId="77777777" w:rsidTr="00181181">
        <w:tc>
          <w:tcPr>
            <w:tcW w:w="5684" w:type="dxa"/>
            <w:shd w:val="clear" w:color="auto" w:fill="auto"/>
            <w:vAlign w:val="bottom"/>
            <w:hideMark/>
          </w:tcPr>
          <w:p w14:paraId="0E0B6691"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Parts of the water spray system, the shower and the eye and face bath</w:t>
            </w:r>
          </w:p>
        </w:tc>
        <w:tc>
          <w:tcPr>
            <w:tcW w:w="1154" w:type="dxa"/>
            <w:gridSpan w:val="2"/>
            <w:shd w:val="clear" w:color="auto" w:fill="auto"/>
            <w:noWrap/>
            <w:vAlign w:val="center"/>
            <w:hideMark/>
          </w:tcPr>
          <w:p w14:paraId="666A7867"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1D99FC4F"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377123F6"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0A7D763A"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0A2D4B17"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74B2136C" w14:textId="77777777" w:rsidTr="00181181">
        <w:tc>
          <w:tcPr>
            <w:tcW w:w="5684" w:type="dxa"/>
            <w:shd w:val="clear" w:color="auto" w:fill="auto"/>
            <w:vAlign w:val="bottom"/>
            <w:hideMark/>
          </w:tcPr>
          <w:p w14:paraId="3B4E5055"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Insulation of cargo tanks and of piping for loading and unloading, gas discharge pipes and heating pipes</w:t>
            </w:r>
          </w:p>
        </w:tc>
        <w:tc>
          <w:tcPr>
            <w:tcW w:w="1154" w:type="dxa"/>
            <w:gridSpan w:val="2"/>
            <w:shd w:val="clear" w:color="auto" w:fill="auto"/>
            <w:noWrap/>
            <w:vAlign w:val="center"/>
            <w:hideMark/>
          </w:tcPr>
          <w:p w14:paraId="466C9F73"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502DDF0F"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701" w:type="dxa"/>
            <w:shd w:val="clear" w:color="auto" w:fill="auto"/>
            <w:noWrap/>
            <w:vAlign w:val="center"/>
            <w:hideMark/>
          </w:tcPr>
          <w:p w14:paraId="0AD32BF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6249D986"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7" w:type="dxa"/>
          </w:tcPr>
          <w:p w14:paraId="462AD820"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6A90A4D7" w14:textId="77777777" w:rsidTr="00181181">
        <w:tc>
          <w:tcPr>
            <w:tcW w:w="5684" w:type="dxa"/>
            <w:shd w:val="clear" w:color="auto" w:fill="auto"/>
            <w:vAlign w:val="bottom"/>
            <w:hideMark/>
          </w:tcPr>
          <w:p w14:paraId="6EA0013B"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Coating of cargo tanks and of piping for loading and unloading</w:t>
            </w:r>
          </w:p>
        </w:tc>
        <w:tc>
          <w:tcPr>
            <w:tcW w:w="1154" w:type="dxa"/>
            <w:gridSpan w:val="2"/>
            <w:shd w:val="clear" w:color="auto" w:fill="auto"/>
            <w:noWrap/>
            <w:vAlign w:val="center"/>
            <w:hideMark/>
          </w:tcPr>
          <w:p w14:paraId="0B5C1CF6"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67CFCBD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hideMark/>
          </w:tcPr>
          <w:p w14:paraId="29CB6247"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hideMark/>
          </w:tcPr>
          <w:p w14:paraId="7A860499"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7" w:type="dxa"/>
          </w:tcPr>
          <w:p w14:paraId="026B5460"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30EFBA81" w14:textId="77777777" w:rsidTr="00181181">
        <w:tc>
          <w:tcPr>
            <w:tcW w:w="5684" w:type="dxa"/>
            <w:shd w:val="clear" w:color="auto" w:fill="auto"/>
            <w:vAlign w:val="bottom"/>
          </w:tcPr>
          <w:p w14:paraId="4A10AE43"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Insulation of cargo tanks (Table C, Column (20), Remark. 32)</w:t>
            </w:r>
          </w:p>
        </w:tc>
        <w:tc>
          <w:tcPr>
            <w:tcW w:w="1154" w:type="dxa"/>
            <w:gridSpan w:val="2"/>
            <w:shd w:val="clear" w:color="auto" w:fill="auto"/>
            <w:noWrap/>
            <w:vAlign w:val="center"/>
          </w:tcPr>
          <w:p w14:paraId="7CFA2F3B"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tcPr>
          <w:p w14:paraId="24F2E40B"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701" w:type="dxa"/>
            <w:shd w:val="clear" w:color="auto" w:fill="auto"/>
            <w:noWrap/>
            <w:vAlign w:val="center"/>
          </w:tcPr>
          <w:p w14:paraId="15234C58"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417" w:type="dxa"/>
            <w:shd w:val="clear" w:color="auto" w:fill="auto"/>
            <w:noWrap/>
            <w:vAlign w:val="center"/>
          </w:tcPr>
          <w:p w14:paraId="0634975A"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277" w:type="dxa"/>
          </w:tcPr>
          <w:p w14:paraId="2A9F00D5"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6B848DAA" w14:textId="77777777" w:rsidTr="00181181">
        <w:tc>
          <w:tcPr>
            <w:tcW w:w="5684" w:type="dxa"/>
            <w:vMerge w:val="restart"/>
            <w:shd w:val="clear" w:color="auto" w:fill="auto"/>
            <w:hideMark/>
          </w:tcPr>
          <w:p w14:paraId="77D2B982"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All kinds of gaskets</w:t>
            </w:r>
          </w:p>
        </w:tc>
        <w:tc>
          <w:tcPr>
            <w:tcW w:w="1154" w:type="dxa"/>
            <w:gridSpan w:val="2"/>
            <w:shd w:val="clear" w:color="auto" w:fill="auto"/>
            <w:noWrap/>
            <w:vAlign w:val="center"/>
            <w:hideMark/>
          </w:tcPr>
          <w:p w14:paraId="6A23977A"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727708D8"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701" w:type="dxa"/>
            <w:shd w:val="clear" w:color="auto" w:fill="auto"/>
            <w:noWrap/>
            <w:vAlign w:val="center"/>
            <w:hideMark/>
          </w:tcPr>
          <w:p w14:paraId="5B9B4B64"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417" w:type="dxa"/>
            <w:shd w:val="clear" w:color="auto" w:fill="auto"/>
            <w:noWrap/>
            <w:vAlign w:val="center"/>
            <w:hideMark/>
          </w:tcPr>
          <w:p w14:paraId="6FA81E28"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277" w:type="dxa"/>
          </w:tcPr>
          <w:p w14:paraId="1F99D4C7"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704ADEBB" w14:textId="77777777" w:rsidTr="00181181">
        <w:tc>
          <w:tcPr>
            <w:tcW w:w="5684" w:type="dxa"/>
            <w:vMerge/>
            <w:shd w:val="clear" w:color="auto" w:fill="auto"/>
          </w:tcPr>
          <w:p w14:paraId="573B9583" w14:textId="77777777" w:rsidR="008F2382" w:rsidRPr="00137FFA" w:rsidRDefault="008F2382" w:rsidP="00181181">
            <w:pPr>
              <w:spacing w:before="40" w:after="40"/>
              <w:contextualSpacing/>
              <w:rPr>
                <w:rFonts w:asciiTheme="majorBidi" w:hAnsiTheme="majorBidi" w:cstheme="majorBidi"/>
                <w:bCs/>
              </w:rPr>
            </w:pPr>
          </w:p>
        </w:tc>
        <w:tc>
          <w:tcPr>
            <w:tcW w:w="6947" w:type="dxa"/>
            <w:gridSpan w:val="6"/>
            <w:shd w:val="clear" w:color="auto" w:fill="auto"/>
            <w:noWrap/>
            <w:vAlign w:val="center"/>
          </w:tcPr>
          <w:p w14:paraId="23E3AC04"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Subject to Table C, Column (20), Remark 39 a)</w:t>
            </w:r>
          </w:p>
        </w:tc>
      </w:tr>
      <w:tr w:rsidR="008F2382" w:rsidRPr="00137FFA" w14:paraId="255CF07E" w14:textId="77777777" w:rsidTr="00181181">
        <w:tc>
          <w:tcPr>
            <w:tcW w:w="5684" w:type="dxa"/>
            <w:vMerge w:val="restart"/>
            <w:shd w:val="clear" w:color="auto" w:fill="auto"/>
            <w:hideMark/>
          </w:tcPr>
          <w:p w14:paraId="034F9E81"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Cables for electrical equipment</w:t>
            </w:r>
          </w:p>
        </w:tc>
        <w:tc>
          <w:tcPr>
            <w:tcW w:w="1154" w:type="dxa"/>
            <w:gridSpan w:val="2"/>
            <w:shd w:val="clear" w:color="auto" w:fill="auto"/>
            <w:noWrap/>
            <w:vAlign w:val="center"/>
            <w:hideMark/>
          </w:tcPr>
          <w:p w14:paraId="20806400" w14:textId="77777777" w:rsidR="008F2382" w:rsidRPr="00137FFA" w:rsidRDefault="008F2382" w:rsidP="00181181">
            <w:pPr>
              <w:spacing w:before="40" w:after="40"/>
              <w:contextualSpacing/>
              <w:jc w:val="center"/>
              <w:rPr>
                <w:rFonts w:asciiTheme="majorBidi" w:hAnsiTheme="majorBidi" w:cstheme="majorBidi"/>
                <w:bCs/>
              </w:rPr>
            </w:pPr>
          </w:p>
        </w:tc>
        <w:tc>
          <w:tcPr>
            <w:tcW w:w="1398" w:type="dxa"/>
            <w:shd w:val="clear" w:color="auto" w:fill="auto"/>
            <w:noWrap/>
            <w:vAlign w:val="center"/>
            <w:hideMark/>
          </w:tcPr>
          <w:p w14:paraId="78892320" w14:textId="77777777" w:rsidR="008F2382" w:rsidRPr="00137FFA" w:rsidRDefault="008F2382" w:rsidP="00181181">
            <w:pPr>
              <w:spacing w:before="40" w:after="40"/>
              <w:contextualSpacing/>
              <w:jc w:val="center"/>
              <w:rPr>
                <w:rFonts w:asciiTheme="majorBidi" w:hAnsiTheme="majorBidi" w:cstheme="majorBidi"/>
                <w:bCs/>
              </w:rPr>
            </w:pPr>
          </w:p>
        </w:tc>
        <w:tc>
          <w:tcPr>
            <w:tcW w:w="1701" w:type="dxa"/>
            <w:shd w:val="clear" w:color="auto" w:fill="auto"/>
            <w:noWrap/>
            <w:vAlign w:val="center"/>
            <w:hideMark/>
          </w:tcPr>
          <w:p w14:paraId="40156C46"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417" w:type="dxa"/>
            <w:shd w:val="clear" w:color="auto" w:fill="auto"/>
            <w:noWrap/>
            <w:vAlign w:val="center"/>
            <w:hideMark/>
          </w:tcPr>
          <w:p w14:paraId="10E797C5"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277" w:type="dxa"/>
          </w:tcPr>
          <w:p w14:paraId="1FB607FB"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29C3A659" w14:textId="77777777" w:rsidTr="00181181">
        <w:tc>
          <w:tcPr>
            <w:tcW w:w="5684" w:type="dxa"/>
            <w:vMerge/>
            <w:shd w:val="clear" w:color="auto" w:fill="auto"/>
            <w:vAlign w:val="bottom"/>
          </w:tcPr>
          <w:p w14:paraId="7982D01C" w14:textId="77777777" w:rsidR="008F2382" w:rsidRPr="00137FFA" w:rsidRDefault="008F2382" w:rsidP="00181181">
            <w:pPr>
              <w:spacing w:before="40" w:after="40"/>
              <w:contextualSpacing/>
              <w:rPr>
                <w:rFonts w:asciiTheme="majorBidi" w:hAnsiTheme="majorBidi" w:cstheme="majorBidi"/>
                <w:bCs/>
              </w:rPr>
            </w:pPr>
          </w:p>
        </w:tc>
        <w:tc>
          <w:tcPr>
            <w:tcW w:w="6947" w:type="dxa"/>
            <w:gridSpan w:val="6"/>
            <w:shd w:val="clear" w:color="auto" w:fill="auto"/>
            <w:noWrap/>
            <w:vAlign w:val="center"/>
          </w:tcPr>
          <w:p w14:paraId="2A76C72C"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According to the applicable technical Norms</w:t>
            </w:r>
          </w:p>
        </w:tc>
      </w:tr>
      <w:tr w:rsidR="008F2382" w:rsidRPr="00137FFA" w14:paraId="6C652E3F" w14:textId="77777777" w:rsidTr="00181181">
        <w:tc>
          <w:tcPr>
            <w:tcW w:w="5684" w:type="dxa"/>
            <w:shd w:val="clear" w:color="auto" w:fill="auto"/>
            <w:vAlign w:val="bottom"/>
          </w:tcPr>
          <w:p w14:paraId="51D1631F"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Boxes, cabinets or other receptacles placed on the deck for storage of disposal and recovery equipment for capstans, extinguishers, fire hoses, etc.</w:t>
            </w:r>
          </w:p>
        </w:tc>
        <w:tc>
          <w:tcPr>
            <w:tcW w:w="1133" w:type="dxa"/>
            <w:shd w:val="clear" w:color="auto" w:fill="auto"/>
            <w:noWrap/>
            <w:vAlign w:val="center"/>
          </w:tcPr>
          <w:p w14:paraId="68D47E57" w14:textId="77777777" w:rsidR="008F2382" w:rsidRPr="00137FFA" w:rsidRDefault="008F2382" w:rsidP="00181181">
            <w:pPr>
              <w:spacing w:before="40" w:after="40"/>
              <w:contextualSpacing/>
              <w:jc w:val="center"/>
              <w:rPr>
                <w:rFonts w:asciiTheme="majorBidi" w:hAnsiTheme="majorBidi" w:cstheme="majorBidi"/>
                <w:bCs/>
              </w:rPr>
            </w:pPr>
          </w:p>
        </w:tc>
        <w:tc>
          <w:tcPr>
            <w:tcW w:w="1419" w:type="dxa"/>
            <w:gridSpan w:val="2"/>
            <w:shd w:val="clear" w:color="auto" w:fill="auto"/>
            <w:noWrap/>
            <w:vAlign w:val="center"/>
          </w:tcPr>
          <w:p w14:paraId="3AFFC6E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tcPr>
          <w:p w14:paraId="017DF94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tcPr>
          <w:p w14:paraId="58D05069"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4AA9BA84"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27CD04C6" w14:textId="77777777" w:rsidTr="00181181">
        <w:tc>
          <w:tcPr>
            <w:tcW w:w="5684" w:type="dxa"/>
            <w:vMerge w:val="restart"/>
            <w:shd w:val="clear" w:color="auto" w:fill="auto"/>
          </w:tcPr>
          <w:p w14:paraId="00AC0DFE"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 xml:space="preserve">Boxes, cabinets or other receptacles placed on the deck for storage of disposal of waste </w:t>
            </w:r>
          </w:p>
        </w:tc>
        <w:tc>
          <w:tcPr>
            <w:tcW w:w="1133" w:type="dxa"/>
            <w:shd w:val="clear" w:color="auto" w:fill="auto"/>
            <w:noWrap/>
            <w:vAlign w:val="center"/>
          </w:tcPr>
          <w:p w14:paraId="63A17A5A" w14:textId="77777777" w:rsidR="008F2382" w:rsidRPr="00137FFA" w:rsidRDefault="008F2382" w:rsidP="00181181">
            <w:pPr>
              <w:spacing w:before="40" w:after="40"/>
              <w:contextualSpacing/>
              <w:jc w:val="center"/>
              <w:rPr>
                <w:rFonts w:asciiTheme="majorBidi" w:hAnsiTheme="majorBidi" w:cstheme="majorBidi"/>
                <w:bCs/>
              </w:rPr>
            </w:pPr>
          </w:p>
        </w:tc>
        <w:tc>
          <w:tcPr>
            <w:tcW w:w="1419" w:type="dxa"/>
            <w:gridSpan w:val="2"/>
            <w:shd w:val="clear" w:color="auto" w:fill="auto"/>
            <w:noWrap/>
            <w:vAlign w:val="center"/>
          </w:tcPr>
          <w:p w14:paraId="44DFA79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701" w:type="dxa"/>
            <w:shd w:val="clear" w:color="auto" w:fill="auto"/>
            <w:noWrap/>
            <w:vAlign w:val="center"/>
          </w:tcPr>
          <w:p w14:paraId="532C0E96"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7" w:type="dxa"/>
            <w:shd w:val="clear" w:color="auto" w:fill="auto"/>
            <w:noWrap/>
            <w:vAlign w:val="center"/>
          </w:tcPr>
          <w:p w14:paraId="5C387113"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7" w:type="dxa"/>
          </w:tcPr>
          <w:p w14:paraId="7C56C4E8"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68ACC150" w14:textId="77777777" w:rsidTr="00181181">
        <w:tc>
          <w:tcPr>
            <w:tcW w:w="5684" w:type="dxa"/>
            <w:vMerge/>
            <w:shd w:val="clear" w:color="auto" w:fill="auto"/>
            <w:vAlign w:val="bottom"/>
          </w:tcPr>
          <w:p w14:paraId="7F3CE995" w14:textId="77777777" w:rsidR="008F2382" w:rsidRPr="00137FFA" w:rsidRDefault="008F2382" w:rsidP="00181181">
            <w:pPr>
              <w:spacing w:before="40" w:after="40"/>
              <w:contextualSpacing/>
              <w:rPr>
                <w:rFonts w:asciiTheme="majorBidi" w:hAnsiTheme="majorBidi" w:cstheme="majorBidi"/>
                <w:bCs/>
                <w:lang w:val="fr-FR"/>
              </w:rPr>
            </w:pPr>
          </w:p>
        </w:tc>
        <w:tc>
          <w:tcPr>
            <w:tcW w:w="6947" w:type="dxa"/>
            <w:gridSpan w:val="6"/>
            <w:shd w:val="clear" w:color="auto" w:fill="auto"/>
            <w:noWrap/>
            <w:vAlign w:val="center"/>
          </w:tcPr>
          <w:p w14:paraId="5ED9E82C"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For oily and greasy wastes fire-resistant receptacles only (7.2.1.21.6)</w:t>
            </w:r>
          </w:p>
        </w:tc>
      </w:tr>
    </w:tbl>
    <w:p w14:paraId="46811864" w14:textId="77777777" w:rsidR="008F2382" w:rsidRPr="00137FFA" w:rsidRDefault="008F2382" w:rsidP="008F2382">
      <w:pPr>
        <w:rPr>
          <w:rFonts w:asciiTheme="majorBidi" w:hAnsiTheme="majorBidi" w:cstheme="majorBidi"/>
        </w:rPr>
      </w:pPr>
    </w:p>
    <w:tbl>
      <w:tblPr>
        <w:tblW w:w="1262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62"/>
        <w:gridCol w:w="12"/>
        <w:gridCol w:w="21"/>
        <w:gridCol w:w="1389"/>
        <w:gridCol w:w="9"/>
        <w:gridCol w:w="1550"/>
        <w:gridCol w:w="9"/>
        <w:gridCol w:w="1496"/>
        <w:gridCol w:w="63"/>
        <w:gridCol w:w="1276"/>
      </w:tblGrid>
      <w:tr w:rsidR="008F2382" w:rsidRPr="00137FFA" w14:paraId="2B1A6DE8" w14:textId="77777777" w:rsidTr="00181181">
        <w:trPr>
          <w:trHeight w:val="270"/>
          <w:tblHeader/>
        </w:trPr>
        <w:tc>
          <w:tcPr>
            <w:tcW w:w="5537" w:type="dxa"/>
            <w:gridSpan w:val="2"/>
            <w:tcBorders>
              <w:top w:val="nil"/>
              <w:left w:val="nil"/>
            </w:tcBorders>
            <w:shd w:val="clear" w:color="auto" w:fill="auto"/>
            <w:noWrap/>
            <w:vAlign w:val="bottom"/>
            <w:hideMark/>
          </w:tcPr>
          <w:p w14:paraId="6191979B" w14:textId="77777777" w:rsidR="008F2382" w:rsidRPr="00137FFA" w:rsidRDefault="008F2382" w:rsidP="00181181">
            <w:pPr>
              <w:keepNext/>
              <w:keepLines/>
              <w:spacing w:before="40" w:after="40"/>
              <w:contextualSpacing/>
              <w:rPr>
                <w:rFonts w:asciiTheme="majorBidi" w:hAnsiTheme="majorBidi" w:cstheme="majorBidi"/>
                <w:bCs/>
              </w:rPr>
            </w:pPr>
          </w:p>
        </w:tc>
        <w:tc>
          <w:tcPr>
            <w:tcW w:w="1295" w:type="dxa"/>
            <w:gridSpan w:val="3"/>
            <w:tcBorders>
              <w:top w:val="single" w:sz="4" w:space="0" w:color="auto"/>
            </w:tcBorders>
            <w:shd w:val="clear" w:color="auto" w:fill="auto"/>
            <w:noWrap/>
            <w:vAlign w:val="center"/>
          </w:tcPr>
          <w:p w14:paraId="29720900" w14:textId="77777777" w:rsidR="008F2382" w:rsidRPr="006C3911" w:rsidRDefault="008F2382" w:rsidP="00181181">
            <w:pPr>
              <w:keepNext/>
              <w:keepLines/>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Wood</w:t>
            </w:r>
          </w:p>
        </w:tc>
        <w:tc>
          <w:tcPr>
            <w:tcW w:w="1398" w:type="dxa"/>
            <w:gridSpan w:val="2"/>
            <w:shd w:val="clear" w:color="auto" w:fill="auto"/>
            <w:noWrap/>
            <w:vAlign w:val="center"/>
          </w:tcPr>
          <w:p w14:paraId="16D009DD" w14:textId="77777777" w:rsidR="008F2382" w:rsidRPr="006C3911" w:rsidRDefault="008F2382" w:rsidP="00181181">
            <w:pPr>
              <w:keepNext/>
              <w:keepLines/>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Aluminium </w:t>
            </w:r>
            <w:proofErr w:type="spellStart"/>
            <w:r w:rsidRPr="006C3911">
              <w:rPr>
                <w:rFonts w:asciiTheme="majorBidi" w:hAnsiTheme="majorBidi" w:cstheme="majorBidi"/>
                <w:b/>
                <w:lang w:val="fr-FR"/>
              </w:rPr>
              <w:t>alloys</w:t>
            </w:r>
            <w:proofErr w:type="spellEnd"/>
          </w:p>
        </w:tc>
        <w:tc>
          <w:tcPr>
            <w:tcW w:w="1559" w:type="dxa"/>
            <w:gridSpan w:val="2"/>
            <w:shd w:val="clear" w:color="auto" w:fill="auto"/>
            <w:noWrap/>
            <w:vAlign w:val="center"/>
          </w:tcPr>
          <w:p w14:paraId="461713FD" w14:textId="77777777" w:rsidR="008F2382" w:rsidRPr="006C3911" w:rsidRDefault="008F2382" w:rsidP="00181181">
            <w:pPr>
              <w:keepNext/>
              <w:keepLines/>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Plastic </w:t>
            </w:r>
            <w:r w:rsidRPr="006C3911">
              <w:rPr>
                <w:rFonts w:asciiTheme="majorBidi" w:hAnsiTheme="majorBidi" w:cstheme="majorBidi"/>
                <w:b/>
                <w:lang w:val="fr-FR"/>
              </w:rPr>
              <w:br/>
            </w:r>
            <w:proofErr w:type="spellStart"/>
            <w:r w:rsidRPr="006C3911">
              <w:rPr>
                <w:rFonts w:asciiTheme="majorBidi" w:hAnsiTheme="majorBidi" w:cstheme="majorBidi"/>
                <w:b/>
                <w:lang w:val="fr-FR"/>
              </w:rPr>
              <w:t>material</w:t>
            </w:r>
            <w:proofErr w:type="spellEnd"/>
            <w:r w:rsidRPr="006C3911">
              <w:rPr>
                <w:rFonts w:asciiTheme="majorBidi" w:hAnsiTheme="majorBidi" w:cstheme="majorBidi"/>
                <w:b/>
                <w:lang w:val="fr-FR"/>
              </w:rPr>
              <w:t xml:space="preserve"> / Composite</w:t>
            </w:r>
          </w:p>
        </w:tc>
        <w:tc>
          <w:tcPr>
            <w:tcW w:w="1559" w:type="dxa"/>
            <w:gridSpan w:val="2"/>
            <w:shd w:val="clear" w:color="auto" w:fill="auto"/>
            <w:noWrap/>
            <w:vAlign w:val="center"/>
          </w:tcPr>
          <w:p w14:paraId="7E66AD4B" w14:textId="77777777" w:rsidR="008F2382" w:rsidRPr="006C3911" w:rsidRDefault="008F2382" w:rsidP="00181181">
            <w:pPr>
              <w:keepNext/>
              <w:keepLines/>
              <w:spacing w:before="40" w:after="40"/>
              <w:contextualSpacing/>
              <w:jc w:val="center"/>
              <w:rPr>
                <w:rFonts w:asciiTheme="majorBidi" w:hAnsiTheme="majorBidi" w:cstheme="majorBidi"/>
                <w:b/>
                <w:lang w:val="fr-FR"/>
              </w:rPr>
            </w:pPr>
            <w:proofErr w:type="spellStart"/>
            <w:r w:rsidRPr="006C3911">
              <w:rPr>
                <w:rFonts w:asciiTheme="majorBidi" w:hAnsiTheme="majorBidi" w:cstheme="majorBidi"/>
                <w:b/>
                <w:lang w:val="fr-FR"/>
              </w:rPr>
              <w:t>Rubber</w:t>
            </w:r>
            <w:proofErr w:type="spellEnd"/>
          </w:p>
        </w:tc>
        <w:tc>
          <w:tcPr>
            <w:tcW w:w="1276" w:type="dxa"/>
          </w:tcPr>
          <w:p w14:paraId="44131506" w14:textId="77777777" w:rsidR="008F2382" w:rsidRPr="006C3911" w:rsidRDefault="008F2382" w:rsidP="00181181">
            <w:pPr>
              <w:keepNext/>
              <w:keepLines/>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Glass</w:t>
            </w:r>
          </w:p>
        </w:tc>
      </w:tr>
      <w:tr w:rsidR="008F2382" w:rsidRPr="00137FFA" w14:paraId="45189C68" w14:textId="77777777" w:rsidTr="00181181">
        <w:tc>
          <w:tcPr>
            <w:tcW w:w="5537" w:type="dxa"/>
            <w:gridSpan w:val="2"/>
            <w:shd w:val="clear" w:color="auto" w:fill="auto"/>
            <w:vAlign w:val="bottom"/>
          </w:tcPr>
          <w:p w14:paraId="2FF7383F" w14:textId="77777777" w:rsidR="008F2382" w:rsidRPr="00137FFA" w:rsidRDefault="008F2382" w:rsidP="00181181">
            <w:pPr>
              <w:keepNext/>
              <w:keepLines/>
              <w:spacing w:before="40" w:after="40"/>
              <w:contextualSpacing/>
              <w:rPr>
                <w:rFonts w:asciiTheme="majorBidi" w:hAnsiTheme="majorBidi" w:cstheme="majorBidi"/>
                <w:bCs/>
              </w:rPr>
            </w:pPr>
          </w:p>
        </w:tc>
        <w:tc>
          <w:tcPr>
            <w:tcW w:w="1274" w:type="dxa"/>
            <w:gridSpan w:val="2"/>
            <w:shd w:val="clear" w:color="auto" w:fill="auto"/>
            <w:noWrap/>
            <w:vAlign w:val="center"/>
          </w:tcPr>
          <w:p w14:paraId="3A358FFF" w14:textId="77777777" w:rsidR="008F2382" w:rsidRPr="00137FFA" w:rsidRDefault="008F2382" w:rsidP="00181181">
            <w:pPr>
              <w:keepNext/>
              <w:keepLines/>
              <w:spacing w:before="40" w:after="40"/>
              <w:contextualSpacing/>
              <w:rPr>
                <w:rFonts w:asciiTheme="majorBidi" w:hAnsiTheme="majorBidi" w:cstheme="majorBidi"/>
                <w:bCs/>
              </w:rPr>
            </w:pPr>
          </w:p>
        </w:tc>
        <w:tc>
          <w:tcPr>
            <w:tcW w:w="1419" w:type="dxa"/>
            <w:gridSpan w:val="3"/>
            <w:shd w:val="clear" w:color="auto" w:fill="auto"/>
            <w:noWrap/>
            <w:vAlign w:val="center"/>
          </w:tcPr>
          <w:p w14:paraId="33E1EB93" w14:textId="77777777" w:rsidR="008F2382" w:rsidRPr="00137FFA" w:rsidRDefault="008F2382" w:rsidP="00181181">
            <w:pPr>
              <w:keepNext/>
              <w:keepLines/>
              <w:spacing w:before="40" w:after="40"/>
              <w:contextualSpacing/>
              <w:rPr>
                <w:rFonts w:asciiTheme="majorBidi" w:hAnsiTheme="majorBidi" w:cstheme="majorBidi"/>
                <w:bCs/>
              </w:rPr>
            </w:pPr>
          </w:p>
        </w:tc>
        <w:tc>
          <w:tcPr>
            <w:tcW w:w="1559" w:type="dxa"/>
            <w:gridSpan w:val="2"/>
            <w:shd w:val="clear" w:color="auto" w:fill="auto"/>
            <w:noWrap/>
            <w:vAlign w:val="center"/>
          </w:tcPr>
          <w:p w14:paraId="7D173A3E" w14:textId="77777777" w:rsidR="008F2382" w:rsidRPr="00137FFA" w:rsidRDefault="008F2382" w:rsidP="00181181">
            <w:pPr>
              <w:keepNext/>
              <w:keepLines/>
              <w:spacing w:before="40" w:after="40"/>
              <w:contextualSpacing/>
              <w:rPr>
                <w:rFonts w:asciiTheme="majorBidi" w:hAnsiTheme="majorBidi" w:cstheme="majorBidi"/>
                <w:bCs/>
              </w:rPr>
            </w:pPr>
          </w:p>
        </w:tc>
        <w:tc>
          <w:tcPr>
            <w:tcW w:w="1559" w:type="dxa"/>
            <w:gridSpan w:val="2"/>
            <w:shd w:val="clear" w:color="auto" w:fill="auto"/>
            <w:noWrap/>
            <w:vAlign w:val="center"/>
          </w:tcPr>
          <w:p w14:paraId="7F22668A" w14:textId="77777777" w:rsidR="008F2382" w:rsidRPr="00137FFA" w:rsidRDefault="008F2382" w:rsidP="00181181">
            <w:pPr>
              <w:keepNext/>
              <w:keepLines/>
              <w:spacing w:before="40" w:after="40"/>
              <w:contextualSpacing/>
              <w:rPr>
                <w:rFonts w:asciiTheme="majorBidi" w:hAnsiTheme="majorBidi" w:cstheme="majorBidi"/>
                <w:bCs/>
              </w:rPr>
            </w:pPr>
          </w:p>
        </w:tc>
        <w:tc>
          <w:tcPr>
            <w:tcW w:w="1276" w:type="dxa"/>
          </w:tcPr>
          <w:p w14:paraId="65C4AC73" w14:textId="77777777" w:rsidR="008F2382" w:rsidRPr="00137FFA" w:rsidRDefault="008F2382" w:rsidP="00181181">
            <w:pPr>
              <w:keepNext/>
              <w:keepLines/>
              <w:spacing w:before="40" w:after="40"/>
              <w:contextualSpacing/>
              <w:rPr>
                <w:rFonts w:asciiTheme="majorBidi" w:hAnsiTheme="majorBidi" w:cstheme="majorBidi"/>
                <w:bCs/>
              </w:rPr>
            </w:pPr>
          </w:p>
        </w:tc>
      </w:tr>
      <w:tr w:rsidR="008F2382" w:rsidRPr="00137FFA" w14:paraId="6FBAE608" w14:textId="77777777" w:rsidTr="00181181">
        <w:tc>
          <w:tcPr>
            <w:tcW w:w="5537" w:type="dxa"/>
            <w:gridSpan w:val="2"/>
            <w:shd w:val="clear" w:color="auto" w:fill="D9D9D9" w:themeFill="background1" w:themeFillShade="D9"/>
            <w:vAlign w:val="bottom"/>
          </w:tcPr>
          <w:p w14:paraId="5C351972" w14:textId="77777777" w:rsidR="008F2382" w:rsidRPr="00137FFA" w:rsidRDefault="008F2382" w:rsidP="00181181">
            <w:pPr>
              <w:keepNext/>
              <w:keepLines/>
              <w:spacing w:before="40" w:after="40"/>
              <w:contextualSpacing/>
              <w:rPr>
                <w:rFonts w:asciiTheme="majorBidi" w:hAnsiTheme="majorBidi" w:cstheme="majorBidi"/>
                <w:b/>
                <w:lang w:val="fr-FR"/>
              </w:rPr>
            </w:pPr>
            <w:r w:rsidRPr="00137FFA">
              <w:rPr>
                <w:rFonts w:asciiTheme="majorBidi" w:hAnsiTheme="majorBidi" w:cstheme="majorBidi"/>
                <w:b/>
                <w:lang w:val="fr-FR"/>
              </w:rPr>
              <w:t xml:space="preserve">Portable </w:t>
            </w:r>
            <w:proofErr w:type="spellStart"/>
            <w:r w:rsidRPr="00137FFA">
              <w:rPr>
                <w:rFonts w:asciiTheme="majorBidi" w:hAnsiTheme="majorBidi" w:cstheme="majorBidi"/>
                <w:b/>
                <w:lang w:val="fr-FR"/>
              </w:rPr>
              <w:t>equipment</w:t>
            </w:r>
            <w:proofErr w:type="spellEnd"/>
          </w:p>
        </w:tc>
        <w:tc>
          <w:tcPr>
            <w:tcW w:w="1274" w:type="dxa"/>
            <w:gridSpan w:val="2"/>
            <w:shd w:val="clear" w:color="auto" w:fill="D9D9D9" w:themeFill="background1" w:themeFillShade="D9"/>
            <w:noWrap/>
            <w:vAlign w:val="center"/>
          </w:tcPr>
          <w:p w14:paraId="7C1E182E" w14:textId="77777777" w:rsidR="008F2382" w:rsidRPr="00137FFA" w:rsidRDefault="008F2382" w:rsidP="00181181">
            <w:pPr>
              <w:keepNext/>
              <w:keepLines/>
              <w:spacing w:before="40" w:after="40"/>
              <w:contextualSpacing/>
              <w:rPr>
                <w:rFonts w:asciiTheme="majorBidi" w:hAnsiTheme="majorBidi" w:cstheme="majorBidi"/>
                <w:bCs/>
                <w:lang w:val="fr-FR"/>
              </w:rPr>
            </w:pPr>
          </w:p>
        </w:tc>
        <w:tc>
          <w:tcPr>
            <w:tcW w:w="1419" w:type="dxa"/>
            <w:gridSpan w:val="3"/>
            <w:shd w:val="clear" w:color="auto" w:fill="D9D9D9" w:themeFill="background1" w:themeFillShade="D9"/>
            <w:noWrap/>
            <w:vAlign w:val="center"/>
          </w:tcPr>
          <w:p w14:paraId="2992A0E3" w14:textId="77777777" w:rsidR="008F2382" w:rsidRPr="00137FFA" w:rsidRDefault="008F2382" w:rsidP="00181181">
            <w:pPr>
              <w:keepNext/>
              <w:keepLines/>
              <w:spacing w:before="40" w:after="40"/>
              <w:contextualSpacing/>
              <w:rPr>
                <w:rFonts w:asciiTheme="majorBidi" w:hAnsiTheme="majorBidi" w:cstheme="majorBidi"/>
                <w:bCs/>
                <w:lang w:val="fr-FR"/>
              </w:rPr>
            </w:pPr>
          </w:p>
        </w:tc>
        <w:tc>
          <w:tcPr>
            <w:tcW w:w="1559" w:type="dxa"/>
            <w:gridSpan w:val="2"/>
            <w:shd w:val="clear" w:color="auto" w:fill="D9D9D9" w:themeFill="background1" w:themeFillShade="D9"/>
            <w:noWrap/>
            <w:vAlign w:val="center"/>
          </w:tcPr>
          <w:p w14:paraId="7932E7D2" w14:textId="77777777" w:rsidR="008F2382" w:rsidRPr="00137FFA" w:rsidRDefault="008F2382" w:rsidP="00181181">
            <w:pPr>
              <w:keepNext/>
              <w:keepLines/>
              <w:spacing w:before="40" w:after="40"/>
              <w:contextualSpacing/>
              <w:rPr>
                <w:rFonts w:asciiTheme="majorBidi" w:hAnsiTheme="majorBidi" w:cstheme="majorBidi"/>
                <w:bCs/>
                <w:lang w:val="fr-FR"/>
              </w:rPr>
            </w:pPr>
          </w:p>
        </w:tc>
        <w:tc>
          <w:tcPr>
            <w:tcW w:w="1559" w:type="dxa"/>
            <w:gridSpan w:val="2"/>
            <w:shd w:val="clear" w:color="auto" w:fill="D9D9D9" w:themeFill="background1" w:themeFillShade="D9"/>
            <w:noWrap/>
            <w:vAlign w:val="center"/>
          </w:tcPr>
          <w:p w14:paraId="30F46ECF" w14:textId="77777777" w:rsidR="008F2382" w:rsidRPr="00137FFA" w:rsidRDefault="008F2382" w:rsidP="00181181">
            <w:pPr>
              <w:keepNext/>
              <w:keepLines/>
              <w:spacing w:before="40" w:after="40"/>
              <w:contextualSpacing/>
              <w:rPr>
                <w:rFonts w:asciiTheme="majorBidi" w:hAnsiTheme="majorBidi" w:cstheme="majorBidi"/>
                <w:bCs/>
                <w:lang w:val="fr-FR"/>
              </w:rPr>
            </w:pPr>
          </w:p>
        </w:tc>
        <w:tc>
          <w:tcPr>
            <w:tcW w:w="1276" w:type="dxa"/>
            <w:shd w:val="clear" w:color="auto" w:fill="D9D9D9" w:themeFill="background1" w:themeFillShade="D9"/>
          </w:tcPr>
          <w:p w14:paraId="2C4BB712" w14:textId="77777777" w:rsidR="008F2382" w:rsidRPr="00137FFA" w:rsidRDefault="008F2382" w:rsidP="00181181">
            <w:pPr>
              <w:keepNext/>
              <w:keepLines/>
              <w:spacing w:before="40" w:after="40"/>
              <w:contextualSpacing/>
              <w:rPr>
                <w:rFonts w:asciiTheme="majorBidi" w:hAnsiTheme="majorBidi" w:cstheme="majorBidi"/>
                <w:bCs/>
                <w:lang w:val="fr-FR"/>
              </w:rPr>
            </w:pPr>
          </w:p>
        </w:tc>
      </w:tr>
      <w:tr w:rsidR="008F2382" w:rsidRPr="00137FFA" w14:paraId="49D63ADB" w14:textId="77777777" w:rsidTr="00181181">
        <w:tc>
          <w:tcPr>
            <w:tcW w:w="5537" w:type="dxa"/>
            <w:gridSpan w:val="2"/>
            <w:vMerge w:val="restart"/>
            <w:shd w:val="clear" w:color="auto" w:fill="auto"/>
            <w:hideMark/>
          </w:tcPr>
          <w:p w14:paraId="7017BF75" w14:textId="77777777" w:rsidR="008F2382" w:rsidRPr="00137FFA" w:rsidRDefault="008F2382" w:rsidP="00181181">
            <w:pPr>
              <w:keepNext/>
              <w:keepLines/>
              <w:spacing w:before="40" w:after="40"/>
              <w:contextualSpacing/>
              <w:rPr>
                <w:rFonts w:asciiTheme="majorBidi" w:hAnsiTheme="majorBidi" w:cstheme="majorBidi"/>
                <w:bCs/>
                <w:lang w:val="fr-FR"/>
              </w:rPr>
            </w:pPr>
            <w:proofErr w:type="spellStart"/>
            <w:r w:rsidRPr="00137FFA">
              <w:rPr>
                <w:rFonts w:asciiTheme="majorBidi" w:hAnsiTheme="majorBidi" w:cstheme="majorBidi"/>
                <w:bCs/>
                <w:lang w:val="fr-FR"/>
              </w:rPr>
              <w:t>Gangways</w:t>
            </w:r>
            <w:proofErr w:type="spellEnd"/>
          </w:p>
        </w:tc>
        <w:tc>
          <w:tcPr>
            <w:tcW w:w="1274" w:type="dxa"/>
            <w:gridSpan w:val="2"/>
            <w:shd w:val="clear" w:color="auto" w:fill="auto"/>
            <w:noWrap/>
            <w:vAlign w:val="center"/>
            <w:hideMark/>
          </w:tcPr>
          <w:p w14:paraId="5A18E3C3"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19" w:type="dxa"/>
            <w:gridSpan w:val="3"/>
            <w:shd w:val="clear" w:color="auto" w:fill="auto"/>
            <w:noWrap/>
            <w:vAlign w:val="center"/>
            <w:hideMark/>
          </w:tcPr>
          <w:p w14:paraId="07E69E37"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35504673"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63AB7288"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4355B38F"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p>
        </w:tc>
      </w:tr>
      <w:tr w:rsidR="008F2382" w:rsidRPr="00137FFA" w14:paraId="2CCF848F" w14:textId="77777777" w:rsidTr="00181181">
        <w:trPr>
          <w:gridAfter w:val="10"/>
          <w:wAfter w:w="7087" w:type="dxa"/>
          <w:trHeight w:val="240"/>
        </w:trPr>
        <w:tc>
          <w:tcPr>
            <w:tcW w:w="5537" w:type="dxa"/>
            <w:gridSpan w:val="2"/>
            <w:vMerge/>
            <w:shd w:val="clear" w:color="auto" w:fill="auto"/>
            <w:vAlign w:val="bottom"/>
          </w:tcPr>
          <w:p w14:paraId="3A9CCF75" w14:textId="77777777" w:rsidR="008F2382" w:rsidRPr="00137FFA" w:rsidRDefault="008F2382" w:rsidP="00181181">
            <w:pPr>
              <w:keepNext/>
              <w:keepLines/>
              <w:spacing w:before="40" w:after="40"/>
              <w:contextualSpacing/>
              <w:rPr>
                <w:rFonts w:asciiTheme="majorBidi" w:hAnsiTheme="majorBidi" w:cstheme="majorBidi"/>
                <w:bCs/>
                <w:lang w:val="fr-FR"/>
              </w:rPr>
            </w:pPr>
          </w:p>
        </w:tc>
      </w:tr>
      <w:tr w:rsidR="008F2382" w:rsidRPr="00137FFA" w14:paraId="2C5646DA" w14:textId="77777777" w:rsidTr="00181181">
        <w:tc>
          <w:tcPr>
            <w:tcW w:w="5537" w:type="dxa"/>
            <w:gridSpan w:val="2"/>
            <w:vMerge w:val="restart"/>
            <w:shd w:val="clear" w:color="auto" w:fill="auto"/>
            <w:hideMark/>
          </w:tcPr>
          <w:p w14:paraId="301D3F9C" w14:textId="77777777" w:rsidR="008F2382" w:rsidRPr="00137FFA" w:rsidRDefault="008F2382" w:rsidP="00181181">
            <w:pPr>
              <w:keepNext/>
              <w:keepLines/>
              <w:spacing w:before="40" w:after="40"/>
              <w:contextualSpacing/>
              <w:rPr>
                <w:rFonts w:asciiTheme="majorBidi" w:hAnsiTheme="majorBidi" w:cstheme="majorBidi"/>
                <w:bCs/>
              </w:rPr>
            </w:pPr>
            <w:r w:rsidRPr="00137FFA">
              <w:rPr>
                <w:rFonts w:asciiTheme="majorBidi" w:hAnsiTheme="majorBidi" w:cstheme="majorBidi"/>
                <w:bCs/>
              </w:rPr>
              <w:t>External ladders and passageways (gangways) *)</w:t>
            </w:r>
          </w:p>
        </w:tc>
        <w:tc>
          <w:tcPr>
            <w:tcW w:w="1274" w:type="dxa"/>
            <w:gridSpan w:val="2"/>
            <w:shd w:val="clear" w:color="auto" w:fill="auto"/>
            <w:noWrap/>
            <w:vAlign w:val="center"/>
            <w:hideMark/>
          </w:tcPr>
          <w:p w14:paraId="6D1E1F75" w14:textId="77777777" w:rsidR="008F2382" w:rsidRPr="00137FFA" w:rsidRDefault="008F2382" w:rsidP="00181181">
            <w:pPr>
              <w:keepNext/>
              <w:keepLines/>
              <w:spacing w:before="40" w:after="40"/>
              <w:contextualSpacing/>
              <w:jc w:val="center"/>
              <w:rPr>
                <w:rFonts w:asciiTheme="majorBidi" w:hAnsiTheme="majorBidi" w:cstheme="majorBidi"/>
                <w:bCs/>
              </w:rPr>
            </w:pPr>
          </w:p>
        </w:tc>
        <w:tc>
          <w:tcPr>
            <w:tcW w:w="1419" w:type="dxa"/>
            <w:gridSpan w:val="3"/>
            <w:shd w:val="clear" w:color="auto" w:fill="auto"/>
            <w:noWrap/>
            <w:vAlign w:val="center"/>
            <w:hideMark/>
          </w:tcPr>
          <w:p w14:paraId="37A9B8E6"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052730E4"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4B8B4C6E"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39FFFB3E" w14:textId="77777777" w:rsidR="008F2382" w:rsidRPr="00137FFA" w:rsidRDefault="008F2382" w:rsidP="00181181">
            <w:pPr>
              <w:keepNext/>
              <w:keepLines/>
              <w:spacing w:before="40" w:after="40"/>
              <w:contextualSpacing/>
              <w:jc w:val="center"/>
              <w:rPr>
                <w:rFonts w:asciiTheme="majorBidi" w:hAnsiTheme="majorBidi" w:cstheme="majorBidi"/>
                <w:bCs/>
                <w:lang w:val="fr-FR"/>
              </w:rPr>
            </w:pPr>
          </w:p>
        </w:tc>
      </w:tr>
      <w:tr w:rsidR="008F2382" w:rsidRPr="00137FFA" w14:paraId="749B9626" w14:textId="77777777" w:rsidTr="00181181">
        <w:trPr>
          <w:gridAfter w:val="10"/>
          <w:wAfter w:w="7087" w:type="dxa"/>
          <w:trHeight w:val="240"/>
        </w:trPr>
        <w:tc>
          <w:tcPr>
            <w:tcW w:w="5537" w:type="dxa"/>
            <w:gridSpan w:val="2"/>
            <w:vMerge/>
            <w:shd w:val="clear" w:color="auto" w:fill="auto"/>
            <w:vAlign w:val="bottom"/>
          </w:tcPr>
          <w:p w14:paraId="04E8DE0F" w14:textId="77777777" w:rsidR="008F2382" w:rsidRPr="00137FFA" w:rsidRDefault="008F2382" w:rsidP="00181181">
            <w:pPr>
              <w:keepNext/>
              <w:keepLines/>
              <w:spacing w:before="40" w:after="40"/>
              <w:contextualSpacing/>
              <w:rPr>
                <w:rFonts w:asciiTheme="majorBidi" w:hAnsiTheme="majorBidi" w:cstheme="majorBidi"/>
                <w:bCs/>
                <w:lang w:val="fr-FR"/>
              </w:rPr>
            </w:pPr>
          </w:p>
        </w:tc>
      </w:tr>
      <w:tr w:rsidR="008F2382" w:rsidRPr="00137FFA" w14:paraId="49872099" w14:textId="77777777" w:rsidTr="00181181">
        <w:tblPrEx>
          <w:tblLook w:val="0480" w:firstRow="0" w:lastRow="0" w:firstColumn="1" w:lastColumn="0" w:noHBand="0" w:noVBand="1"/>
        </w:tblPrEx>
        <w:tc>
          <w:tcPr>
            <w:tcW w:w="5526" w:type="dxa"/>
            <w:vMerge w:val="restart"/>
            <w:shd w:val="clear" w:color="auto" w:fill="auto"/>
          </w:tcPr>
          <w:p w14:paraId="0FDC328F"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Outboard ladders</w:t>
            </w:r>
          </w:p>
        </w:tc>
        <w:tc>
          <w:tcPr>
            <w:tcW w:w="1273" w:type="dxa"/>
            <w:gridSpan w:val="2"/>
            <w:shd w:val="clear" w:color="auto" w:fill="auto"/>
            <w:noWrap/>
            <w:vAlign w:val="center"/>
          </w:tcPr>
          <w:p w14:paraId="0D8C4A14"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5A02A899"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tcPr>
          <w:p w14:paraId="330ACC6D"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tcPr>
          <w:p w14:paraId="40513914"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276" w:type="dxa"/>
          </w:tcPr>
          <w:p w14:paraId="0707990C"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261ED7BC" w14:textId="77777777" w:rsidTr="00181181">
        <w:tblPrEx>
          <w:tblLook w:val="0480" w:firstRow="0" w:lastRow="0" w:firstColumn="1" w:lastColumn="0" w:noHBand="0" w:noVBand="1"/>
        </w:tblPrEx>
        <w:trPr>
          <w:gridAfter w:val="11"/>
          <w:wAfter w:w="7098" w:type="dxa"/>
          <w:trHeight w:val="240"/>
        </w:trPr>
        <w:tc>
          <w:tcPr>
            <w:tcW w:w="5526" w:type="dxa"/>
            <w:vMerge/>
            <w:shd w:val="clear" w:color="auto" w:fill="auto"/>
            <w:vAlign w:val="bottom"/>
          </w:tcPr>
          <w:p w14:paraId="5FFA731C" w14:textId="77777777" w:rsidR="008F2382" w:rsidRPr="00137FFA" w:rsidRDefault="008F2382" w:rsidP="00181181">
            <w:pPr>
              <w:spacing w:before="40" w:after="40"/>
              <w:contextualSpacing/>
              <w:rPr>
                <w:rFonts w:asciiTheme="majorBidi" w:hAnsiTheme="majorBidi" w:cstheme="majorBidi"/>
                <w:bCs/>
                <w:lang w:val="fr-FR"/>
              </w:rPr>
            </w:pPr>
          </w:p>
        </w:tc>
      </w:tr>
      <w:tr w:rsidR="008F2382" w:rsidRPr="00137FFA" w14:paraId="72F3D7AD" w14:textId="77777777" w:rsidTr="00181181">
        <w:tblPrEx>
          <w:tblLook w:val="0480" w:firstRow="0" w:lastRow="0" w:firstColumn="1" w:lastColumn="0" w:noHBand="0" w:noVBand="1"/>
        </w:tblPrEx>
        <w:tc>
          <w:tcPr>
            <w:tcW w:w="5526" w:type="dxa"/>
            <w:shd w:val="clear" w:color="auto" w:fill="auto"/>
            <w:vAlign w:val="bottom"/>
          </w:tcPr>
          <w:p w14:paraId="0847039E"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Ladders</w:t>
            </w:r>
          </w:p>
        </w:tc>
        <w:tc>
          <w:tcPr>
            <w:tcW w:w="1273" w:type="dxa"/>
            <w:gridSpan w:val="2"/>
            <w:shd w:val="clear" w:color="auto" w:fill="auto"/>
            <w:noWrap/>
            <w:vAlign w:val="center"/>
          </w:tcPr>
          <w:p w14:paraId="27628058"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08E26F7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tcPr>
          <w:p w14:paraId="71D9C96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tcPr>
          <w:p w14:paraId="4B0FF9E3"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276" w:type="dxa"/>
          </w:tcPr>
          <w:p w14:paraId="3EF25D58"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727824B2" w14:textId="77777777" w:rsidTr="00181181">
        <w:tblPrEx>
          <w:tblLook w:val="0480" w:firstRow="0" w:lastRow="0" w:firstColumn="1" w:lastColumn="0" w:noHBand="0" w:noVBand="1"/>
        </w:tblPrEx>
        <w:tc>
          <w:tcPr>
            <w:tcW w:w="5526" w:type="dxa"/>
            <w:shd w:val="clear" w:color="auto" w:fill="auto"/>
            <w:vAlign w:val="bottom"/>
            <w:hideMark/>
          </w:tcPr>
          <w:p w14:paraId="0FA5F878"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eastAsia="Calibri" w:hAnsiTheme="majorBidi" w:cstheme="majorBidi"/>
                <w:bCs/>
              </w:rPr>
              <w:t>Cleaning equipment, e.g. brooms</w:t>
            </w:r>
          </w:p>
        </w:tc>
        <w:tc>
          <w:tcPr>
            <w:tcW w:w="1273" w:type="dxa"/>
            <w:gridSpan w:val="2"/>
            <w:shd w:val="clear" w:color="auto" w:fill="auto"/>
            <w:noWrap/>
            <w:vAlign w:val="center"/>
            <w:hideMark/>
          </w:tcPr>
          <w:p w14:paraId="6D39C75E"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22" w:type="dxa"/>
            <w:gridSpan w:val="3"/>
            <w:shd w:val="clear" w:color="auto" w:fill="auto"/>
            <w:noWrap/>
            <w:vAlign w:val="center"/>
            <w:hideMark/>
          </w:tcPr>
          <w:p w14:paraId="5CA24EB1"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59B1CBB8"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hideMark/>
          </w:tcPr>
          <w:p w14:paraId="14E12F82"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1DE843A7"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19F59048" w14:textId="77777777" w:rsidTr="00181181">
        <w:tblPrEx>
          <w:tblLook w:val="0480" w:firstRow="0" w:lastRow="0" w:firstColumn="1" w:lastColumn="0" w:noHBand="0" w:noVBand="1"/>
        </w:tblPrEx>
        <w:tc>
          <w:tcPr>
            <w:tcW w:w="5526" w:type="dxa"/>
            <w:shd w:val="clear" w:color="auto" w:fill="auto"/>
            <w:vAlign w:val="bottom"/>
            <w:hideMark/>
          </w:tcPr>
          <w:p w14:paraId="0624C85D"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 xml:space="preserve">Fire extinguishers, portable gas detectors, </w:t>
            </w:r>
          </w:p>
        </w:tc>
        <w:tc>
          <w:tcPr>
            <w:tcW w:w="1273" w:type="dxa"/>
            <w:gridSpan w:val="2"/>
            <w:shd w:val="clear" w:color="auto" w:fill="auto"/>
            <w:noWrap/>
            <w:vAlign w:val="center"/>
            <w:hideMark/>
          </w:tcPr>
          <w:p w14:paraId="4C274976"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hideMark/>
          </w:tcPr>
          <w:p w14:paraId="1A3A1E1E"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hideMark/>
          </w:tcPr>
          <w:p w14:paraId="42A22E1B"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hideMark/>
          </w:tcPr>
          <w:p w14:paraId="62CF870A"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4E7C848A"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6BFCF1A4" w14:textId="77777777" w:rsidTr="00181181">
        <w:tblPrEx>
          <w:tblLook w:val="0480" w:firstRow="0" w:lastRow="0" w:firstColumn="1" w:lastColumn="0" w:noHBand="0" w:noVBand="1"/>
        </w:tblPrEx>
        <w:tc>
          <w:tcPr>
            <w:tcW w:w="5526" w:type="dxa"/>
            <w:shd w:val="clear" w:color="auto" w:fill="auto"/>
            <w:vAlign w:val="bottom"/>
          </w:tcPr>
          <w:p w14:paraId="7CACCE14"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Rescue winches</w:t>
            </w:r>
          </w:p>
        </w:tc>
        <w:tc>
          <w:tcPr>
            <w:tcW w:w="1273" w:type="dxa"/>
            <w:gridSpan w:val="2"/>
            <w:shd w:val="clear" w:color="auto" w:fill="auto"/>
            <w:noWrap/>
            <w:vAlign w:val="center"/>
          </w:tcPr>
          <w:p w14:paraId="0C6AD0C0"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78D71669"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tcPr>
          <w:p w14:paraId="6E83B0FA"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568" w:type="dxa"/>
            <w:gridSpan w:val="3"/>
            <w:shd w:val="clear" w:color="auto" w:fill="auto"/>
            <w:noWrap/>
            <w:vAlign w:val="center"/>
          </w:tcPr>
          <w:p w14:paraId="4D296A52" w14:textId="77777777" w:rsidR="008F2382" w:rsidRPr="00137FFA" w:rsidRDefault="008F2382" w:rsidP="00181181">
            <w:pPr>
              <w:spacing w:before="40" w:after="40"/>
              <w:contextualSpacing/>
              <w:jc w:val="center"/>
              <w:rPr>
                <w:rFonts w:asciiTheme="majorBidi" w:hAnsiTheme="majorBidi" w:cstheme="majorBidi"/>
                <w:bCs/>
              </w:rPr>
            </w:pPr>
          </w:p>
        </w:tc>
        <w:tc>
          <w:tcPr>
            <w:tcW w:w="1276" w:type="dxa"/>
          </w:tcPr>
          <w:p w14:paraId="48E09D3C"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02CD803B" w14:textId="77777777" w:rsidTr="00181181">
        <w:tblPrEx>
          <w:tblLook w:val="0480" w:firstRow="0" w:lastRow="0" w:firstColumn="1" w:lastColumn="0" w:noHBand="0" w:noVBand="1"/>
        </w:tblPrEx>
        <w:tc>
          <w:tcPr>
            <w:tcW w:w="5526" w:type="dxa"/>
            <w:shd w:val="clear" w:color="auto" w:fill="auto"/>
            <w:vAlign w:val="bottom"/>
          </w:tcPr>
          <w:p w14:paraId="61CF2187"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Personal protective and safety equipment, rescue equipment conforming to ES-TRIN</w:t>
            </w:r>
          </w:p>
        </w:tc>
        <w:tc>
          <w:tcPr>
            <w:tcW w:w="1273" w:type="dxa"/>
            <w:gridSpan w:val="2"/>
            <w:shd w:val="clear" w:color="auto" w:fill="auto"/>
            <w:noWrap/>
            <w:vAlign w:val="center"/>
          </w:tcPr>
          <w:p w14:paraId="6246291C"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38A3F4AF"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59" w:type="dxa"/>
            <w:gridSpan w:val="2"/>
            <w:shd w:val="clear" w:color="auto" w:fill="auto"/>
            <w:noWrap/>
            <w:vAlign w:val="center"/>
          </w:tcPr>
          <w:p w14:paraId="04EEAB6E"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tcPr>
          <w:p w14:paraId="533343DF"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70BFA297"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08A73282" w14:textId="77777777" w:rsidTr="00181181">
        <w:tblPrEx>
          <w:tblLook w:val="0480" w:firstRow="0" w:lastRow="0" w:firstColumn="1" w:lastColumn="0" w:noHBand="0" w:noVBand="1"/>
        </w:tblPrEx>
        <w:tc>
          <w:tcPr>
            <w:tcW w:w="5526" w:type="dxa"/>
            <w:shd w:val="clear" w:color="auto" w:fill="auto"/>
            <w:vAlign w:val="bottom"/>
          </w:tcPr>
          <w:p w14:paraId="20BD1733" w14:textId="77777777" w:rsidR="008F2382" w:rsidRPr="00137FFA" w:rsidRDefault="008F2382" w:rsidP="00181181">
            <w:pPr>
              <w:spacing w:before="40" w:after="40"/>
              <w:contextualSpacing/>
              <w:rPr>
                <w:rFonts w:asciiTheme="majorBidi" w:hAnsiTheme="majorBidi" w:cstheme="majorBidi"/>
                <w:bCs/>
              </w:rPr>
            </w:pPr>
            <w:proofErr w:type="spellStart"/>
            <w:r w:rsidRPr="00137FFA">
              <w:rPr>
                <w:rFonts w:asciiTheme="majorBidi" w:hAnsiTheme="majorBidi" w:cstheme="majorBidi"/>
                <w:bCs/>
              </w:rPr>
              <w:t>Driptrays</w:t>
            </w:r>
            <w:proofErr w:type="spellEnd"/>
          </w:p>
        </w:tc>
        <w:tc>
          <w:tcPr>
            <w:tcW w:w="1273" w:type="dxa"/>
            <w:gridSpan w:val="2"/>
            <w:shd w:val="clear" w:color="auto" w:fill="auto"/>
            <w:noWrap/>
            <w:vAlign w:val="center"/>
          </w:tcPr>
          <w:p w14:paraId="112FC91D" w14:textId="77777777" w:rsidR="008F2382" w:rsidRPr="00137FFA" w:rsidRDefault="008F2382" w:rsidP="00181181">
            <w:pPr>
              <w:spacing w:before="40" w:after="40"/>
              <w:contextualSpacing/>
              <w:jc w:val="center"/>
              <w:rPr>
                <w:rFonts w:asciiTheme="majorBidi" w:hAnsiTheme="majorBidi" w:cstheme="majorBidi"/>
                <w:bCs/>
                <w:strike/>
                <w:lang w:val="fr-FR"/>
              </w:rPr>
            </w:pPr>
          </w:p>
        </w:tc>
        <w:tc>
          <w:tcPr>
            <w:tcW w:w="1422" w:type="dxa"/>
            <w:gridSpan w:val="3"/>
            <w:shd w:val="clear" w:color="auto" w:fill="auto"/>
            <w:noWrap/>
            <w:vAlign w:val="center"/>
          </w:tcPr>
          <w:p w14:paraId="71430FE2"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559" w:type="dxa"/>
            <w:gridSpan w:val="2"/>
            <w:shd w:val="clear" w:color="auto" w:fill="auto"/>
            <w:noWrap/>
            <w:vAlign w:val="center"/>
          </w:tcPr>
          <w:p w14:paraId="34C553B4"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tcPr>
          <w:p w14:paraId="1128EAF3"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6" w:type="dxa"/>
          </w:tcPr>
          <w:p w14:paraId="69CA157C"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60559A80" w14:textId="77777777" w:rsidTr="00181181">
        <w:tblPrEx>
          <w:tblLook w:val="0480" w:firstRow="0" w:lastRow="0" w:firstColumn="1" w:lastColumn="0" w:noHBand="0" w:noVBand="1"/>
        </w:tblPrEx>
        <w:tc>
          <w:tcPr>
            <w:tcW w:w="5526" w:type="dxa"/>
            <w:shd w:val="clear" w:color="auto" w:fill="auto"/>
            <w:vAlign w:val="bottom"/>
            <w:hideMark/>
          </w:tcPr>
          <w:p w14:paraId="11494D64" w14:textId="77777777" w:rsidR="008F2382" w:rsidRPr="00137FFA" w:rsidRDefault="008F2382" w:rsidP="00181181">
            <w:pPr>
              <w:spacing w:before="40" w:after="40"/>
              <w:contextualSpacing/>
              <w:rPr>
                <w:rFonts w:asciiTheme="majorBidi" w:hAnsiTheme="majorBidi" w:cstheme="majorBidi"/>
                <w:bCs/>
                <w:lang w:val="fr-FR"/>
              </w:rPr>
            </w:pPr>
            <w:proofErr w:type="spellStart"/>
            <w:r w:rsidRPr="00137FFA">
              <w:rPr>
                <w:rFonts w:asciiTheme="majorBidi" w:hAnsiTheme="majorBidi" w:cstheme="majorBidi"/>
                <w:bCs/>
                <w:lang w:val="fr-FR"/>
              </w:rPr>
              <w:t>Fenders</w:t>
            </w:r>
            <w:proofErr w:type="spellEnd"/>
          </w:p>
        </w:tc>
        <w:tc>
          <w:tcPr>
            <w:tcW w:w="1273" w:type="dxa"/>
            <w:gridSpan w:val="2"/>
            <w:shd w:val="clear" w:color="auto" w:fill="auto"/>
            <w:noWrap/>
            <w:vAlign w:val="center"/>
            <w:hideMark/>
          </w:tcPr>
          <w:p w14:paraId="442AB697"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422" w:type="dxa"/>
            <w:gridSpan w:val="3"/>
            <w:shd w:val="clear" w:color="auto" w:fill="auto"/>
            <w:noWrap/>
            <w:vAlign w:val="center"/>
            <w:hideMark/>
          </w:tcPr>
          <w:p w14:paraId="35ABA0B6"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559" w:type="dxa"/>
            <w:gridSpan w:val="2"/>
            <w:shd w:val="clear" w:color="auto" w:fill="auto"/>
            <w:noWrap/>
            <w:vAlign w:val="center"/>
            <w:hideMark/>
          </w:tcPr>
          <w:p w14:paraId="1441488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hideMark/>
          </w:tcPr>
          <w:p w14:paraId="27871CEF"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056DCCC7"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1E047245" w14:textId="77777777" w:rsidTr="00181181">
        <w:tblPrEx>
          <w:tblLook w:val="0480" w:firstRow="0" w:lastRow="0" w:firstColumn="1" w:lastColumn="0" w:noHBand="0" w:noVBand="1"/>
        </w:tblPrEx>
        <w:tc>
          <w:tcPr>
            <w:tcW w:w="5526" w:type="dxa"/>
            <w:vMerge w:val="restart"/>
            <w:shd w:val="clear" w:color="auto" w:fill="auto"/>
            <w:hideMark/>
          </w:tcPr>
          <w:p w14:paraId="4F1500C8"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Mooring lines, ropes for tenders, etc.</w:t>
            </w:r>
          </w:p>
        </w:tc>
        <w:tc>
          <w:tcPr>
            <w:tcW w:w="1273" w:type="dxa"/>
            <w:gridSpan w:val="2"/>
            <w:shd w:val="clear" w:color="auto" w:fill="auto"/>
            <w:noWrap/>
            <w:vAlign w:val="center"/>
            <w:hideMark/>
          </w:tcPr>
          <w:p w14:paraId="73CBE227"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hideMark/>
          </w:tcPr>
          <w:p w14:paraId="6FAFE8C7" w14:textId="77777777" w:rsidR="008F2382" w:rsidRPr="00137FFA" w:rsidRDefault="008F2382" w:rsidP="00181181">
            <w:pPr>
              <w:spacing w:before="40" w:after="40"/>
              <w:contextualSpacing/>
              <w:jc w:val="center"/>
              <w:rPr>
                <w:rFonts w:asciiTheme="majorBidi" w:hAnsiTheme="majorBidi" w:cstheme="majorBidi"/>
                <w:bCs/>
              </w:rPr>
            </w:pPr>
          </w:p>
        </w:tc>
        <w:tc>
          <w:tcPr>
            <w:tcW w:w="1559" w:type="dxa"/>
            <w:gridSpan w:val="2"/>
            <w:shd w:val="clear" w:color="auto" w:fill="auto"/>
            <w:noWrap/>
            <w:vAlign w:val="center"/>
            <w:hideMark/>
          </w:tcPr>
          <w:p w14:paraId="4A8208D0"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568" w:type="dxa"/>
            <w:gridSpan w:val="3"/>
            <w:shd w:val="clear" w:color="auto" w:fill="auto"/>
            <w:noWrap/>
            <w:vAlign w:val="center"/>
            <w:hideMark/>
          </w:tcPr>
          <w:p w14:paraId="7998EA67"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6" w:type="dxa"/>
          </w:tcPr>
          <w:p w14:paraId="7A655F42"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01488EF5" w14:textId="77777777" w:rsidTr="00181181">
        <w:tblPrEx>
          <w:tblLook w:val="0480" w:firstRow="0" w:lastRow="0" w:firstColumn="1" w:lastColumn="0" w:noHBand="0" w:noVBand="1"/>
        </w:tblPrEx>
        <w:tc>
          <w:tcPr>
            <w:tcW w:w="5526" w:type="dxa"/>
            <w:vMerge/>
            <w:shd w:val="clear" w:color="auto" w:fill="auto"/>
            <w:vAlign w:val="bottom"/>
          </w:tcPr>
          <w:p w14:paraId="2BA08E52" w14:textId="77777777" w:rsidR="008F2382" w:rsidRPr="00137FFA" w:rsidRDefault="008F2382" w:rsidP="00181181">
            <w:pPr>
              <w:spacing w:before="40" w:after="40"/>
              <w:contextualSpacing/>
              <w:rPr>
                <w:rFonts w:asciiTheme="majorBidi" w:hAnsiTheme="majorBidi" w:cstheme="majorBidi"/>
                <w:bCs/>
              </w:rPr>
            </w:pPr>
          </w:p>
        </w:tc>
        <w:tc>
          <w:tcPr>
            <w:tcW w:w="1273" w:type="dxa"/>
            <w:gridSpan w:val="2"/>
            <w:shd w:val="clear" w:color="auto" w:fill="auto"/>
            <w:noWrap/>
            <w:vAlign w:val="center"/>
          </w:tcPr>
          <w:p w14:paraId="49809DAE"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662DF766"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559" w:type="dxa"/>
            <w:gridSpan w:val="2"/>
            <w:shd w:val="clear" w:color="auto" w:fill="auto"/>
            <w:noWrap/>
            <w:vAlign w:val="center"/>
          </w:tcPr>
          <w:p w14:paraId="0C78E012"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rPr>
              <w:t>respecting 7.x.4.76</w:t>
            </w:r>
          </w:p>
        </w:tc>
        <w:tc>
          <w:tcPr>
            <w:tcW w:w="1568" w:type="dxa"/>
            <w:gridSpan w:val="3"/>
            <w:shd w:val="clear" w:color="auto" w:fill="auto"/>
            <w:noWrap/>
            <w:vAlign w:val="center"/>
          </w:tcPr>
          <w:p w14:paraId="1438C81E"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276" w:type="dxa"/>
          </w:tcPr>
          <w:p w14:paraId="6161D581"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0EC07966" w14:textId="77777777" w:rsidTr="00181181">
        <w:tblPrEx>
          <w:tblLook w:val="0480" w:firstRow="0" w:lastRow="0" w:firstColumn="1" w:lastColumn="0" w:noHBand="0" w:noVBand="1"/>
        </w:tblPrEx>
        <w:tc>
          <w:tcPr>
            <w:tcW w:w="5526" w:type="dxa"/>
            <w:shd w:val="clear" w:color="auto" w:fill="auto"/>
            <w:vAlign w:val="bottom"/>
          </w:tcPr>
          <w:p w14:paraId="57A0FF5B"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Mat under hose assemblies for loading and unloading piping system</w:t>
            </w:r>
          </w:p>
        </w:tc>
        <w:tc>
          <w:tcPr>
            <w:tcW w:w="1273" w:type="dxa"/>
            <w:gridSpan w:val="2"/>
            <w:shd w:val="clear" w:color="auto" w:fill="auto"/>
            <w:noWrap/>
            <w:vAlign w:val="center"/>
          </w:tcPr>
          <w:p w14:paraId="5671224C"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4D3D938D" w14:textId="77777777" w:rsidR="008F2382" w:rsidRPr="00137FFA" w:rsidRDefault="008F2382" w:rsidP="00181181">
            <w:pPr>
              <w:spacing w:before="40" w:after="40"/>
              <w:contextualSpacing/>
              <w:jc w:val="center"/>
              <w:rPr>
                <w:rFonts w:asciiTheme="majorBidi" w:hAnsiTheme="majorBidi" w:cstheme="majorBidi"/>
                <w:bCs/>
              </w:rPr>
            </w:pPr>
          </w:p>
        </w:tc>
        <w:tc>
          <w:tcPr>
            <w:tcW w:w="1559" w:type="dxa"/>
            <w:gridSpan w:val="2"/>
            <w:shd w:val="clear" w:color="auto" w:fill="auto"/>
            <w:noWrap/>
            <w:vAlign w:val="center"/>
          </w:tcPr>
          <w:p w14:paraId="4E526F2C"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68" w:type="dxa"/>
            <w:gridSpan w:val="3"/>
            <w:shd w:val="clear" w:color="auto" w:fill="auto"/>
            <w:noWrap/>
            <w:vAlign w:val="center"/>
          </w:tcPr>
          <w:p w14:paraId="4B7FDADA"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02FBBE4E"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77BEC7C0" w14:textId="77777777" w:rsidTr="00181181">
        <w:tblPrEx>
          <w:tblLook w:val="0480" w:firstRow="0" w:lastRow="0" w:firstColumn="1" w:lastColumn="0" w:noHBand="0" w:noVBand="1"/>
        </w:tblPrEx>
        <w:tc>
          <w:tcPr>
            <w:tcW w:w="5526" w:type="dxa"/>
            <w:shd w:val="clear" w:color="auto" w:fill="auto"/>
            <w:vAlign w:val="bottom"/>
          </w:tcPr>
          <w:p w14:paraId="08FE0757"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Fire hoses, air hoses, hoses for cleaning the deck, etc.</w:t>
            </w:r>
          </w:p>
        </w:tc>
        <w:tc>
          <w:tcPr>
            <w:tcW w:w="1273" w:type="dxa"/>
            <w:gridSpan w:val="2"/>
            <w:shd w:val="clear" w:color="auto" w:fill="auto"/>
            <w:noWrap/>
            <w:vAlign w:val="center"/>
          </w:tcPr>
          <w:p w14:paraId="146C5173"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1A7D6F23" w14:textId="77777777" w:rsidR="008F2382" w:rsidRPr="00137FFA" w:rsidRDefault="008F2382" w:rsidP="00181181">
            <w:pPr>
              <w:spacing w:before="40" w:after="40"/>
              <w:contextualSpacing/>
              <w:jc w:val="center"/>
              <w:rPr>
                <w:rFonts w:asciiTheme="majorBidi" w:hAnsiTheme="majorBidi" w:cstheme="majorBidi"/>
                <w:bCs/>
              </w:rPr>
            </w:pPr>
          </w:p>
        </w:tc>
        <w:tc>
          <w:tcPr>
            <w:tcW w:w="1559" w:type="dxa"/>
            <w:gridSpan w:val="2"/>
            <w:shd w:val="clear" w:color="auto" w:fill="auto"/>
            <w:noWrap/>
            <w:vAlign w:val="center"/>
          </w:tcPr>
          <w:p w14:paraId="591D5AB2"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68" w:type="dxa"/>
            <w:gridSpan w:val="3"/>
            <w:shd w:val="clear" w:color="auto" w:fill="auto"/>
            <w:noWrap/>
            <w:vAlign w:val="center"/>
          </w:tcPr>
          <w:p w14:paraId="562D355B"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lang w:val="fr-FR"/>
              </w:rPr>
              <w:t>X</w:t>
            </w:r>
          </w:p>
        </w:tc>
        <w:tc>
          <w:tcPr>
            <w:tcW w:w="1276" w:type="dxa"/>
          </w:tcPr>
          <w:p w14:paraId="1F64C3F8"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22A4C62E" w14:textId="77777777" w:rsidTr="00181181">
        <w:tblPrEx>
          <w:tblLook w:val="0480" w:firstRow="0" w:lastRow="0" w:firstColumn="1" w:lastColumn="0" w:noHBand="0" w:noVBand="1"/>
        </w:tblPrEx>
        <w:tc>
          <w:tcPr>
            <w:tcW w:w="5526" w:type="dxa"/>
            <w:shd w:val="clear" w:color="auto" w:fill="auto"/>
            <w:vAlign w:val="bottom"/>
          </w:tcPr>
          <w:p w14:paraId="6D01F59A"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Other kinds of hoses</w:t>
            </w:r>
          </w:p>
        </w:tc>
        <w:tc>
          <w:tcPr>
            <w:tcW w:w="7098" w:type="dxa"/>
            <w:gridSpan w:val="11"/>
            <w:shd w:val="clear" w:color="auto" w:fill="auto"/>
            <w:noWrap/>
            <w:vAlign w:val="center"/>
          </w:tcPr>
          <w:p w14:paraId="7F3801AA"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In line with 8.1.6.2 and Norms mentioned</w:t>
            </w:r>
          </w:p>
        </w:tc>
      </w:tr>
      <w:tr w:rsidR="008F2382" w:rsidRPr="00137FFA" w14:paraId="41757B2B" w14:textId="77777777" w:rsidTr="00181181">
        <w:tblPrEx>
          <w:tblLook w:val="0480" w:firstRow="0" w:lastRow="0" w:firstColumn="1" w:lastColumn="0" w:noHBand="0" w:noVBand="1"/>
        </w:tblPrEx>
        <w:tc>
          <w:tcPr>
            <w:tcW w:w="5526" w:type="dxa"/>
            <w:vMerge w:val="restart"/>
            <w:shd w:val="clear" w:color="auto" w:fill="auto"/>
          </w:tcPr>
          <w:p w14:paraId="26538A16"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Aluminium gauging rods</w:t>
            </w:r>
          </w:p>
        </w:tc>
        <w:tc>
          <w:tcPr>
            <w:tcW w:w="1273" w:type="dxa"/>
            <w:gridSpan w:val="2"/>
            <w:shd w:val="clear" w:color="auto" w:fill="auto"/>
            <w:noWrap/>
            <w:vAlign w:val="center"/>
          </w:tcPr>
          <w:p w14:paraId="6DE52A62"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0B97DAE1" w14:textId="77777777" w:rsidR="008F2382" w:rsidRPr="00137FFA" w:rsidRDefault="008F2382" w:rsidP="00181181">
            <w:pPr>
              <w:spacing w:before="40" w:after="40"/>
              <w:contextualSpacing/>
              <w:jc w:val="center"/>
              <w:rPr>
                <w:rFonts w:asciiTheme="majorBidi" w:hAnsiTheme="majorBidi" w:cstheme="majorBidi"/>
                <w:bCs/>
                <w:lang w:val="fr-FR"/>
              </w:rPr>
            </w:pPr>
            <w:r w:rsidRPr="00137FFA">
              <w:rPr>
                <w:rFonts w:asciiTheme="majorBidi" w:hAnsiTheme="majorBidi" w:cstheme="majorBidi"/>
                <w:bCs/>
              </w:rPr>
              <w:t>X</w:t>
            </w:r>
          </w:p>
        </w:tc>
        <w:tc>
          <w:tcPr>
            <w:tcW w:w="1559" w:type="dxa"/>
            <w:gridSpan w:val="2"/>
            <w:shd w:val="clear" w:color="auto" w:fill="auto"/>
            <w:noWrap/>
            <w:vAlign w:val="center"/>
          </w:tcPr>
          <w:p w14:paraId="5BB4A528" w14:textId="77777777" w:rsidR="008F2382" w:rsidRPr="00137FFA" w:rsidRDefault="008F2382" w:rsidP="00181181">
            <w:pPr>
              <w:spacing w:before="40" w:after="40"/>
              <w:contextualSpacing/>
              <w:jc w:val="center"/>
              <w:rPr>
                <w:rFonts w:asciiTheme="majorBidi" w:hAnsiTheme="majorBidi" w:cstheme="majorBidi"/>
                <w:bCs/>
              </w:rPr>
            </w:pPr>
          </w:p>
        </w:tc>
        <w:tc>
          <w:tcPr>
            <w:tcW w:w="1505" w:type="dxa"/>
            <w:gridSpan w:val="2"/>
            <w:shd w:val="clear" w:color="auto" w:fill="auto"/>
            <w:noWrap/>
            <w:vAlign w:val="center"/>
          </w:tcPr>
          <w:p w14:paraId="3C30CAF2" w14:textId="77777777" w:rsidR="008F2382" w:rsidRPr="00137FFA" w:rsidRDefault="008F2382" w:rsidP="00181181">
            <w:pPr>
              <w:spacing w:before="40" w:after="40"/>
              <w:contextualSpacing/>
              <w:jc w:val="center"/>
              <w:rPr>
                <w:rFonts w:asciiTheme="majorBidi" w:hAnsiTheme="majorBidi" w:cstheme="majorBidi"/>
                <w:bCs/>
                <w:lang w:val="fr-FR"/>
              </w:rPr>
            </w:pPr>
          </w:p>
        </w:tc>
        <w:tc>
          <w:tcPr>
            <w:tcW w:w="1339" w:type="dxa"/>
            <w:gridSpan w:val="2"/>
          </w:tcPr>
          <w:p w14:paraId="36E67078" w14:textId="77777777" w:rsidR="008F2382" w:rsidRPr="00137FFA" w:rsidRDefault="008F2382" w:rsidP="00181181">
            <w:pPr>
              <w:spacing w:before="40" w:after="40"/>
              <w:contextualSpacing/>
              <w:jc w:val="center"/>
              <w:rPr>
                <w:rFonts w:asciiTheme="majorBidi" w:hAnsiTheme="majorBidi" w:cstheme="majorBidi"/>
                <w:bCs/>
                <w:lang w:val="fr-FR"/>
              </w:rPr>
            </w:pPr>
          </w:p>
        </w:tc>
      </w:tr>
      <w:tr w:rsidR="008F2382" w:rsidRPr="00137FFA" w14:paraId="585DA2FD" w14:textId="77777777" w:rsidTr="00181181">
        <w:tblPrEx>
          <w:tblLook w:val="0480" w:firstRow="0" w:lastRow="0" w:firstColumn="1" w:lastColumn="0" w:noHBand="0" w:noVBand="1"/>
        </w:tblPrEx>
        <w:tc>
          <w:tcPr>
            <w:tcW w:w="5526" w:type="dxa"/>
            <w:vMerge/>
            <w:shd w:val="clear" w:color="auto" w:fill="auto"/>
            <w:vAlign w:val="bottom"/>
          </w:tcPr>
          <w:p w14:paraId="5302F6B6" w14:textId="77777777" w:rsidR="008F2382" w:rsidRPr="00137FFA" w:rsidRDefault="008F2382" w:rsidP="00181181">
            <w:pPr>
              <w:spacing w:before="40" w:after="40"/>
              <w:contextualSpacing/>
              <w:rPr>
                <w:rFonts w:asciiTheme="majorBidi" w:hAnsiTheme="majorBidi" w:cstheme="majorBidi"/>
                <w:bCs/>
              </w:rPr>
            </w:pPr>
          </w:p>
        </w:tc>
        <w:tc>
          <w:tcPr>
            <w:tcW w:w="7098" w:type="dxa"/>
            <w:gridSpan w:val="11"/>
            <w:shd w:val="clear" w:color="auto" w:fill="auto"/>
            <w:noWrap/>
            <w:vAlign w:val="center"/>
          </w:tcPr>
          <w:p w14:paraId="33BF9902"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If fitted with brass feet or protected in another way to avoid sparking.</w:t>
            </w:r>
          </w:p>
        </w:tc>
      </w:tr>
      <w:tr w:rsidR="008F2382" w:rsidRPr="00137FFA" w14:paraId="4A332A6A" w14:textId="77777777" w:rsidTr="00181181">
        <w:tblPrEx>
          <w:tblLook w:val="0480" w:firstRow="0" w:lastRow="0" w:firstColumn="1" w:lastColumn="0" w:noHBand="0" w:noVBand="1"/>
        </w:tblPrEx>
        <w:tc>
          <w:tcPr>
            <w:tcW w:w="5526" w:type="dxa"/>
            <w:shd w:val="clear" w:color="auto" w:fill="auto"/>
            <w:vAlign w:val="bottom"/>
          </w:tcPr>
          <w:p w14:paraId="1B42A5C5"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Sampling equipment</w:t>
            </w:r>
          </w:p>
        </w:tc>
        <w:tc>
          <w:tcPr>
            <w:tcW w:w="1273" w:type="dxa"/>
            <w:gridSpan w:val="2"/>
            <w:shd w:val="clear" w:color="auto" w:fill="auto"/>
            <w:noWrap/>
            <w:vAlign w:val="center"/>
          </w:tcPr>
          <w:p w14:paraId="66DE3295"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3"/>
            <w:shd w:val="clear" w:color="auto" w:fill="auto"/>
            <w:noWrap/>
            <w:vAlign w:val="center"/>
          </w:tcPr>
          <w:p w14:paraId="75476AEC" w14:textId="77777777" w:rsidR="008F2382" w:rsidRPr="00137FFA" w:rsidRDefault="008F2382" w:rsidP="00181181">
            <w:pPr>
              <w:spacing w:before="40" w:after="40"/>
              <w:contextualSpacing/>
              <w:jc w:val="center"/>
              <w:rPr>
                <w:rFonts w:asciiTheme="majorBidi" w:hAnsiTheme="majorBidi" w:cstheme="majorBidi"/>
                <w:bCs/>
              </w:rPr>
            </w:pPr>
          </w:p>
        </w:tc>
        <w:tc>
          <w:tcPr>
            <w:tcW w:w="1559" w:type="dxa"/>
            <w:gridSpan w:val="2"/>
            <w:shd w:val="clear" w:color="auto" w:fill="auto"/>
            <w:noWrap/>
            <w:vAlign w:val="center"/>
          </w:tcPr>
          <w:p w14:paraId="4FDDD60C"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05" w:type="dxa"/>
            <w:gridSpan w:val="2"/>
            <w:shd w:val="clear" w:color="auto" w:fill="auto"/>
            <w:noWrap/>
            <w:vAlign w:val="center"/>
          </w:tcPr>
          <w:p w14:paraId="0C695D02" w14:textId="77777777" w:rsidR="008F2382" w:rsidRPr="00137FFA" w:rsidRDefault="008F2382" w:rsidP="00181181">
            <w:pPr>
              <w:spacing w:before="40" w:after="40"/>
              <w:contextualSpacing/>
              <w:jc w:val="center"/>
              <w:rPr>
                <w:rFonts w:asciiTheme="majorBidi" w:hAnsiTheme="majorBidi" w:cstheme="majorBidi"/>
                <w:bCs/>
              </w:rPr>
            </w:pPr>
          </w:p>
        </w:tc>
        <w:tc>
          <w:tcPr>
            <w:tcW w:w="1339" w:type="dxa"/>
            <w:gridSpan w:val="2"/>
          </w:tcPr>
          <w:p w14:paraId="4121D69D" w14:textId="77777777" w:rsidR="008F2382" w:rsidRPr="00137FFA" w:rsidRDefault="008F2382" w:rsidP="00181181">
            <w:pPr>
              <w:spacing w:before="40" w:after="40"/>
              <w:contextualSpacing/>
              <w:jc w:val="center"/>
              <w:rPr>
                <w:rFonts w:asciiTheme="majorBidi" w:hAnsiTheme="majorBidi" w:cstheme="majorBidi"/>
                <w:bCs/>
              </w:rPr>
            </w:pPr>
          </w:p>
        </w:tc>
      </w:tr>
    </w:tbl>
    <w:p w14:paraId="27EEF522" w14:textId="77777777" w:rsidR="008F2382" w:rsidRPr="00137FFA" w:rsidRDefault="008F2382" w:rsidP="008F2382">
      <w:pPr>
        <w:rPr>
          <w:rFonts w:asciiTheme="majorBidi" w:hAnsiTheme="majorBidi" w:cstheme="majorBidi"/>
          <w:bCs/>
        </w:rPr>
      </w:pPr>
      <w:r w:rsidRPr="00137FFA">
        <w:rPr>
          <w:rFonts w:asciiTheme="majorBidi" w:hAnsiTheme="majorBidi" w:cstheme="majorBidi"/>
          <w:bCs/>
        </w:rPr>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5"/>
        <w:gridCol w:w="12"/>
        <w:gridCol w:w="1262"/>
        <w:gridCol w:w="33"/>
        <w:gridCol w:w="1389"/>
        <w:gridCol w:w="9"/>
        <w:gridCol w:w="1549"/>
        <w:gridCol w:w="9"/>
        <w:gridCol w:w="1558"/>
        <w:gridCol w:w="142"/>
        <w:gridCol w:w="1073"/>
      </w:tblGrid>
      <w:tr w:rsidR="008F2382" w:rsidRPr="00137FFA" w14:paraId="3E008329" w14:textId="77777777" w:rsidTr="00181181">
        <w:trPr>
          <w:trHeight w:val="270"/>
          <w:tblHeader/>
        </w:trPr>
        <w:tc>
          <w:tcPr>
            <w:tcW w:w="5537" w:type="dxa"/>
            <w:gridSpan w:val="2"/>
            <w:tcBorders>
              <w:top w:val="nil"/>
              <w:left w:val="nil"/>
            </w:tcBorders>
            <w:shd w:val="clear" w:color="auto" w:fill="auto"/>
            <w:noWrap/>
            <w:vAlign w:val="bottom"/>
            <w:hideMark/>
          </w:tcPr>
          <w:p w14:paraId="153EDDEA" w14:textId="77777777" w:rsidR="008F2382" w:rsidRPr="00137FFA" w:rsidRDefault="008F2382" w:rsidP="00181181">
            <w:pPr>
              <w:spacing w:before="40" w:after="40"/>
              <w:contextualSpacing/>
              <w:rPr>
                <w:rFonts w:asciiTheme="majorBidi" w:hAnsiTheme="majorBidi" w:cstheme="majorBidi"/>
                <w:bCs/>
              </w:rPr>
            </w:pPr>
          </w:p>
        </w:tc>
        <w:tc>
          <w:tcPr>
            <w:tcW w:w="1295" w:type="dxa"/>
            <w:gridSpan w:val="2"/>
            <w:tcBorders>
              <w:top w:val="single" w:sz="4" w:space="0" w:color="auto"/>
            </w:tcBorders>
            <w:shd w:val="clear" w:color="auto" w:fill="auto"/>
            <w:noWrap/>
            <w:vAlign w:val="center"/>
            <w:hideMark/>
          </w:tcPr>
          <w:p w14:paraId="27D41534"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Wood</w:t>
            </w:r>
          </w:p>
        </w:tc>
        <w:tc>
          <w:tcPr>
            <w:tcW w:w="1398" w:type="dxa"/>
            <w:gridSpan w:val="2"/>
            <w:shd w:val="clear" w:color="auto" w:fill="auto"/>
            <w:noWrap/>
            <w:vAlign w:val="center"/>
            <w:hideMark/>
          </w:tcPr>
          <w:p w14:paraId="0E3E3267"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Aluminium </w:t>
            </w:r>
            <w:proofErr w:type="spellStart"/>
            <w:r w:rsidRPr="006C3911">
              <w:rPr>
                <w:rFonts w:asciiTheme="majorBidi" w:hAnsiTheme="majorBidi" w:cstheme="majorBidi"/>
                <w:b/>
                <w:lang w:val="fr-FR"/>
              </w:rPr>
              <w:t>alloys</w:t>
            </w:r>
            <w:proofErr w:type="spellEnd"/>
          </w:p>
        </w:tc>
        <w:tc>
          <w:tcPr>
            <w:tcW w:w="1558" w:type="dxa"/>
            <w:gridSpan w:val="2"/>
            <w:shd w:val="clear" w:color="auto" w:fill="auto"/>
            <w:noWrap/>
            <w:vAlign w:val="center"/>
            <w:hideMark/>
          </w:tcPr>
          <w:p w14:paraId="032049FA"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 xml:space="preserve">Plastic </w:t>
            </w:r>
            <w:r w:rsidRPr="006C3911">
              <w:rPr>
                <w:rFonts w:asciiTheme="majorBidi" w:hAnsiTheme="majorBidi" w:cstheme="majorBidi"/>
                <w:b/>
                <w:lang w:val="fr-FR"/>
              </w:rPr>
              <w:br/>
            </w:r>
            <w:proofErr w:type="spellStart"/>
            <w:r w:rsidRPr="006C3911">
              <w:rPr>
                <w:rFonts w:asciiTheme="majorBidi" w:hAnsiTheme="majorBidi" w:cstheme="majorBidi"/>
                <w:b/>
                <w:lang w:val="fr-FR"/>
              </w:rPr>
              <w:t>material</w:t>
            </w:r>
            <w:proofErr w:type="spellEnd"/>
            <w:r w:rsidRPr="006C3911">
              <w:rPr>
                <w:rFonts w:asciiTheme="majorBidi" w:hAnsiTheme="majorBidi" w:cstheme="majorBidi"/>
                <w:b/>
                <w:lang w:val="fr-FR"/>
              </w:rPr>
              <w:t xml:space="preserve"> / Composite</w:t>
            </w:r>
          </w:p>
        </w:tc>
        <w:tc>
          <w:tcPr>
            <w:tcW w:w="1558" w:type="dxa"/>
            <w:shd w:val="clear" w:color="auto" w:fill="auto"/>
            <w:noWrap/>
            <w:vAlign w:val="center"/>
            <w:hideMark/>
          </w:tcPr>
          <w:p w14:paraId="08C2A3E9" w14:textId="77777777" w:rsidR="008F2382" w:rsidRPr="006C3911" w:rsidRDefault="008F2382" w:rsidP="00181181">
            <w:pPr>
              <w:spacing w:before="40" w:after="40"/>
              <w:contextualSpacing/>
              <w:jc w:val="center"/>
              <w:rPr>
                <w:rFonts w:asciiTheme="majorBidi" w:hAnsiTheme="majorBidi" w:cstheme="majorBidi"/>
                <w:b/>
                <w:lang w:val="fr-FR"/>
              </w:rPr>
            </w:pPr>
            <w:proofErr w:type="spellStart"/>
            <w:r w:rsidRPr="006C3911">
              <w:rPr>
                <w:rFonts w:asciiTheme="majorBidi" w:hAnsiTheme="majorBidi" w:cstheme="majorBidi"/>
                <w:b/>
                <w:lang w:val="fr-FR"/>
              </w:rPr>
              <w:t>Rubber</w:t>
            </w:r>
            <w:proofErr w:type="spellEnd"/>
          </w:p>
        </w:tc>
        <w:tc>
          <w:tcPr>
            <w:tcW w:w="1215" w:type="dxa"/>
            <w:gridSpan w:val="2"/>
          </w:tcPr>
          <w:p w14:paraId="2E16DBF1" w14:textId="77777777" w:rsidR="008F2382" w:rsidRPr="006C3911" w:rsidRDefault="008F2382" w:rsidP="00181181">
            <w:pPr>
              <w:spacing w:before="40" w:after="40"/>
              <w:contextualSpacing/>
              <w:jc w:val="center"/>
              <w:rPr>
                <w:rFonts w:asciiTheme="majorBidi" w:hAnsiTheme="majorBidi" w:cstheme="majorBidi"/>
                <w:b/>
                <w:lang w:val="fr-FR"/>
              </w:rPr>
            </w:pPr>
            <w:r w:rsidRPr="006C3911">
              <w:rPr>
                <w:rFonts w:asciiTheme="majorBidi" w:hAnsiTheme="majorBidi" w:cstheme="majorBidi"/>
                <w:b/>
                <w:lang w:val="fr-FR"/>
              </w:rPr>
              <w:t>Glass</w:t>
            </w:r>
          </w:p>
        </w:tc>
      </w:tr>
      <w:tr w:rsidR="008F2382" w:rsidRPr="00137FFA" w14:paraId="65A264BC" w14:textId="77777777" w:rsidTr="00181181">
        <w:tblPrEx>
          <w:tblLook w:val="0480" w:firstRow="0" w:lastRow="0" w:firstColumn="1" w:lastColumn="0" w:noHBand="0" w:noVBand="1"/>
        </w:tblPrEx>
        <w:tc>
          <w:tcPr>
            <w:tcW w:w="5525" w:type="dxa"/>
            <w:shd w:val="clear" w:color="auto" w:fill="auto"/>
          </w:tcPr>
          <w:p w14:paraId="34B48596" w14:textId="77777777" w:rsidR="008F2382" w:rsidRPr="00137FFA" w:rsidRDefault="008F2382" w:rsidP="00181181">
            <w:pPr>
              <w:spacing w:before="40" w:after="40"/>
              <w:contextualSpacing/>
              <w:rPr>
                <w:rFonts w:asciiTheme="majorBidi" w:hAnsiTheme="majorBidi" w:cstheme="majorBidi"/>
                <w:b/>
              </w:rPr>
            </w:pPr>
            <w:r w:rsidRPr="00137FFA">
              <w:rPr>
                <w:rFonts w:asciiTheme="majorBidi" w:hAnsiTheme="majorBidi" w:cstheme="majorBidi"/>
                <w:b/>
              </w:rPr>
              <w:t>Receptables for oily and greasy wastes (7.2.4.1)</w:t>
            </w:r>
          </w:p>
        </w:tc>
        <w:tc>
          <w:tcPr>
            <w:tcW w:w="1274" w:type="dxa"/>
            <w:gridSpan w:val="2"/>
            <w:shd w:val="clear" w:color="auto" w:fill="auto"/>
            <w:noWrap/>
            <w:vAlign w:val="center"/>
          </w:tcPr>
          <w:p w14:paraId="0C75AACE"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auto"/>
            <w:noWrap/>
            <w:vAlign w:val="center"/>
          </w:tcPr>
          <w:p w14:paraId="1926561D"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58" w:type="dxa"/>
            <w:gridSpan w:val="2"/>
            <w:shd w:val="clear" w:color="auto" w:fill="auto"/>
            <w:noWrap/>
            <w:vAlign w:val="center"/>
          </w:tcPr>
          <w:p w14:paraId="6EC24FA1"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67" w:type="dxa"/>
            <w:gridSpan w:val="2"/>
            <w:shd w:val="clear" w:color="auto" w:fill="auto"/>
            <w:noWrap/>
            <w:vAlign w:val="center"/>
          </w:tcPr>
          <w:p w14:paraId="2F75BD10" w14:textId="77777777" w:rsidR="008F2382" w:rsidRPr="00137FFA" w:rsidRDefault="008F2382" w:rsidP="00181181">
            <w:pPr>
              <w:spacing w:before="40" w:after="40"/>
              <w:contextualSpacing/>
              <w:jc w:val="center"/>
              <w:rPr>
                <w:rFonts w:asciiTheme="majorBidi" w:hAnsiTheme="majorBidi" w:cstheme="majorBidi"/>
                <w:bCs/>
              </w:rPr>
            </w:pPr>
          </w:p>
        </w:tc>
        <w:tc>
          <w:tcPr>
            <w:tcW w:w="1215" w:type="dxa"/>
            <w:gridSpan w:val="2"/>
          </w:tcPr>
          <w:p w14:paraId="52E2E61A"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273518CB" w14:textId="77777777" w:rsidTr="00181181">
        <w:tblPrEx>
          <w:tblLook w:val="0480" w:firstRow="0" w:lastRow="0" w:firstColumn="1" w:lastColumn="0" w:noHBand="0" w:noVBand="1"/>
        </w:tblPrEx>
        <w:tc>
          <w:tcPr>
            <w:tcW w:w="5525" w:type="dxa"/>
            <w:shd w:val="clear" w:color="auto" w:fill="auto"/>
          </w:tcPr>
          <w:p w14:paraId="21FF72B7" w14:textId="77777777" w:rsidR="008F2382" w:rsidRPr="00137FFA" w:rsidRDefault="008F2382" w:rsidP="00181181">
            <w:pPr>
              <w:spacing w:before="40" w:after="40"/>
              <w:contextualSpacing/>
              <w:rPr>
                <w:rFonts w:asciiTheme="majorBidi" w:hAnsiTheme="majorBidi" w:cstheme="majorBidi"/>
                <w:bCs/>
              </w:rPr>
            </w:pPr>
          </w:p>
        </w:tc>
        <w:tc>
          <w:tcPr>
            <w:tcW w:w="1274" w:type="dxa"/>
            <w:gridSpan w:val="2"/>
            <w:shd w:val="clear" w:color="auto" w:fill="auto"/>
            <w:noWrap/>
            <w:vAlign w:val="center"/>
          </w:tcPr>
          <w:p w14:paraId="5FE097F7" w14:textId="77777777" w:rsidR="008F2382" w:rsidRPr="00137FFA" w:rsidRDefault="008F2382" w:rsidP="00181181">
            <w:pPr>
              <w:spacing w:before="40" w:after="40"/>
              <w:contextualSpacing/>
              <w:jc w:val="center"/>
              <w:rPr>
                <w:rFonts w:asciiTheme="majorBidi" w:hAnsiTheme="majorBidi" w:cstheme="majorBidi"/>
                <w:bCs/>
              </w:rPr>
            </w:pPr>
          </w:p>
        </w:tc>
        <w:tc>
          <w:tcPr>
            <w:tcW w:w="5762" w:type="dxa"/>
            <w:gridSpan w:val="8"/>
            <w:shd w:val="clear" w:color="auto" w:fill="auto"/>
            <w:noWrap/>
            <w:vAlign w:val="center"/>
          </w:tcPr>
          <w:p w14:paraId="4632D57E"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fire-resistant receptables, (7.2.1.21.6)</w:t>
            </w:r>
          </w:p>
        </w:tc>
      </w:tr>
      <w:tr w:rsidR="008F2382" w:rsidRPr="00137FFA" w14:paraId="74808634" w14:textId="77777777" w:rsidTr="00181181">
        <w:tblPrEx>
          <w:tblLook w:val="0480" w:firstRow="0" w:lastRow="0" w:firstColumn="1" w:lastColumn="0" w:noHBand="0" w:noVBand="1"/>
        </w:tblPrEx>
        <w:tc>
          <w:tcPr>
            <w:tcW w:w="5525" w:type="dxa"/>
            <w:shd w:val="clear" w:color="auto" w:fill="auto"/>
          </w:tcPr>
          <w:p w14:paraId="3B04EB4E"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Receptables for residual products and receptables for slops</w:t>
            </w:r>
          </w:p>
        </w:tc>
        <w:tc>
          <w:tcPr>
            <w:tcW w:w="1274" w:type="dxa"/>
            <w:gridSpan w:val="2"/>
            <w:shd w:val="clear" w:color="auto" w:fill="auto"/>
            <w:noWrap/>
            <w:vAlign w:val="center"/>
          </w:tcPr>
          <w:p w14:paraId="46C3D4B8"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auto"/>
            <w:noWrap/>
            <w:vAlign w:val="center"/>
          </w:tcPr>
          <w:p w14:paraId="61C47853"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58" w:type="dxa"/>
            <w:gridSpan w:val="2"/>
            <w:shd w:val="clear" w:color="auto" w:fill="auto"/>
            <w:noWrap/>
            <w:vAlign w:val="center"/>
          </w:tcPr>
          <w:p w14:paraId="4948EE0E"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67" w:type="dxa"/>
            <w:gridSpan w:val="2"/>
            <w:shd w:val="clear" w:color="auto" w:fill="auto"/>
            <w:noWrap/>
            <w:vAlign w:val="center"/>
          </w:tcPr>
          <w:p w14:paraId="0DE16A21" w14:textId="77777777" w:rsidR="008F2382" w:rsidRPr="00137FFA" w:rsidRDefault="008F2382" w:rsidP="00181181">
            <w:pPr>
              <w:spacing w:before="40" w:after="40"/>
              <w:contextualSpacing/>
              <w:jc w:val="center"/>
              <w:rPr>
                <w:rFonts w:asciiTheme="majorBidi" w:hAnsiTheme="majorBidi" w:cstheme="majorBidi"/>
                <w:bCs/>
              </w:rPr>
            </w:pPr>
          </w:p>
        </w:tc>
        <w:tc>
          <w:tcPr>
            <w:tcW w:w="1215" w:type="dxa"/>
            <w:gridSpan w:val="2"/>
          </w:tcPr>
          <w:p w14:paraId="1BB11BB4"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449252EB" w14:textId="77777777" w:rsidTr="00181181">
        <w:tblPrEx>
          <w:tblLook w:val="0480" w:firstRow="0" w:lastRow="0" w:firstColumn="1" w:lastColumn="0" w:noHBand="0" w:noVBand="1"/>
        </w:tblPrEx>
        <w:tc>
          <w:tcPr>
            <w:tcW w:w="5525" w:type="dxa"/>
            <w:shd w:val="clear" w:color="auto" w:fill="auto"/>
          </w:tcPr>
          <w:p w14:paraId="01A9737A" w14:textId="77777777" w:rsidR="008F2382" w:rsidRPr="00137FFA" w:rsidRDefault="008F2382" w:rsidP="00181181">
            <w:pPr>
              <w:spacing w:before="40" w:after="40"/>
              <w:contextualSpacing/>
              <w:rPr>
                <w:rFonts w:asciiTheme="majorBidi" w:hAnsiTheme="majorBidi" w:cstheme="majorBidi"/>
                <w:bCs/>
              </w:rPr>
            </w:pPr>
          </w:p>
        </w:tc>
        <w:tc>
          <w:tcPr>
            <w:tcW w:w="7036" w:type="dxa"/>
            <w:gridSpan w:val="10"/>
            <w:shd w:val="clear" w:color="auto" w:fill="auto"/>
            <w:noWrap/>
            <w:vAlign w:val="center"/>
          </w:tcPr>
          <w:p w14:paraId="5CBFC917"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Respecting ADR, RID or IMDG-Code regarding the admission requirements of materials.</w:t>
            </w:r>
          </w:p>
        </w:tc>
      </w:tr>
      <w:tr w:rsidR="008F2382" w:rsidRPr="00137FFA" w14:paraId="7817EF21" w14:textId="77777777" w:rsidTr="00181181">
        <w:tblPrEx>
          <w:tblLook w:val="0480" w:firstRow="0" w:lastRow="0" w:firstColumn="1" w:lastColumn="0" w:noHBand="0" w:noVBand="1"/>
        </w:tblPrEx>
        <w:tc>
          <w:tcPr>
            <w:tcW w:w="5525" w:type="dxa"/>
            <w:vMerge w:val="restart"/>
            <w:shd w:val="clear" w:color="auto" w:fill="auto"/>
          </w:tcPr>
          <w:p w14:paraId="3C83E553"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Sampling bottles</w:t>
            </w:r>
          </w:p>
        </w:tc>
        <w:tc>
          <w:tcPr>
            <w:tcW w:w="1274" w:type="dxa"/>
            <w:gridSpan w:val="2"/>
            <w:shd w:val="clear" w:color="auto" w:fill="auto"/>
            <w:noWrap/>
            <w:vAlign w:val="center"/>
          </w:tcPr>
          <w:p w14:paraId="2B0186D5"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auto"/>
            <w:noWrap/>
            <w:vAlign w:val="center"/>
          </w:tcPr>
          <w:p w14:paraId="749E5F82" w14:textId="77777777" w:rsidR="008F2382" w:rsidRPr="00137FFA" w:rsidRDefault="008F2382" w:rsidP="00181181">
            <w:pPr>
              <w:spacing w:before="40" w:after="40"/>
              <w:contextualSpacing/>
              <w:jc w:val="center"/>
              <w:rPr>
                <w:rFonts w:asciiTheme="majorBidi" w:hAnsiTheme="majorBidi" w:cstheme="majorBidi"/>
                <w:bCs/>
              </w:rPr>
            </w:pPr>
          </w:p>
        </w:tc>
        <w:tc>
          <w:tcPr>
            <w:tcW w:w="1558" w:type="dxa"/>
            <w:gridSpan w:val="2"/>
            <w:shd w:val="clear" w:color="auto" w:fill="auto"/>
            <w:noWrap/>
            <w:vAlign w:val="center"/>
          </w:tcPr>
          <w:p w14:paraId="7AC2FF06"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567" w:type="dxa"/>
            <w:gridSpan w:val="2"/>
            <w:shd w:val="clear" w:color="auto" w:fill="auto"/>
            <w:noWrap/>
            <w:vAlign w:val="center"/>
          </w:tcPr>
          <w:p w14:paraId="25BE92AD" w14:textId="77777777" w:rsidR="008F2382" w:rsidRPr="00137FFA" w:rsidRDefault="008F2382" w:rsidP="00181181">
            <w:pPr>
              <w:spacing w:before="40" w:after="40"/>
              <w:contextualSpacing/>
              <w:jc w:val="center"/>
              <w:rPr>
                <w:rFonts w:asciiTheme="majorBidi" w:hAnsiTheme="majorBidi" w:cstheme="majorBidi"/>
                <w:bCs/>
              </w:rPr>
            </w:pPr>
          </w:p>
        </w:tc>
        <w:tc>
          <w:tcPr>
            <w:tcW w:w="1215" w:type="dxa"/>
            <w:gridSpan w:val="2"/>
          </w:tcPr>
          <w:p w14:paraId="1B0DB651"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r>
      <w:tr w:rsidR="008F2382" w:rsidRPr="00137FFA" w14:paraId="77B1D2C3" w14:textId="77777777" w:rsidTr="00181181">
        <w:tblPrEx>
          <w:tblLook w:val="0480" w:firstRow="0" w:lastRow="0" w:firstColumn="1" w:lastColumn="0" w:noHBand="0" w:noVBand="1"/>
        </w:tblPrEx>
        <w:tc>
          <w:tcPr>
            <w:tcW w:w="5525" w:type="dxa"/>
            <w:vMerge/>
            <w:shd w:val="clear" w:color="auto" w:fill="auto"/>
            <w:vAlign w:val="bottom"/>
          </w:tcPr>
          <w:p w14:paraId="493DBD8C" w14:textId="77777777" w:rsidR="008F2382" w:rsidRPr="00137FFA" w:rsidRDefault="008F2382" w:rsidP="00181181">
            <w:pPr>
              <w:spacing w:before="40" w:after="40"/>
              <w:contextualSpacing/>
              <w:rPr>
                <w:rFonts w:asciiTheme="majorBidi" w:hAnsiTheme="majorBidi" w:cstheme="majorBidi"/>
                <w:bCs/>
              </w:rPr>
            </w:pPr>
          </w:p>
        </w:tc>
        <w:tc>
          <w:tcPr>
            <w:tcW w:w="7036" w:type="dxa"/>
            <w:gridSpan w:val="10"/>
            <w:shd w:val="clear" w:color="auto" w:fill="auto"/>
            <w:noWrap/>
            <w:vAlign w:val="center"/>
          </w:tcPr>
          <w:p w14:paraId="609D87BD"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Respecting ADR, regarding the admission requirements of materials.</w:t>
            </w:r>
          </w:p>
          <w:p w14:paraId="166D3C5F"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421261F7" w14:textId="77777777" w:rsidTr="00181181">
        <w:tblPrEx>
          <w:tblLook w:val="0480" w:firstRow="0" w:lastRow="0" w:firstColumn="1" w:lastColumn="0" w:noHBand="0" w:noVBand="1"/>
        </w:tblPrEx>
        <w:tc>
          <w:tcPr>
            <w:tcW w:w="5525" w:type="dxa"/>
            <w:shd w:val="clear" w:color="auto" w:fill="auto"/>
            <w:vAlign w:val="bottom"/>
          </w:tcPr>
          <w:p w14:paraId="7BEF8343"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 xml:space="preserve">Photo-optical copies of the certificate of approval according to 8.1.2.6 or 8.1.2.7, and of the vessel’s certificate, the measurement certificate and </w:t>
            </w:r>
            <w:r>
              <w:rPr>
                <w:rFonts w:asciiTheme="majorBidi" w:hAnsiTheme="majorBidi" w:cstheme="majorBidi"/>
                <w:bCs/>
              </w:rPr>
              <w:t xml:space="preserve">other applicable documents </w:t>
            </w:r>
            <w:r>
              <w:rPr>
                <w:rStyle w:val="FootnoteReference"/>
                <w:rFonts w:cstheme="majorBidi"/>
                <w:bCs/>
              </w:rPr>
              <w:footnoteReference w:id="4"/>
            </w:r>
          </w:p>
        </w:tc>
        <w:tc>
          <w:tcPr>
            <w:tcW w:w="1274" w:type="dxa"/>
            <w:gridSpan w:val="2"/>
            <w:shd w:val="clear" w:color="auto" w:fill="auto"/>
            <w:noWrap/>
            <w:vAlign w:val="center"/>
          </w:tcPr>
          <w:p w14:paraId="2E8BAE6E"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auto"/>
            <w:noWrap/>
            <w:vAlign w:val="center"/>
          </w:tcPr>
          <w:p w14:paraId="3FAF8D00"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58" w:type="dxa"/>
            <w:gridSpan w:val="2"/>
            <w:shd w:val="clear" w:color="auto" w:fill="auto"/>
            <w:noWrap/>
            <w:vAlign w:val="center"/>
          </w:tcPr>
          <w:p w14:paraId="4CC10713"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709" w:type="dxa"/>
            <w:gridSpan w:val="3"/>
            <w:shd w:val="clear" w:color="auto" w:fill="auto"/>
            <w:noWrap/>
            <w:vAlign w:val="center"/>
          </w:tcPr>
          <w:p w14:paraId="24394815" w14:textId="77777777" w:rsidR="008F2382" w:rsidRPr="00137FFA" w:rsidRDefault="008F2382" w:rsidP="00181181">
            <w:pPr>
              <w:spacing w:before="40" w:after="40"/>
              <w:contextualSpacing/>
              <w:jc w:val="center"/>
              <w:rPr>
                <w:rFonts w:asciiTheme="majorBidi" w:hAnsiTheme="majorBidi" w:cstheme="majorBidi"/>
                <w:bCs/>
              </w:rPr>
            </w:pPr>
          </w:p>
        </w:tc>
        <w:tc>
          <w:tcPr>
            <w:tcW w:w="1073" w:type="dxa"/>
          </w:tcPr>
          <w:p w14:paraId="448F21D9"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72E0840E" w14:textId="77777777" w:rsidTr="00181181">
        <w:tblPrEx>
          <w:tblLook w:val="0480" w:firstRow="0" w:lastRow="0" w:firstColumn="1" w:lastColumn="0" w:noHBand="0" w:noVBand="1"/>
        </w:tblPrEx>
        <w:tc>
          <w:tcPr>
            <w:tcW w:w="5525" w:type="dxa"/>
            <w:shd w:val="clear" w:color="auto" w:fill="auto"/>
            <w:vAlign w:val="bottom"/>
          </w:tcPr>
          <w:p w14:paraId="56451C4B" w14:textId="77777777" w:rsidR="008F2382" w:rsidRPr="00137FFA" w:rsidRDefault="008F2382" w:rsidP="00181181">
            <w:pPr>
              <w:spacing w:before="40" w:after="40"/>
              <w:contextualSpacing/>
              <w:rPr>
                <w:rFonts w:asciiTheme="majorBidi" w:hAnsiTheme="majorBidi" w:cstheme="majorBidi"/>
                <w:bCs/>
              </w:rPr>
            </w:pPr>
            <w:proofErr w:type="spellStart"/>
            <w:r w:rsidRPr="00137FFA">
              <w:rPr>
                <w:rFonts w:asciiTheme="majorBidi" w:hAnsiTheme="majorBidi" w:cstheme="majorBidi"/>
                <w:bCs/>
              </w:rPr>
              <w:t>Aluminum</w:t>
            </w:r>
            <w:proofErr w:type="spellEnd"/>
            <w:r w:rsidRPr="00137FFA">
              <w:rPr>
                <w:rFonts w:asciiTheme="majorBidi" w:hAnsiTheme="majorBidi" w:cstheme="majorBidi"/>
                <w:bCs/>
              </w:rPr>
              <w:t xml:space="preserve"> basket for storing of mooring wires/lines</w:t>
            </w:r>
          </w:p>
        </w:tc>
        <w:tc>
          <w:tcPr>
            <w:tcW w:w="1274" w:type="dxa"/>
            <w:gridSpan w:val="2"/>
            <w:shd w:val="clear" w:color="auto" w:fill="auto"/>
            <w:noWrap/>
            <w:vAlign w:val="center"/>
          </w:tcPr>
          <w:p w14:paraId="345B41BD"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auto"/>
            <w:noWrap/>
            <w:vAlign w:val="center"/>
          </w:tcPr>
          <w:p w14:paraId="2BF5B6FE"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58" w:type="dxa"/>
            <w:gridSpan w:val="2"/>
            <w:shd w:val="clear" w:color="auto" w:fill="auto"/>
            <w:noWrap/>
            <w:vAlign w:val="center"/>
          </w:tcPr>
          <w:p w14:paraId="0C7A051E" w14:textId="77777777" w:rsidR="008F2382" w:rsidRPr="00137FFA" w:rsidRDefault="008F2382" w:rsidP="00181181">
            <w:pPr>
              <w:spacing w:before="40" w:after="40"/>
              <w:contextualSpacing/>
              <w:jc w:val="center"/>
              <w:rPr>
                <w:rFonts w:asciiTheme="majorBidi" w:hAnsiTheme="majorBidi" w:cstheme="majorBidi"/>
                <w:bCs/>
              </w:rPr>
            </w:pPr>
          </w:p>
        </w:tc>
        <w:tc>
          <w:tcPr>
            <w:tcW w:w="1709" w:type="dxa"/>
            <w:gridSpan w:val="3"/>
            <w:shd w:val="clear" w:color="auto" w:fill="auto"/>
            <w:noWrap/>
            <w:vAlign w:val="center"/>
          </w:tcPr>
          <w:p w14:paraId="40231761" w14:textId="77777777" w:rsidR="008F2382" w:rsidRPr="00137FFA" w:rsidRDefault="008F2382" w:rsidP="00181181">
            <w:pPr>
              <w:spacing w:before="40" w:after="40"/>
              <w:contextualSpacing/>
              <w:jc w:val="center"/>
              <w:rPr>
                <w:rFonts w:asciiTheme="majorBidi" w:hAnsiTheme="majorBidi" w:cstheme="majorBidi"/>
                <w:bCs/>
              </w:rPr>
            </w:pPr>
          </w:p>
        </w:tc>
        <w:tc>
          <w:tcPr>
            <w:tcW w:w="1073" w:type="dxa"/>
          </w:tcPr>
          <w:p w14:paraId="1D44C905"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04FC8065" w14:textId="77777777" w:rsidTr="00181181">
        <w:tblPrEx>
          <w:tblLook w:val="0480" w:firstRow="0" w:lastRow="0" w:firstColumn="1" w:lastColumn="0" w:noHBand="0" w:noVBand="1"/>
        </w:tblPrEx>
        <w:tc>
          <w:tcPr>
            <w:tcW w:w="5525" w:type="dxa"/>
            <w:shd w:val="clear" w:color="auto" w:fill="auto"/>
            <w:vAlign w:val="bottom"/>
          </w:tcPr>
          <w:p w14:paraId="2A36F29E"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Boot’s hook</w:t>
            </w:r>
          </w:p>
        </w:tc>
        <w:tc>
          <w:tcPr>
            <w:tcW w:w="1274" w:type="dxa"/>
            <w:gridSpan w:val="2"/>
            <w:shd w:val="clear" w:color="auto" w:fill="auto"/>
            <w:noWrap/>
            <w:vAlign w:val="center"/>
          </w:tcPr>
          <w:p w14:paraId="19064FAC"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X</w:t>
            </w:r>
          </w:p>
        </w:tc>
        <w:tc>
          <w:tcPr>
            <w:tcW w:w="1422" w:type="dxa"/>
            <w:gridSpan w:val="2"/>
            <w:shd w:val="clear" w:color="auto" w:fill="auto"/>
            <w:noWrap/>
            <w:vAlign w:val="center"/>
          </w:tcPr>
          <w:p w14:paraId="222B3CC6"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58" w:type="dxa"/>
            <w:gridSpan w:val="2"/>
            <w:shd w:val="clear" w:color="auto" w:fill="auto"/>
            <w:noWrap/>
            <w:vAlign w:val="center"/>
          </w:tcPr>
          <w:p w14:paraId="6FC72FC0"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709" w:type="dxa"/>
            <w:gridSpan w:val="3"/>
            <w:shd w:val="clear" w:color="auto" w:fill="auto"/>
            <w:noWrap/>
            <w:vAlign w:val="center"/>
          </w:tcPr>
          <w:p w14:paraId="477FBEF4" w14:textId="77777777" w:rsidR="008F2382" w:rsidRPr="00137FFA" w:rsidRDefault="008F2382" w:rsidP="00181181">
            <w:pPr>
              <w:spacing w:before="40" w:after="40"/>
              <w:contextualSpacing/>
              <w:jc w:val="center"/>
              <w:rPr>
                <w:rFonts w:asciiTheme="majorBidi" w:hAnsiTheme="majorBidi" w:cstheme="majorBidi"/>
                <w:bCs/>
              </w:rPr>
            </w:pPr>
          </w:p>
        </w:tc>
        <w:tc>
          <w:tcPr>
            <w:tcW w:w="1073" w:type="dxa"/>
          </w:tcPr>
          <w:p w14:paraId="0ACD6731"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2BECF506" w14:textId="77777777" w:rsidTr="00181181">
        <w:tblPrEx>
          <w:tblLook w:val="0480" w:firstRow="0" w:lastRow="0" w:firstColumn="1" w:lastColumn="0" w:noHBand="0" w:noVBand="1"/>
        </w:tblPrEx>
        <w:tc>
          <w:tcPr>
            <w:tcW w:w="5525" w:type="dxa"/>
            <w:vMerge w:val="restart"/>
            <w:shd w:val="clear" w:color="auto" w:fill="D9D9D9" w:themeFill="background1" w:themeFillShade="D9"/>
            <w:vAlign w:val="bottom"/>
          </w:tcPr>
          <w:p w14:paraId="65D66201"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Ship’s boat</w:t>
            </w:r>
          </w:p>
          <w:p w14:paraId="6C7AACDB" w14:textId="77777777" w:rsidR="008F2382" w:rsidRPr="00137FFA" w:rsidRDefault="008F2382" w:rsidP="00181181">
            <w:pPr>
              <w:spacing w:before="40" w:after="40"/>
              <w:contextualSpacing/>
              <w:rPr>
                <w:rFonts w:asciiTheme="majorBidi" w:hAnsiTheme="majorBidi" w:cstheme="majorBidi"/>
                <w:bCs/>
              </w:rPr>
            </w:pPr>
            <w:r w:rsidRPr="00137FFA">
              <w:rPr>
                <w:rFonts w:asciiTheme="majorBidi" w:hAnsiTheme="majorBidi" w:cstheme="majorBidi"/>
                <w:bCs/>
              </w:rPr>
              <w:t>(In case of 7.2.3.29.1 and 7.2.3.31.1 allowed in the cargo area)</w:t>
            </w:r>
          </w:p>
        </w:tc>
        <w:tc>
          <w:tcPr>
            <w:tcW w:w="1274" w:type="dxa"/>
            <w:gridSpan w:val="2"/>
            <w:shd w:val="clear" w:color="auto" w:fill="D9D9D9" w:themeFill="background1" w:themeFillShade="D9"/>
            <w:noWrap/>
            <w:vAlign w:val="center"/>
          </w:tcPr>
          <w:p w14:paraId="39464E5C" w14:textId="77777777" w:rsidR="008F2382" w:rsidRPr="00137FFA" w:rsidRDefault="008F2382" w:rsidP="00181181">
            <w:pPr>
              <w:spacing w:before="40" w:after="40"/>
              <w:contextualSpacing/>
              <w:jc w:val="center"/>
              <w:rPr>
                <w:rFonts w:asciiTheme="majorBidi" w:hAnsiTheme="majorBidi" w:cstheme="majorBidi"/>
                <w:bCs/>
              </w:rPr>
            </w:pPr>
          </w:p>
        </w:tc>
        <w:tc>
          <w:tcPr>
            <w:tcW w:w="1422" w:type="dxa"/>
            <w:gridSpan w:val="2"/>
            <w:shd w:val="clear" w:color="auto" w:fill="D9D9D9" w:themeFill="background1" w:themeFillShade="D9"/>
            <w:noWrap/>
            <w:vAlign w:val="center"/>
          </w:tcPr>
          <w:p w14:paraId="5939028D"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558" w:type="dxa"/>
            <w:gridSpan w:val="2"/>
            <w:shd w:val="clear" w:color="auto" w:fill="D9D9D9" w:themeFill="background1" w:themeFillShade="D9"/>
            <w:noWrap/>
            <w:vAlign w:val="center"/>
          </w:tcPr>
          <w:p w14:paraId="7B23C0F9"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lang w:val="fr-FR"/>
              </w:rPr>
              <w:t>X</w:t>
            </w:r>
          </w:p>
        </w:tc>
        <w:tc>
          <w:tcPr>
            <w:tcW w:w="1709" w:type="dxa"/>
            <w:gridSpan w:val="3"/>
            <w:shd w:val="clear" w:color="auto" w:fill="D9D9D9" w:themeFill="background1" w:themeFillShade="D9"/>
            <w:noWrap/>
            <w:vAlign w:val="center"/>
          </w:tcPr>
          <w:p w14:paraId="25AF03EC" w14:textId="77777777" w:rsidR="008F2382" w:rsidRPr="00137FFA" w:rsidRDefault="008F2382" w:rsidP="00181181">
            <w:pPr>
              <w:spacing w:before="40" w:after="40"/>
              <w:contextualSpacing/>
              <w:jc w:val="center"/>
              <w:rPr>
                <w:rFonts w:asciiTheme="majorBidi" w:hAnsiTheme="majorBidi" w:cstheme="majorBidi"/>
                <w:bCs/>
              </w:rPr>
            </w:pPr>
          </w:p>
        </w:tc>
        <w:tc>
          <w:tcPr>
            <w:tcW w:w="1073" w:type="dxa"/>
            <w:shd w:val="clear" w:color="auto" w:fill="D9D9D9" w:themeFill="background1" w:themeFillShade="D9"/>
          </w:tcPr>
          <w:p w14:paraId="46364B20" w14:textId="77777777" w:rsidR="008F2382" w:rsidRPr="00137FFA" w:rsidRDefault="008F2382" w:rsidP="00181181">
            <w:pPr>
              <w:spacing w:before="40" w:after="40"/>
              <w:contextualSpacing/>
              <w:jc w:val="center"/>
              <w:rPr>
                <w:rFonts w:asciiTheme="majorBidi" w:hAnsiTheme="majorBidi" w:cstheme="majorBidi"/>
                <w:bCs/>
              </w:rPr>
            </w:pPr>
          </w:p>
        </w:tc>
      </w:tr>
      <w:tr w:rsidR="008F2382" w:rsidRPr="00137FFA" w14:paraId="7F40E6BB" w14:textId="77777777" w:rsidTr="00181181">
        <w:tblPrEx>
          <w:tblLook w:val="0480" w:firstRow="0" w:lastRow="0" w:firstColumn="1" w:lastColumn="0" w:noHBand="0" w:noVBand="1"/>
        </w:tblPrEx>
        <w:tc>
          <w:tcPr>
            <w:tcW w:w="5525" w:type="dxa"/>
            <w:vMerge/>
            <w:shd w:val="clear" w:color="auto" w:fill="D9D9D9" w:themeFill="background1" w:themeFillShade="D9"/>
            <w:vAlign w:val="bottom"/>
          </w:tcPr>
          <w:p w14:paraId="3C80BE52" w14:textId="77777777" w:rsidR="008F2382" w:rsidRPr="00137FFA" w:rsidRDefault="008F2382" w:rsidP="00181181">
            <w:pPr>
              <w:spacing w:before="40" w:after="40"/>
              <w:contextualSpacing/>
              <w:rPr>
                <w:rFonts w:asciiTheme="majorBidi" w:hAnsiTheme="majorBidi" w:cstheme="majorBidi"/>
                <w:bCs/>
              </w:rPr>
            </w:pPr>
          </w:p>
        </w:tc>
        <w:tc>
          <w:tcPr>
            <w:tcW w:w="7036" w:type="dxa"/>
            <w:gridSpan w:val="10"/>
            <w:shd w:val="clear" w:color="auto" w:fill="D9D9D9" w:themeFill="background1" w:themeFillShade="D9"/>
            <w:noWrap/>
            <w:vAlign w:val="center"/>
          </w:tcPr>
          <w:p w14:paraId="32123325" w14:textId="77777777" w:rsidR="008F2382" w:rsidRPr="00137FFA" w:rsidRDefault="008F2382" w:rsidP="00181181">
            <w:pPr>
              <w:spacing w:before="40" w:after="40"/>
              <w:contextualSpacing/>
              <w:jc w:val="center"/>
              <w:rPr>
                <w:rFonts w:asciiTheme="majorBidi" w:hAnsiTheme="majorBidi" w:cstheme="majorBidi"/>
                <w:bCs/>
              </w:rPr>
            </w:pPr>
            <w:r w:rsidRPr="00137FFA">
              <w:rPr>
                <w:rFonts w:asciiTheme="majorBidi" w:hAnsiTheme="majorBidi" w:cstheme="majorBidi"/>
                <w:bCs/>
              </w:rPr>
              <w:t>Only when the material shall not readily ignite</w:t>
            </w:r>
          </w:p>
        </w:tc>
      </w:tr>
    </w:tbl>
    <w:p w14:paraId="77E0A165" w14:textId="77777777" w:rsidR="008F2382" w:rsidRDefault="008F2382" w:rsidP="008F2382">
      <w:pPr>
        <w:pStyle w:val="SingleTxtG"/>
        <w:spacing w:before="240"/>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30 as amended)</w:t>
      </w:r>
    </w:p>
    <w:p w14:paraId="7F9C9D7E" w14:textId="77777777" w:rsidR="008F2382" w:rsidRDefault="008F2382" w:rsidP="008F2382">
      <w:pPr>
        <w:pStyle w:val="SingleTxtG"/>
        <w:spacing w:before="120"/>
        <w:rPr>
          <w:rFonts w:asciiTheme="majorBidi" w:hAnsiTheme="majorBidi" w:cstheme="majorBidi"/>
          <w:bCs/>
        </w:rPr>
      </w:pPr>
    </w:p>
    <w:p w14:paraId="3652EA14" w14:textId="77777777" w:rsidR="008F2382" w:rsidRDefault="008F2382" w:rsidP="008F2382">
      <w:pPr>
        <w:pStyle w:val="SingleTxtG"/>
        <w:spacing w:before="120"/>
        <w:rPr>
          <w:rFonts w:asciiTheme="majorBidi" w:hAnsiTheme="majorBidi" w:cstheme="majorBidi"/>
          <w:bCs/>
        </w:rPr>
      </w:pPr>
    </w:p>
    <w:p w14:paraId="25EACC1F" w14:textId="77777777" w:rsidR="008F2382" w:rsidRPr="00137FFA" w:rsidRDefault="008F2382" w:rsidP="008F2382">
      <w:pPr>
        <w:pStyle w:val="SingleTxtG"/>
        <w:spacing w:before="120"/>
        <w:rPr>
          <w:rFonts w:asciiTheme="majorBidi" w:hAnsiTheme="majorBidi" w:cstheme="majorBidi"/>
          <w:bCs/>
        </w:rPr>
        <w:sectPr w:rsidR="008F2382" w:rsidRPr="00137FFA" w:rsidSect="00181181">
          <w:headerReference w:type="even" r:id="rId33"/>
          <w:headerReference w:type="default" r:id="rId34"/>
          <w:footerReference w:type="even" r:id="rId35"/>
          <w:footerReference w:type="default" r:id="rId36"/>
          <w:headerReference w:type="first" r:id="rId37"/>
          <w:footerReference w:type="first" r:id="rId38"/>
          <w:endnotePr>
            <w:numFmt w:val="decimal"/>
          </w:endnotePr>
          <w:pgSz w:w="16840" w:h="11907" w:orient="landscape" w:code="9"/>
          <w:pgMar w:top="1134" w:right="1418" w:bottom="1134" w:left="1134" w:header="851" w:footer="567" w:gutter="0"/>
          <w:cols w:space="720"/>
          <w:titlePg/>
          <w:docGrid w:linePitch="272"/>
        </w:sectPr>
      </w:pPr>
    </w:p>
    <w:p w14:paraId="3BA58659" w14:textId="77777777" w:rsidR="008F2382" w:rsidRPr="00F21EEC" w:rsidRDefault="008F2382" w:rsidP="008F2382">
      <w:pPr>
        <w:pStyle w:val="SingleTxtG"/>
        <w:spacing w:before="120"/>
      </w:pPr>
      <w:r w:rsidRPr="00F21EEC">
        <w:lastRenderedPageBreak/>
        <w:t>9.3.x.0</w:t>
      </w:r>
      <w:r w:rsidRPr="00F21EEC">
        <w:tab/>
      </w:r>
      <w:r w:rsidRPr="00F21EEC">
        <w:tab/>
        <w:t>Replace the paragraphs after the Table by the following paragraphs:</w:t>
      </w:r>
    </w:p>
    <w:p w14:paraId="581FC9F0" w14:textId="77777777" w:rsidR="008F2382" w:rsidRPr="00F21EEC" w:rsidRDefault="008F2382" w:rsidP="008F2382">
      <w:pPr>
        <w:pStyle w:val="SingleTxtG"/>
        <w:spacing w:before="120"/>
      </w:pPr>
      <w:r w:rsidRPr="00F21EEC">
        <w:t>“9.3.x.0.5</w:t>
      </w:r>
      <w:r w:rsidRPr="00F21EEC">
        <w:tab/>
        <w:t>The paint used in the cargo area shall not be liable to produce sparks in case of impact.</w:t>
      </w:r>
    </w:p>
    <w:p w14:paraId="5692F293" w14:textId="77777777" w:rsidR="008F2382" w:rsidRPr="00F21EEC" w:rsidRDefault="008F2382" w:rsidP="008F2382">
      <w:pPr>
        <w:pStyle w:val="SingleTxtG"/>
        <w:ind w:right="1815"/>
      </w:pPr>
      <w:r w:rsidRPr="00F21EEC">
        <w:t>9.3.x.0.6</w:t>
      </w:r>
      <w:r w:rsidRPr="00F21EEC">
        <w:tab/>
        <w:t>All permanently fitted materials in the accommodation or wheelhouse, with the exception of furniture, shall not readily ignite. They shall not evolve fumes or toxic gases in dangerous quantities, if involved in a fire.</w:t>
      </w:r>
      <w:r w:rsidRPr="00F21EEC">
        <w:rPr>
          <w:lang w:val="en-US"/>
        </w:rPr>
        <w:t>”.</w:t>
      </w:r>
    </w:p>
    <w:p w14:paraId="5E70CAF1" w14:textId="77777777" w:rsidR="008F2382" w:rsidRPr="00F75ACD" w:rsidRDefault="008F2382" w:rsidP="008F2382">
      <w:pPr>
        <w:pStyle w:val="SingleTxtG"/>
      </w:pPr>
      <w:r>
        <w:rPr>
          <w:i/>
        </w:rPr>
        <w:t>(Reference d</w:t>
      </w:r>
      <w:r w:rsidRPr="001B2696">
        <w:rPr>
          <w:i/>
        </w:rPr>
        <w:t>ocument</w:t>
      </w:r>
      <w:r>
        <w:rPr>
          <w:i/>
        </w:rPr>
        <w:t xml:space="preserve">: </w:t>
      </w:r>
      <w:r w:rsidRPr="003A4CE5">
        <w:rPr>
          <w:i/>
        </w:rPr>
        <w:t>ECE/TRANS/WP.15/AC.2/20</w:t>
      </w:r>
      <w:r>
        <w:rPr>
          <w:i/>
        </w:rPr>
        <w:t>21</w:t>
      </w:r>
      <w:r w:rsidRPr="003A4CE5">
        <w:rPr>
          <w:i/>
        </w:rPr>
        <w:t>/</w:t>
      </w:r>
      <w:r>
        <w:rPr>
          <w:i/>
        </w:rPr>
        <w:t>30)</w:t>
      </w:r>
    </w:p>
    <w:p w14:paraId="28265BB7" w14:textId="77777777" w:rsidR="008F2382" w:rsidRDefault="008F2382" w:rsidP="008F2382">
      <w:pPr>
        <w:pStyle w:val="SingleTxtG"/>
      </w:pPr>
      <w:r>
        <w:t>9.3.3.60</w:t>
      </w:r>
      <w:r>
        <w:tab/>
        <w:t xml:space="preserve">Amendment does not apply to the English text. </w:t>
      </w:r>
    </w:p>
    <w:p w14:paraId="62993EFD" w14:textId="77777777" w:rsidR="008F2382" w:rsidRDefault="008F2382" w:rsidP="008F2382">
      <w:pPr>
        <w:pStyle w:val="SingleTxtG"/>
        <w:rPr>
          <w:i/>
        </w:rPr>
      </w:pPr>
      <w:r>
        <w:rPr>
          <w:i/>
        </w:rPr>
        <w:t>(Reference d</w:t>
      </w:r>
      <w:r w:rsidRPr="001B2696">
        <w:rPr>
          <w:i/>
        </w:rPr>
        <w:t>ocument</w:t>
      </w:r>
      <w:r>
        <w:rPr>
          <w:i/>
        </w:rPr>
        <w:t xml:space="preserve">: </w:t>
      </w:r>
      <w:r w:rsidRPr="003A4CE5">
        <w:rPr>
          <w:i/>
        </w:rPr>
        <w:t>ECE/TRANS/WP.15/AC.2/20</w:t>
      </w:r>
      <w:r>
        <w:rPr>
          <w:i/>
        </w:rPr>
        <w:t>21</w:t>
      </w:r>
      <w:r w:rsidRPr="003A4CE5">
        <w:rPr>
          <w:i/>
        </w:rPr>
        <w:t>/</w:t>
      </w:r>
      <w:r>
        <w:rPr>
          <w:i/>
        </w:rPr>
        <w:t>24)</w:t>
      </w:r>
    </w:p>
    <w:p w14:paraId="251F56F4" w14:textId="77777777" w:rsidR="00181181" w:rsidRDefault="00181181" w:rsidP="00181181">
      <w:pPr>
        <w:pStyle w:val="HChG"/>
      </w:pPr>
      <w:r>
        <w:br w:type="page"/>
      </w:r>
    </w:p>
    <w:p w14:paraId="0730545A" w14:textId="0927C74F" w:rsidR="00181181" w:rsidRDefault="00181181" w:rsidP="00181181">
      <w:pPr>
        <w:pStyle w:val="HChG"/>
      </w:pPr>
      <w:r>
        <w:lastRenderedPageBreak/>
        <w:t xml:space="preserve">Annex </w:t>
      </w:r>
      <w:r w:rsidR="008F2382" w:rsidRPr="00181181">
        <w:t>II</w:t>
      </w:r>
    </w:p>
    <w:p w14:paraId="5615DA92" w14:textId="4FB8608C" w:rsidR="001361AD" w:rsidRPr="001361AD" w:rsidRDefault="001052F5" w:rsidP="001052F5">
      <w:pPr>
        <w:jc w:val="right"/>
      </w:pPr>
      <w:r>
        <w:rPr>
          <w:lang w:val="en-US"/>
        </w:rPr>
        <w:t>[Original: English and French]</w:t>
      </w:r>
    </w:p>
    <w:p w14:paraId="2B7C223E" w14:textId="77777777" w:rsidR="00181181" w:rsidRDefault="00181181" w:rsidP="00C35279">
      <w:pPr>
        <w:pStyle w:val="HChG"/>
        <w:spacing w:after="0"/>
      </w:pPr>
      <w:r>
        <w:tab/>
      </w:r>
      <w:r>
        <w:tab/>
      </w:r>
      <w:r w:rsidR="008F2382" w:rsidRPr="00863746">
        <w:t>Corrections to ECE/TRANS/301 (ADN 2021 publication)</w:t>
      </w:r>
    </w:p>
    <w:p w14:paraId="2C126300" w14:textId="657FF10E" w:rsidR="008F2382" w:rsidRPr="00863746" w:rsidRDefault="00C35279" w:rsidP="00C35279">
      <w:pPr>
        <w:pStyle w:val="H4G"/>
        <w:spacing w:before="0" w:after="240"/>
      </w:pPr>
      <w:r>
        <w:tab/>
      </w:r>
      <w:r>
        <w:tab/>
      </w:r>
      <w:r w:rsidR="008F2382" w:rsidRPr="002632A5">
        <w:t>(Corrections not requiring acceptance by Contracting Parties)</w:t>
      </w:r>
    </w:p>
    <w:p w14:paraId="586CD0D6" w14:textId="77777777" w:rsidR="008F2382" w:rsidRPr="00EA6B40" w:rsidRDefault="008F2382" w:rsidP="008F2382">
      <w:pPr>
        <w:pStyle w:val="SingleTxtG"/>
        <w:rPr>
          <w:b/>
          <w:bCs/>
        </w:rPr>
      </w:pPr>
      <w:r w:rsidRPr="00EA6B40">
        <w:rPr>
          <w:b/>
          <w:bCs/>
        </w:rPr>
        <w:t>1.</w:t>
      </w:r>
      <w:r w:rsidRPr="00EA6B40">
        <w:rPr>
          <w:b/>
          <w:bCs/>
        </w:rPr>
        <w:tab/>
        <w:t>Chapter 3.2, Table C, UN No. 1202, second entry, co</w:t>
      </w:r>
      <w:r>
        <w:rPr>
          <w:b/>
          <w:bCs/>
        </w:rPr>
        <w:t>lumn (2)</w:t>
      </w:r>
    </w:p>
    <w:p w14:paraId="619499C7" w14:textId="77777777" w:rsidR="008F2382" w:rsidRPr="00972E64" w:rsidRDefault="008F2382" w:rsidP="008F2382">
      <w:pPr>
        <w:pStyle w:val="SingleTxtG"/>
      </w:pPr>
      <w:r w:rsidRPr="008F5F91">
        <w:rPr>
          <w:i/>
          <w:iCs/>
        </w:rPr>
        <w:t>For</w:t>
      </w:r>
      <w:r>
        <w:rPr>
          <w:i/>
          <w:iCs/>
        </w:rPr>
        <w:t xml:space="preserve"> </w:t>
      </w:r>
      <w:r w:rsidRPr="00972E64">
        <w:t>GAS OIL complying with standard EN 590:2013 + A1:2017 or DIESEL FUEL or HEATING OIL</w:t>
      </w:r>
    </w:p>
    <w:p w14:paraId="1CDC40AF" w14:textId="77777777" w:rsidR="008F2382" w:rsidRPr="00972E64" w:rsidRDefault="008F2382" w:rsidP="008F2382">
      <w:pPr>
        <w:pStyle w:val="SingleTxtG"/>
      </w:pPr>
      <w:r>
        <w:rPr>
          <w:i/>
          <w:iCs/>
        </w:rPr>
        <w:t xml:space="preserve">Read </w:t>
      </w:r>
      <w:r w:rsidRPr="00972E64">
        <w:t>DIESEL FUEL complying with standard EN 590:2013 + A1:2017 or GAS OIL or HEATING OIL</w:t>
      </w:r>
    </w:p>
    <w:p w14:paraId="48AA47CD" w14:textId="77777777" w:rsidR="008F2382"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w:t>
      </w:r>
      <w:r>
        <w:rPr>
          <w:i/>
          <w:lang w:val="fr-CH"/>
        </w:rPr>
        <w:t>10</w:t>
      </w:r>
      <w:r w:rsidRPr="00CF4F21">
        <w:rPr>
          <w:i/>
          <w:lang w:val="fr-CH"/>
        </w:rPr>
        <w:t>)</w:t>
      </w:r>
    </w:p>
    <w:p w14:paraId="47914F3A" w14:textId="77777777" w:rsidR="008F2382" w:rsidRPr="00EA6B40" w:rsidRDefault="008F2382" w:rsidP="008F2382">
      <w:pPr>
        <w:pStyle w:val="SingleTxtG"/>
        <w:rPr>
          <w:b/>
          <w:bCs/>
        </w:rPr>
      </w:pPr>
      <w:r>
        <w:rPr>
          <w:b/>
          <w:bCs/>
        </w:rPr>
        <w:t>2</w:t>
      </w:r>
      <w:r w:rsidRPr="00EA6B40">
        <w:rPr>
          <w:b/>
          <w:bCs/>
        </w:rPr>
        <w:t>.</w:t>
      </w:r>
      <w:r w:rsidRPr="00EA6B40">
        <w:rPr>
          <w:b/>
          <w:bCs/>
        </w:rPr>
        <w:tab/>
        <w:t xml:space="preserve">Chapter 3.2, Table C, UN No. </w:t>
      </w:r>
      <w:r>
        <w:rPr>
          <w:b/>
          <w:bCs/>
        </w:rPr>
        <w:t xml:space="preserve">3295 - </w:t>
      </w:r>
      <w:r w:rsidRPr="007F4E87">
        <w:rPr>
          <w:b/>
          <w:bCs/>
        </w:rPr>
        <w:t>HYDROCARBONS, LIQUID, N.O.S. CONTAINING ISOPRENE AND PENTADIENE, STABILIZED</w:t>
      </w:r>
      <w:r w:rsidRPr="00EA6B40">
        <w:rPr>
          <w:b/>
          <w:bCs/>
        </w:rPr>
        <w:t>,</w:t>
      </w:r>
      <w:r>
        <w:rPr>
          <w:b/>
          <w:bCs/>
        </w:rPr>
        <w:t xml:space="preserve"> 2 entries,</w:t>
      </w:r>
      <w:r w:rsidRPr="00EA6B40">
        <w:rPr>
          <w:b/>
          <w:bCs/>
        </w:rPr>
        <w:t xml:space="preserve"> co</w:t>
      </w:r>
      <w:r>
        <w:rPr>
          <w:b/>
          <w:bCs/>
        </w:rPr>
        <w:t>lumn (5)</w:t>
      </w:r>
    </w:p>
    <w:p w14:paraId="2C99300D" w14:textId="77777777" w:rsidR="008F2382" w:rsidRPr="00430AD2" w:rsidRDefault="008F2382" w:rsidP="008F2382">
      <w:pPr>
        <w:pStyle w:val="SingleTxtG"/>
        <w:rPr>
          <w:i/>
          <w:iCs/>
        </w:rPr>
      </w:pPr>
      <w:r w:rsidRPr="008F5F91">
        <w:rPr>
          <w:i/>
          <w:iCs/>
        </w:rPr>
        <w:t>For</w:t>
      </w:r>
      <w:r>
        <w:rPr>
          <w:i/>
          <w:iCs/>
        </w:rPr>
        <w:t xml:space="preserve"> </w:t>
      </w:r>
      <w:r w:rsidRPr="00430AD2">
        <w:rPr>
          <w:i/>
          <w:iCs/>
        </w:rPr>
        <w:t>3+inst. r</w:t>
      </w:r>
      <w:r>
        <w:rPr>
          <w:i/>
          <w:iCs/>
        </w:rPr>
        <w:t xml:space="preserve">ead </w:t>
      </w:r>
      <w:r w:rsidRPr="00430AD2">
        <w:rPr>
          <w:i/>
          <w:iCs/>
        </w:rPr>
        <w:t>3+unst.</w:t>
      </w:r>
    </w:p>
    <w:p w14:paraId="0BD51D3F" w14:textId="77777777" w:rsidR="008F2382"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w:t>
      </w:r>
      <w:r>
        <w:rPr>
          <w:i/>
          <w:lang w:val="fr-CH"/>
        </w:rPr>
        <w:t>11</w:t>
      </w:r>
      <w:r w:rsidRPr="00CF4F21">
        <w:rPr>
          <w:i/>
          <w:lang w:val="fr-CH"/>
        </w:rPr>
        <w:t>)</w:t>
      </w:r>
    </w:p>
    <w:p w14:paraId="09CFA80C" w14:textId="77777777" w:rsidR="008F2382" w:rsidRPr="008F5F91" w:rsidRDefault="008F2382" w:rsidP="008F2382">
      <w:pPr>
        <w:pStyle w:val="SingleTxtG"/>
        <w:rPr>
          <w:b/>
          <w:bCs/>
        </w:rPr>
      </w:pPr>
      <w:r>
        <w:rPr>
          <w:b/>
          <w:bCs/>
        </w:rPr>
        <w:t>3</w:t>
      </w:r>
      <w:r w:rsidRPr="008F5F91">
        <w:rPr>
          <w:b/>
          <w:bCs/>
        </w:rPr>
        <w:t>.</w:t>
      </w:r>
      <w:r w:rsidRPr="008F5F91">
        <w:rPr>
          <w:b/>
          <w:bCs/>
        </w:rPr>
        <w:tab/>
        <w:t xml:space="preserve">Chapter 9.3, </w:t>
      </w:r>
      <w:r w:rsidRPr="0017729E">
        <w:rPr>
          <w:b/>
          <w:bCs/>
        </w:rPr>
        <w:t>9.3.1.</w:t>
      </w:r>
      <w:r>
        <w:rPr>
          <w:b/>
          <w:bCs/>
        </w:rPr>
        <w:t>14</w:t>
      </w:r>
      <w:r w:rsidRPr="0017729E">
        <w:rPr>
          <w:b/>
          <w:bCs/>
        </w:rPr>
        <w:t>.2</w:t>
      </w:r>
      <w:r w:rsidRPr="008F5F91">
        <w:rPr>
          <w:b/>
          <w:bCs/>
        </w:rPr>
        <w:t xml:space="preserve">, </w:t>
      </w:r>
      <w:r w:rsidRPr="0017729E">
        <w:rPr>
          <w:b/>
          <w:bCs/>
        </w:rPr>
        <w:t>9.3.</w:t>
      </w:r>
      <w:r>
        <w:rPr>
          <w:b/>
          <w:bCs/>
        </w:rPr>
        <w:t>2</w:t>
      </w:r>
      <w:r w:rsidRPr="0017729E">
        <w:rPr>
          <w:b/>
          <w:bCs/>
        </w:rPr>
        <w:t>.</w:t>
      </w:r>
      <w:r>
        <w:rPr>
          <w:b/>
          <w:bCs/>
        </w:rPr>
        <w:t>14</w:t>
      </w:r>
      <w:r w:rsidRPr="0017729E">
        <w:rPr>
          <w:b/>
          <w:bCs/>
        </w:rPr>
        <w:t>.2</w:t>
      </w:r>
      <w:r>
        <w:rPr>
          <w:b/>
          <w:bCs/>
        </w:rPr>
        <w:t xml:space="preserve"> and </w:t>
      </w:r>
      <w:r w:rsidRPr="0017729E">
        <w:rPr>
          <w:b/>
          <w:bCs/>
        </w:rPr>
        <w:t>9.3.</w:t>
      </w:r>
      <w:r>
        <w:rPr>
          <w:b/>
          <w:bCs/>
        </w:rPr>
        <w:t>3</w:t>
      </w:r>
      <w:r w:rsidRPr="0017729E">
        <w:rPr>
          <w:b/>
          <w:bCs/>
        </w:rPr>
        <w:t>.</w:t>
      </w:r>
      <w:r>
        <w:rPr>
          <w:b/>
          <w:bCs/>
        </w:rPr>
        <w:t>14</w:t>
      </w:r>
      <w:r w:rsidRPr="0017729E">
        <w:rPr>
          <w:b/>
          <w:bCs/>
        </w:rPr>
        <w:t>.2</w:t>
      </w:r>
      <w:r>
        <w:rPr>
          <w:b/>
          <w:bCs/>
        </w:rPr>
        <w:t>, subparagraph (a)</w:t>
      </w:r>
    </w:p>
    <w:p w14:paraId="7E6E83A3" w14:textId="77777777" w:rsidR="008F2382" w:rsidRPr="008F5F91" w:rsidRDefault="008F2382" w:rsidP="008F2382">
      <w:pPr>
        <w:pStyle w:val="SingleTxtG"/>
        <w:rPr>
          <w:b/>
          <w:bCs/>
        </w:rPr>
      </w:pPr>
      <w:r w:rsidRPr="008F5F91">
        <w:rPr>
          <w:i/>
          <w:iCs/>
        </w:rPr>
        <w:t>For</w:t>
      </w:r>
      <w:r w:rsidRPr="008F5F91">
        <w:t xml:space="preserve"> </w:t>
      </w:r>
      <w:r w:rsidRPr="003D42FB">
        <w:t>non-watertight</w:t>
      </w:r>
      <w:r w:rsidRPr="008F5F91">
        <w:rPr>
          <w:i/>
          <w:iCs/>
        </w:rPr>
        <w:t xml:space="preserve"> read</w:t>
      </w:r>
      <w:r w:rsidRPr="008F5F91">
        <w:t xml:space="preserve"> </w:t>
      </w:r>
      <w:r>
        <w:t>n</w:t>
      </w:r>
      <w:r w:rsidRPr="003D42FB">
        <w:t>on-weathertight</w:t>
      </w:r>
    </w:p>
    <w:p w14:paraId="70BCF5A7" w14:textId="77777777" w:rsidR="008F2382"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w:t>
      </w:r>
      <w:r>
        <w:rPr>
          <w:i/>
          <w:lang w:val="fr-CH"/>
        </w:rPr>
        <w:t>1</w:t>
      </w:r>
      <w:r w:rsidRPr="00CF4F21">
        <w:rPr>
          <w:i/>
          <w:lang w:val="fr-CH"/>
        </w:rPr>
        <w:t>8)</w:t>
      </w:r>
    </w:p>
    <w:p w14:paraId="1C29082C" w14:textId="77777777" w:rsidR="008F2382" w:rsidRPr="008F5F91" w:rsidRDefault="008F2382" w:rsidP="008F2382">
      <w:pPr>
        <w:pStyle w:val="SingleTxtG"/>
        <w:rPr>
          <w:b/>
          <w:bCs/>
        </w:rPr>
      </w:pPr>
      <w:r>
        <w:rPr>
          <w:b/>
          <w:bCs/>
        </w:rPr>
        <w:t>4</w:t>
      </w:r>
      <w:r w:rsidRPr="008F5F91">
        <w:rPr>
          <w:b/>
          <w:bCs/>
        </w:rPr>
        <w:t>.</w:t>
      </w:r>
      <w:r w:rsidRPr="008F5F91">
        <w:rPr>
          <w:b/>
          <w:bCs/>
        </w:rPr>
        <w:tab/>
        <w:t xml:space="preserve">Chapter 9.3, </w:t>
      </w:r>
      <w:r w:rsidRPr="0017729E">
        <w:rPr>
          <w:b/>
          <w:bCs/>
        </w:rPr>
        <w:t>9.3.1.</w:t>
      </w:r>
      <w:r>
        <w:rPr>
          <w:b/>
          <w:bCs/>
        </w:rPr>
        <w:t>14</w:t>
      </w:r>
      <w:r w:rsidRPr="0017729E">
        <w:rPr>
          <w:b/>
          <w:bCs/>
        </w:rPr>
        <w:t>.2</w:t>
      </w:r>
      <w:r w:rsidRPr="008F5F91">
        <w:rPr>
          <w:b/>
          <w:bCs/>
        </w:rPr>
        <w:t xml:space="preserve">, </w:t>
      </w:r>
      <w:r w:rsidRPr="0017729E">
        <w:rPr>
          <w:b/>
          <w:bCs/>
        </w:rPr>
        <w:t>9.3.</w:t>
      </w:r>
      <w:r>
        <w:rPr>
          <w:b/>
          <w:bCs/>
        </w:rPr>
        <w:t>2</w:t>
      </w:r>
      <w:r w:rsidRPr="0017729E">
        <w:rPr>
          <w:b/>
          <w:bCs/>
        </w:rPr>
        <w:t>.</w:t>
      </w:r>
      <w:r>
        <w:rPr>
          <w:b/>
          <w:bCs/>
        </w:rPr>
        <w:t>14</w:t>
      </w:r>
      <w:r w:rsidRPr="0017729E">
        <w:rPr>
          <w:b/>
          <w:bCs/>
        </w:rPr>
        <w:t>.2</w:t>
      </w:r>
      <w:r>
        <w:rPr>
          <w:b/>
          <w:bCs/>
        </w:rPr>
        <w:t xml:space="preserve"> and </w:t>
      </w:r>
      <w:r w:rsidRPr="0017729E">
        <w:rPr>
          <w:b/>
          <w:bCs/>
        </w:rPr>
        <w:t>9.3.</w:t>
      </w:r>
      <w:r>
        <w:rPr>
          <w:b/>
          <w:bCs/>
        </w:rPr>
        <w:t>3</w:t>
      </w:r>
      <w:r w:rsidRPr="0017729E">
        <w:rPr>
          <w:b/>
          <w:bCs/>
        </w:rPr>
        <w:t>.</w:t>
      </w:r>
      <w:r>
        <w:rPr>
          <w:b/>
          <w:bCs/>
        </w:rPr>
        <w:t>14</w:t>
      </w:r>
      <w:r w:rsidRPr="0017729E">
        <w:rPr>
          <w:b/>
          <w:bCs/>
        </w:rPr>
        <w:t>.2</w:t>
      </w:r>
      <w:r>
        <w:rPr>
          <w:b/>
          <w:bCs/>
        </w:rPr>
        <w:t>, subparagraph (b)</w:t>
      </w:r>
    </w:p>
    <w:p w14:paraId="6D2B473D" w14:textId="77777777" w:rsidR="008F2382" w:rsidRPr="008F5F91" w:rsidRDefault="008F2382" w:rsidP="008F2382">
      <w:pPr>
        <w:pStyle w:val="SingleTxtG"/>
        <w:rPr>
          <w:b/>
          <w:bCs/>
        </w:rPr>
      </w:pPr>
      <w:r w:rsidRPr="008F5F91">
        <w:rPr>
          <w:i/>
          <w:iCs/>
        </w:rPr>
        <w:t>For</w:t>
      </w:r>
      <w:r w:rsidRPr="008F5F91">
        <w:t xml:space="preserve"> </w:t>
      </w:r>
      <w:r w:rsidRPr="003D42FB">
        <w:t>non-watertight</w:t>
      </w:r>
      <w:r w:rsidRPr="008F5F91">
        <w:rPr>
          <w:i/>
          <w:iCs/>
        </w:rPr>
        <w:t xml:space="preserve"> read</w:t>
      </w:r>
      <w:r w:rsidRPr="008F5F91">
        <w:t xml:space="preserve"> </w:t>
      </w:r>
      <w:r>
        <w:t>n</w:t>
      </w:r>
      <w:r w:rsidRPr="003D42FB">
        <w:t>on-weathertight</w:t>
      </w:r>
    </w:p>
    <w:p w14:paraId="3058E566" w14:textId="77777777" w:rsidR="008F2382" w:rsidRPr="000C3F6B" w:rsidRDefault="008F2382" w:rsidP="008F2382">
      <w:pPr>
        <w:pStyle w:val="SingleTxtG"/>
        <w:rPr>
          <w:b/>
          <w:bCs/>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w:t>
      </w:r>
      <w:r>
        <w:rPr>
          <w:i/>
          <w:lang w:val="fr-CH"/>
        </w:rPr>
        <w:t>1</w:t>
      </w:r>
      <w:r w:rsidRPr="00CF4F21">
        <w:rPr>
          <w:i/>
          <w:lang w:val="fr-CH"/>
        </w:rPr>
        <w:t>8)</w:t>
      </w:r>
    </w:p>
    <w:p w14:paraId="5D6545CE" w14:textId="77777777" w:rsidR="008F2382" w:rsidRPr="008F5F91" w:rsidRDefault="008F2382" w:rsidP="008F2382">
      <w:pPr>
        <w:pStyle w:val="SingleTxtG"/>
        <w:rPr>
          <w:b/>
          <w:bCs/>
        </w:rPr>
      </w:pPr>
      <w:r>
        <w:rPr>
          <w:b/>
          <w:bCs/>
        </w:rPr>
        <w:t>5</w:t>
      </w:r>
      <w:r w:rsidRPr="008F5F91">
        <w:rPr>
          <w:b/>
          <w:bCs/>
        </w:rPr>
        <w:t>.</w:t>
      </w:r>
      <w:r w:rsidRPr="008F5F91">
        <w:rPr>
          <w:b/>
          <w:bCs/>
        </w:rPr>
        <w:tab/>
        <w:t xml:space="preserve">Chapter 9.3, </w:t>
      </w:r>
      <w:r w:rsidRPr="0017729E">
        <w:rPr>
          <w:b/>
          <w:bCs/>
        </w:rPr>
        <w:t>9.3.1.15.2</w:t>
      </w:r>
      <w:r w:rsidRPr="008F5F91">
        <w:rPr>
          <w:b/>
          <w:bCs/>
        </w:rPr>
        <w:t xml:space="preserve">, last </w:t>
      </w:r>
      <w:r>
        <w:rPr>
          <w:b/>
          <w:bCs/>
        </w:rPr>
        <w:t>sentence of last paragraph</w:t>
      </w:r>
    </w:p>
    <w:p w14:paraId="1133E22E" w14:textId="77777777" w:rsidR="008F2382" w:rsidRPr="008F5F91" w:rsidRDefault="008F2382" w:rsidP="008F2382">
      <w:pPr>
        <w:pStyle w:val="SingleTxtG"/>
        <w:rPr>
          <w:b/>
          <w:bCs/>
        </w:rPr>
      </w:pPr>
      <w:r w:rsidRPr="008F5F91">
        <w:rPr>
          <w:i/>
          <w:iCs/>
        </w:rPr>
        <w:t>For</w:t>
      </w:r>
      <w:r w:rsidRPr="008F5F91">
        <w:t xml:space="preserve"> </w:t>
      </w:r>
      <w:r w:rsidRPr="003D42FB">
        <w:t>non-watertight</w:t>
      </w:r>
      <w:r w:rsidRPr="008F5F91">
        <w:rPr>
          <w:i/>
          <w:iCs/>
        </w:rPr>
        <w:t xml:space="preserve"> read</w:t>
      </w:r>
      <w:r w:rsidRPr="008F5F91">
        <w:t xml:space="preserve"> </w:t>
      </w:r>
      <w:r>
        <w:t>n</w:t>
      </w:r>
      <w:r w:rsidRPr="003D42FB">
        <w:t>on-weathertight</w:t>
      </w:r>
    </w:p>
    <w:p w14:paraId="0E78B93C" w14:textId="77777777" w:rsidR="008F2382" w:rsidRPr="00CF4F21"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INF.8)</w:t>
      </w:r>
    </w:p>
    <w:p w14:paraId="4866E0F4" w14:textId="77777777" w:rsidR="008F2382" w:rsidRPr="00AC2C1C" w:rsidRDefault="008F2382" w:rsidP="008F2382">
      <w:pPr>
        <w:pStyle w:val="SingleTxtG"/>
        <w:rPr>
          <w:b/>
          <w:bCs/>
        </w:rPr>
      </w:pPr>
      <w:r>
        <w:rPr>
          <w:b/>
          <w:bCs/>
        </w:rPr>
        <w:t>6</w:t>
      </w:r>
      <w:r w:rsidRPr="00AC2C1C">
        <w:rPr>
          <w:b/>
          <w:bCs/>
        </w:rPr>
        <w:t>.</w:t>
      </w:r>
      <w:r w:rsidRPr="00AC2C1C">
        <w:rPr>
          <w:b/>
          <w:bCs/>
        </w:rPr>
        <w:tab/>
        <w:t>Chapter 9.3, 9.3.2.15.2, last paragraph</w:t>
      </w:r>
    </w:p>
    <w:p w14:paraId="2DD0C649" w14:textId="77777777" w:rsidR="008F2382" w:rsidRPr="008F5F91" w:rsidRDefault="008F2382" w:rsidP="008F2382">
      <w:pPr>
        <w:pStyle w:val="SingleTxtG"/>
        <w:rPr>
          <w:b/>
          <w:bCs/>
        </w:rPr>
      </w:pPr>
      <w:r w:rsidRPr="008F5F91">
        <w:rPr>
          <w:i/>
          <w:iCs/>
        </w:rPr>
        <w:t>For</w:t>
      </w:r>
      <w:r w:rsidRPr="008F5F91">
        <w:t xml:space="preserve"> </w:t>
      </w:r>
      <w:r w:rsidRPr="003D42FB">
        <w:t>non-watertight</w:t>
      </w:r>
      <w:r w:rsidRPr="008F5F91">
        <w:rPr>
          <w:i/>
          <w:iCs/>
        </w:rPr>
        <w:t xml:space="preserve"> read</w:t>
      </w:r>
      <w:r w:rsidRPr="008F5F91">
        <w:t xml:space="preserve"> </w:t>
      </w:r>
      <w:r>
        <w:t>n</w:t>
      </w:r>
      <w:r w:rsidRPr="003D42FB">
        <w:t>on-weathertight</w:t>
      </w:r>
    </w:p>
    <w:p w14:paraId="3D53A999" w14:textId="77777777" w:rsidR="008F2382" w:rsidRPr="00CF4F21"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INF.8)</w:t>
      </w:r>
    </w:p>
    <w:p w14:paraId="4D9E2C92" w14:textId="77777777" w:rsidR="008F2382" w:rsidRPr="00AC2C1C" w:rsidRDefault="008F2382" w:rsidP="008F2382">
      <w:pPr>
        <w:pStyle w:val="SingleTxtG"/>
        <w:rPr>
          <w:b/>
          <w:bCs/>
        </w:rPr>
      </w:pPr>
      <w:r>
        <w:rPr>
          <w:b/>
          <w:bCs/>
        </w:rPr>
        <w:t>7</w:t>
      </w:r>
      <w:r w:rsidRPr="00AC2C1C">
        <w:rPr>
          <w:b/>
          <w:bCs/>
        </w:rPr>
        <w:t>.</w:t>
      </w:r>
      <w:r w:rsidRPr="00AC2C1C">
        <w:rPr>
          <w:b/>
          <w:bCs/>
        </w:rPr>
        <w:tab/>
        <w:t>Chapter 9.3, 9.3.</w:t>
      </w:r>
      <w:r>
        <w:rPr>
          <w:b/>
          <w:bCs/>
        </w:rPr>
        <w:t>3</w:t>
      </w:r>
      <w:r w:rsidRPr="00AC2C1C">
        <w:rPr>
          <w:b/>
          <w:bCs/>
        </w:rPr>
        <w:t>.15.2, last paragraph</w:t>
      </w:r>
    </w:p>
    <w:p w14:paraId="4820BCA6" w14:textId="77777777" w:rsidR="008F2382" w:rsidRPr="008F5F91" w:rsidRDefault="008F2382" w:rsidP="008F2382">
      <w:pPr>
        <w:pStyle w:val="SingleTxtG"/>
        <w:rPr>
          <w:b/>
          <w:bCs/>
        </w:rPr>
      </w:pPr>
      <w:r w:rsidRPr="008F5F91">
        <w:rPr>
          <w:i/>
          <w:iCs/>
        </w:rPr>
        <w:t>For</w:t>
      </w:r>
      <w:r w:rsidRPr="008F5F91">
        <w:t xml:space="preserve"> </w:t>
      </w:r>
      <w:r w:rsidRPr="003D42FB">
        <w:t>non-watertight</w:t>
      </w:r>
      <w:r w:rsidRPr="008F5F91">
        <w:rPr>
          <w:i/>
          <w:iCs/>
        </w:rPr>
        <w:t xml:space="preserve"> read</w:t>
      </w:r>
      <w:r w:rsidRPr="008F5F91">
        <w:t xml:space="preserve"> </w:t>
      </w:r>
      <w:r>
        <w:t>n</w:t>
      </w:r>
      <w:r w:rsidRPr="003D42FB">
        <w:t>on-weathertight</w:t>
      </w:r>
    </w:p>
    <w:p w14:paraId="2AF1FD74" w14:textId="77777777" w:rsidR="008F2382" w:rsidRPr="00CF4F21" w:rsidRDefault="008F2382" w:rsidP="008F2382">
      <w:pPr>
        <w:pStyle w:val="SingleTxtG"/>
        <w:rPr>
          <w:i/>
          <w:lang w:val="fr-CH"/>
        </w:rPr>
      </w:pPr>
      <w:r w:rsidRPr="00CF4F21">
        <w:rPr>
          <w:i/>
          <w:lang w:val="fr-CH"/>
        </w:rPr>
        <w:t xml:space="preserve">(Reference document: </w:t>
      </w:r>
      <w:proofErr w:type="spellStart"/>
      <w:r w:rsidRPr="00CF4F21">
        <w:rPr>
          <w:i/>
          <w:lang w:val="fr-CH"/>
        </w:rPr>
        <w:t>informal</w:t>
      </w:r>
      <w:proofErr w:type="spellEnd"/>
      <w:r w:rsidRPr="00CF4F21">
        <w:rPr>
          <w:i/>
          <w:lang w:val="fr-CH"/>
        </w:rPr>
        <w:t xml:space="preserve"> document INF.8)</w:t>
      </w:r>
    </w:p>
    <w:p w14:paraId="2DD25480" w14:textId="4BBDC710" w:rsidR="001E24FD" w:rsidRPr="00FB61B8" w:rsidRDefault="008F2382" w:rsidP="00FB61B8">
      <w:pPr>
        <w:spacing w:before="240"/>
        <w:jc w:val="center"/>
        <w:rPr>
          <w:u w:val="single"/>
          <w:lang w:val="fr-CH"/>
        </w:rPr>
      </w:pPr>
      <w:bookmarkStart w:id="99" w:name="_Hlk536608115"/>
      <w:r w:rsidRPr="000C066F">
        <w:rPr>
          <w:u w:val="single"/>
          <w:lang w:val="fr-CH"/>
        </w:rPr>
        <w:tab/>
      </w:r>
      <w:r w:rsidRPr="000C066F">
        <w:rPr>
          <w:u w:val="single"/>
          <w:lang w:val="fr-CH"/>
        </w:rPr>
        <w:tab/>
      </w:r>
      <w:r w:rsidRPr="000C066F">
        <w:rPr>
          <w:u w:val="single"/>
          <w:lang w:val="fr-CH"/>
        </w:rPr>
        <w:tab/>
      </w:r>
      <w:bookmarkEnd w:id="99"/>
    </w:p>
    <w:sectPr w:rsidR="001E24FD" w:rsidRPr="00FB61B8" w:rsidSect="0091204D">
      <w:headerReference w:type="default" r:id="rId39"/>
      <w:footerReference w:type="default" r:id="rId40"/>
      <w:headerReference w:type="first" r:id="rId41"/>
      <w:footerReference w:type="first" r:id="rId4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AFDFE" w14:textId="77777777" w:rsidR="00611F8A" w:rsidRDefault="00611F8A"/>
  </w:endnote>
  <w:endnote w:type="continuationSeparator" w:id="0">
    <w:p w14:paraId="3CEE5C04" w14:textId="77777777" w:rsidR="00611F8A" w:rsidRDefault="00611F8A"/>
  </w:endnote>
  <w:endnote w:type="continuationNotice" w:id="1">
    <w:p w14:paraId="6081500D" w14:textId="77777777" w:rsidR="00611F8A" w:rsidRDefault="00611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2542" w14:textId="5DEFB399" w:rsidR="00611F8A" w:rsidRPr="00072D30" w:rsidRDefault="00611F8A" w:rsidP="00072D30">
    <w:pPr>
      <w:pStyle w:val="Footer"/>
      <w:tabs>
        <w:tab w:val="right" w:pos="9638"/>
      </w:tabs>
      <w:rPr>
        <w:sz w:val="18"/>
      </w:rPr>
    </w:pPr>
    <w:r w:rsidRPr="0091204D">
      <w:rPr>
        <w:b/>
        <w:sz w:val="18"/>
      </w:rPr>
      <w:fldChar w:fldCharType="begin"/>
    </w:r>
    <w:r w:rsidRPr="0091204D">
      <w:rPr>
        <w:b/>
        <w:sz w:val="18"/>
      </w:rPr>
      <w:instrText xml:space="preserve"> PAGE  \* MERGEFORMAT </w:instrText>
    </w:r>
    <w:r w:rsidRPr="0091204D">
      <w:rPr>
        <w:b/>
        <w:sz w:val="18"/>
      </w:rPr>
      <w:fldChar w:fldCharType="separate"/>
    </w:r>
    <w:r w:rsidRPr="0091204D">
      <w:rPr>
        <w:b/>
        <w:noProof/>
        <w:sz w:val="18"/>
      </w:rPr>
      <w:t>2</w:t>
    </w:r>
    <w:r w:rsidRPr="0091204D">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5162" w14:textId="77777777" w:rsidR="00611F8A" w:rsidRPr="006A04D0"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BACB" w14:textId="77777777" w:rsidR="00611F8A" w:rsidRPr="00DE21B3" w:rsidRDefault="00611F8A" w:rsidP="00181181">
    <w:pPr>
      <w:pStyle w:val="Footer"/>
      <w:tabs>
        <w:tab w:val="right" w:pos="9638"/>
      </w:tabs>
      <w:jc w:val="right"/>
      <w:rPr>
        <w:b/>
        <w:sz w:val="18"/>
      </w:rPr>
    </w:pP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3</w:t>
    </w:r>
    <w:r w:rsidRPr="009A75CB">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E219" w14:textId="77777777" w:rsidR="00611F8A" w:rsidRDefault="00611F8A" w:rsidP="00181181">
    <w:pPr>
      <w:pStyle w:val="Footer"/>
      <w:tabs>
        <w:tab w:val="right" w:pos="9598"/>
      </w:tabs>
    </w:pPr>
    <w:r>
      <w:rPr>
        <w:noProof/>
      </w:rPr>
      <mc:AlternateContent>
        <mc:Choice Requires="wps">
          <w:drawing>
            <wp:anchor distT="0" distB="0" distL="114300" distR="114300" simplePos="0" relativeHeight="251658250" behindDoc="0" locked="0" layoutInCell="1" allowOverlap="1" wp14:anchorId="387AA1F8" wp14:editId="052BF1FB">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F3F5A7E"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7C7F73E7" w14:textId="77777777" w:rsidR="00611F8A" w:rsidRDefault="00611F8A"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7AA1F8" id="_x0000_t202" coordsize="21600,21600" o:spt="202" path="m,l,21600r21600,l21600,xe">
              <v:stroke joinstyle="miter"/>
              <v:path gradientshapeok="t" o:connecttype="rect"/>
            </v:shapetype>
            <v:shape id="Text Box 13" o:spid="_x0000_s1032" type="#_x0000_t202" style="position:absolute;margin-left:-34pt;margin-top:0;width:17pt;height:481.9pt;z-index:25165825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jDqVI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3F3F5A7E"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7C7F73E7" w14:textId="77777777" w:rsidR="00611F8A" w:rsidRDefault="00611F8A" w:rsidP="00181181"/>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37C7" w14:textId="77777777" w:rsidR="00611F8A" w:rsidRPr="00C71274" w:rsidRDefault="00611F8A" w:rsidP="00181181">
    <w:pPr>
      <w:pStyle w:val="Footer"/>
      <w:tabs>
        <w:tab w:val="right" w:pos="9598"/>
      </w:tabs>
      <w:rPr>
        <w:b/>
        <w:sz w:val="18"/>
      </w:rPr>
    </w:pPr>
    <w:r>
      <w:rPr>
        <w:noProof/>
      </w:rPr>
      <mc:AlternateContent>
        <mc:Choice Requires="wps">
          <w:drawing>
            <wp:anchor distT="0" distB="0" distL="114300" distR="114300" simplePos="0" relativeHeight="251658249" behindDoc="0" locked="0" layoutInCell="1" allowOverlap="1" wp14:anchorId="6A37F3E1" wp14:editId="01EEE12F">
              <wp:simplePos x="0" y="0"/>
              <wp:positionH relativeFrom="margin">
                <wp:posOffset>-431800</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8E66D8" w14:textId="77777777" w:rsidR="00611F8A" w:rsidRPr="00E36B99"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20C451C" w14:textId="77777777" w:rsidR="00611F8A" w:rsidRDefault="00611F8A"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37F3E1" id="_x0000_t202" coordsize="21600,21600" o:spt="202" path="m,l,21600r21600,l21600,xe">
              <v:stroke joinstyle="miter"/>
              <v:path gradientshapeok="t" o:connecttype="rect"/>
            </v:shapetype>
            <v:shape id="Text Box 12" o:spid="_x0000_s1033" type="#_x0000_t202" style="position:absolute;margin-left:-34pt;margin-top:0;width:17pt;height:481.9pt;z-index:251658249;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oSjAIAAC0FAAAOAAAAZHJzL2Uyb0RvYy54bWysVMFu2zAMvQ/YPwi6r05StFu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pSoKEowCAAAt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408E66D8" w14:textId="77777777" w:rsidR="00611F8A" w:rsidRPr="00E36B99"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20C451C" w14:textId="77777777" w:rsidR="00611F8A" w:rsidRDefault="00611F8A" w:rsidP="00181181"/>
                </w:txbxContent>
              </v:textbox>
              <w10:wrap anchorx="margin" anchory="margin"/>
            </v:shape>
          </w:pict>
        </mc:Fallback>
      </mc:AlternateContent>
    </w: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2470E" w14:textId="77777777" w:rsidR="00611F8A" w:rsidRPr="00DE21B3" w:rsidRDefault="00611F8A" w:rsidP="00181181">
    <w:pPr>
      <w:pStyle w:val="Footer"/>
      <w:tabs>
        <w:tab w:val="right" w:pos="9638"/>
      </w:tabs>
      <w:jc w:val="right"/>
      <w:rPr>
        <w:b/>
        <w:sz w:val="18"/>
      </w:rPr>
    </w:pPr>
    <w:r>
      <w:rPr>
        <w:noProof/>
      </w:rPr>
      <mc:AlternateContent>
        <mc:Choice Requires="wps">
          <w:drawing>
            <wp:anchor distT="0" distB="0" distL="114300" distR="114300" simplePos="0" relativeHeight="251658248" behindDoc="0" locked="0" layoutInCell="1" allowOverlap="1" wp14:anchorId="61EF3EA3" wp14:editId="210ACC6E">
              <wp:simplePos x="0" y="0"/>
              <wp:positionH relativeFrom="margin">
                <wp:posOffset>-431800</wp:posOffset>
              </wp:positionH>
              <wp:positionV relativeFrom="margin">
                <wp:posOffset>0</wp:posOffset>
              </wp:positionV>
              <wp:extent cx="215900" cy="61201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9B04FE6" w14:textId="77777777" w:rsidR="00611F8A" w:rsidRPr="00E36B99" w:rsidRDefault="00611F8A" w:rsidP="00077957">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BF6084A" w14:textId="77777777" w:rsidR="00611F8A" w:rsidRDefault="00611F8A"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EF3EA3" id="_x0000_t202" coordsize="21600,21600" o:spt="202" path="m,l,21600r21600,l21600,xe">
              <v:stroke joinstyle="miter"/>
              <v:path gradientshapeok="t" o:connecttype="rect"/>
            </v:shapetype>
            <v:shape id="Text Box 11" o:spid="_x0000_s1035" type="#_x0000_t202" style="position:absolute;left:0;text-align:left;margin-left:-34pt;margin-top:0;width:17pt;height:481.9pt;z-index:2516582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kAiw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" fillcolor="#4f81bd [3204]" stroked="f" strokeweight=".5pt">
              <v:fill opacity="0"/>
              <v:stroke joinstyle="round"/>
              <v:textbox style="layout-flow:vertical" inset="0,0,0,0">
                <w:txbxContent>
                  <w:p w14:paraId="59B04FE6" w14:textId="77777777" w:rsidR="00611F8A" w:rsidRPr="00E36B99" w:rsidRDefault="00611F8A" w:rsidP="00077957">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5BF6084A" w14:textId="77777777" w:rsidR="00611F8A" w:rsidRDefault="00611F8A" w:rsidP="00181181"/>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AB4B6" w14:textId="455B4B09" w:rsidR="00611F8A" w:rsidRPr="00C71274" w:rsidRDefault="00611F8A" w:rsidP="004804E7">
    <w:pPr>
      <w:pStyle w:val="Footer"/>
      <w:tabs>
        <w:tab w:val="right" w:pos="9638"/>
      </w:tabs>
      <w:jc w:val="right"/>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17</w:t>
    </w:r>
    <w:r w:rsidRPr="009A75CB">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96DC" w14:textId="4D326FE1" w:rsidR="00611F8A" w:rsidRPr="00DE21B3" w:rsidRDefault="00611F8A" w:rsidP="004804E7">
    <w:pPr>
      <w:pStyle w:val="Footer"/>
      <w:tabs>
        <w:tab w:val="right" w:pos="9638"/>
      </w:tabs>
      <w:rPr>
        <w:b/>
        <w:sz w:val="18"/>
      </w:rPr>
    </w:pPr>
    <w:r w:rsidRPr="009A75CB">
      <w:rPr>
        <w:b/>
        <w:sz w:val="18"/>
      </w:rPr>
      <w:fldChar w:fldCharType="begin"/>
    </w:r>
    <w:r w:rsidRPr="009A75CB">
      <w:rPr>
        <w:b/>
        <w:sz w:val="18"/>
      </w:rPr>
      <w:instrText xml:space="preserve"> PAGE  \* MERGEFORMAT </w:instrText>
    </w:r>
    <w:r w:rsidRPr="009A75CB">
      <w:rPr>
        <w:b/>
        <w:sz w:val="18"/>
      </w:rPr>
      <w:fldChar w:fldCharType="separate"/>
    </w:r>
    <w:r>
      <w:rPr>
        <w:b/>
        <w:sz w:val="18"/>
      </w:rPr>
      <w:t>17</w:t>
    </w:r>
    <w:r w:rsidRPr="009A75C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C4B0" w14:textId="7D50A3C5" w:rsidR="00611F8A" w:rsidRPr="00072D30" w:rsidRDefault="00611F8A" w:rsidP="00072D30">
    <w:pPr>
      <w:pStyle w:val="Footer"/>
      <w:tabs>
        <w:tab w:val="right" w:pos="9638"/>
      </w:tabs>
      <w:rPr>
        <w:b/>
        <w:sz w:val="18"/>
      </w:rPr>
    </w:pPr>
    <w:r>
      <w:tab/>
    </w:r>
    <w:r w:rsidRPr="0091204D">
      <w:rPr>
        <w:b/>
        <w:sz w:val="18"/>
      </w:rPr>
      <w:fldChar w:fldCharType="begin"/>
    </w:r>
    <w:r w:rsidRPr="0091204D">
      <w:rPr>
        <w:b/>
        <w:sz w:val="18"/>
      </w:rPr>
      <w:instrText xml:space="preserve"> PAGE  \* MERGEFORMAT </w:instrText>
    </w:r>
    <w:r w:rsidRPr="0091204D">
      <w:rPr>
        <w:b/>
        <w:sz w:val="18"/>
      </w:rPr>
      <w:fldChar w:fldCharType="separate"/>
    </w:r>
    <w:r w:rsidRPr="0091204D">
      <w:rPr>
        <w:b/>
        <w:noProof/>
        <w:sz w:val="18"/>
      </w:rPr>
      <w:t>3</w:t>
    </w:r>
    <w:r w:rsidRPr="0091204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AC8D" w14:textId="372FE094" w:rsidR="007E2E9D" w:rsidRDefault="007E2E9D" w:rsidP="007E2E9D">
    <w:pPr>
      <w:pStyle w:val="Footer"/>
    </w:pPr>
    <w:bookmarkStart w:id="97" w:name="_GoBack"/>
    <w:bookmarkEnd w:id="97"/>
    <w:r>
      <w:rPr>
        <w:noProof/>
        <w:lang w:val="en-US" w:eastAsia="zh-CN"/>
      </w:rPr>
      <w:drawing>
        <wp:anchor distT="0" distB="0" distL="114300" distR="114300" simplePos="0" relativeHeight="251660298" behindDoc="1" locked="1" layoutInCell="1" allowOverlap="1" wp14:anchorId="57F20798" wp14:editId="7B1A33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C7571F" w14:textId="2DB0187E" w:rsidR="007E2E9D" w:rsidRPr="007E2E9D" w:rsidRDefault="007E2E9D" w:rsidP="007E2E9D">
    <w:pPr>
      <w:pStyle w:val="Footer"/>
      <w:ind w:right="1134"/>
      <w:rPr>
        <w:sz w:val="20"/>
      </w:rPr>
    </w:pPr>
    <w:r>
      <w:rPr>
        <w:sz w:val="20"/>
      </w:rPr>
      <w:t>GE.21-13664(E)</w:t>
    </w:r>
    <w:r>
      <w:rPr>
        <w:noProof/>
        <w:sz w:val="20"/>
      </w:rPr>
      <w:drawing>
        <wp:anchor distT="0" distB="0" distL="114300" distR="114300" simplePos="0" relativeHeight="251661322" behindDoc="0" locked="0" layoutInCell="1" allowOverlap="1" wp14:anchorId="07664B22" wp14:editId="2A809495">
          <wp:simplePos x="0" y="0"/>
          <wp:positionH relativeFrom="margin">
            <wp:posOffset>5615940</wp:posOffset>
          </wp:positionH>
          <wp:positionV relativeFrom="margin">
            <wp:posOffset>8905875</wp:posOffset>
          </wp:positionV>
          <wp:extent cx="561975" cy="561975"/>
          <wp:effectExtent l="0" t="0" r="9525" b="952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C9A6"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8D4B1" w14:textId="77777777" w:rsidR="00611F8A" w:rsidRPr="006A04D0"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35111"/>
      <w:docPartObj>
        <w:docPartGallery w:val="Page Numbers (Bottom of Page)"/>
        <w:docPartUnique/>
      </w:docPartObj>
    </w:sdtPr>
    <w:sdtEndPr>
      <w:rPr>
        <w:b/>
        <w:bCs/>
        <w:noProof/>
        <w:sz w:val="18"/>
        <w:szCs w:val="22"/>
      </w:rPr>
    </w:sdtEndPr>
    <w:sdtContent>
      <w:p w14:paraId="0568D1B4" w14:textId="6B7999AC" w:rsidR="001E1D01" w:rsidRPr="001E1D01" w:rsidRDefault="001E1D01">
        <w:pPr>
          <w:pStyle w:val="Footer"/>
          <w:jc w:val="right"/>
          <w:rPr>
            <w:b/>
            <w:bCs/>
            <w:sz w:val="18"/>
            <w:szCs w:val="22"/>
          </w:rPr>
        </w:pPr>
        <w:r w:rsidRPr="001E1D01">
          <w:rPr>
            <w:b/>
            <w:bCs/>
            <w:sz w:val="18"/>
            <w:szCs w:val="22"/>
          </w:rPr>
          <w:fldChar w:fldCharType="begin"/>
        </w:r>
        <w:r w:rsidRPr="001E1D01">
          <w:rPr>
            <w:b/>
            <w:bCs/>
            <w:sz w:val="18"/>
            <w:szCs w:val="22"/>
          </w:rPr>
          <w:instrText xml:space="preserve"> PAGE   \* MERGEFORMAT </w:instrText>
        </w:r>
        <w:r w:rsidRPr="001E1D01">
          <w:rPr>
            <w:b/>
            <w:bCs/>
            <w:sz w:val="18"/>
            <w:szCs w:val="22"/>
          </w:rPr>
          <w:fldChar w:fldCharType="separate"/>
        </w:r>
        <w:r w:rsidRPr="001E1D01">
          <w:rPr>
            <w:b/>
            <w:bCs/>
            <w:noProof/>
            <w:sz w:val="18"/>
            <w:szCs w:val="22"/>
          </w:rPr>
          <w:t>2</w:t>
        </w:r>
        <w:r w:rsidRPr="001E1D01">
          <w:rPr>
            <w:b/>
            <w:bCs/>
            <w:noProof/>
            <w:sz w:val="18"/>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806EF" w14:textId="77777777" w:rsidR="00611F8A" w:rsidRPr="005665EA" w:rsidRDefault="00611F8A" w:rsidP="00181181">
    <w:pPr>
      <w:pStyle w:val="Footer"/>
    </w:pPr>
    <w:r>
      <w:rPr>
        <w:noProof/>
      </w:rPr>
      <mc:AlternateContent>
        <mc:Choice Requires="wps">
          <w:drawing>
            <wp:anchor distT="0" distB="0" distL="114300" distR="114300" simplePos="0" relativeHeight="251658243" behindDoc="0" locked="0" layoutInCell="1" allowOverlap="1" wp14:anchorId="1FB2EFC0" wp14:editId="0D3A3862">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C15BE5D"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934B925" w14:textId="77777777" w:rsidR="00611F8A" w:rsidRDefault="00611F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B2EFC0" id="_x0000_t202" coordsize="21600,21600" o:spt="202" path="m,l,21600r21600,l21600,xe">
              <v:stroke joinstyle="miter"/>
              <v:path gradientshapeok="t" o:connecttype="rect"/>
            </v:shapetype>
            <v:shape id="Text Box 5" o:spid="_x0000_s1028" type="#_x0000_t202" style="position:absolute;margin-left:-34pt;margin-top:0;width:17pt;height:481.9pt;z-index:251658243;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89vED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0C15BE5D"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4</w:t>
                    </w:r>
                    <w:r w:rsidRPr="00ED2D8C">
                      <w:rPr>
                        <w:b/>
                        <w:sz w:val="18"/>
                      </w:rPr>
                      <w:fldChar w:fldCharType="end"/>
                    </w:r>
                  </w:p>
                  <w:p w14:paraId="3934B925" w14:textId="77777777" w:rsidR="00611F8A" w:rsidRDefault="00611F8A"/>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A669" w14:textId="77777777" w:rsidR="00611F8A" w:rsidRPr="005665EA" w:rsidRDefault="00611F8A" w:rsidP="00181181">
    <w:pPr>
      <w:pStyle w:val="Footer"/>
    </w:pPr>
    <w:r>
      <w:rPr>
        <w:noProof/>
      </w:rPr>
      <mc:AlternateContent>
        <mc:Choice Requires="wps">
          <w:drawing>
            <wp:anchor distT="0" distB="0" distL="114300" distR="114300" simplePos="0" relativeHeight="251658241" behindDoc="0" locked="0" layoutInCell="1" allowOverlap="1" wp14:anchorId="725D4419" wp14:editId="0D91BAB5">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6AFA598" w14:textId="77777777" w:rsidR="00611F8A" w:rsidRPr="006A04D0"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3</w:t>
                          </w:r>
                          <w:r w:rsidRPr="00ED2D8C">
                            <w:rPr>
                              <w:b/>
                              <w:sz w:val="18"/>
                            </w:rPr>
                            <w:fldChar w:fldCharType="end"/>
                          </w:r>
                        </w:p>
                        <w:p w14:paraId="0B709A4E" w14:textId="77777777" w:rsidR="00611F8A" w:rsidRDefault="00611F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5D4419" id="_x0000_t202" coordsize="21600,21600" o:spt="202" path="m,l,21600r21600,l21600,xe">
              <v:stroke joinstyle="miter"/>
              <v:path gradientshapeok="t" o:connecttype="rect"/>
            </v:shapetype>
            <v:shape id="Text Box 3" o:spid="_x0000_s1029" type="#_x0000_t202" style="position:absolute;margin-left:-34pt;margin-top:0;width:17pt;height:481.9pt;z-index:251658241;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hiQIAACsFAAAOAAAAZHJzL2Uyb0RvYy54bWysVN9v0zAQfkfif7D8ztKu2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" fillcolor="#4f81bd [3204]" stroked="f" strokeweight=".5pt">
              <v:fill opacity="0"/>
              <v:stroke joinstyle="round"/>
              <v:textbox style="layout-flow:vertical" inset="0,0,0,0">
                <w:txbxContent>
                  <w:p w14:paraId="36AFA598" w14:textId="77777777" w:rsidR="00611F8A" w:rsidRPr="006A04D0" w:rsidRDefault="00611F8A" w:rsidP="00181181">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3</w:t>
                    </w:r>
                    <w:r w:rsidRPr="00ED2D8C">
                      <w:rPr>
                        <w:b/>
                        <w:sz w:val="18"/>
                      </w:rPr>
                      <w:fldChar w:fldCharType="end"/>
                    </w:r>
                  </w:p>
                  <w:p w14:paraId="0B709A4E" w14:textId="77777777" w:rsidR="00611F8A" w:rsidRDefault="00611F8A"/>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6F2B" w14:textId="77777777" w:rsidR="00611F8A" w:rsidRPr="00E36B99" w:rsidRDefault="00611F8A" w:rsidP="00181181">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C06A" w14:textId="77777777" w:rsidR="00611F8A" w:rsidRPr="000B175B" w:rsidRDefault="00611F8A" w:rsidP="000B175B">
      <w:pPr>
        <w:tabs>
          <w:tab w:val="right" w:pos="2155"/>
        </w:tabs>
        <w:spacing w:after="80"/>
        <w:ind w:left="680"/>
        <w:rPr>
          <w:u w:val="single"/>
        </w:rPr>
      </w:pPr>
      <w:r>
        <w:rPr>
          <w:u w:val="single"/>
        </w:rPr>
        <w:tab/>
      </w:r>
    </w:p>
  </w:footnote>
  <w:footnote w:type="continuationSeparator" w:id="0">
    <w:p w14:paraId="29755634" w14:textId="77777777" w:rsidR="00611F8A" w:rsidRPr="00FC68B7" w:rsidRDefault="00611F8A" w:rsidP="00FC68B7">
      <w:pPr>
        <w:tabs>
          <w:tab w:val="left" w:pos="2155"/>
        </w:tabs>
        <w:spacing w:after="80"/>
        <w:ind w:left="680"/>
        <w:rPr>
          <w:u w:val="single"/>
        </w:rPr>
      </w:pPr>
      <w:r>
        <w:rPr>
          <w:u w:val="single"/>
        </w:rPr>
        <w:tab/>
      </w:r>
    </w:p>
  </w:footnote>
  <w:footnote w:type="continuationNotice" w:id="1">
    <w:p w14:paraId="588DDDE4" w14:textId="77777777" w:rsidR="00611F8A" w:rsidRDefault="00611F8A"/>
  </w:footnote>
  <w:footnote w:id="2">
    <w:p w14:paraId="599CC25D" w14:textId="7D330DB9" w:rsidR="00611F8A" w:rsidRPr="00DC5498" w:rsidRDefault="00611F8A" w:rsidP="001E24FD">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CCNR-ZKR/ADN/WP.15/AC.2/78.</w:t>
      </w:r>
    </w:p>
  </w:footnote>
  <w:footnote w:id="3">
    <w:p w14:paraId="45D791A6" w14:textId="50A52632" w:rsidR="00611F8A" w:rsidRPr="00161E5B" w:rsidRDefault="00611F8A" w:rsidP="003064DA">
      <w:pPr>
        <w:pStyle w:val="FootnoteText"/>
      </w:pPr>
      <w:r>
        <w:tab/>
      </w:r>
      <w:r>
        <w:rPr>
          <w:rStyle w:val="FootnoteReference"/>
        </w:rPr>
        <w:footnoteRef/>
      </w:r>
      <w:r>
        <w:t xml:space="preserve"> </w:t>
      </w:r>
      <w:r w:rsidRPr="00161E5B">
        <w:tab/>
        <w:t xml:space="preserve">See reports: </w:t>
      </w:r>
      <w:hyperlink r:id="rId1" w:history="1">
        <w:r w:rsidRPr="00072D30">
          <w:rPr>
            <w:rStyle w:val="Hyperlink"/>
            <w:color w:val="auto"/>
          </w:rPr>
          <w:t>https://unece.org/DAM/trans/doc/2019/dgadn/ECE-ADN-51e.pdf</w:t>
        </w:r>
      </w:hyperlink>
      <w:r w:rsidRPr="00072D30">
        <w:t xml:space="preserve"> and </w:t>
      </w:r>
      <w:hyperlink r:id="rId2" w:history="1">
        <w:r w:rsidRPr="00072D30">
          <w:rPr>
            <w:rStyle w:val="Hyperlink"/>
            <w:color w:val="auto"/>
          </w:rPr>
          <w:t>https://unece.org/DAM/trans/doc/2020/dgadn/ECE-ADN-53e.pdf</w:t>
        </w:r>
      </w:hyperlink>
    </w:p>
  </w:footnote>
  <w:footnote w:id="4">
    <w:p w14:paraId="1317B59C" w14:textId="1B178836" w:rsidR="00611F8A" w:rsidRPr="00CC5540" w:rsidRDefault="00611F8A" w:rsidP="008F2382">
      <w:pPr>
        <w:pStyle w:val="FootnoteText"/>
      </w:pPr>
      <w:r>
        <w:tab/>
      </w:r>
      <w:r>
        <w:rPr>
          <w:rStyle w:val="FootnoteReference"/>
        </w:rPr>
        <w:footnoteRef/>
      </w:r>
      <w:r>
        <w:t xml:space="preserve"> </w:t>
      </w:r>
      <w:r w:rsidRPr="00112B92">
        <w:tab/>
      </w:r>
      <w:r w:rsidRPr="00112B92">
        <w:tab/>
      </w:r>
      <w:r>
        <w:rPr>
          <w:rFonts w:asciiTheme="majorBidi" w:hAnsiTheme="majorBidi" w:cstheme="majorBidi"/>
          <w:bCs/>
          <w:sz w:val="20"/>
        </w:rPr>
        <w:t>T</w:t>
      </w:r>
      <w:r w:rsidRPr="00137FFA">
        <w:rPr>
          <w:rFonts w:asciiTheme="majorBidi" w:hAnsiTheme="majorBidi" w:cstheme="majorBidi"/>
          <w:bCs/>
          <w:sz w:val="20"/>
        </w:rPr>
        <w:t>he Rhine</w:t>
      </w:r>
      <w:r>
        <w:rPr>
          <w:rFonts w:asciiTheme="majorBidi" w:hAnsiTheme="majorBidi" w:cstheme="majorBidi"/>
          <w:bCs/>
          <w:sz w:val="20"/>
        </w:rPr>
        <w:t xml:space="preserve"> or Danube</w:t>
      </w:r>
      <w:r w:rsidRPr="00137FFA">
        <w:rPr>
          <w:rFonts w:asciiTheme="majorBidi" w:hAnsiTheme="majorBidi" w:cstheme="majorBidi"/>
          <w:bCs/>
          <w:sz w:val="20"/>
        </w:rPr>
        <w:t xml:space="preserve"> navigation membership certificate</w:t>
      </w:r>
      <w:r>
        <w:rPr>
          <w:rFonts w:asciiTheme="majorBidi" w:hAnsiTheme="majorBidi" w:cstheme="majorBidi"/>
          <w:b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CA6D" w14:textId="6CDBD946" w:rsidR="00611F8A" w:rsidRPr="0091204D" w:rsidRDefault="00611F8A">
    <w:pPr>
      <w:pStyle w:val="Header"/>
    </w:pPr>
    <w:r>
      <w:t>ECE/TRANS/WP.15/AC.2/78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2E88" w14:textId="2B6A36EF" w:rsidR="00611F8A" w:rsidRPr="0091204D" w:rsidRDefault="00611F8A" w:rsidP="00637CED">
    <w:pPr>
      <w:pStyle w:val="Header"/>
      <w:jc w:val="right"/>
    </w:pPr>
    <w:fldSimple w:instr=" TITLE  \* MERGEFORMAT ">
      <w:r w:rsidR="00615570">
        <w:t>ECE/TRANS/WP.15/AC.2/78</w:t>
      </w:r>
    </w:fldSimple>
  </w:p>
  <w:p w14:paraId="0DF3473F" w14:textId="39E2E698" w:rsidR="00611F8A" w:rsidRDefault="00611F8A" w:rsidP="00637CED">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367C" w14:textId="77777777" w:rsidR="00611F8A" w:rsidRDefault="00611F8A">
    <w:r>
      <w:rPr>
        <w:noProof/>
      </w:rPr>
      <mc:AlternateContent>
        <mc:Choice Requires="wps">
          <w:drawing>
            <wp:anchor distT="0" distB="0" distL="114300" distR="114300" simplePos="0" relativeHeight="251658245" behindDoc="0" locked="0" layoutInCell="1" allowOverlap="1" wp14:anchorId="4E269294" wp14:editId="2AB46096">
              <wp:simplePos x="0" y="0"/>
              <wp:positionH relativeFrom="page">
                <wp:posOffset>9857266</wp:posOffset>
              </wp:positionH>
              <wp:positionV relativeFrom="margin">
                <wp:align>bottom</wp:align>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7ED88308" w14:textId="21D558BD" w:rsidR="00611F8A" w:rsidRPr="0091204D" w:rsidRDefault="00611F8A" w:rsidP="00637CED">
                          <w:pPr>
                            <w:pStyle w:val="Header"/>
                          </w:pPr>
                          <w:fldSimple w:instr=" TITLE  \* MERGEFORMAT ">
                            <w:r w:rsidR="00615570">
                              <w:t>ECE/TRANS/WP.15/AC.2/78</w:t>
                            </w:r>
                          </w:fldSimple>
                        </w:p>
                        <w:p w14:paraId="137ECDA1" w14:textId="77777777" w:rsidR="00611F8A" w:rsidRDefault="00611F8A" w:rsidP="0018118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269294" id="_x0000_t202" coordsize="21600,21600" o:spt="202" path="m,l,21600r21600,l21600,xe">
              <v:stroke joinstyle="miter"/>
              <v:path gradientshapeok="t" o:connecttype="rect"/>
            </v:shapetype>
            <v:shape id="Text Box 8" o:spid="_x0000_s1030" type="#_x0000_t202" style="position:absolute;margin-left:776.15pt;margin-top:0;width:17pt;height:481.9pt;z-index:251658245;visibility:visible;mso-wrap-style:square;mso-wrap-distance-left:9pt;mso-wrap-distance-top:0;mso-wrap-distance-right:9pt;mso-wrap-distance-bottom:0;mso-position-horizontal:absolute;mso-position-horizontal-relative:page;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" fillcolor="#4f81bd [3204]" stroked="f" strokeweight=".5pt">
              <v:fill opacity="0"/>
              <v:path arrowok="t"/>
              <v:textbox style="layout-flow:vertical" inset="0,0,0,0">
                <w:txbxContent>
                  <w:p w14:paraId="7ED88308" w14:textId="21D558BD" w:rsidR="00611F8A" w:rsidRPr="0091204D" w:rsidRDefault="00611F8A" w:rsidP="00637CED">
                    <w:pPr>
                      <w:pStyle w:val="Header"/>
                    </w:pPr>
                    <w:fldSimple w:instr=" TITLE  \* MERGEFORMAT ">
                      <w:r w:rsidR="00615570">
                        <w:t>ECE/TRANS/WP.15/AC.2/78</w:t>
                      </w:r>
                    </w:fldSimple>
                  </w:p>
                  <w:p w14:paraId="137ECDA1" w14:textId="77777777" w:rsidR="00611F8A" w:rsidRDefault="00611F8A" w:rsidP="00181181"/>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0BB1" w14:textId="77777777" w:rsidR="00611F8A" w:rsidRDefault="00611F8A">
    <w:r>
      <w:rPr>
        <w:noProof/>
      </w:rPr>
      <mc:AlternateContent>
        <mc:Choice Requires="wps">
          <w:drawing>
            <wp:anchor distT="0" distB="0" distL="114300" distR="114300" simplePos="0" relativeHeight="251658244" behindDoc="0" locked="0" layoutInCell="1" allowOverlap="1" wp14:anchorId="6D703F30" wp14:editId="64EA221F">
              <wp:simplePos x="0" y="0"/>
              <wp:positionH relativeFrom="page">
                <wp:posOffset>9857266</wp:posOffset>
              </wp:positionH>
              <wp:positionV relativeFrom="margin">
                <wp:posOffset>-27096</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ED55F6" w14:textId="4E3429E6" w:rsidR="00611F8A" w:rsidRPr="0091204D" w:rsidRDefault="00611F8A" w:rsidP="00077957">
                          <w:pPr>
                            <w:pStyle w:val="Header"/>
                            <w:jc w:val="right"/>
                          </w:pPr>
                          <w:fldSimple w:instr=" TITLE  \* MERGEFORMAT ">
                            <w:r w:rsidR="00615570">
                              <w:t>ECE/TRANS/WP.15/AC.2/78</w:t>
                            </w:r>
                          </w:fldSimple>
                        </w:p>
                        <w:p w14:paraId="4C7F0067" w14:textId="77777777" w:rsidR="00611F8A" w:rsidRDefault="00611F8A" w:rsidP="00637CED">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703F30" id="_x0000_t202" coordsize="21600,21600" o:spt="202" path="m,l,21600r21600,l21600,xe">
              <v:stroke joinstyle="miter"/>
              <v:path gradientshapeok="t" o:connecttype="rect"/>
            </v:shapetype>
            <v:shape id="Text Box 7" o:spid="_x0000_s1031" type="#_x0000_t202" style="position:absolute;margin-left:776.15pt;margin-top:-2.15pt;width:17pt;height:481.9pt;z-index:25165824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" fillcolor="#4f81bd [3204]" stroked="f" strokeweight=".5pt">
              <v:fill opacity="0"/>
              <v:path arrowok="t"/>
              <v:textbox style="layout-flow:vertical" inset="0,0,0,0">
                <w:txbxContent>
                  <w:p w14:paraId="5EED55F6" w14:textId="4E3429E6" w:rsidR="00611F8A" w:rsidRPr="0091204D" w:rsidRDefault="00611F8A" w:rsidP="00077957">
                    <w:pPr>
                      <w:pStyle w:val="Header"/>
                      <w:jc w:val="right"/>
                    </w:pPr>
                    <w:fldSimple w:instr=" TITLE  \* MERGEFORMAT ">
                      <w:r w:rsidR="00615570">
                        <w:t>ECE/TRANS/WP.15/AC.2/78</w:t>
                      </w:r>
                    </w:fldSimple>
                  </w:p>
                  <w:p w14:paraId="4C7F0067" w14:textId="77777777" w:rsidR="00611F8A" w:rsidRDefault="00611F8A" w:rsidP="00637CED">
                    <w:pPr>
                      <w:jc w:val="right"/>
                    </w:pPr>
                  </w:p>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78F02" w14:textId="77777777" w:rsidR="00611F8A" w:rsidRDefault="00611F8A" w:rsidP="00181181">
    <w:pPr>
      <w:pStyle w:val="Header"/>
      <w:pBdr>
        <w:bottom w:val="none" w:sz="0" w:space="0" w:color="auto"/>
      </w:pBdr>
      <w:jc w:val="right"/>
    </w:pPr>
    <w:r>
      <w:rPr>
        <w:noProof/>
      </w:rPr>
      <mc:AlternateContent>
        <mc:Choice Requires="wps">
          <w:drawing>
            <wp:anchor distT="0" distB="0" distL="114300" distR="114300" simplePos="0" relativeHeight="251658246" behindDoc="0" locked="0" layoutInCell="1" allowOverlap="1" wp14:anchorId="6ACADF2E" wp14:editId="444187FD">
              <wp:simplePos x="0" y="0"/>
              <wp:positionH relativeFrom="page">
                <wp:posOffset>9877738</wp:posOffset>
              </wp:positionH>
              <wp:positionV relativeFrom="margin">
                <wp:posOffset>4540</wp:posOffset>
              </wp:positionV>
              <wp:extent cx="215900"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2647C04" w14:textId="01BF500A" w:rsidR="00611F8A" w:rsidRPr="0091204D" w:rsidRDefault="00611F8A" w:rsidP="00637CED">
                          <w:pPr>
                            <w:pStyle w:val="Header"/>
                            <w:jc w:val="right"/>
                          </w:pPr>
                          <w:fldSimple w:instr=" TITLE  \* MERGEFORMAT ">
                            <w:r w:rsidR="00615570">
                              <w:t>ECE/TRANS/WP.15/AC.2/78</w:t>
                            </w:r>
                          </w:fldSimple>
                        </w:p>
                        <w:p w14:paraId="4CEA75A6" w14:textId="77777777" w:rsidR="00611F8A" w:rsidRDefault="00611F8A" w:rsidP="00637CED">
                          <w:pPr>
                            <w:jc w:val="right"/>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ACADF2E" id="_x0000_t202" coordsize="21600,21600" o:spt="202" path="m,l,21600r21600,l21600,xe">
              <v:stroke joinstyle="miter"/>
              <v:path gradientshapeok="t" o:connecttype="rect"/>
            </v:shapetype>
            <v:shape id="Text Box 10" o:spid="_x0000_s1034" type="#_x0000_t202" style="position:absolute;left:0;text-align:left;margin-left:777.75pt;margin-top:.35pt;width:17pt;height:481.9pt;z-index:25165824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" fillcolor="#4f81bd [3204]" stroked="f" strokeweight=".5pt">
              <v:fill opacity="0"/>
              <v:path arrowok="t"/>
              <v:textbox style="layout-flow:vertical" inset="0,0,0,0">
                <w:txbxContent>
                  <w:p w14:paraId="12647C04" w14:textId="01BF500A" w:rsidR="00611F8A" w:rsidRPr="0091204D" w:rsidRDefault="00611F8A" w:rsidP="00637CED">
                    <w:pPr>
                      <w:pStyle w:val="Header"/>
                      <w:jc w:val="right"/>
                    </w:pPr>
                    <w:fldSimple w:instr=" TITLE  \* MERGEFORMAT ">
                      <w:r w:rsidR="00615570">
                        <w:t>ECE/TRANS/WP.15/AC.2/78</w:t>
                      </w:r>
                    </w:fldSimple>
                  </w:p>
                  <w:p w14:paraId="4CEA75A6" w14:textId="77777777" w:rsidR="00611F8A" w:rsidRDefault="00611F8A" w:rsidP="00637CED">
                    <w:pPr>
                      <w:jc w:val="right"/>
                    </w:pPr>
                  </w:p>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FF86" w14:textId="7FD98D59" w:rsidR="00611F8A" w:rsidRDefault="00611F8A" w:rsidP="004804E7">
    <w:pPr>
      <w:pStyle w:val="Header"/>
      <w:jc w:val="right"/>
    </w:pPr>
    <w:fldSimple w:instr=" TITLE  \* MERGEFORMAT ">
      <w:r w:rsidR="00615570">
        <w:t>ECE/TRANS/WP.15/AC.2/78</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85A3" w14:textId="0E063074" w:rsidR="00611F8A" w:rsidRDefault="00611F8A" w:rsidP="004804E7">
    <w:pPr>
      <w:pStyle w:val="Header"/>
    </w:pPr>
    <w:fldSimple w:instr=" TITLE  \* MERGEFORMAT ">
      <w:r w:rsidR="00615570">
        <w:t>ECE/TRANS/WP.15/AC.2/78</w:t>
      </w:r>
    </w:fldSimple>
  </w:p>
  <w:p w14:paraId="1DEE5742" w14:textId="0C5BC7B0" w:rsidR="00611F8A" w:rsidRDefault="00611F8A" w:rsidP="00181181">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7227" w14:textId="1908FC56" w:rsidR="00611F8A" w:rsidRPr="0091204D" w:rsidRDefault="00611F8A" w:rsidP="0091204D">
    <w:pPr>
      <w:pStyle w:val="Header"/>
      <w:jc w:val="right"/>
    </w:pPr>
    <w:r>
      <w:t>ECE/TRANS/WP.15/AC.2/78</w:t>
    </w:r>
  </w:p>
  <w:p w14:paraId="7BE986A8" w14:textId="77777777" w:rsidR="00611F8A" w:rsidRDefault="00611F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E1A4" w14:textId="77777777" w:rsidR="00611F8A" w:rsidRDefault="00611F8A" w:rsidP="00181181">
    <w:pPr>
      <w:pStyle w:val="Header"/>
    </w:pPr>
    <w:r>
      <w:t>ECE/TRANS/WP.15/AC.2/2021/28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841E" w14:textId="77777777" w:rsidR="00611F8A" w:rsidRPr="00E36B99" w:rsidRDefault="00611F8A" w:rsidP="00181181">
    <w:pPr>
      <w:pStyle w:val="Header"/>
      <w:jc w:val="right"/>
    </w:pPr>
    <w:r>
      <w:t>ECE/TRANS/WP.15/AC.2/2021/28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7328" w14:textId="58E7CF63" w:rsidR="00611F8A" w:rsidRDefault="00611F8A" w:rsidP="008F2382">
    <w:pPr>
      <w:pStyle w:val="Header"/>
      <w:jc w:val="right"/>
    </w:pPr>
    <w:fldSimple w:instr=" TITLE  \* MERGEFORMAT ">
      <w:r w:rsidR="00615570">
        <w:t>ECE/TRANS/WP.15/AC.2/78</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84187" w14:textId="77777777" w:rsidR="00611F8A" w:rsidRPr="005665EA" w:rsidRDefault="00611F8A" w:rsidP="00181181">
    <w:r>
      <w:rPr>
        <w:noProof/>
      </w:rPr>
      <mc:AlternateContent>
        <mc:Choice Requires="wps">
          <w:drawing>
            <wp:anchor distT="0" distB="0" distL="114300" distR="114300" simplePos="0" relativeHeight="251658242" behindDoc="0" locked="0" layoutInCell="1" allowOverlap="1" wp14:anchorId="0CFB2625" wp14:editId="6597DF40">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733D0EE" w14:textId="52505AFD" w:rsidR="00611F8A" w:rsidRPr="0091204D" w:rsidRDefault="00611F8A" w:rsidP="00637CED">
                          <w:pPr>
                            <w:pStyle w:val="Header"/>
                          </w:pPr>
                          <w:fldSimple w:instr=" TITLE  \* MERGEFORMAT ">
                            <w:r w:rsidR="00615570">
                              <w:t>ECE/TRANS/WP.15/AC.2/78</w:t>
                            </w:r>
                          </w:fldSimple>
                        </w:p>
                        <w:p w14:paraId="5EA29F1A" w14:textId="77777777" w:rsidR="00611F8A" w:rsidRDefault="00611F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FB2625" id="_x0000_t202" coordsize="21600,21600" o:spt="202" path="m,l,21600r21600,l21600,xe">
              <v:stroke joinstyle="miter"/>
              <v:path gradientshapeok="t" o:connecttype="rect"/>
            </v:shapetype>
            <v:shape id="Text Box 4" o:spid="_x0000_s1026" type="#_x0000_t202" style="position:absolute;margin-left:782.35pt;margin-top:0;width:17pt;height:481.9pt;z-index:25165824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vnJtYU8CAAClBAAADgAAAAAAAAAAAAAAAAAuAgAAZHJzL2Uyb0RvYy54bWxQSwECLQAUAAYA&#10;CAAAACEAJOPe6t8AAAAKAQAADwAAAAAAAAAAAAAAAACpBAAAZHJzL2Rvd25yZXYueG1sUEsFBgAA&#10;AAAEAAQA8wAAALUFAAAAAA==&#10;" fillcolor="#4f81bd [3204]" stroked="f" strokeweight=".5pt">
              <v:fill opacity="0"/>
              <v:path arrowok="t"/>
              <v:textbox style="layout-flow:vertical" inset="0,0,0,0">
                <w:txbxContent>
                  <w:p w14:paraId="1733D0EE" w14:textId="52505AFD" w:rsidR="00611F8A" w:rsidRPr="0091204D" w:rsidRDefault="00611F8A" w:rsidP="00637CED">
                    <w:pPr>
                      <w:pStyle w:val="Header"/>
                    </w:pPr>
                    <w:fldSimple w:instr=" TITLE  \* MERGEFORMAT ">
                      <w:r w:rsidR="00615570">
                        <w:t>ECE/TRANS/WP.15/AC.2/78</w:t>
                      </w:r>
                    </w:fldSimple>
                  </w:p>
                  <w:p w14:paraId="5EA29F1A" w14:textId="77777777" w:rsidR="00611F8A" w:rsidRDefault="00611F8A"/>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D144" w14:textId="77777777" w:rsidR="00611F8A" w:rsidRPr="005665EA" w:rsidRDefault="00611F8A" w:rsidP="00181181">
    <w:r>
      <w:rPr>
        <w:noProof/>
      </w:rPr>
      <mc:AlternateContent>
        <mc:Choice Requires="wps">
          <w:drawing>
            <wp:anchor distT="0" distB="0" distL="114300" distR="114300" simplePos="0" relativeHeight="251658240" behindDoc="0" locked="0" layoutInCell="1" allowOverlap="1" wp14:anchorId="1CE73DAC" wp14:editId="0E5C7D29">
              <wp:simplePos x="0" y="0"/>
              <wp:positionH relativeFrom="page">
                <wp:posOffset>9935845</wp:posOffset>
              </wp:positionH>
              <wp:positionV relativeFrom="margin">
                <wp:posOffset>0</wp:posOffset>
              </wp:positionV>
              <wp:extent cx="215900" cy="612013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BE801D" w14:textId="77777777" w:rsidR="00611F8A" w:rsidRPr="00E36B99" w:rsidRDefault="00611F8A" w:rsidP="00181181">
                          <w:pPr>
                            <w:pStyle w:val="Header"/>
                            <w:jc w:val="right"/>
                          </w:pPr>
                          <w:r>
                            <w:t>ECE/TRANS/WP.15/AC.2/2021/28</w:t>
                          </w:r>
                        </w:p>
                        <w:p w14:paraId="6A459FF1" w14:textId="77777777" w:rsidR="00611F8A" w:rsidRDefault="00611F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E73DAC" id="_x0000_t202" coordsize="21600,21600" o:spt="202" path="m,l,21600r21600,l21600,xe">
              <v:stroke joinstyle="miter"/>
              <v:path gradientshapeok="t" o:connecttype="rect"/>
            </v:shapetype>
            <v:shape id="Text Box 9"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" fillcolor="#4f81bd [3204]" stroked="f" strokeweight=".5pt">
              <v:fill opacity="0"/>
              <v:stroke joinstyle="round"/>
              <v:textbox style="layout-flow:vertical" inset="0,0,0,0">
                <w:txbxContent>
                  <w:p w14:paraId="1FBE801D" w14:textId="77777777" w:rsidR="00611F8A" w:rsidRPr="00E36B99" w:rsidRDefault="00611F8A" w:rsidP="00181181">
                    <w:pPr>
                      <w:pStyle w:val="Header"/>
                      <w:jc w:val="right"/>
                    </w:pPr>
                    <w:r>
                      <w:t>ECE/TRANS/WP.15/AC.2/2021/28</w:t>
                    </w:r>
                  </w:p>
                  <w:p w14:paraId="6A459FF1" w14:textId="77777777" w:rsidR="00611F8A" w:rsidRDefault="00611F8A"/>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F220" w14:textId="766CE373" w:rsidR="00611F8A" w:rsidRDefault="00611F8A" w:rsidP="00637CED">
    <w:pPr>
      <w:pStyle w:val="Header"/>
    </w:pPr>
    <w:fldSimple w:instr=" TITLE  \* MERGEFORMAT ">
      <w:r w:rsidR="00615570">
        <w:t>ECE/TRANS/WP.15/AC.2/78</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EBED" w14:textId="77777777" w:rsidR="00611F8A" w:rsidRPr="00E36B99" w:rsidRDefault="00611F8A" w:rsidP="00181181">
    <w:pPr>
      <w:pStyle w:val="Header"/>
      <w:jc w:val="right"/>
    </w:pPr>
    <w:r>
      <w:t>ECE/TRANS/WP.15/AC.2/2021/30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4D"/>
    <w:rsid w:val="00002A7D"/>
    <w:rsid w:val="000038A8"/>
    <w:rsid w:val="00006790"/>
    <w:rsid w:val="00014EF7"/>
    <w:rsid w:val="00027624"/>
    <w:rsid w:val="00050F6B"/>
    <w:rsid w:val="000602CD"/>
    <w:rsid w:val="000678CD"/>
    <w:rsid w:val="00072C8C"/>
    <w:rsid w:val="00072D30"/>
    <w:rsid w:val="00077957"/>
    <w:rsid w:val="00081CE0"/>
    <w:rsid w:val="00084D30"/>
    <w:rsid w:val="00090320"/>
    <w:rsid w:val="000931C0"/>
    <w:rsid w:val="0009732C"/>
    <w:rsid w:val="000A01F9"/>
    <w:rsid w:val="000A2E09"/>
    <w:rsid w:val="000B175B"/>
    <w:rsid w:val="000B3A0F"/>
    <w:rsid w:val="000E0415"/>
    <w:rsid w:val="000F7715"/>
    <w:rsid w:val="001052F5"/>
    <w:rsid w:val="00114F5C"/>
    <w:rsid w:val="001361AD"/>
    <w:rsid w:val="00156B99"/>
    <w:rsid w:val="00166124"/>
    <w:rsid w:val="00181181"/>
    <w:rsid w:val="00184DDA"/>
    <w:rsid w:val="00185041"/>
    <w:rsid w:val="001900CD"/>
    <w:rsid w:val="001A0452"/>
    <w:rsid w:val="001B4B04"/>
    <w:rsid w:val="001B5875"/>
    <w:rsid w:val="001C4B9C"/>
    <w:rsid w:val="001C6663"/>
    <w:rsid w:val="001C7895"/>
    <w:rsid w:val="001D26DF"/>
    <w:rsid w:val="001E1D01"/>
    <w:rsid w:val="001E24FD"/>
    <w:rsid w:val="001F1599"/>
    <w:rsid w:val="001F19C4"/>
    <w:rsid w:val="002043F0"/>
    <w:rsid w:val="00211E0B"/>
    <w:rsid w:val="00230862"/>
    <w:rsid w:val="00232575"/>
    <w:rsid w:val="00247258"/>
    <w:rsid w:val="00253C3A"/>
    <w:rsid w:val="00257CAC"/>
    <w:rsid w:val="00264441"/>
    <w:rsid w:val="0027237A"/>
    <w:rsid w:val="00273B73"/>
    <w:rsid w:val="002974E9"/>
    <w:rsid w:val="002A7F94"/>
    <w:rsid w:val="002B109A"/>
    <w:rsid w:val="002C6D45"/>
    <w:rsid w:val="002D6E53"/>
    <w:rsid w:val="002F046D"/>
    <w:rsid w:val="002F3023"/>
    <w:rsid w:val="00301764"/>
    <w:rsid w:val="003064DA"/>
    <w:rsid w:val="003229D8"/>
    <w:rsid w:val="00336C97"/>
    <w:rsid w:val="00337F88"/>
    <w:rsid w:val="00342432"/>
    <w:rsid w:val="00346486"/>
    <w:rsid w:val="0035223F"/>
    <w:rsid w:val="00352D4B"/>
    <w:rsid w:val="0035638C"/>
    <w:rsid w:val="0037537F"/>
    <w:rsid w:val="00393EC1"/>
    <w:rsid w:val="003A46BB"/>
    <w:rsid w:val="003A4EC7"/>
    <w:rsid w:val="003A7295"/>
    <w:rsid w:val="003B1F60"/>
    <w:rsid w:val="003C2CC4"/>
    <w:rsid w:val="003D4B23"/>
    <w:rsid w:val="003E278A"/>
    <w:rsid w:val="003F0DF0"/>
    <w:rsid w:val="004104A6"/>
    <w:rsid w:val="00413520"/>
    <w:rsid w:val="004325CB"/>
    <w:rsid w:val="00432E24"/>
    <w:rsid w:val="00440A07"/>
    <w:rsid w:val="00452691"/>
    <w:rsid w:val="00462880"/>
    <w:rsid w:val="00476F24"/>
    <w:rsid w:val="004804E7"/>
    <w:rsid w:val="004A196D"/>
    <w:rsid w:val="004A296F"/>
    <w:rsid w:val="004B27BF"/>
    <w:rsid w:val="004C55B0"/>
    <w:rsid w:val="004F6BA0"/>
    <w:rsid w:val="00503BEA"/>
    <w:rsid w:val="00533616"/>
    <w:rsid w:val="00535ABA"/>
    <w:rsid w:val="0053768B"/>
    <w:rsid w:val="005420F2"/>
    <w:rsid w:val="0054285C"/>
    <w:rsid w:val="00547E4F"/>
    <w:rsid w:val="00584173"/>
    <w:rsid w:val="00595520"/>
    <w:rsid w:val="005A39E7"/>
    <w:rsid w:val="005A44B9"/>
    <w:rsid w:val="005B1BA0"/>
    <w:rsid w:val="005B3DB3"/>
    <w:rsid w:val="005D15CA"/>
    <w:rsid w:val="005D7969"/>
    <w:rsid w:val="005E2113"/>
    <w:rsid w:val="005F08DF"/>
    <w:rsid w:val="005F3066"/>
    <w:rsid w:val="005F3E61"/>
    <w:rsid w:val="0060182D"/>
    <w:rsid w:val="00604DDD"/>
    <w:rsid w:val="006115CC"/>
    <w:rsid w:val="00611F8A"/>
    <w:rsid w:val="00611FC4"/>
    <w:rsid w:val="00613DB6"/>
    <w:rsid w:val="00615570"/>
    <w:rsid w:val="00616DC0"/>
    <w:rsid w:val="006176FB"/>
    <w:rsid w:val="00630FCB"/>
    <w:rsid w:val="00637CED"/>
    <w:rsid w:val="00640B26"/>
    <w:rsid w:val="0065766B"/>
    <w:rsid w:val="006770B2"/>
    <w:rsid w:val="00686A48"/>
    <w:rsid w:val="00686A87"/>
    <w:rsid w:val="00693E61"/>
    <w:rsid w:val="006940E1"/>
    <w:rsid w:val="006A19B1"/>
    <w:rsid w:val="006A3C72"/>
    <w:rsid w:val="006A7392"/>
    <w:rsid w:val="006B03A1"/>
    <w:rsid w:val="006B4122"/>
    <w:rsid w:val="006B67D9"/>
    <w:rsid w:val="006C5535"/>
    <w:rsid w:val="006D0589"/>
    <w:rsid w:val="006D430D"/>
    <w:rsid w:val="006D5C5E"/>
    <w:rsid w:val="006E564B"/>
    <w:rsid w:val="006E7154"/>
    <w:rsid w:val="007003CD"/>
    <w:rsid w:val="0070701E"/>
    <w:rsid w:val="0072632A"/>
    <w:rsid w:val="007358E8"/>
    <w:rsid w:val="00736ECE"/>
    <w:rsid w:val="00743340"/>
    <w:rsid w:val="0074533B"/>
    <w:rsid w:val="007643BC"/>
    <w:rsid w:val="00780C68"/>
    <w:rsid w:val="007959FE"/>
    <w:rsid w:val="007A0CF1"/>
    <w:rsid w:val="007A478E"/>
    <w:rsid w:val="007B5A21"/>
    <w:rsid w:val="007B6BA5"/>
    <w:rsid w:val="007C3390"/>
    <w:rsid w:val="007C42D8"/>
    <w:rsid w:val="007C4926"/>
    <w:rsid w:val="007C4F4B"/>
    <w:rsid w:val="007D5CD0"/>
    <w:rsid w:val="007D7362"/>
    <w:rsid w:val="007E2E9D"/>
    <w:rsid w:val="007F5CE2"/>
    <w:rsid w:val="007F6611"/>
    <w:rsid w:val="00800522"/>
    <w:rsid w:val="00810BAC"/>
    <w:rsid w:val="008114CA"/>
    <w:rsid w:val="008175E9"/>
    <w:rsid w:val="008242D7"/>
    <w:rsid w:val="0082577B"/>
    <w:rsid w:val="008272DD"/>
    <w:rsid w:val="008501C7"/>
    <w:rsid w:val="00866893"/>
    <w:rsid w:val="00866F02"/>
    <w:rsid w:val="00867D18"/>
    <w:rsid w:val="00871F9A"/>
    <w:rsid w:val="00871FD5"/>
    <w:rsid w:val="0088172E"/>
    <w:rsid w:val="00881EFA"/>
    <w:rsid w:val="008871CB"/>
    <w:rsid w:val="008879CB"/>
    <w:rsid w:val="008964CF"/>
    <w:rsid w:val="0089670B"/>
    <w:rsid w:val="008979B1"/>
    <w:rsid w:val="008A6B25"/>
    <w:rsid w:val="008A6C4F"/>
    <w:rsid w:val="008A77AE"/>
    <w:rsid w:val="008B389E"/>
    <w:rsid w:val="008D045E"/>
    <w:rsid w:val="008D3F25"/>
    <w:rsid w:val="008D4D82"/>
    <w:rsid w:val="008D58F3"/>
    <w:rsid w:val="008E0E46"/>
    <w:rsid w:val="008E7116"/>
    <w:rsid w:val="008F143B"/>
    <w:rsid w:val="008F2382"/>
    <w:rsid w:val="008F3882"/>
    <w:rsid w:val="008F4B7C"/>
    <w:rsid w:val="0090176E"/>
    <w:rsid w:val="0091204D"/>
    <w:rsid w:val="00926E47"/>
    <w:rsid w:val="00947162"/>
    <w:rsid w:val="009610D0"/>
    <w:rsid w:val="0096375C"/>
    <w:rsid w:val="009662E6"/>
    <w:rsid w:val="0097095E"/>
    <w:rsid w:val="00970A69"/>
    <w:rsid w:val="00973690"/>
    <w:rsid w:val="0098592B"/>
    <w:rsid w:val="00985FC4"/>
    <w:rsid w:val="00990766"/>
    <w:rsid w:val="00991261"/>
    <w:rsid w:val="009964C4"/>
    <w:rsid w:val="009A5B29"/>
    <w:rsid w:val="009A7B81"/>
    <w:rsid w:val="009C5576"/>
    <w:rsid w:val="009C7CA1"/>
    <w:rsid w:val="009D01C0"/>
    <w:rsid w:val="009D2B56"/>
    <w:rsid w:val="009D6A08"/>
    <w:rsid w:val="009E0A16"/>
    <w:rsid w:val="009E6CB7"/>
    <w:rsid w:val="009E7970"/>
    <w:rsid w:val="009F2EAC"/>
    <w:rsid w:val="009F57E3"/>
    <w:rsid w:val="00A10F4F"/>
    <w:rsid w:val="00A11067"/>
    <w:rsid w:val="00A1704A"/>
    <w:rsid w:val="00A425EB"/>
    <w:rsid w:val="00A6013E"/>
    <w:rsid w:val="00A61B55"/>
    <w:rsid w:val="00A72F22"/>
    <w:rsid w:val="00A733BC"/>
    <w:rsid w:val="00A748A6"/>
    <w:rsid w:val="00A76A69"/>
    <w:rsid w:val="00A879A4"/>
    <w:rsid w:val="00AA0FF8"/>
    <w:rsid w:val="00AB3A69"/>
    <w:rsid w:val="00AC0F2C"/>
    <w:rsid w:val="00AC502A"/>
    <w:rsid w:val="00AF58C1"/>
    <w:rsid w:val="00B04A3F"/>
    <w:rsid w:val="00B06643"/>
    <w:rsid w:val="00B15055"/>
    <w:rsid w:val="00B20551"/>
    <w:rsid w:val="00B24325"/>
    <w:rsid w:val="00B2668F"/>
    <w:rsid w:val="00B27959"/>
    <w:rsid w:val="00B30179"/>
    <w:rsid w:val="00B33FC7"/>
    <w:rsid w:val="00B37B15"/>
    <w:rsid w:val="00B45C02"/>
    <w:rsid w:val="00B70B63"/>
    <w:rsid w:val="00B72A1E"/>
    <w:rsid w:val="00B81E12"/>
    <w:rsid w:val="00BA339B"/>
    <w:rsid w:val="00BA345B"/>
    <w:rsid w:val="00BB23CC"/>
    <w:rsid w:val="00BC0B06"/>
    <w:rsid w:val="00BC1E7E"/>
    <w:rsid w:val="00BC3304"/>
    <w:rsid w:val="00BC74E9"/>
    <w:rsid w:val="00BD2531"/>
    <w:rsid w:val="00BE36A9"/>
    <w:rsid w:val="00BE618E"/>
    <w:rsid w:val="00BE7BEC"/>
    <w:rsid w:val="00BF0A5A"/>
    <w:rsid w:val="00BF0E63"/>
    <w:rsid w:val="00BF12A3"/>
    <w:rsid w:val="00BF16D7"/>
    <w:rsid w:val="00BF1F15"/>
    <w:rsid w:val="00BF2373"/>
    <w:rsid w:val="00BF7951"/>
    <w:rsid w:val="00C02543"/>
    <w:rsid w:val="00C0294F"/>
    <w:rsid w:val="00C044E2"/>
    <w:rsid w:val="00C048CB"/>
    <w:rsid w:val="00C066F3"/>
    <w:rsid w:val="00C314DD"/>
    <w:rsid w:val="00C35279"/>
    <w:rsid w:val="00C408B7"/>
    <w:rsid w:val="00C411EB"/>
    <w:rsid w:val="00C463DD"/>
    <w:rsid w:val="00C745C3"/>
    <w:rsid w:val="00C978F5"/>
    <w:rsid w:val="00CA24A4"/>
    <w:rsid w:val="00CA43EE"/>
    <w:rsid w:val="00CB348D"/>
    <w:rsid w:val="00CD444F"/>
    <w:rsid w:val="00CD46F5"/>
    <w:rsid w:val="00CE4A8F"/>
    <w:rsid w:val="00CE78F6"/>
    <w:rsid w:val="00CF071D"/>
    <w:rsid w:val="00CF213D"/>
    <w:rsid w:val="00CF444B"/>
    <w:rsid w:val="00D0123D"/>
    <w:rsid w:val="00D15B04"/>
    <w:rsid w:val="00D2031B"/>
    <w:rsid w:val="00D25FE2"/>
    <w:rsid w:val="00D26621"/>
    <w:rsid w:val="00D368BE"/>
    <w:rsid w:val="00D37DA9"/>
    <w:rsid w:val="00D406A7"/>
    <w:rsid w:val="00D40765"/>
    <w:rsid w:val="00D43252"/>
    <w:rsid w:val="00D433E4"/>
    <w:rsid w:val="00D44D86"/>
    <w:rsid w:val="00D50B7D"/>
    <w:rsid w:val="00D52012"/>
    <w:rsid w:val="00D61356"/>
    <w:rsid w:val="00D704E5"/>
    <w:rsid w:val="00D70D61"/>
    <w:rsid w:val="00D72727"/>
    <w:rsid w:val="00D84AF1"/>
    <w:rsid w:val="00D978C6"/>
    <w:rsid w:val="00DA0956"/>
    <w:rsid w:val="00DA357F"/>
    <w:rsid w:val="00DA3E12"/>
    <w:rsid w:val="00DC18AD"/>
    <w:rsid w:val="00DC614F"/>
    <w:rsid w:val="00DD1F72"/>
    <w:rsid w:val="00DF03E3"/>
    <w:rsid w:val="00DF1F0D"/>
    <w:rsid w:val="00DF7CAE"/>
    <w:rsid w:val="00E0341D"/>
    <w:rsid w:val="00E423C0"/>
    <w:rsid w:val="00E5736C"/>
    <w:rsid w:val="00E623F3"/>
    <w:rsid w:val="00E6414C"/>
    <w:rsid w:val="00E7260F"/>
    <w:rsid w:val="00E74A58"/>
    <w:rsid w:val="00E82896"/>
    <w:rsid w:val="00E849C2"/>
    <w:rsid w:val="00E8702D"/>
    <w:rsid w:val="00E905F4"/>
    <w:rsid w:val="00E916A9"/>
    <w:rsid w:val="00E916DE"/>
    <w:rsid w:val="00E919FE"/>
    <w:rsid w:val="00E925AD"/>
    <w:rsid w:val="00E96630"/>
    <w:rsid w:val="00EB5727"/>
    <w:rsid w:val="00EB775C"/>
    <w:rsid w:val="00ED18DC"/>
    <w:rsid w:val="00ED6201"/>
    <w:rsid w:val="00ED7A2A"/>
    <w:rsid w:val="00EF1D7F"/>
    <w:rsid w:val="00F0137E"/>
    <w:rsid w:val="00F21786"/>
    <w:rsid w:val="00F3422A"/>
    <w:rsid w:val="00F36D16"/>
    <w:rsid w:val="00F3742B"/>
    <w:rsid w:val="00F41FDB"/>
    <w:rsid w:val="00F47576"/>
    <w:rsid w:val="00F47D79"/>
    <w:rsid w:val="00F50596"/>
    <w:rsid w:val="00F56D63"/>
    <w:rsid w:val="00F609A9"/>
    <w:rsid w:val="00F80C99"/>
    <w:rsid w:val="00F81F0F"/>
    <w:rsid w:val="00F867EC"/>
    <w:rsid w:val="00F91B2B"/>
    <w:rsid w:val="00FA5E87"/>
    <w:rsid w:val="00FB61B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67D095"/>
  <w15:docId w15:val="{83E1EED1-EC67-47C8-8578-EF2F0F3A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rsid w:val="001E24FD"/>
    <w:rPr>
      <w:sz w:val="18"/>
      <w:lang w:val="en-GB"/>
    </w:rPr>
  </w:style>
  <w:style w:type="character" w:customStyle="1" w:styleId="HChGChar">
    <w:name w:val="_ H _Ch_G Char"/>
    <w:link w:val="HChG"/>
    <w:rsid w:val="001E24FD"/>
    <w:rPr>
      <w:b/>
      <w:sz w:val="28"/>
      <w:lang w:val="en-GB"/>
    </w:rPr>
  </w:style>
  <w:style w:type="character" w:customStyle="1" w:styleId="H1GChar">
    <w:name w:val="_ H_1_G Char"/>
    <w:link w:val="H1G"/>
    <w:rsid w:val="001E24FD"/>
    <w:rPr>
      <w:b/>
      <w:sz w:val="24"/>
      <w:lang w:val="en-GB"/>
    </w:rPr>
  </w:style>
  <w:style w:type="character" w:customStyle="1" w:styleId="H23GChar">
    <w:name w:val="_ H_2/3_G Char"/>
    <w:link w:val="H23G"/>
    <w:rsid w:val="001E24FD"/>
    <w:rPr>
      <w:b/>
      <w:lang w:val="en-GB"/>
    </w:rPr>
  </w:style>
  <w:style w:type="character" w:styleId="CommentReference">
    <w:name w:val="annotation reference"/>
    <w:basedOn w:val="DefaultParagraphFont"/>
    <w:uiPriority w:val="99"/>
    <w:semiHidden/>
    <w:unhideWhenUsed/>
    <w:rsid w:val="001E24FD"/>
    <w:rPr>
      <w:sz w:val="16"/>
      <w:szCs w:val="16"/>
    </w:rPr>
  </w:style>
  <w:style w:type="paragraph" w:styleId="CommentText">
    <w:name w:val="annotation text"/>
    <w:basedOn w:val="Normal"/>
    <w:link w:val="CommentTextChar"/>
    <w:uiPriority w:val="99"/>
    <w:unhideWhenUsed/>
    <w:rsid w:val="001E24FD"/>
    <w:pPr>
      <w:spacing w:line="240" w:lineRule="auto"/>
    </w:pPr>
    <w:rPr>
      <w:lang w:eastAsia="en-US"/>
    </w:rPr>
  </w:style>
  <w:style w:type="character" w:customStyle="1" w:styleId="CommentTextChar">
    <w:name w:val="Comment Text Char"/>
    <w:basedOn w:val="DefaultParagraphFont"/>
    <w:link w:val="CommentText"/>
    <w:uiPriority w:val="99"/>
    <w:rsid w:val="001E24FD"/>
    <w:rPr>
      <w:lang w:val="en-GB" w:eastAsia="en-US"/>
    </w:rPr>
  </w:style>
  <w:style w:type="paragraph" w:styleId="CommentSubject">
    <w:name w:val="annotation subject"/>
    <w:basedOn w:val="CommentText"/>
    <w:next w:val="CommentText"/>
    <w:link w:val="CommentSubjectChar"/>
    <w:semiHidden/>
    <w:unhideWhenUsed/>
    <w:rsid w:val="001E24FD"/>
    <w:rPr>
      <w:b/>
      <w:bCs/>
      <w:lang w:eastAsia="fr-FR"/>
    </w:rPr>
  </w:style>
  <w:style w:type="character" w:customStyle="1" w:styleId="CommentSubjectChar">
    <w:name w:val="Comment Subject Char"/>
    <w:basedOn w:val="CommentTextChar"/>
    <w:link w:val="CommentSubject"/>
    <w:semiHidden/>
    <w:rsid w:val="001E24FD"/>
    <w:rPr>
      <w:b/>
      <w:bCs/>
      <w:lang w:val="en-GB" w:eastAsia="en-US"/>
    </w:rPr>
  </w:style>
  <w:style w:type="paragraph" w:styleId="TOC1">
    <w:name w:val="toc 1"/>
    <w:basedOn w:val="Normal"/>
    <w:next w:val="Normal"/>
    <w:autoRedefine/>
    <w:uiPriority w:val="39"/>
    <w:unhideWhenUsed/>
    <w:rsid w:val="00BC3304"/>
    <w:pPr>
      <w:spacing w:after="100"/>
    </w:pPr>
  </w:style>
  <w:style w:type="paragraph" w:styleId="TOC2">
    <w:name w:val="toc 2"/>
    <w:basedOn w:val="Normal"/>
    <w:next w:val="Normal"/>
    <w:autoRedefine/>
    <w:uiPriority w:val="39"/>
    <w:unhideWhenUsed/>
    <w:rsid w:val="00BC3304"/>
    <w:pPr>
      <w:spacing w:after="100"/>
      <w:ind w:left="200"/>
    </w:pPr>
  </w:style>
  <w:style w:type="paragraph" w:styleId="TOC3">
    <w:name w:val="toc 3"/>
    <w:basedOn w:val="Normal"/>
    <w:next w:val="Normal"/>
    <w:autoRedefine/>
    <w:uiPriority w:val="39"/>
    <w:unhideWhenUsed/>
    <w:rsid w:val="00BC3304"/>
    <w:pPr>
      <w:spacing w:after="100"/>
      <w:ind w:left="400"/>
    </w:pPr>
  </w:style>
  <w:style w:type="paragraph" w:styleId="TOC4">
    <w:name w:val="toc 4"/>
    <w:basedOn w:val="Normal"/>
    <w:next w:val="Normal"/>
    <w:autoRedefine/>
    <w:uiPriority w:val="39"/>
    <w:unhideWhenUsed/>
    <w:rsid w:val="00BC3304"/>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BC3304"/>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BC3304"/>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BC3304"/>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BC3304"/>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BC3304"/>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BC3304"/>
    <w:rPr>
      <w:color w:val="605E5C"/>
      <w:shd w:val="clear" w:color="auto" w:fill="E1DFDD"/>
    </w:rPr>
  </w:style>
  <w:style w:type="character" w:customStyle="1" w:styleId="HeaderChar">
    <w:name w:val="Header Char"/>
    <w:aliases w:val="6_G Char"/>
    <w:basedOn w:val="DefaultParagraphFont"/>
    <w:link w:val="Header"/>
    <w:rsid w:val="008F2382"/>
    <w:rPr>
      <w:b/>
      <w:sz w:val="18"/>
      <w:lang w:val="en-GB"/>
    </w:rPr>
  </w:style>
  <w:style w:type="character" w:customStyle="1" w:styleId="FooterChar">
    <w:name w:val="Footer Char"/>
    <w:aliases w:val="3_G Char"/>
    <w:basedOn w:val="DefaultParagraphFont"/>
    <w:link w:val="Footer"/>
    <w:uiPriority w:val="99"/>
    <w:rsid w:val="008F2382"/>
    <w:rPr>
      <w:sz w:val="16"/>
      <w:lang w:val="en-GB"/>
    </w:rPr>
  </w:style>
  <w:style w:type="character" w:styleId="Emphasis">
    <w:name w:val="Emphasis"/>
    <w:qFormat/>
    <w:rsid w:val="008F2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2.xml"/><Relationship Id="rId42" Type="http://schemas.openxmlformats.org/officeDocument/2006/relationships/footer" Target="foot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DAM/trans/doc/2020/dgadn/ECE-ADN-53e.pdf" TargetMode="External"/><Relationship Id="rId1" Type="http://schemas.openxmlformats.org/officeDocument/2006/relationships/hyperlink" Target="https://unece.org/DAM/trans/doc/2019/dgadn/ECE-ADN-51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5D812-39A8-4C4C-981C-2197A5715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442F1-F20E-4EEF-9970-A38AD03D2B85}">
  <ds:schemaRefs>
    <ds:schemaRef ds:uri="http://schemas.microsoft.com/sharepoint/v3/contenttype/forms"/>
  </ds:schemaRefs>
</ds:datastoreItem>
</file>

<file path=customXml/itemProps3.xml><?xml version="1.0" encoding="utf-8"?>
<ds:datastoreItem xmlns:ds="http://schemas.openxmlformats.org/officeDocument/2006/customXml" ds:itemID="{D3D4D1C5-A84B-441F-A8FF-1C2A482B7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7003</Words>
  <Characters>39220</Characters>
  <Application>Microsoft Office Word</Application>
  <DocSecurity>0</DocSecurity>
  <Lines>1070</Lines>
  <Paragraphs>501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ECE/TRANS/WP.15/AC.2/78</vt:lpstr>
      <vt:lpstr/>
    </vt:vector>
  </TitlesOfParts>
  <Company>CSD</Company>
  <LinksUpToDate>false</LinksUpToDate>
  <CharactersWithSpaces>46046</CharactersWithSpaces>
  <SharedDoc>false</SharedDoc>
  <HLinks>
    <vt:vector size="318" baseType="variant">
      <vt:variant>
        <vt:i4>1179704</vt:i4>
      </vt:variant>
      <vt:variant>
        <vt:i4>302</vt:i4>
      </vt:variant>
      <vt:variant>
        <vt:i4>0</vt:i4>
      </vt:variant>
      <vt:variant>
        <vt:i4>5</vt:i4>
      </vt:variant>
      <vt:variant>
        <vt:lpwstr/>
      </vt:variant>
      <vt:variant>
        <vt:lpwstr>_Toc81410441</vt:lpwstr>
      </vt:variant>
      <vt:variant>
        <vt:i4>1245240</vt:i4>
      </vt:variant>
      <vt:variant>
        <vt:i4>296</vt:i4>
      </vt:variant>
      <vt:variant>
        <vt:i4>0</vt:i4>
      </vt:variant>
      <vt:variant>
        <vt:i4>5</vt:i4>
      </vt:variant>
      <vt:variant>
        <vt:lpwstr/>
      </vt:variant>
      <vt:variant>
        <vt:lpwstr>_Toc81410440</vt:lpwstr>
      </vt:variant>
      <vt:variant>
        <vt:i4>1769535</vt:i4>
      </vt:variant>
      <vt:variant>
        <vt:i4>290</vt:i4>
      </vt:variant>
      <vt:variant>
        <vt:i4>0</vt:i4>
      </vt:variant>
      <vt:variant>
        <vt:i4>5</vt:i4>
      </vt:variant>
      <vt:variant>
        <vt:lpwstr/>
      </vt:variant>
      <vt:variant>
        <vt:lpwstr>_Toc81410438</vt:lpwstr>
      </vt:variant>
      <vt:variant>
        <vt:i4>1376319</vt:i4>
      </vt:variant>
      <vt:variant>
        <vt:i4>284</vt:i4>
      </vt:variant>
      <vt:variant>
        <vt:i4>0</vt:i4>
      </vt:variant>
      <vt:variant>
        <vt:i4>5</vt:i4>
      </vt:variant>
      <vt:variant>
        <vt:lpwstr/>
      </vt:variant>
      <vt:variant>
        <vt:lpwstr>_Toc81410436</vt:lpwstr>
      </vt:variant>
      <vt:variant>
        <vt:i4>1441855</vt:i4>
      </vt:variant>
      <vt:variant>
        <vt:i4>278</vt:i4>
      </vt:variant>
      <vt:variant>
        <vt:i4>0</vt:i4>
      </vt:variant>
      <vt:variant>
        <vt:i4>5</vt:i4>
      </vt:variant>
      <vt:variant>
        <vt:lpwstr/>
      </vt:variant>
      <vt:variant>
        <vt:lpwstr>_Toc81410435</vt:lpwstr>
      </vt:variant>
      <vt:variant>
        <vt:i4>1507391</vt:i4>
      </vt:variant>
      <vt:variant>
        <vt:i4>272</vt:i4>
      </vt:variant>
      <vt:variant>
        <vt:i4>0</vt:i4>
      </vt:variant>
      <vt:variant>
        <vt:i4>5</vt:i4>
      </vt:variant>
      <vt:variant>
        <vt:lpwstr/>
      </vt:variant>
      <vt:variant>
        <vt:lpwstr>_Toc81410434</vt:lpwstr>
      </vt:variant>
      <vt:variant>
        <vt:i4>1114175</vt:i4>
      </vt:variant>
      <vt:variant>
        <vt:i4>266</vt:i4>
      </vt:variant>
      <vt:variant>
        <vt:i4>0</vt:i4>
      </vt:variant>
      <vt:variant>
        <vt:i4>5</vt:i4>
      </vt:variant>
      <vt:variant>
        <vt:lpwstr/>
      </vt:variant>
      <vt:variant>
        <vt:lpwstr>_Toc81410432</vt:lpwstr>
      </vt:variant>
      <vt:variant>
        <vt:i4>1703998</vt:i4>
      </vt:variant>
      <vt:variant>
        <vt:i4>260</vt:i4>
      </vt:variant>
      <vt:variant>
        <vt:i4>0</vt:i4>
      </vt:variant>
      <vt:variant>
        <vt:i4>5</vt:i4>
      </vt:variant>
      <vt:variant>
        <vt:lpwstr/>
      </vt:variant>
      <vt:variant>
        <vt:lpwstr>_Toc81410429</vt:lpwstr>
      </vt:variant>
      <vt:variant>
        <vt:i4>1769534</vt:i4>
      </vt:variant>
      <vt:variant>
        <vt:i4>254</vt:i4>
      </vt:variant>
      <vt:variant>
        <vt:i4>0</vt:i4>
      </vt:variant>
      <vt:variant>
        <vt:i4>5</vt:i4>
      </vt:variant>
      <vt:variant>
        <vt:lpwstr/>
      </vt:variant>
      <vt:variant>
        <vt:lpwstr>_Toc81410428</vt:lpwstr>
      </vt:variant>
      <vt:variant>
        <vt:i4>1441854</vt:i4>
      </vt:variant>
      <vt:variant>
        <vt:i4>248</vt:i4>
      </vt:variant>
      <vt:variant>
        <vt:i4>0</vt:i4>
      </vt:variant>
      <vt:variant>
        <vt:i4>5</vt:i4>
      </vt:variant>
      <vt:variant>
        <vt:lpwstr/>
      </vt:variant>
      <vt:variant>
        <vt:lpwstr>_Toc81410425</vt:lpwstr>
      </vt:variant>
      <vt:variant>
        <vt:i4>1048638</vt:i4>
      </vt:variant>
      <vt:variant>
        <vt:i4>242</vt:i4>
      </vt:variant>
      <vt:variant>
        <vt:i4>0</vt:i4>
      </vt:variant>
      <vt:variant>
        <vt:i4>5</vt:i4>
      </vt:variant>
      <vt:variant>
        <vt:lpwstr/>
      </vt:variant>
      <vt:variant>
        <vt:lpwstr>_Toc81410423</vt:lpwstr>
      </vt:variant>
      <vt:variant>
        <vt:i4>1179710</vt:i4>
      </vt:variant>
      <vt:variant>
        <vt:i4>236</vt:i4>
      </vt:variant>
      <vt:variant>
        <vt:i4>0</vt:i4>
      </vt:variant>
      <vt:variant>
        <vt:i4>5</vt:i4>
      </vt:variant>
      <vt:variant>
        <vt:lpwstr/>
      </vt:variant>
      <vt:variant>
        <vt:lpwstr>_Toc81410421</vt:lpwstr>
      </vt:variant>
      <vt:variant>
        <vt:i4>1703997</vt:i4>
      </vt:variant>
      <vt:variant>
        <vt:i4>230</vt:i4>
      </vt:variant>
      <vt:variant>
        <vt:i4>0</vt:i4>
      </vt:variant>
      <vt:variant>
        <vt:i4>5</vt:i4>
      </vt:variant>
      <vt:variant>
        <vt:lpwstr/>
      </vt:variant>
      <vt:variant>
        <vt:lpwstr>_Toc81410419</vt:lpwstr>
      </vt:variant>
      <vt:variant>
        <vt:i4>1310781</vt:i4>
      </vt:variant>
      <vt:variant>
        <vt:i4>224</vt:i4>
      </vt:variant>
      <vt:variant>
        <vt:i4>0</vt:i4>
      </vt:variant>
      <vt:variant>
        <vt:i4>5</vt:i4>
      </vt:variant>
      <vt:variant>
        <vt:lpwstr/>
      </vt:variant>
      <vt:variant>
        <vt:lpwstr>_Toc81410417</vt:lpwstr>
      </vt:variant>
      <vt:variant>
        <vt:i4>1441853</vt:i4>
      </vt:variant>
      <vt:variant>
        <vt:i4>218</vt:i4>
      </vt:variant>
      <vt:variant>
        <vt:i4>0</vt:i4>
      </vt:variant>
      <vt:variant>
        <vt:i4>5</vt:i4>
      </vt:variant>
      <vt:variant>
        <vt:lpwstr/>
      </vt:variant>
      <vt:variant>
        <vt:lpwstr>_Toc81410415</vt:lpwstr>
      </vt:variant>
      <vt:variant>
        <vt:i4>1048637</vt:i4>
      </vt:variant>
      <vt:variant>
        <vt:i4>212</vt:i4>
      </vt:variant>
      <vt:variant>
        <vt:i4>0</vt:i4>
      </vt:variant>
      <vt:variant>
        <vt:i4>5</vt:i4>
      </vt:variant>
      <vt:variant>
        <vt:lpwstr/>
      </vt:variant>
      <vt:variant>
        <vt:lpwstr>_Toc81410413</vt:lpwstr>
      </vt:variant>
      <vt:variant>
        <vt:i4>1179709</vt:i4>
      </vt:variant>
      <vt:variant>
        <vt:i4>206</vt:i4>
      </vt:variant>
      <vt:variant>
        <vt:i4>0</vt:i4>
      </vt:variant>
      <vt:variant>
        <vt:i4>5</vt:i4>
      </vt:variant>
      <vt:variant>
        <vt:lpwstr/>
      </vt:variant>
      <vt:variant>
        <vt:lpwstr>_Toc81410411</vt:lpwstr>
      </vt:variant>
      <vt:variant>
        <vt:i4>1703996</vt:i4>
      </vt:variant>
      <vt:variant>
        <vt:i4>200</vt:i4>
      </vt:variant>
      <vt:variant>
        <vt:i4>0</vt:i4>
      </vt:variant>
      <vt:variant>
        <vt:i4>5</vt:i4>
      </vt:variant>
      <vt:variant>
        <vt:lpwstr/>
      </vt:variant>
      <vt:variant>
        <vt:lpwstr>_Toc81410409</vt:lpwstr>
      </vt:variant>
      <vt:variant>
        <vt:i4>1310780</vt:i4>
      </vt:variant>
      <vt:variant>
        <vt:i4>194</vt:i4>
      </vt:variant>
      <vt:variant>
        <vt:i4>0</vt:i4>
      </vt:variant>
      <vt:variant>
        <vt:i4>5</vt:i4>
      </vt:variant>
      <vt:variant>
        <vt:lpwstr/>
      </vt:variant>
      <vt:variant>
        <vt:lpwstr>_Toc81410407</vt:lpwstr>
      </vt:variant>
      <vt:variant>
        <vt:i4>1441852</vt:i4>
      </vt:variant>
      <vt:variant>
        <vt:i4>188</vt:i4>
      </vt:variant>
      <vt:variant>
        <vt:i4>0</vt:i4>
      </vt:variant>
      <vt:variant>
        <vt:i4>5</vt:i4>
      </vt:variant>
      <vt:variant>
        <vt:lpwstr/>
      </vt:variant>
      <vt:variant>
        <vt:lpwstr>_Toc81410405</vt:lpwstr>
      </vt:variant>
      <vt:variant>
        <vt:i4>1048636</vt:i4>
      </vt:variant>
      <vt:variant>
        <vt:i4>182</vt:i4>
      </vt:variant>
      <vt:variant>
        <vt:i4>0</vt:i4>
      </vt:variant>
      <vt:variant>
        <vt:i4>5</vt:i4>
      </vt:variant>
      <vt:variant>
        <vt:lpwstr/>
      </vt:variant>
      <vt:variant>
        <vt:lpwstr>_Toc81410403</vt:lpwstr>
      </vt:variant>
      <vt:variant>
        <vt:i4>1245244</vt:i4>
      </vt:variant>
      <vt:variant>
        <vt:i4>176</vt:i4>
      </vt:variant>
      <vt:variant>
        <vt:i4>0</vt:i4>
      </vt:variant>
      <vt:variant>
        <vt:i4>5</vt:i4>
      </vt:variant>
      <vt:variant>
        <vt:lpwstr/>
      </vt:variant>
      <vt:variant>
        <vt:lpwstr>_Toc81410400</vt:lpwstr>
      </vt:variant>
      <vt:variant>
        <vt:i4>1835061</vt:i4>
      </vt:variant>
      <vt:variant>
        <vt:i4>170</vt:i4>
      </vt:variant>
      <vt:variant>
        <vt:i4>0</vt:i4>
      </vt:variant>
      <vt:variant>
        <vt:i4>5</vt:i4>
      </vt:variant>
      <vt:variant>
        <vt:lpwstr/>
      </vt:variant>
      <vt:variant>
        <vt:lpwstr>_Toc81410398</vt:lpwstr>
      </vt:variant>
      <vt:variant>
        <vt:i4>1179701</vt:i4>
      </vt:variant>
      <vt:variant>
        <vt:i4>164</vt:i4>
      </vt:variant>
      <vt:variant>
        <vt:i4>0</vt:i4>
      </vt:variant>
      <vt:variant>
        <vt:i4>5</vt:i4>
      </vt:variant>
      <vt:variant>
        <vt:lpwstr/>
      </vt:variant>
      <vt:variant>
        <vt:lpwstr>_Toc81410396</vt:lpwstr>
      </vt:variant>
      <vt:variant>
        <vt:i4>1048629</vt:i4>
      </vt:variant>
      <vt:variant>
        <vt:i4>158</vt:i4>
      </vt:variant>
      <vt:variant>
        <vt:i4>0</vt:i4>
      </vt:variant>
      <vt:variant>
        <vt:i4>5</vt:i4>
      </vt:variant>
      <vt:variant>
        <vt:lpwstr/>
      </vt:variant>
      <vt:variant>
        <vt:lpwstr>_Toc81410394</vt:lpwstr>
      </vt:variant>
      <vt:variant>
        <vt:i4>1376309</vt:i4>
      </vt:variant>
      <vt:variant>
        <vt:i4>152</vt:i4>
      </vt:variant>
      <vt:variant>
        <vt:i4>0</vt:i4>
      </vt:variant>
      <vt:variant>
        <vt:i4>5</vt:i4>
      </vt:variant>
      <vt:variant>
        <vt:lpwstr/>
      </vt:variant>
      <vt:variant>
        <vt:lpwstr>_Toc81410391</vt:lpwstr>
      </vt:variant>
      <vt:variant>
        <vt:i4>1900596</vt:i4>
      </vt:variant>
      <vt:variant>
        <vt:i4>146</vt:i4>
      </vt:variant>
      <vt:variant>
        <vt:i4>0</vt:i4>
      </vt:variant>
      <vt:variant>
        <vt:i4>5</vt:i4>
      </vt:variant>
      <vt:variant>
        <vt:lpwstr/>
      </vt:variant>
      <vt:variant>
        <vt:lpwstr>_Toc81410389</vt:lpwstr>
      </vt:variant>
      <vt:variant>
        <vt:i4>1245236</vt:i4>
      </vt:variant>
      <vt:variant>
        <vt:i4>140</vt:i4>
      </vt:variant>
      <vt:variant>
        <vt:i4>0</vt:i4>
      </vt:variant>
      <vt:variant>
        <vt:i4>5</vt:i4>
      </vt:variant>
      <vt:variant>
        <vt:lpwstr/>
      </vt:variant>
      <vt:variant>
        <vt:lpwstr>_Toc81410387</vt:lpwstr>
      </vt:variant>
      <vt:variant>
        <vt:i4>1114164</vt:i4>
      </vt:variant>
      <vt:variant>
        <vt:i4>134</vt:i4>
      </vt:variant>
      <vt:variant>
        <vt:i4>0</vt:i4>
      </vt:variant>
      <vt:variant>
        <vt:i4>5</vt:i4>
      </vt:variant>
      <vt:variant>
        <vt:lpwstr/>
      </vt:variant>
      <vt:variant>
        <vt:lpwstr>_Toc81410385</vt:lpwstr>
      </vt:variant>
      <vt:variant>
        <vt:i4>1048628</vt:i4>
      </vt:variant>
      <vt:variant>
        <vt:i4>128</vt:i4>
      </vt:variant>
      <vt:variant>
        <vt:i4>0</vt:i4>
      </vt:variant>
      <vt:variant>
        <vt:i4>5</vt:i4>
      </vt:variant>
      <vt:variant>
        <vt:lpwstr/>
      </vt:variant>
      <vt:variant>
        <vt:lpwstr>_Toc81410384</vt:lpwstr>
      </vt:variant>
      <vt:variant>
        <vt:i4>1507380</vt:i4>
      </vt:variant>
      <vt:variant>
        <vt:i4>122</vt:i4>
      </vt:variant>
      <vt:variant>
        <vt:i4>0</vt:i4>
      </vt:variant>
      <vt:variant>
        <vt:i4>5</vt:i4>
      </vt:variant>
      <vt:variant>
        <vt:lpwstr/>
      </vt:variant>
      <vt:variant>
        <vt:lpwstr>_Toc81410383</vt:lpwstr>
      </vt:variant>
      <vt:variant>
        <vt:i4>1441844</vt:i4>
      </vt:variant>
      <vt:variant>
        <vt:i4>116</vt:i4>
      </vt:variant>
      <vt:variant>
        <vt:i4>0</vt:i4>
      </vt:variant>
      <vt:variant>
        <vt:i4>5</vt:i4>
      </vt:variant>
      <vt:variant>
        <vt:lpwstr/>
      </vt:variant>
      <vt:variant>
        <vt:lpwstr>_Toc81410382</vt:lpwstr>
      </vt:variant>
      <vt:variant>
        <vt:i4>1376308</vt:i4>
      </vt:variant>
      <vt:variant>
        <vt:i4>110</vt:i4>
      </vt:variant>
      <vt:variant>
        <vt:i4>0</vt:i4>
      </vt:variant>
      <vt:variant>
        <vt:i4>5</vt:i4>
      </vt:variant>
      <vt:variant>
        <vt:lpwstr/>
      </vt:variant>
      <vt:variant>
        <vt:lpwstr>_Toc81410381</vt:lpwstr>
      </vt:variant>
      <vt:variant>
        <vt:i4>1310772</vt:i4>
      </vt:variant>
      <vt:variant>
        <vt:i4>104</vt:i4>
      </vt:variant>
      <vt:variant>
        <vt:i4>0</vt:i4>
      </vt:variant>
      <vt:variant>
        <vt:i4>5</vt:i4>
      </vt:variant>
      <vt:variant>
        <vt:lpwstr/>
      </vt:variant>
      <vt:variant>
        <vt:lpwstr>_Toc81410380</vt:lpwstr>
      </vt:variant>
      <vt:variant>
        <vt:i4>1835067</vt:i4>
      </vt:variant>
      <vt:variant>
        <vt:i4>98</vt:i4>
      </vt:variant>
      <vt:variant>
        <vt:i4>0</vt:i4>
      </vt:variant>
      <vt:variant>
        <vt:i4>5</vt:i4>
      </vt:variant>
      <vt:variant>
        <vt:lpwstr/>
      </vt:variant>
      <vt:variant>
        <vt:lpwstr>_Toc81410378</vt:lpwstr>
      </vt:variant>
      <vt:variant>
        <vt:i4>1179707</vt:i4>
      </vt:variant>
      <vt:variant>
        <vt:i4>92</vt:i4>
      </vt:variant>
      <vt:variant>
        <vt:i4>0</vt:i4>
      </vt:variant>
      <vt:variant>
        <vt:i4>5</vt:i4>
      </vt:variant>
      <vt:variant>
        <vt:lpwstr/>
      </vt:variant>
      <vt:variant>
        <vt:lpwstr>_Toc81410376</vt:lpwstr>
      </vt:variant>
      <vt:variant>
        <vt:i4>1114171</vt:i4>
      </vt:variant>
      <vt:variant>
        <vt:i4>86</vt:i4>
      </vt:variant>
      <vt:variant>
        <vt:i4>0</vt:i4>
      </vt:variant>
      <vt:variant>
        <vt:i4>5</vt:i4>
      </vt:variant>
      <vt:variant>
        <vt:lpwstr/>
      </vt:variant>
      <vt:variant>
        <vt:lpwstr>_Toc81410375</vt:lpwstr>
      </vt:variant>
      <vt:variant>
        <vt:i4>1048635</vt:i4>
      </vt:variant>
      <vt:variant>
        <vt:i4>80</vt:i4>
      </vt:variant>
      <vt:variant>
        <vt:i4>0</vt:i4>
      </vt:variant>
      <vt:variant>
        <vt:i4>5</vt:i4>
      </vt:variant>
      <vt:variant>
        <vt:lpwstr/>
      </vt:variant>
      <vt:variant>
        <vt:lpwstr>_Toc81410374</vt:lpwstr>
      </vt:variant>
      <vt:variant>
        <vt:i4>1441851</vt:i4>
      </vt:variant>
      <vt:variant>
        <vt:i4>74</vt:i4>
      </vt:variant>
      <vt:variant>
        <vt:i4>0</vt:i4>
      </vt:variant>
      <vt:variant>
        <vt:i4>5</vt:i4>
      </vt:variant>
      <vt:variant>
        <vt:lpwstr/>
      </vt:variant>
      <vt:variant>
        <vt:lpwstr>_Toc81410372</vt:lpwstr>
      </vt:variant>
      <vt:variant>
        <vt:i4>1900602</vt:i4>
      </vt:variant>
      <vt:variant>
        <vt:i4>68</vt:i4>
      </vt:variant>
      <vt:variant>
        <vt:i4>0</vt:i4>
      </vt:variant>
      <vt:variant>
        <vt:i4>5</vt:i4>
      </vt:variant>
      <vt:variant>
        <vt:lpwstr/>
      </vt:variant>
      <vt:variant>
        <vt:lpwstr>_Toc81410369</vt:lpwstr>
      </vt:variant>
      <vt:variant>
        <vt:i4>1835066</vt:i4>
      </vt:variant>
      <vt:variant>
        <vt:i4>62</vt:i4>
      </vt:variant>
      <vt:variant>
        <vt:i4>0</vt:i4>
      </vt:variant>
      <vt:variant>
        <vt:i4>5</vt:i4>
      </vt:variant>
      <vt:variant>
        <vt:lpwstr/>
      </vt:variant>
      <vt:variant>
        <vt:lpwstr>_Toc81410368</vt:lpwstr>
      </vt:variant>
      <vt:variant>
        <vt:i4>1245242</vt:i4>
      </vt:variant>
      <vt:variant>
        <vt:i4>56</vt:i4>
      </vt:variant>
      <vt:variant>
        <vt:i4>0</vt:i4>
      </vt:variant>
      <vt:variant>
        <vt:i4>5</vt:i4>
      </vt:variant>
      <vt:variant>
        <vt:lpwstr/>
      </vt:variant>
      <vt:variant>
        <vt:lpwstr>_Toc81410367</vt:lpwstr>
      </vt:variant>
      <vt:variant>
        <vt:i4>1179706</vt:i4>
      </vt:variant>
      <vt:variant>
        <vt:i4>50</vt:i4>
      </vt:variant>
      <vt:variant>
        <vt:i4>0</vt:i4>
      </vt:variant>
      <vt:variant>
        <vt:i4>5</vt:i4>
      </vt:variant>
      <vt:variant>
        <vt:lpwstr/>
      </vt:variant>
      <vt:variant>
        <vt:lpwstr>_Toc81410366</vt:lpwstr>
      </vt:variant>
      <vt:variant>
        <vt:i4>1048634</vt:i4>
      </vt:variant>
      <vt:variant>
        <vt:i4>44</vt:i4>
      </vt:variant>
      <vt:variant>
        <vt:i4>0</vt:i4>
      </vt:variant>
      <vt:variant>
        <vt:i4>5</vt:i4>
      </vt:variant>
      <vt:variant>
        <vt:lpwstr/>
      </vt:variant>
      <vt:variant>
        <vt:lpwstr>_Toc81410364</vt:lpwstr>
      </vt:variant>
      <vt:variant>
        <vt:i4>1441850</vt:i4>
      </vt:variant>
      <vt:variant>
        <vt:i4>38</vt:i4>
      </vt:variant>
      <vt:variant>
        <vt:i4>0</vt:i4>
      </vt:variant>
      <vt:variant>
        <vt:i4>5</vt:i4>
      </vt:variant>
      <vt:variant>
        <vt:lpwstr/>
      </vt:variant>
      <vt:variant>
        <vt:lpwstr>_Toc81410362</vt:lpwstr>
      </vt:variant>
      <vt:variant>
        <vt:i4>1310778</vt:i4>
      </vt:variant>
      <vt:variant>
        <vt:i4>32</vt:i4>
      </vt:variant>
      <vt:variant>
        <vt:i4>0</vt:i4>
      </vt:variant>
      <vt:variant>
        <vt:i4>5</vt:i4>
      </vt:variant>
      <vt:variant>
        <vt:lpwstr/>
      </vt:variant>
      <vt:variant>
        <vt:lpwstr>_Toc81410360</vt:lpwstr>
      </vt:variant>
      <vt:variant>
        <vt:i4>1900601</vt:i4>
      </vt:variant>
      <vt:variant>
        <vt:i4>26</vt:i4>
      </vt:variant>
      <vt:variant>
        <vt:i4>0</vt:i4>
      </vt:variant>
      <vt:variant>
        <vt:i4>5</vt:i4>
      </vt:variant>
      <vt:variant>
        <vt:lpwstr/>
      </vt:variant>
      <vt:variant>
        <vt:lpwstr>_Toc81410359</vt:lpwstr>
      </vt:variant>
      <vt:variant>
        <vt:i4>1835065</vt:i4>
      </vt:variant>
      <vt:variant>
        <vt:i4>20</vt:i4>
      </vt:variant>
      <vt:variant>
        <vt:i4>0</vt:i4>
      </vt:variant>
      <vt:variant>
        <vt:i4>5</vt:i4>
      </vt:variant>
      <vt:variant>
        <vt:lpwstr/>
      </vt:variant>
      <vt:variant>
        <vt:lpwstr>_Toc81410358</vt:lpwstr>
      </vt:variant>
      <vt:variant>
        <vt:i4>1245241</vt:i4>
      </vt:variant>
      <vt:variant>
        <vt:i4>14</vt:i4>
      </vt:variant>
      <vt:variant>
        <vt:i4>0</vt:i4>
      </vt:variant>
      <vt:variant>
        <vt:i4>5</vt:i4>
      </vt:variant>
      <vt:variant>
        <vt:lpwstr/>
      </vt:variant>
      <vt:variant>
        <vt:lpwstr>_Toc81410357</vt:lpwstr>
      </vt:variant>
      <vt:variant>
        <vt:i4>1179705</vt:i4>
      </vt:variant>
      <vt:variant>
        <vt:i4>8</vt:i4>
      </vt:variant>
      <vt:variant>
        <vt:i4>0</vt:i4>
      </vt:variant>
      <vt:variant>
        <vt:i4>5</vt:i4>
      </vt:variant>
      <vt:variant>
        <vt:lpwstr/>
      </vt:variant>
      <vt:variant>
        <vt:lpwstr>_Toc81410356</vt:lpwstr>
      </vt:variant>
      <vt:variant>
        <vt:i4>1114169</vt:i4>
      </vt:variant>
      <vt:variant>
        <vt:i4>2</vt:i4>
      </vt:variant>
      <vt:variant>
        <vt:i4>0</vt:i4>
      </vt:variant>
      <vt:variant>
        <vt:i4>5</vt:i4>
      </vt:variant>
      <vt:variant>
        <vt:lpwstr/>
      </vt:variant>
      <vt:variant>
        <vt:lpwstr>_Toc81410355</vt:lpwstr>
      </vt:variant>
      <vt:variant>
        <vt:i4>7340072</vt:i4>
      </vt:variant>
      <vt:variant>
        <vt:i4>3</vt:i4>
      </vt:variant>
      <vt:variant>
        <vt:i4>0</vt:i4>
      </vt:variant>
      <vt:variant>
        <vt:i4>5</vt:i4>
      </vt:variant>
      <vt:variant>
        <vt:lpwstr>https://unece.org/DAM/trans/doc/2020/dgadn/ECE-ADN-53e.pdf</vt:lpwstr>
      </vt:variant>
      <vt:variant>
        <vt:lpwstr/>
      </vt:variant>
      <vt:variant>
        <vt:i4>7929897</vt:i4>
      </vt:variant>
      <vt:variant>
        <vt:i4>0</vt:i4>
      </vt:variant>
      <vt:variant>
        <vt:i4>0</vt:i4>
      </vt:variant>
      <vt:variant>
        <vt:i4>5</vt:i4>
      </vt:variant>
      <vt:variant>
        <vt:lpwstr>https://unece.org/DAM/trans/doc/2019/dgadn/ECE-ADN-51e.pdf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ECE/TRANS/WP.15/AC.2/78</dc:title>
  <dc:subject>2113664</dc:subject>
  <dc:creator>Lucille</dc:creator>
  <cp:keywords/>
  <dc:description/>
  <cp:lastModifiedBy>Anni Vi Tirol</cp:lastModifiedBy>
  <cp:revision>3</cp:revision>
  <cp:lastPrinted>2021-10-22T15:10:00Z</cp:lastPrinted>
  <dcterms:created xsi:type="dcterms:W3CDTF">2021-10-22T15:10:00Z</dcterms:created>
  <dcterms:modified xsi:type="dcterms:W3CDTF">2021-10-22T15:11:00Z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