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8F20FB"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8F20FB" w:rsidRDefault="009E6CB7" w:rsidP="00B20551">
            <w:pPr>
              <w:spacing w:after="80"/>
            </w:pPr>
          </w:p>
        </w:tc>
        <w:tc>
          <w:tcPr>
            <w:tcW w:w="2268" w:type="dxa"/>
            <w:tcBorders>
              <w:bottom w:val="single" w:sz="4" w:space="0" w:color="auto"/>
            </w:tcBorders>
            <w:vAlign w:val="bottom"/>
          </w:tcPr>
          <w:p w14:paraId="60899344" w14:textId="77777777" w:rsidR="009E6CB7" w:rsidRPr="008F20FB" w:rsidRDefault="009E6CB7" w:rsidP="00B20551">
            <w:pPr>
              <w:spacing w:after="80" w:line="300" w:lineRule="exact"/>
              <w:rPr>
                <w:b/>
                <w:sz w:val="24"/>
                <w:szCs w:val="24"/>
              </w:rPr>
            </w:pPr>
            <w:r w:rsidRPr="008F20FB">
              <w:rPr>
                <w:sz w:val="28"/>
                <w:szCs w:val="28"/>
              </w:rPr>
              <w:t>United Nations</w:t>
            </w:r>
          </w:p>
        </w:tc>
        <w:tc>
          <w:tcPr>
            <w:tcW w:w="6095" w:type="dxa"/>
            <w:gridSpan w:val="2"/>
            <w:tcBorders>
              <w:bottom w:val="single" w:sz="4" w:space="0" w:color="auto"/>
            </w:tcBorders>
            <w:vAlign w:val="bottom"/>
          </w:tcPr>
          <w:p w14:paraId="60899345" w14:textId="1ADC77C1" w:rsidR="009E6CB7" w:rsidRPr="008F20FB" w:rsidRDefault="00D11DF1" w:rsidP="00954785">
            <w:pPr>
              <w:jc w:val="right"/>
            </w:pPr>
            <w:r w:rsidRPr="008F20FB">
              <w:rPr>
                <w:sz w:val="40"/>
              </w:rPr>
              <w:t>ECE</w:t>
            </w:r>
            <w:r w:rsidRPr="008F20FB">
              <w:t>/TRANS/315</w:t>
            </w:r>
            <w:r w:rsidR="000D21CD" w:rsidRPr="008F20FB">
              <w:t>/Add.1</w:t>
            </w:r>
          </w:p>
        </w:tc>
      </w:tr>
      <w:tr w:rsidR="00FF02F5" w:rsidRPr="008F20FB"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8F20FB" w:rsidRDefault="00686A48" w:rsidP="00B20551">
            <w:pPr>
              <w:spacing w:before="120"/>
            </w:pPr>
            <w:r w:rsidRPr="00E80D3A">
              <w:rPr>
                <w:noProof/>
                <w:lang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8F20FB" w:rsidRDefault="009E6CB7" w:rsidP="00B20551">
            <w:pPr>
              <w:spacing w:before="120" w:line="420" w:lineRule="exact"/>
              <w:rPr>
                <w:sz w:val="40"/>
                <w:szCs w:val="40"/>
              </w:rPr>
            </w:pPr>
            <w:r w:rsidRPr="008F20FB">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8F20FB" w:rsidRDefault="00954785" w:rsidP="00954785">
            <w:pPr>
              <w:spacing w:before="240" w:line="240" w:lineRule="exact"/>
            </w:pPr>
            <w:r w:rsidRPr="008F20FB">
              <w:t>Distr.: General</w:t>
            </w:r>
          </w:p>
          <w:p w14:paraId="6089934A" w14:textId="24667B23" w:rsidR="00954785" w:rsidRPr="008F20FB" w:rsidRDefault="00B07A7B" w:rsidP="00954785">
            <w:pPr>
              <w:spacing w:line="240" w:lineRule="exact"/>
            </w:pPr>
            <w:r>
              <w:t>8</w:t>
            </w:r>
            <w:r w:rsidR="00797A31" w:rsidRPr="008F20FB">
              <w:t xml:space="preserve"> December </w:t>
            </w:r>
            <w:r w:rsidR="00954785" w:rsidRPr="008F20FB">
              <w:t>20</w:t>
            </w:r>
            <w:r w:rsidR="006B3ABA" w:rsidRPr="008F20FB">
              <w:t>2</w:t>
            </w:r>
            <w:r w:rsidR="00A06F27" w:rsidRPr="008F20FB">
              <w:t>1</w:t>
            </w:r>
          </w:p>
          <w:p w14:paraId="6089934B" w14:textId="77777777" w:rsidR="00954785" w:rsidRPr="008F20FB" w:rsidRDefault="00954785" w:rsidP="00954785">
            <w:pPr>
              <w:spacing w:line="240" w:lineRule="exact"/>
            </w:pPr>
          </w:p>
          <w:p w14:paraId="6089934C" w14:textId="77777777" w:rsidR="00954785" w:rsidRPr="008F20FB" w:rsidRDefault="00954785" w:rsidP="00954785">
            <w:pPr>
              <w:spacing w:line="240" w:lineRule="exact"/>
            </w:pPr>
            <w:r w:rsidRPr="008F20FB">
              <w:t>Original: English</w:t>
            </w:r>
          </w:p>
        </w:tc>
      </w:tr>
    </w:tbl>
    <w:p w14:paraId="6089934E" w14:textId="5C30A212" w:rsidR="00250503" w:rsidRPr="008F20FB" w:rsidRDefault="00871848" w:rsidP="00250503">
      <w:pPr>
        <w:spacing w:before="120"/>
        <w:rPr>
          <w:b/>
          <w:bCs/>
          <w:sz w:val="28"/>
          <w:szCs w:val="28"/>
        </w:rPr>
      </w:pPr>
      <w:r w:rsidRPr="00064912">
        <w:rPr>
          <w:noProof/>
        </w:rPr>
        <mc:AlternateContent>
          <mc:Choice Requires="wps">
            <w:drawing>
              <wp:anchor distT="0" distB="0" distL="114300" distR="114300" simplePos="0" relativeHeight="251658240" behindDoc="0" locked="0" layoutInCell="1" allowOverlap="1" wp14:anchorId="6FCC0946" wp14:editId="7B238A64">
                <wp:simplePos x="0" y="0"/>
                <wp:positionH relativeFrom="column">
                  <wp:posOffset>-4320540</wp:posOffset>
                </wp:positionH>
                <wp:positionV relativeFrom="paragraph">
                  <wp:posOffset>-5133938</wp:posOffset>
                </wp:positionV>
                <wp:extent cx="2684780" cy="1619885"/>
                <wp:effectExtent l="0" t="0" r="20320" b="18415"/>
                <wp:wrapNone/>
                <wp:docPr id="5" name="Rectangle: Rounded Corners 5"/>
                <wp:cNvGraphicFramePr/>
                <a:graphic xmlns:a="http://schemas.openxmlformats.org/drawingml/2006/main">
                  <a:graphicData uri="http://schemas.microsoft.com/office/word/2010/wordprocessingShape">
                    <wps:wsp>
                      <wps:cNvSpPr/>
                      <wps:spPr>
                        <a:xfrm>
                          <a:off x="0" y="0"/>
                          <a:ext cx="2684780" cy="1619885"/>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6F863F" id="Rectangle: Rounded Corners 5" o:spid="_x0000_s1026" style="position:absolute;margin-left:-340.2pt;margin-top:-404.25pt;width:211.4pt;height:127.5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" filled="f" strokecolor="yellow" strokeweight="2pt"/>
            </w:pict>
          </mc:Fallback>
        </mc:AlternateContent>
      </w:r>
      <w:r w:rsidR="00250503" w:rsidRPr="008F20FB">
        <w:rPr>
          <w:b/>
          <w:bCs/>
          <w:sz w:val="28"/>
          <w:szCs w:val="28"/>
        </w:rPr>
        <w:t>Economic Commission for Europe</w:t>
      </w:r>
    </w:p>
    <w:p w14:paraId="6089934F" w14:textId="77777777" w:rsidR="00250503" w:rsidRPr="008F20FB" w:rsidRDefault="00250503" w:rsidP="00250503">
      <w:pPr>
        <w:spacing w:before="120"/>
        <w:rPr>
          <w:sz w:val="28"/>
          <w:szCs w:val="28"/>
        </w:rPr>
      </w:pPr>
      <w:r w:rsidRPr="008F20FB">
        <w:rPr>
          <w:sz w:val="28"/>
          <w:szCs w:val="28"/>
        </w:rPr>
        <w:t>Inland Transport Committee</w:t>
      </w:r>
    </w:p>
    <w:p w14:paraId="60899350" w14:textId="52767986" w:rsidR="00250503" w:rsidRPr="008F20FB" w:rsidRDefault="00250503" w:rsidP="00250503">
      <w:pPr>
        <w:spacing w:before="120"/>
        <w:rPr>
          <w:b/>
          <w:bCs/>
        </w:rPr>
      </w:pPr>
      <w:r w:rsidRPr="008F20FB">
        <w:rPr>
          <w:b/>
          <w:bCs/>
        </w:rPr>
        <w:t>Eighty-</w:t>
      </w:r>
      <w:r w:rsidR="00A06F27" w:rsidRPr="008F20FB">
        <w:rPr>
          <w:b/>
          <w:bCs/>
        </w:rPr>
        <w:t>fourth</w:t>
      </w:r>
      <w:r w:rsidRPr="008F20FB">
        <w:rPr>
          <w:b/>
          <w:bCs/>
        </w:rPr>
        <w:t xml:space="preserve"> session</w:t>
      </w:r>
    </w:p>
    <w:p w14:paraId="2CDB7C4E" w14:textId="0653AF70" w:rsidR="00113804" w:rsidRPr="005528CA" w:rsidRDefault="00250503" w:rsidP="00113804">
      <w:pPr>
        <w:rPr>
          <w:b/>
          <w:bCs/>
        </w:rPr>
      </w:pPr>
      <w:r w:rsidRPr="008F20FB">
        <w:t>Geneva, 2</w:t>
      </w:r>
      <w:r w:rsidR="00A06F27" w:rsidRPr="008F20FB">
        <w:t>2</w:t>
      </w:r>
      <w:r w:rsidRPr="008F20FB">
        <w:t>-2</w:t>
      </w:r>
      <w:r w:rsidR="00A06F27" w:rsidRPr="008F20FB">
        <w:t>5</w:t>
      </w:r>
      <w:r w:rsidRPr="008F20FB">
        <w:t xml:space="preserve"> February 202</w:t>
      </w:r>
      <w:r w:rsidR="00A06F27" w:rsidRPr="008F20FB">
        <w:t>2</w:t>
      </w:r>
      <w:r w:rsidRPr="008F20FB">
        <w:br/>
      </w:r>
      <w:r w:rsidR="00113804" w:rsidRPr="008F20FB">
        <w:t>Item 1 of the provisional agenda</w:t>
      </w:r>
      <w:r w:rsidR="00113804" w:rsidRPr="008F20FB">
        <w:br/>
      </w:r>
      <w:r w:rsidR="00113804" w:rsidRPr="005528CA">
        <w:rPr>
          <w:b/>
          <w:bCs/>
        </w:rPr>
        <w:t>Adoption of the agenda</w:t>
      </w:r>
    </w:p>
    <w:p w14:paraId="7B3C7461" w14:textId="559E0C86" w:rsidR="00113804" w:rsidRPr="008F20FB" w:rsidRDefault="00113804" w:rsidP="00113804">
      <w:pPr>
        <w:pStyle w:val="HChG"/>
      </w:pPr>
      <w:r w:rsidRPr="005528CA">
        <w:tab/>
      </w:r>
      <w:r w:rsidRPr="005528CA">
        <w:tab/>
      </w:r>
      <w:r w:rsidR="00EB5BA2" w:rsidRPr="005528CA">
        <w:t xml:space="preserve">Annotated provisional </w:t>
      </w:r>
      <w:r w:rsidRPr="005528CA">
        <w:t>agenda for the eighty-fourth session</w:t>
      </w:r>
      <w:r w:rsidR="00C972CF" w:rsidRPr="005528CA">
        <w:rPr>
          <w:rStyle w:val="FootnoteReference"/>
          <w:sz w:val="20"/>
          <w:vertAlign w:val="baseline"/>
        </w:rPr>
        <w:footnoteReference w:customMarkFollows="1" w:id="2"/>
        <w:t>*</w:t>
      </w:r>
      <w:r w:rsidR="008F5CEF" w:rsidRPr="00DC1909">
        <w:rPr>
          <w:sz w:val="20"/>
          <w:vertAlign w:val="superscript"/>
        </w:rPr>
        <w:t>,</w:t>
      </w:r>
      <w:r w:rsidR="008F5CEF" w:rsidRPr="005528CA">
        <w:rPr>
          <w:rStyle w:val="FootnoteReference"/>
          <w:sz w:val="20"/>
          <w:vertAlign w:val="baseline"/>
        </w:rPr>
        <w:footnoteReference w:customMarkFollows="1" w:id="3"/>
        <w:t>**</w:t>
      </w:r>
    </w:p>
    <w:p w14:paraId="070AD8DE" w14:textId="3C72F018" w:rsidR="00A960B8" w:rsidRPr="008F20FB" w:rsidRDefault="00A960B8" w:rsidP="00A960B8">
      <w:pPr>
        <w:pStyle w:val="H1G"/>
      </w:pPr>
      <w:r w:rsidRPr="008F20FB">
        <w:rPr>
          <w:sz w:val="28"/>
        </w:rPr>
        <w:tab/>
      </w:r>
      <w:r w:rsidRPr="008F20FB">
        <w:rPr>
          <w:sz w:val="28"/>
        </w:rPr>
        <w:tab/>
      </w:r>
      <w:r w:rsidRPr="008F20FB">
        <w:rPr>
          <w:sz w:val="28"/>
        </w:rPr>
        <w:tab/>
      </w:r>
      <w:r w:rsidRPr="008F20FB">
        <w:t>Addendum</w:t>
      </w:r>
    </w:p>
    <w:p w14:paraId="5949A858" w14:textId="29DE0AEA" w:rsidR="00113804" w:rsidRPr="008F20FB" w:rsidRDefault="00113804" w:rsidP="00113804">
      <w:pPr>
        <w:spacing w:after="120"/>
        <w:ind w:left="1134" w:right="1134"/>
        <w:jc w:val="both"/>
      </w:pPr>
      <w:r w:rsidRPr="008F20FB">
        <w:t xml:space="preserve">To be held at the Palais des Nations, Geneva starting at </w:t>
      </w:r>
      <w:r w:rsidR="00802365" w:rsidRPr="008F20FB">
        <w:t xml:space="preserve">10 a.m. </w:t>
      </w:r>
      <w:r w:rsidRPr="008F20FB">
        <w:t xml:space="preserve">on Tuesday, </w:t>
      </w:r>
      <w:r w:rsidRPr="008F20FB">
        <w:br/>
        <w:t>22 February 2022</w:t>
      </w:r>
      <w:r w:rsidR="00DC1909">
        <w:t>.</w:t>
      </w:r>
    </w:p>
    <w:p w14:paraId="79CC2297" w14:textId="69559B2B" w:rsidR="00113804" w:rsidRPr="008F20FB" w:rsidRDefault="005D21B5" w:rsidP="005D21B5">
      <w:pPr>
        <w:pStyle w:val="H1G"/>
      </w:pPr>
      <w:r>
        <w:tab/>
      </w:r>
      <w:r w:rsidR="00113804" w:rsidRPr="005D21B5">
        <w:t>1.</w:t>
      </w:r>
      <w:r w:rsidR="00113804" w:rsidRPr="005D21B5">
        <w:tab/>
        <w:t xml:space="preserve">Adoption of the </w:t>
      </w:r>
      <w:r w:rsidR="006019ED">
        <w:t>a</w:t>
      </w:r>
      <w:r w:rsidR="006019ED" w:rsidRPr="005D21B5">
        <w:t>genda</w:t>
      </w:r>
    </w:p>
    <w:p w14:paraId="2757E6E7" w14:textId="6F6B29F9" w:rsidR="00113804" w:rsidRPr="008F20FB" w:rsidRDefault="00113804" w:rsidP="00113804">
      <w:pPr>
        <w:pStyle w:val="HChG"/>
      </w:pPr>
      <w:r w:rsidRPr="008F20FB">
        <w:tab/>
        <w:t>I.</w:t>
      </w:r>
      <w:r w:rsidRPr="008F20FB">
        <w:tab/>
      </w:r>
      <w:r w:rsidR="00D277C9" w:rsidRPr="008F20FB">
        <w:t>Ministerial meeting</w:t>
      </w:r>
    </w:p>
    <w:p w14:paraId="7242030F" w14:textId="27504DE2" w:rsidR="00113804" w:rsidRPr="008F20FB" w:rsidRDefault="006B232A" w:rsidP="006B232A">
      <w:pPr>
        <w:pStyle w:val="H1G"/>
      </w:pPr>
      <w:r w:rsidRPr="008F20FB">
        <w:tab/>
      </w:r>
      <w:r w:rsidR="00113804" w:rsidRPr="008F20FB">
        <w:t>2.</w:t>
      </w:r>
      <w:r w:rsidR="00113804" w:rsidRPr="008F20FB">
        <w:tab/>
      </w:r>
      <w:r w:rsidR="006A74B1" w:rsidRPr="008F20FB">
        <w:t>Seventy-five years of the Inland Transport Committee: connecting countries and driving sustainable mobility</w:t>
      </w:r>
    </w:p>
    <w:p w14:paraId="661BFA81" w14:textId="701886BA" w:rsidR="00DF3A2E" w:rsidRPr="008F20FB" w:rsidRDefault="00F505FB" w:rsidP="00AC73DE">
      <w:pPr>
        <w:pStyle w:val="SingleTxtG"/>
      </w:pPr>
      <w:r w:rsidRPr="008F20FB">
        <w:t xml:space="preserve">On the occasion of the seventy-fifth anniversary of the Inland Transport Committee (ITC) of the United Nations Economic Commission for Europe (ECE), a Transport Ministerial </w:t>
      </w:r>
      <w:r w:rsidR="001932C8">
        <w:t>m</w:t>
      </w:r>
      <w:r w:rsidRPr="008F20FB">
        <w:t xml:space="preserve">eeting on </w:t>
      </w:r>
      <w:r w:rsidR="00CF38A3" w:rsidRPr="008F20FB">
        <w:t>“</w:t>
      </w:r>
      <w:r w:rsidR="00AC73DE" w:rsidRPr="008F20FB">
        <w:t>Seventy-five years of the Inland Transport Committee: connecting countries and driving sustainable mobility</w:t>
      </w:r>
      <w:r w:rsidR="00CF38A3" w:rsidRPr="008F20FB">
        <w:t>” will take place on 22 February 2022</w:t>
      </w:r>
      <w:r w:rsidR="00DF3A2E" w:rsidRPr="008F20FB">
        <w:t>. The Ministerial will consist of three panels</w:t>
      </w:r>
      <w:r w:rsidR="00AC73DE" w:rsidRPr="008F20FB">
        <w:t xml:space="preserve"> (ECE/TRANS/202</w:t>
      </w:r>
      <w:r w:rsidR="004C2EBF" w:rsidRPr="008F20FB">
        <w:t>2</w:t>
      </w:r>
      <w:r w:rsidR="00AC73DE" w:rsidRPr="008F20FB">
        <w:t>/1)</w:t>
      </w:r>
      <w:r w:rsidR="00DF3A2E" w:rsidRPr="008F20FB">
        <w:t xml:space="preserve">: </w:t>
      </w:r>
    </w:p>
    <w:p w14:paraId="4A2DF7FF" w14:textId="2BACF3BE" w:rsidR="00C504D3" w:rsidRPr="008F20FB" w:rsidRDefault="00C504D3" w:rsidP="00C504D3">
      <w:pPr>
        <w:spacing w:after="120"/>
        <w:ind w:left="1134" w:right="1134" w:firstLine="567"/>
        <w:jc w:val="both"/>
      </w:pPr>
      <w:r w:rsidRPr="008F20FB">
        <w:lastRenderedPageBreak/>
        <w:t>(a)</w:t>
      </w:r>
      <w:r w:rsidRPr="008F20FB">
        <w:tab/>
        <w:t>Panel I: ITC – The U</w:t>
      </w:r>
      <w:r w:rsidR="001A158E" w:rsidRPr="008F20FB">
        <w:t xml:space="preserve">nited Nations Platform </w:t>
      </w:r>
      <w:r w:rsidRPr="008F20FB">
        <w:t xml:space="preserve">to </w:t>
      </w:r>
      <w:r w:rsidR="0021766F">
        <w:t>P</w:t>
      </w:r>
      <w:r w:rsidRPr="008F20FB">
        <w:t xml:space="preserve">romote </w:t>
      </w:r>
      <w:r w:rsidR="0021766F">
        <w:t>I</w:t>
      </w:r>
      <w:r w:rsidR="001A158E" w:rsidRPr="008F20FB">
        <w:t xml:space="preserve">nland </w:t>
      </w:r>
      <w:r w:rsidR="0021766F">
        <w:t>T</w:t>
      </w:r>
      <w:r w:rsidR="001A158E" w:rsidRPr="008F20FB">
        <w:t xml:space="preserve">ransport </w:t>
      </w:r>
      <w:r w:rsidR="0021766F">
        <w:t>C</w:t>
      </w:r>
      <w:r w:rsidRPr="008F20FB">
        <w:t>onnectivity;</w:t>
      </w:r>
    </w:p>
    <w:p w14:paraId="608FC93A" w14:textId="5F8667E0" w:rsidR="00C504D3" w:rsidRPr="008F20FB" w:rsidRDefault="00C504D3" w:rsidP="00C504D3">
      <w:pPr>
        <w:spacing w:after="120"/>
        <w:ind w:left="1134" w:right="1134" w:firstLine="567"/>
        <w:jc w:val="both"/>
      </w:pPr>
      <w:r w:rsidRPr="008F20FB">
        <w:t>(b)</w:t>
      </w:r>
      <w:r w:rsidRPr="008F20FB">
        <w:tab/>
        <w:t xml:space="preserve">Panel II: ITC </w:t>
      </w:r>
      <w:r w:rsidR="0003293C" w:rsidRPr="008F20FB">
        <w:t>–</w:t>
      </w:r>
      <w:r w:rsidRPr="008F20FB">
        <w:t xml:space="preserve"> </w:t>
      </w:r>
      <w:r w:rsidR="001638AD" w:rsidRPr="008F20FB">
        <w:t>A</w:t>
      </w:r>
      <w:r w:rsidR="006E0F18" w:rsidRPr="008F20FB">
        <w:t xml:space="preserve">chieving a </w:t>
      </w:r>
      <w:r w:rsidR="0021766F">
        <w:t>D</w:t>
      </w:r>
      <w:r w:rsidR="00523E51" w:rsidRPr="008F20FB">
        <w:t xml:space="preserve">ecade of </w:t>
      </w:r>
      <w:r w:rsidR="0021766F">
        <w:t>D</w:t>
      </w:r>
      <w:r w:rsidR="00523E51" w:rsidRPr="008F20FB">
        <w:t xml:space="preserve">elivery for </w:t>
      </w:r>
      <w:r w:rsidR="0003293C" w:rsidRPr="008F20FB">
        <w:t>Road Safety</w:t>
      </w:r>
      <w:r w:rsidRPr="008F20FB">
        <w:t>;</w:t>
      </w:r>
    </w:p>
    <w:p w14:paraId="07279CE0" w14:textId="4BF10830" w:rsidR="00C504D3" w:rsidRPr="008F20FB" w:rsidRDefault="00C504D3" w:rsidP="00C504D3">
      <w:pPr>
        <w:spacing w:after="120"/>
        <w:ind w:left="1134" w:right="1134" w:firstLine="567"/>
        <w:jc w:val="both"/>
      </w:pPr>
      <w:r w:rsidRPr="008F20FB">
        <w:t>(c)</w:t>
      </w:r>
      <w:r w:rsidRPr="008F20FB">
        <w:tab/>
        <w:t xml:space="preserve">Panel III: ITC </w:t>
      </w:r>
      <w:r w:rsidR="0082755D" w:rsidRPr="008F20FB">
        <w:t>–</w:t>
      </w:r>
      <w:r w:rsidRPr="008F20FB">
        <w:t xml:space="preserve"> </w:t>
      </w:r>
      <w:r w:rsidR="0082755D" w:rsidRPr="008F20FB">
        <w:t xml:space="preserve">Inland </w:t>
      </w:r>
      <w:r w:rsidR="0021766F">
        <w:t>T</w:t>
      </w:r>
      <w:r w:rsidR="0082755D" w:rsidRPr="008F20FB">
        <w:t xml:space="preserve">ransport as a </w:t>
      </w:r>
      <w:r w:rsidR="0021766F">
        <w:t>C</w:t>
      </w:r>
      <w:r w:rsidR="00EC12F7" w:rsidRPr="008F20FB">
        <w:t xml:space="preserve">atalyst of </w:t>
      </w:r>
      <w:r w:rsidR="0021766F">
        <w:t>S</w:t>
      </w:r>
      <w:r w:rsidR="0082755D" w:rsidRPr="008F20FB">
        <w:t xml:space="preserve">ustainable </w:t>
      </w:r>
      <w:r w:rsidR="0021766F">
        <w:t>M</w:t>
      </w:r>
      <w:r w:rsidR="0082755D" w:rsidRPr="008F20FB">
        <w:t xml:space="preserve">obility </w:t>
      </w:r>
      <w:r w:rsidR="00EC12F7" w:rsidRPr="008F20FB">
        <w:t xml:space="preserve">and </w:t>
      </w:r>
      <w:r w:rsidR="0021766F">
        <w:t>S</w:t>
      </w:r>
      <w:r w:rsidR="00EC12F7" w:rsidRPr="008F20FB">
        <w:t xml:space="preserve">ustainable </w:t>
      </w:r>
      <w:r w:rsidR="0021766F">
        <w:t>D</w:t>
      </w:r>
      <w:r w:rsidR="00EC12F7" w:rsidRPr="008F20FB">
        <w:t>evelopment</w:t>
      </w:r>
      <w:r w:rsidR="00BA52A1" w:rsidRPr="008F20FB">
        <w:t>.</w:t>
      </w:r>
      <w:r w:rsidR="00EC12F7" w:rsidRPr="008F20FB">
        <w:t xml:space="preserve"> </w:t>
      </w:r>
    </w:p>
    <w:p w14:paraId="15562DF8" w14:textId="78D3F333" w:rsidR="00AC73DE" w:rsidRPr="008F20FB" w:rsidRDefault="00F7695C" w:rsidP="00AC73DE">
      <w:pPr>
        <w:pStyle w:val="SingleTxtG"/>
      </w:pPr>
      <w:r w:rsidRPr="008F20FB">
        <w:t xml:space="preserve">At the end of the meeting, Ministers will be invited to sign a resolution </w:t>
      </w:r>
      <w:r w:rsidR="00536F80" w:rsidRPr="008F20FB">
        <w:t>“</w:t>
      </w:r>
      <w:r w:rsidR="00A100C4" w:rsidRPr="008F20FB">
        <w:t>Ushering in a decade of delivery for sustainable inland transport and sustainable development</w:t>
      </w:r>
      <w:r w:rsidR="00536F80" w:rsidRPr="008F20FB">
        <w:t xml:space="preserve">”, </w:t>
      </w:r>
      <w:r w:rsidRPr="008F20FB">
        <w:t>recogniz</w:t>
      </w:r>
      <w:r w:rsidR="00536F80" w:rsidRPr="008F20FB">
        <w:t>ing</w:t>
      </w:r>
      <w:r w:rsidRPr="008F20FB">
        <w:t xml:space="preserve"> and validat</w:t>
      </w:r>
      <w:r w:rsidR="00536F80" w:rsidRPr="008F20FB">
        <w:t>ing</w:t>
      </w:r>
      <w:r w:rsidRPr="008F20FB">
        <w:t xml:space="preserve"> </w:t>
      </w:r>
      <w:r w:rsidR="00701131" w:rsidRPr="008F20FB">
        <w:t xml:space="preserve">75 years of </w:t>
      </w:r>
      <w:r w:rsidRPr="008F20FB">
        <w:t xml:space="preserve">accomplishments of ITC and </w:t>
      </w:r>
      <w:r w:rsidR="00701131" w:rsidRPr="008F20FB">
        <w:t xml:space="preserve">leveraging its </w:t>
      </w:r>
      <w:r w:rsidR="00203FF4" w:rsidRPr="008F20FB">
        <w:t>unique assets</w:t>
      </w:r>
      <w:r w:rsidR="00F14FCA" w:rsidRPr="008F20FB">
        <w:t xml:space="preserve"> for the achievement of the SDGs</w:t>
      </w:r>
      <w:r w:rsidR="00203FF4" w:rsidRPr="008F20FB">
        <w:t xml:space="preserve"> on the road to 2030 </w:t>
      </w:r>
      <w:r w:rsidRPr="008F20FB">
        <w:t>(ECE/TRANS/20</w:t>
      </w:r>
      <w:r w:rsidR="00203FF4" w:rsidRPr="008F20FB">
        <w:t>22</w:t>
      </w:r>
      <w:r w:rsidRPr="008F20FB">
        <w:t xml:space="preserve">/2). </w:t>
      </w:r>
    </w:p>
    <w:p w14:paraId="574C2110" w14:textId="77777777" w:rsidR="00AC73DE" w:rsidRPr="00406918" w:rsidRDefault="00AC73DE" w:rsidP="00AC73DE">
      <w:pPr>
        <w:pStyle w:val="SingleTxtG"/>
        <w:rPr>
          <w:b/>
          <w:bCs/>
          <w:lang w:val="fr-CH"/>
        </w:rPr>
      </w:pPr>
      <w:r w:rsidRPr="00406918">
        <w:rPr>
          <w:b/>
          <w:bCs/>
          <w:lang w:val="fr-CH"/>
        </w:rPr>
        <w:t>Documentation</w:t>
      </w:r>
    </w:p>
    <w:p w14:paraId="1E9D3C47" w14:textId="04C5EA48" w:rsidR="00AC73DE" w:rsidRPr="00406918" w:rsidRDefault="00AC73DE" w:rsidP="00AC73DE">
      <w:pPr>
        <w:pStyle w:val="SingleTxtG"/>
        <w:rPr>
          <w:lang w:val="fr-CH"/>
        </w:rPr>
      </w:pPr>
      <w:r w:rsidRPr="00406918">
        <w:rPr>
          <w:lang w:val="fr-CH"/>
        </w:rPr>
        <w:t>ECE/TRANS/202</w:t>
      </w:r>
      <w:r w:rsidR="00203FF4" w:rsidRPr="00406918">
        <w:rPr>
          <w:lang w:val="fr-CH"/>
        </w:rPr>
        <w:t>2</w:t>
      </w:r>
      <w:r w:rsidRPr="00406918">
        <w:rPr>
          <w:lang w:val="fr-CH"/>
        </w:rPr>
        <w:t>/1, ECE/TRANS/202</w:t>
      </w:r>
      <w:r w:rsidR="00203FF4" w:rsidRPr="00406918">
        <w:rPr>
          <w:lang w:val="fr-CH"/>
        </w:rPr>
        <w:t>2</w:t>
      </w:r>
      <w:r w:rsidRPr="00406918">
        <w:rPr>
          <w:lang w:val="fr-CH"/>
        </w:rPr>
        <w:t>/2</w:t>
      </w:r>
    </w:p>
    <w:p w14:paraId="697C39CD" w14:textId="7625DC97" w:rsidR="00113804" w:rsidRPr="008F20FB" w:rsidRDefault="00113804" w:rsidP="00113804">
      <w:pPr>
        <w:pStyle w:val="HChG"/>
      </w:pPr>
      <w:r w:rsidRPr="00E80D3A">
        <w:rPr>
          <w:lang w:val="fr-FR"/>
        </w:rPr>
        <w:tab/>
      </w:r>
      <w:r w:rsidRPr="008F20FB">
        <w:t>II.</w:t>
      </w:r>
      <w:r w:rsidRPr="008F20FB">
        <w:tab/>
      </w:r>
      <w:r w:rsidR="00420173">
        <w:t>Twel</w:t>
      </w:r>
      <w:r w:rsidR="004A1C59">
        <w:t>fth</w:t>
      </w:r>
      <w:r w:rsidR="00420173" w:rsidRPr="008F20FB">
        <w:t xml:space="preserve"> </w:t>
      </w:r>
      <w:r w:rsidRPr="008F20FB">
        <w:t>Meeting for Government Delegates only with the Participation of the Chairs of the Committee’s Subsidiary Bodies</w:t>
      </w:r>
    </w:p>
    <w:p w14:paraId="5DC26847" w14:textId="142EAC12" w:rsidR="00113804" w:rsidRPr="008F20FB" w:rsidRDefault="00B659D9" w:rsidP="00B45064">
      <w:pPr>
        <w:pStyle w:val="H1G"/>
      </w:pPr>
      <w:r w:rsidRPr="008F20FB">
        <w:tab/>
      </w:r>
      <w:r w:rsidR="00113804" w:rsidRPr="008F20FB">
        <w:t>3.</w:t>
      </w:r>
      <w:r w:rsidR="00113804" w:rsidRPr="008F20FB">
        <w:tab/>
        <w:t xml:space="preserve">Meeting on the implementation of the </w:t>
      </w:r>
      <w:r w:rsidR="00B45064" w:rsidRPr="00B45064">
        <w:t>Inland Transport Committee</w:t>
      </w:r>
      <w:r w:rsidR="00113804" w:rsidRPr="008F20FB">
        <w:t xml:space="preserve"> strategy for Government Delegates only with the Participation of the Chairs of the Committee’s Subsidiary Bodies</w:t>
      </w:r>
    </w:p>
    <w:p w14:paraId="33F0854B" w14:textId="3D3111F3" w:rsidR="00B87662" w:rsidRPr="008F20FB" w:rsidRDefault="009B1A65" w:rsidP="006563A8">
      <w:pPr>
        <w:pStyle w:val="SingleTxtG"/>
      </w:pPr>
      <w:r w:rsidRPr="008F20FB">
        <w:t xml:space="preserve">The Committee </w:t>
      </w:r>
      <w:r w:rsidRPr="008F20FB">
        <w:rPr>
          <w:b/>
          <w:bCs/>
        </w:rPr>
        <w:t>may wish to recall</w:t>
      </w:r>
      <w:r w:rsidRPr="008F20FB">
        <w:t xml:space="preserve"> that, following the adoption at its eighty-first session of the ITC </w:t>
      </w:r>
      <w:r w:rsidR="00871848" w:rsidRPr="008F20FB">
        <w:t>s</w:t>
      </w:r>
      <w:r w:rsidRPr="008F20FB">
        <w:t>trategy until 2030 (ECE/TRANS/288/Add.2), it had welcomed at its eighty-</w:t>
      </w:r>
      <w:r w:rsidR="00D13E97" w:rsidRPr="008F20FB">
        <w:t>third</w:t>
      </w:r>
      <w:r w:rsidRPr="008F20FB">
        <w:t xml:space="preserve"> session ongoing alignment activities by its Working Parties</w:t>
      </w:r>
      <w:r w:rsidR="006563A8" w:rsidRPr="008F20FB">
        <w:t xml:space="preserve"> and invited the secretariat to monitor the implementation of the agreed next steps and update the status information on progress achieved before the eighty-fourth session (ECE/TRANS/</w:t>
      </w:r>
      <w:r w:rsidR="00192B80" w:rsidRPr="008F20FB">
        <w:t>30</w:t>
      </w:r>
      <w:r w:rsidR="006563A8" w:rsidRPr="008F20FB">
        <w:t xml:space="preserve">4, para. </w:t>
      </w:r>
      <w:r w:rsidR="00192B80" w:rsidRPr="008F20FB">
        <w:t>16(b)</w:t>
      </w:r>
      <w:r w:rsidR="006563A8" w:rsidRPr="008F20FB">
        <w:t>)</w:t>
      </w:r>
      <w:r w:rsidRPr="008F20FB">
        <w:t xml:space="preserve">. In line with this decision, the Committee will have the opportunity </w:t>
      </w:r>
      <w:r w:rsidRPr="008F20FB">
        <w:rPr>
          <w:b/>
          <w:bCs/>
        </w:rPr>
        <w:t>to be apprised</w:t>
      </w:r>
      <w:r w:rsidRPr="008F20FB">
        <w:t xml:space="preserve"> of the status of the implementation of the ITC Strategy (ECE/TRANS/202</w:t>
      </w:r>
      <w:r w:rsidR="00B3073B" w:rsidRPr="008F20FB">
        <w:t>2</w:t>
      </w:r>
      <w:r w:rsidRPr="008F20FB">
        <w:t>/3).</w:t>
      </w:r>
      <w:r w:rsidR="00915375" w:rsidRPr="008F20FB">
        <w:t xml:space="preserve"> </w:t>
      </w:r>
    </w:p>
    <w:p w14:paraId="3445E012" w14:textId="5B75B3D1" w:rsidR="009B1A65" w:rsidRPr="008F20FB" w:rsidRDefault="00915375" w:rsidP="006563A8">
      <w:pPr>
        <w:pStyle w:val="SingleTxtG"/>
      </w:pPr>
      <w:r w:rsidRPr="008F20FB">
        <w:t xml:space="preserve">The Committee will also have the opportunity to </w:t>
      </w:r>
      <w:r w:rsidR="00B87662" w:rsidRPr="008F20FB">
        <w:t xml:space="preserve">be informed on challenges and opportunities in the implementation of the ITC Strategy, as well as consider possible </w:t>
      </w:r>
      <w:r w:rsidR="00044F01" w:rsidRPr="008F20FB">
        <w:t>ways to further enhance it.</w:t>
      </w:r>
    </w:p>
    <w:p w14:paraId="7F251E26" w14:textId="77777777" w:rsidR="009B1A65" w:rsidRPr="008F20FB" w:rsidRDefault="009B1A65" w:rsidP="009B1A65">
      <w:pPr>
        <w:pStyle w:val="SingleTxtG"/>
      </w:pPr>
      <w:r w:rsidRPr="008F20FB">
        <w:t>Further substantive aspects of the implementation of the ITC Strategy are integrated in the regular session items of the annotated agenda.</w:t>
      </w:r>
    </w:p>
    <w:p w14:paraId="541E562F" w14:textId="77777777" w:rsidR="00044F01" w:rsidRPr="008F20FB" w:rsidRDefault="00044F01" w:rsidP="00044F01">
      <w:pPr>
        <w:pStyle w:val="SingleTxtG"/>
        <w:rPr>
          <w:b/>
          <w:bCs/>
        </w:rPr>
      </w:pPr>
      <w:r w:rsidRPr="008F20FB">
        <w:rPr>
          <w:b/>
          <w:bCs/>
        </w:rPr>
        <w:t>Documentation</w:t>
      </w:r>
    </w:p>
    <w:p w14:paraId="6225DE3D" w14:textId="0BA7E267" w:rsidR="00203FF4" w:rsidRPr="008F20FB" w:rsidRDefault="00044F01" w:rsidP="00044F01">
      <w:pPr>
        <w:pStyle w:val="SingleTxtG"/>
      </w:pPr>
      <w:r w:rsidRPr="008F20FB">
        <w:t>ECE/TRANS/2022/3</w:t>
      </w:r>
    </w:p>
    <w:p w14:paraId="062760D6" w14:textId="77777777" w:rsidR="00113804" w:rsidRPr="008F20FB" w:rsidRDefault="00113804" w:rsidP="00113804">
      <w:pPr>
        <w:pStyle w:val="HChG"/>
      </w:pPr>
      <w:r w:rsidRPr="008F20FB">
        <w:tab/>
        <w:t>III.</w:t>
      </w:r>
      <w:r w:rsidRPr="008F20FB">
        <w:tab/>
        <w:t>Governance and Programmatic issues requiring decisions by the Committee</w:t>
      </w:r>
    </w:p>
    <w:p w14:paraId="2FBA9A94" w14:textId="5D8BF425" w:rsidR="00113804" w:rsidRPr="008F20FB" w:rsidRDefault="00B659D9" w:rsidP="00AF25C2">
      <w:pPr>
        <w:pStyle w:val="H1G"/>
      </w:pPr>
      <w:r w:rsidRPr="008F20FB">
        <w:tab/>
      </w:r>
      <w:r w:rsidR="00113804" w:rsidRPr="008F20FB">
        <w:t>4.</w:t>
      </w:r>
      <w:r w:rsidR="00113804" w:rsidRPr="008F20FB">
        <w:tab/>
        <w:t>Governance issues and other matters arising from the United Nations Economic Commission for Europe, the Economic and Social Council and other United Nations bodies and Conferences</w:t>
      </w:r>
    </w:p>
    <w:p w14:paraId="75B92110" w14:textId="1C9C03BB" w:rsidR="001E1BB0" w:rsidRPr="008F20FB" w:rsidRDefault="001E1BB0" w:rsidP="001E1BB0">
      <w:pPr>
        <w:pStyle w:val="SingleTxtG"/>
      </w:pPr>
      <w:r w:rsidRPr="008F20FB">
        <w:t xml:space="preserve">The Committee </w:t>
      </w:r>
      <w:r w:rsidRPr="008F20FB">
        <w:rPr>
          <w:b/>
          <w:bCs/>
        </w:rPr>
        <w:t>will be informed</w:t>
      </w:r>
      <w:r w:rsidRPr="008F20FB">
        <w:t xml:space="preserve"> by the secretariat about recent matters arising from the Economic and Social Council and other United Nations bodies and </w:t>
      </w:r>
      <w:r w:rsidR="002B2A39">
        <w:t>c</w:t>
      </w:r>
      <w:r w:rsidR="002B2A39" w:rsidRPr="008F20FB">
        <w:t xml:space="preserve">onferences </w:t>
      </w:r>
      <w:r w:rsidRPr="008F20FB">
        <w:t>of interest to the Committee.</w:t>
      </w:r>
    </w:p>
    <w:p w14:paraId="369D2689" w14:textId="77777777" w:rsidR="00F50A49" w:rsidRPr="008F20FB" w:rsidRDefault="001E1BB0" w:rsidP="001E1BB0">
      <w:pPr>
        <w:pStyle w:val="SingleTxtG"/>
        <w:rPr>
          <w:lang w:eastAsia="en-US"/>
        </w:rPr>
      </w:pPr>
      <w:r w:rsidRPr="008F20FB">
        <w:rPr>
          <w:lang w:eastAsia="en-US"/>
        </w:rPr>
        <w:t xml:space="preserve">The Committee </w:t>
      </w:r>
      <w:r w:rsidRPr="008F20FB">
        <w:rPr>
          <w:b/>
          <w:bCs/>
          <w:lang w:eastAsia="en-US"/>
        </w:rPr>
        <w:t>will also be informed</w:t>
      </w:r>
      <w:r w:rsidRPr="008F20FB">
        <w:rPr>
          <w:lang w:eastAsia="en-US"/>
        </w:rPr>
        <w:t xml:space="preserve"> by the secretariat about recent matters arising from activities of the Commission of interest to the Committee, including about</w:t>
      </w:r>
      <w:r w:rsidR="00F50A49" w:rsidRPr="008F20FB">
        <w:rPr>
          <w:lang w:eastAsia="en-US"/>
        </w:rPr>
        <w:t>:</w:t>
      </w:r>
      <w:r w:rsidRPr="008F20FB">
        <w:rPr>
          <w:lang w:eastAsia="en-US"/>
        </w:rPr>
        <w:t xml:space="preserve"> </w:t>
      </w:r>
    </w:p>
    <w:p w14:paraId="247085CE" w14:textId="2847EF0F" w:rsidR="000771F6" w:rsidRPr="008F20FB" w:rsidRDefault="008066D0" w:rsidP="0052113A">
      <w:pPr>
        <w:pStyle w:val="SingleTxtG"/>
        <w:ind w:firstLine="567"/>
        <w:rPr>
          <w:lang w:eastAsia="en-US"/>
        </w:rPr>
      </w:pPr>
      <w:r w:rsidRPr="008F20FB">
        <w:rPr>
          <w:lang w:eastAsia="en-US"/>
        </w:rPr>
        <w:t>(a)</w:t>
      </w:r>
      <w:r w:rsidRPr="008F20FB">
        <w:rPr>
          <w:lang w:eastAsia="en-US"/>
        </w:rPr>
        <w:tab/>
      </w:r>
      <w:r w:rsidR="00F50A49" w:rsidRPr="008F20FB">
        <w:rPr>
          <w:lang w:eastAsia="en-US"/>
        </w:rPr>
        <w:t>Commission-related decision</w:t>
      </w:r>
      <w:r w:rsidR="000B050C" w:rsidRPr="008F20FB">
        <w:rPr>
          <w:lang w:eastAsia="en-US"/>
        </w:rPr>
        <w:t>s</w:t>
      </w:r>
      <w:r w:rsidR="00F50A49" w:rsidRPr="008F20FB">
        <w:rPr>
          <w:lang w:eastAsia="en-US"/>
        </w:rPr>
        <w:t xml:space="preserve"> on strengthening </w:t>
      </w:r>
      <w:r w:rsidR="000771F6" w:rsidRPr="008F20FB">
        <w:rPr>
          <w:lang w:eastAsia="en-US"/>
        </w:rPr>
        <w:t xml:space="preserve">the work of sectoral committees in the area of </w:t>
      </w:r>
      <w:r w:rsidR="00F50A49" w:rsidRPr="008F20FB">
        <w:rPr>
          <w:lang w:eastAsia="en-US"/>
        </w:rPr>
        <w:t>circular economy</w:t>
      </w:r>
      <w:r w:rsidR="00910CB0">
        <w:rPr>
          <w:lang w:eastAsia="en-US"/>
        </w:rPr>
        <w:t>;</w:t>
      </w:r>
      <w:r w:rsidR="000771F6" w:rsidRPr="008F20FB">
        <w:rPr>
          <w:lang w:eastAsia="en-US"/>
        </w:rPr>
        <w:t xml:space="preserve"> and</w:t>
      </w:r>
    </w:p>
    <w:p w14:paraId="5A3669FB" w14:textId="15716E4F" w:rsidR="001E1BB0" w:rsidRPr="008F20FB" w:rsidRDefault="008066D0" w:rsidP="0052113A">
      <w:pPr>
        <w:pStyle w:val="SingleTxtG"/>
        <w:ind w:firstLine="567"/>
        <w:rPr>
          <w:lang w:eastAsia="en-US"/>
        </w:rPr>
      </w:pPr>
      <w:r w:rsidRPr="008F20FB">
        <w:rPr>
          <w:lang w:eastAsia="en-US"/>
        </w:rPr>
        <w:lastRenderedPageBreak/>
        <w:t>(b)</w:t>
      </w:r>
      <w:r w:rsidRPr="008F20FB">
        <w:rPr>
          <w:lang w:eastAsia="en-US"/>
        </w:rPr>
        <w:tab/>
      </w:r>
      <w:r w:rsidR="000771F6" w:rsidRPr="008F20FB">
        <w:rPr>
          <w:lang w:eastAsia="en-US"/>
        </w:rPr>
        <w:t>F</w:t>
      </w:r>
      <w:r w:rsidR="001E1BB0" w:rsidRPr="008F20FB">
        <w:rPr>
          <w:lang w:eastAsia="en-US"/>
        </w:rPr>
        <w:t>urther development of ECE-wide nexus areas, i.e. intersectoral (</w:t>
      </w:r>
      <w:r w:rsidR="001E1BB0" w:rsidRPr="008F20FB">
        <w:t>horizontal</w:t>
      </w:r>
      <w:r w:rsidR="001E1BB0" w:rsidRPr="008F20FB">
        <w:rPr>
          <w:lang w:eastAsia="en-US"/>
        </w:rPr>
        <w:t xml:space="preserve">) coordination workstreams in ECE, as part of aligning the work of ECE to the Sustainable Development Goals. </w:t>
      </w:r>
    </w:p>
    <w:p w14:paraId="648366BD" w14:textId="0438B5DC" w:rsidR="00D7434B" w:rsidRPr="008F20FB" w:rsidRDefault="00644962" w:rsidP="001E1BB0">
      <w:pPr>
        <w:pStyle w:val="SingleTxtG"/>
        <w:rPr>
          <w:lang w:eastAsia="en-US"/>
        </w:rPr>
      </w:pPr>
      <w:r w:rsidRPr="008F20FB">
        <w:rPr>
          <w:lang w:eastAsia="en-US"/>
        </w:rPr>
        <w:t xml:space="preserve">The Committee </w:t>
      </w:r>
      <w:r w:rsidRPr="008F20FB">
        <w:rPr>
          <w:b/>
          <w:bCs/>
          <w:lang w:eastAsia="en-US"/>
        </w:rPr>
        <w:t xml:space="preserve">will be </w:t>
      </w:r>
      <w:r w:rsidR="00DB5A9D" w:rsidRPr="008F20FB">
        <w:rPr>
          <w:b/>
          <w:bCs/>
          <w:lang w:eastAsia="en-US"/>
        </w:rPr>
        <w:t>briefed</w:t>
      </w:r>
      <w:r w:rsidR="00DB5A9D" w:rsidRPr="008F20FB">
        <w:rPr>
          <w:lang w:eastAsia="en-US"/>
        </w:rPr>
        <w:t xml:space="preserve"> </w:t>
      </w:r>
      <w:r w:rsidR="00D7434B" w:rsidRPr="008F20FB">
        <w:rPr>
          <w:lang w:eastAsia="en-US"/>
        </w:rPr>
        <w:t>about ECE</w:t>
      </w:r>
      <w:r w:rsidR="00DB5A9D" w:rsidRPr="008F20FB">
        <w:rPr>
          <w:lang w:eastAsia="en-US"/>
        </w:rPr>
        <w:t xml:space="preserve"> </w:t>
      </w:r>
      <w:r w:rsidR="00D7434B" w:rsidRPr="008F20FB">
        <w:rPr>
          <w:lang w:eastAsia="en-US"/>
        </w:rPr>
        <w:t xml:space="preserve">participation in the following high-level international conferences and activities: </w:t>
      </w:r>
    </w:p>
    <w:p w14:paraId="3687F894" w14:textId="155F33FA" w:rsidR="00580B38" w:rsidRPr="008F20FB" w:rsidRDefault="00B90DEE" w:rsidP="00B90DEE">
      <w:pPr>
        <w:pStyle w:val="Bullet1G"/>
        <w:numPr>
          <w:ilvl w:val="0"/>
          <w:numId w:val="0"/>
        </w:numPr>
        <w:tabs>
          <w:tab w:val="left" w:pos="1701"/>
        </w:tabs>
        <w:ind w:left="1701" w:hanging="170"/>
        <w:rPr>
          <w:lang w:eastAsia="en-US"/>
        </w:rPr>
      </w:pPr>
      <w:r w:rsidRPr="008F20FB">
        <w:rPr>
          <w:lang w:eastAsia="en-US"/>
        </w:rPr>
        <w:t>•</w:t>
      </w:r>
      <w:r w:rsidRPr="008F20FB">
        <w:rPr>
          <w:lang w:eastAsia="en-US"/>
        </w:rPr>
        <w:tab/>
      </w:r>
      <w:r w:rsidR="00D7434B" w:rsidRPr="008F20FB">
        <w:rPr>
          <w:lang w:eastAsia="en-US"/>
        </w:rPr>
        <w:t>Second United Nations Global Sustainable Transport Conference</w:t>
      </w:r>
      <w:r w:rsidR="00B51265" w:rsidRPr="008F20FB">
        <w:rPr>
          <w:lang w:eastAsia="en-US"/>
        </w:rPr>
        <w:t xml:space="preserve"> </w:t>
      </w:r>
      <w:r w:rsidR="00D7434B" w:rsidRPr="008F20FB">
        <w:rPr>
          <w:lang w:eastAsia="en-US"/>
        </w:rPr>
        <w:t>(14-16 October 2021, Beijing, China), in particular “Thematic session 6:  Sustainable transport and</w:t>
      </w:r>
      <w:r w:rsidR="00B51265" w:rsidRPr="008F20FB">
        <w:rPr>
          <w:lang w:eastAsia="en-US"/>
        </w:rPr>
        <w:t xml:space="preserve"> </w:t>
      </w:r>
      <w:r w:rsidR="00D7434B" w:rsidRPr="008F20FB">
        <w:rPr>
          <w:lang w:eastAsia="en-US"/>
        </w:rPr>
        <w:t>sustainable cities”.</w:t>
      </w:r>
    </w:p>
    <w:p w14:paraId="3D19629A" w14:textId="460DAAD3" w:rsidR="00DB5A9D" w:rsidRPr="008F20FB" w:rsidRDefault="00B90DEE" w:rsidP="00B90DEE">
      <w:pPr>
        <w:pStyle w:val="Bullet1G"/>
        <w:numPr>
          <w:ilvl w:val="0"/>
          <w:numId w:val="0"/>
        </w:numPr>
        <w:tabs>
          <w:tab w:val="left" w:pos="1701"/>
        </w:tabs>
        <w:ind w:left="1701" w:hanging="170"/>
        <w:rPr>
          <w:lang w:eastAsia="en-US"/>
        </w:rPr>
      </w:pPr>
      <w:r w:rsidRPr="008F20FB">
        <w:rPr>
          <w:lang w:eastAsia="en-US"/>
        </w:rPr>
        <w:t>•</w:t>
      </w:r>
      <w:r w:rsidRPr="008F20FB">
        <w:rPr>
          <w:lang w:eastAsia="en-US"/>
        </w:rPr>
        <w:tab/>
      </w:r>
      <w:r w:rsidR="00B93367">
        <w:rPr>
          <w:lang w:eastAsia="en-US"/>
        </w:rPr>
        <w:t xml:space="preserve">The International Civil </w:t>
      </w:r>
      <w:r w:rsidR="00973BB8">
        <w:rPr>
          <w:lang w:eastAsia="en-US"/>
        </w:rPr>
        <w:t xml:space="preserve">Aviation </w:t>
      </w:r>
      <w:r w:rsidR="00B93367">
        <w:rPr>
          <w:lang w:eastAsia="en-US"/>
        </w:rPr>
        <w:t>Organization’s (</w:t>
      </w:r>
      <w:r w:rsidR="00DB5A9D" w:rsidRPr="008F20FB">
        <w:rPr>
          <w:lang w:eastAsia="en-US"/>
        </w:rPr>
        <w:t>ICAO</w:t>
      </w:r>
      <w:r w:rsidR="00B93367">
        <w:rPr>
          <w:lang w:eastAsia="en-US"/>
        </w:rPr>
        <w:t>)</w:t>
      </w:r>
      <w:r w:rsidR="00DB5A9D" w:rsidRPr="008F20FB">
        <w:rPr>
          <w:lang w:eastAsia="en-US"/>
        </w:rPr>
        <w:t>’s High-level Conference on COVID-19 (HLCC 2021) (12</w:t>
      </w:r>
      <w:r w:rsidR="00973BB8">
        <w:rPr>
          <w:lang w:eastAsia="en-US"/>
        </w:rPr>
        <w:t>-</w:t>
      </w:r>
      <w:r w:rsidR="00DB5A9D" w:rsidRPr="008F20FB">
        <w:rPr>
          <w:lang w:eastAsia="en-US"/>
        </w:rPr>
        <w:t>22 October 2021, virtual)</w:t>
      </w:r>
    </w:p>
    <w:p w14:paraId="3732AF5C" w14:textId="17E68BD8" w:rsidR="00B76760" w:rsidRPr="008F20FB" w:rsidRDefault="00DF3650" w:rsidP="001E1BB0">
      <w:pPr>
        <w:pStyle w:val="SingleTxtG"/>
        <w:rPr>
          <w:lang w:eastAsia="en-US"/>
        </w:rPr>
      </w:pPr>
      <w:r w:rsidRPr="008F20FB">
        <w:rPr>
          <w:lang w:eastAsia="en-US"/>
        </w:rPr>
        <w:t xml:space="preserve">The </w:t>
      </w:r>
      <w:r w:rsidR="00C02F94" w:rsidRPr="008F20FB">
        <w:rPr>
          <w:lang w:eastAsia="en-US"/>
        </w:rPr>
        <w:t>Committee</w:t>
      </w:r>
      <w:r w:rsidRPr="008F20FB">
        <w:rPr>
          <w:lang w:eastAsia="en-US"/>
        </w:rPr>
        <w:t xml:space="preserve"> </w:t>
      </w:r>
      <w:r w:rsidRPr="008F20FB">
        <w:rPr>
          <w:b/>
          <w:bCs/>
          <w:lang w:eastAsia="en-US"/>
        </w:rPr>
        <w:t xml:space="preserve">will be </w:t>
      </w:r>
      <w:r w:rsidR="00B76760" w:rsidRPr="008F20FB">
        <w:rPr>
          <w:b/>
          <w:bCs/>
          <w:lang w:eastAsia="en-US"/>
        </w:rPr>
        <w:t>updated</w:t>
      </w:r>
      <w:r w:rsidR="00B76760" w:rsidRPr="008F20FB">
        <w:rPr>
          <w:lang w:eastAsia="en-US"/>
        </w:rPr>
        <w:t xml:space="preserve"> </w:t>
      </w:r>
      <w:r w:rsidRPr="008F20FB">
        <w:rPr>
          <w:lang w:eastAsia="en-US"/>
        </w:rPr>
        <w:t xml:space="preserve">about the finalization and launch </w:t>
      </w:r>
      <w:r w:rsidR="00B76760" w:rsidRPr="008F20FB">
        <w:rPr>
          <w:lang w:eastAsia="en-US"/>
        </w:rPr>
        <w:t xml:space="preserve">in 2021 </w:t>
      </w:r>
      <w:r w:rsidRPr="008F20FB">
        <w:rPr>
          <w:lang w:eastAsia="en-US"/>
        </w:rPr>
        <w:t>of the Global Plan for the Second Decade of Action for Road Safety, that was developed as mandated by U</w:t>
      </w:r>
      <w:r w:rsidR="00590FA0">
        <w:rPr>
          <w:lang w:eastAsia="en-US"/>
        </w:rPr>
        <w:t xml:space="preserve">nited </w:t>
      </w:r>
      <w:r w:rsidRPr="008F20FB">
        <w:rPr>
          <w:lang w:eastAsia="en-US"/>
        </w:rPr>
        <w:t>N</w:t>
      </w:r>
      <w:r w:rsidR="00590FA0">
        <w:rPr>
          <w:lang w:eastAsia="en-US"/>
        </w:rPr>
        <w:t>ations</w:t>
      </w:r>
      <w:r w:rsidRPr="008F20FB">
        <w:rPr>
          <w:lang w:eastAsia="en-US"/>
        </w:rPr>
        <w:t xml:space="preserve"> General Assembly Resolution 74/299, with the direct</w:t>
      </w:r>
      <w:r w:rsidR="00B76760" w:rsidRPr="008F20FB">
        <w:rPr>
          <w:lang w:eastAsia="en-US"/>
        </w:rPr>
        <w:t xml:space="preserve"> </w:t>
      </w:r>
      <w:r w:rsidRPr="008F20FB">
        <w:rPr>
          <w:lang w:eastAsia="en-US"/>
        </w:rPr>
        <w:t>involvement of ECE, alongside the other</w:t>
      </w:r>
      <w:r w:rsidR="00580B38" w:rsidRPr="008F20FB">
        <w:rPr>
          <w:lang w:eastAsia="en-US"/>
        </w:rPr>
        <w:t xml:space="preserve"> </w:t>
      </w:r>
      <w:r w:rsidRPr="008F20FB">
        <w:rPr>
          <w:lang w:eastAsia="en-US"/>
        </w:rPr>
        <w:t>regional commissions and WHO.</w:t>
      </w:r>
      <w:r w:rsidR="00C02F94" w:rsidRPr="008F20FB">
        <w:rPr>
          <w:lang w:eastAsia="en-US"/>
        </w:rPr>
        <w:t xml:space="preserve"> </w:t>
      </w:r>
      <w:r w:rsidRPr="008F20FB">
        <w:rPr>
          <w:lang w:eastAsia="en-US"/>
        </w:rPr>
        <w:t xml:space="preserve">The </w:t>
      </w:r>
      <w:r w:rsidR="00C02F94" w:rsidRPr="008F20FB">
        <w:rPr>
          <w:lang w:eastAsia="en-US"/>
        </w:rPr>
        <w:t xml:space="preserve">Committee </w:t>
      </w:r>
      <w:r w:rsidRPr="008F20FB">
        <w:rPr>
          <w:b/>
          <w:bCs/>
          <w:lang w:eastAsia="en-US"/>
        </w:rPr>
        <w:t>will be informed</w:t>
      </w:r>
      <w:r w:rsidRPr="008F20FB">
        <w:rPr>
          <w:lang w:eastAsia="en-US"/>
        </w:rPr>
        <w:t xml:space="preserve"> about the inclusion</w:t>
      </w:r>
      <w:r w:rsidR="005D2A2E" w:rsidRPr="008F20FB">
        <w:rPr>
          <w:lang w:eastAsia="en-US"/>
        </w:rPr>
        <w:t xml:space="preserve"> </w:t>
      </w:r>
      <w:r w:rsidRPr="008F20FB">
        <w:rPr>
          <w:lang w:eastAsia="en-US"/>
        </w:rPr>
        <w:t>in the Global Plan of strategic aspects of the work undertaken by the Committee and its subsidiary bodies, in line with the ITC Strategy</w:t>
      </w:r>
      <w:r w:rsidR="005D2A2E" w:rsidRPr="008F20FB">
        <w:rPr>
          <w:lang w:eastAsia="en-US"/>
        </w:rPr>
        <w:t>.</w:t>
      </w:r>
    </w:p>
    <w:p w14:paraId="748CB618" w14:textId="13E0EEB7" w:rsidR="001E1BB0" w:rsidRPr="008F20FB" w:rsidRDefault="001E1BB0" w:rsidP="001E1BB0">
      <w:pPr>
        <w:pStyle w:val="SingleTxtG"/>
        <w:rPr>
          <w:lang w:eastAsia="en-US"/>
        </w:rPr>
      </w:pPr>
      <w:r w:rsidRPr="008F20FB">
        <w:rPr>
          <w:lang w:eastAsia="en-US"/>
        </w:rPr>
        <w:t xml:space="preserve">The Committee </w:t>
      </w:r>
      <w:r w:rsidRPr="008F20FB">
        <w:rPr>
          <w:b/>
          <w:bCs/>
          <w:lang w:eastAsia="en-US"/>
        </w:rPr>
        <w:t>will be informed</w:t>
      </w:r>
      <w:r w:rsidRPr="008F20FB">
        <w:rPr>
          <w:lang w:eastAsia="en-US"/>
        </w:rPr>
        <w:t xml:space="preserve"> about the impacts of the COVID-19 pandemic and the liquidity crisis on the implementation of the Committee’s programme of work (ECE/TRANS/202</w:t>
      </w:r>
      <w:r w:rsidR="007D0455" w:rsidRPr="008F20FB">
        <w:rPr>
          <w:lang w:eastAsia="en-US"/>
        </w:rPr>
        <w:t>2</w:t>
      </w:r>
      <w:r w:rsidRPr="008F20FB">
        <w:rPr>
          <w:lang w:eastAsia="en-US"/>
        </w:rPr>
        <w:t>/</w:t>
      </w:r>
      <w:r w:rsidR="007D0455" w:rsidRPr="008F20FB">
        <w:rPr>
          <w:lang w:eastAsia="en-US"/>
        </w:rPr>
        <w:t>4</w:t>
      </w:r>
      <w:r w:rsidRPr="008F20FB">
        <w:rPr>
          <w:lang w:eastAsia="en-US"/>
        </w:rPr>
        <w:t>).</w:t>
      </w:r>
    </w:p>
    <w:p w14:paraId="5532B6D8" w14:textId="0ADFB1AD" w:rsidR="001E1BB0" w:rsidRPr="008F20FB" w:rsidRDefault="001E1BB0" w:rsidP="001E1BB0">
      <w:pPr>
        <w:pStyle w:val="SingleTxtG"/>
        <w:rPr>
          <w:lang w:eastAsia="en-US"/>
        </w:rPr>
      </w:pPr>
      <w:r w:rsidRPr="008F20FB">
        <w:rPr>
          <w:lang w:eastAsia="en-US"/>
        </w:rPr>
        <w:t xml:space="preserve">The Committee may wish to </w:t>
      </w:r>
      <w:r w:rsidRPr="008F20FB">
        <w:rPr>
          <w:b/>
          <w:lang w:eastAsia="en-US"/>
        </w:rPr>
        <w:t xml:space="preserve">give guidance to </w:t>
      </w:r>
      <w:r w:rsidRPr="008F20FB">
        <w:rPr>
          <w:lang w:eastAsia="en-US"/>
        </w:rPr>
        <w:t>its Chair on the key messages in the report</w:t>
      </w:r>
      <w:r w:rsidR="00515BAA">
        <w:rPr>
          <w:lang w:eastAsia="en-US"/>
        </w:rPr>
        <w:t xml:space="preserve">- </w:t>
      </w:r>
      <w:r w:rsidRPr="008F20FB">
        <w:rPr>
          <w:lang w:eastAsia="en-US"/>
        </w:rPr>
        <w:t>to be prepared in consultation with the secretariat</w:t>
      </w:r>
      <w:r w:rsidR="00515BAA">
        <w:rPr>
          <w:lang w:eastAsia="en-US"/>
        </w:rPr>
        <w:t xml:space="preserve">- </w:t>
      </w:r>
      <w:r w:rsidRPr="008F20FB">
        <w:rPr>
          <w:lang w:eastAsia="en-US"/>
        </w:rPr>
        <w:t>to the Executive Committee (EXCOM) at a future session.</w:t>
      </w:r>
    </w:p>
    <w:p w14:paraId="00A8BF9F" w14:textId="6B5A1E63" w:rsidR="00655385" w:rsidRPr="008F20FB" w:rsidRDefault="00655385" w:rsidP="00640824">
      <w:pPr>
        <w:spacing w:after="120"/>
        <w:ind w:left="1134" w:right="1134"/>
        <w:jc w:val="both"/>
        <w:rPr>
          <w:lang w:eastAsia="en-US"/>
        </w:rPr>
      </w:pPr>
      <w:r w:rsidRPr="008F20FB">
        <w:rPr>
          <w:lang w:eastAsia="en-US"/>
        </w:rPr>
        <w:t xml:space="preserve">The Committee </w:t>
      </w:r>
      <w:r w:rsidRPr="008F20FB">
        <w:rPr>
          <w:b/>
          <w:bCs/>
          <w:lang w:eastAsia="en-US"/>
        </w:rPr>
        <w:t>may wish to note</w:t>
      </w:r>
      <w:r w:rsidRPr="008F20FB">
        <w:rPr>
          <w:lang w:eastAsia="en-US"/>
        </w:rPr>
        <w:t xml:space="preserve"> that, in light of the exceptional circumstances triggered by the COVID-19 pandemic, EXCOM adopted on 6 April 2020 Special Procedures during the COVID-19 period, authorizing decision</w:t>
      </w:r>
      <w:r w:rsidR="00515BAA">
        <w:rPr>
          <w:lang w:eastAsia="en-US"/>
        </w:rPr>
        <w:t>-</w:t>
      </w:r>
      <w:r w:rsidRPr="008F20FB">
        <w:rPr>
          <w:lang w:eastAsia="en-US"/>
        </w:rPr>
        <w:t xml:space="preserve">making for EXCOM under silence procedures during remote informal meetings replacing official meetings. </w:t>
      </w:r>
      <w:r w:rsidR="00745006" w:rsidRPr="008F20FB">
        <w:rPr>
          <w:lang w:eastAsia="en-US"/>
        </w:rPr>
        <w:t xml:space="preserve">The Committee may </w:t>
      </w:r>
      <w:r w:rsidR="00F91EF2" w:rsidRPr="008F20FB">
        <w:rPr>
          <w:lang w:eastAsia="en-US"/>
        </w:rPr>
        <w:t xml:space="preserve">also </w:t>
      </w:r>
      <w:r w:rsidR="00745006" w:rsidRPr="008F20FB">
        <w:rPr>
          <w:b/>
          <w:bCs/>
          <w:lang w:eastAsia="en-US"/>
        </w:rPr>
        <w:t>wish to note</w:t>
      </w:r>
      <w:r w:rsidR="00745006" w:rsidRPr="008F20FB">
        <w:rPr>
          <w:lang w:eastAsia="en-US"/>
        </w:rPr>
        <w:t xml:space="preserve"> that on 5 October 2020, </w:t>
      </w:r>
      <w:r w:rsidR="001C6C78">
        <w:rPr>
          <w:lang w:eastAsia="en-US"/>
        </w:rPr>
        <w:t>EXCOM</w:t>
      </w:r>
      <w:r w:rsidR="00745006" w:rsidRPr="008F20FB">
        <w:rPr>
          <w:lang w:eastAsia="en-US"/>
        </w:rPr>
        <w:t xml:space="preserve"> adopted </w:t>
      </w:r>
      <w:r w:rsidR="009E68A5">
        <w:rPr>
          <w:lang w:eastAsia="en-US"/>
        </w:rPr>
        <w:t>s</w:t>
      </w:r>
      <w:r w:rsidR="00745006" w:rsidRPr="008F20FB">
        <w:rPr>
          <w:lang w:eastAsia="en-US"/>
        </w:rPr>
        <w:t xml:space="preserve">pecial procedures to take decisions in formal meetings with remote participation (ECE/EX/2020/L.12). </w:t>
      </w:r>
      <w:r w:rsidR="00640824" w:rsidRPr="008F20FB">
        <w:rPr>
          <w:lang w:eastAsia="en-US"/>
        </w:rPr>
        <w:t>In accordance with these EXCOM decisions</w:t>
      </w:r>
      <w:r w:rsidRPr="008F20FB">
        <w:rPr>
          <w:lang w:eastAsia="en-US"/>
        </w:rPr>
        <w:t>, the Committee may wish to note that document ECE/TRANS/202</w:t>
      </w:r>
      <w:r w:rsidR="009A6C9F" w:rsidRPr="008F20FB">
        <w:rPr>
          <w:lang w:eastAsia="en-US"/>
        </w:rPr>
        <w:t>2</w:t>
      </w:r>
      <w:r w:rsidRPr="008F20FB">
        <w:rPr>
          <w:lang w:eastAsia="en-US"/>
        </w:rPr>
        <w:t>/</w:t>
      </w:r>
      <w:r w:rsidR="009A6C9F" w:rsidRPr="008F20FB">
        <w:rPr>
          <w:lang w:eastAsia="en-US"/>
        </w:rPr>
        <w:t>5</w:t>
      </w:r>
      <w:r w:rsidRPr="008F20FB">
        <w:rPr>
          <w:lang w:eastAsia="en-US"/>
        </w:rPr>
        <w:t xml:space="preserve"> contains the decisions taken </w:t>
      </w:r>
      <w:r w:rsidR="003454D8" w:rsidRPr="008F20FB">
        <w:rPr>
          <w:lang w:eastAsia="en-US"/>
        </w:rPr>
        <w:t xml:space="preserve">in 2021 </w:t>
      </w:r>
      <w:r w:rsidRPr="008F20FB">
        <w:rPr>
          <w:lang w:eastAsia="en-US"/>
        </w:rPr>
        <w:t>by ITC subsidiary bodies under silence procedures.</w:t>
      </w:r>
    </w:p>
    <w:p w14:paraId="159D6DB0" w14:textId="77777777" w:rsidR="001E1BB0" w:rsidRPr="00E80D3A" w:rsidRDefault="001E1BB0" w:rsidP="001E1BB0">
      <w:pPr>
        <w:pStyle w:val="SingleTxtG"/>
        <w:rPr>
          <w:b/>
          <w:lang w:val="fr-FR"/>
        </w:rPr>
      </w:pPr>
      <w:r w:rsidRPr="00E80D3A">
        <w:rPr>
          <w:b/>
          <w:lang w:val="fr-FR"/>
        </w:rPr>
        <w:t>Documentation</w:t>
      </w:r>
    </w:p>
    <w:p w14:paraId="5DC6B581" w14:textId="62992F5B" w:rsidR="00203FF4" w:rsidRPr="00E80D3A" w:rsidRDefault="001E1BB0" w:rsidP="001E1BB0">
      <w:pPr>
        <w:spacing w:after="120"/>
        <w:ind w:left="1701" w:right="1134" w:hanging="567"/>
        <w:jc w:val="both"/>
        <w:rPr>
          <w:lang w:val="fr-FR"/>
        </w:rPr>
      </w:pPr>
      <w:r w:rsidRPr="00E80D3A">
        <w:rPr>
          <w:lang w:val="fr-FR"/>
        </w:rPr>
        <w:t>ECE/TRANS/202</w:t>
      </w:r>
      <w:r w:rsidR="007D0455" w:rsidRPr="00E80D3A">
        <w:rPr>
          <w:lang w:val="fr-FR"/>
        </w:rPr>
        <w:t>2</w:t>
      </w:r>
      <w:r w:rsidRPr="00E80D3A">
        <w:rPr>
          <w:lang w:val="fr-FR"/>
        </w:rPr>
        <w:t>/</w:t>
      </w:r>
      <w:r w:rsidR="007D0455" w:rsidRPr="00E80D3A">
        <w:rPr>
          <w:lang w:val="fr-FR"/>
        </w:rPr>
        <w:t>4</w:t>
      </w:r>
      <w:r w:rsidR="009A6C9F" w:rsidRPr="00E80D3A">
        <w:rPr>
          <w:lang w:val="fr-FR"/>
        </w:rPr>
        <w:t>, ECE/TRANS/2022/5</w:t>
      </w:r>
    </w:p>
    <w:p w14:paraId="24C8F962" w14:textId="250F36ED" w:rsidR="00113804" w:rsidRPr="008F20FB" w:rsidRDefault="00FA3E91" w:rsidP="00FA3E91">
      <w:pPr>
        <w:pStyle w:val="H1G"/>
      </w:pPr>
      <w:r w:rsidRPr="00E80D3A">
        <w:rPr>
          <w:lang w:val="fr-FR"/>
        </w:rPr>
        <w:tab/>
      </w:r>
      <w:r w:rsidR="00113804" w:rsidRPr="008F20FB">
        <w:t>5.</w:t>
      </w:r>
      <w:r w:rsidR="00113804" w:rsidRPr="008F20FB">
        <w:tab/>
        <w:t xml:space="preserve">Governance issues and business critical decisions for the </w:t>
      </w:r>
      <w:bookmarkStart w:id="1" w:name="_Hlk89790130"/>
      <w:r w:rsidR="00F820DF" w:rsidRPr="00DA50D2">
        <w:t>I</w:t>
      </w:r>
      <w:r w:rsidR="00F820DF">
        <w:t>nland Transport Committee</w:t>
      </w:r>
      <w:bookmarkEnd w:id="1"/>
      <w:r w:rsidR="00113804" w:rsidRPr="008F20FB">
        <w:t xml:space="preserve"> and its subsidiary bodies</w:t>
      </w:r>
    </w:p>
    <w:p w14:paraId="4D13E15E" w14:textId="55A9B38A" w:rsidR="00113804" w:rsidRPr="008F20FB" w:rsidRDefault="004678FB" w:rsidP="004678FB">
      <w:pPr>
        <w:pStyle w:val="H23G"/>
      </w:pPr>
      <w:r w:rsidRPr="008F20FB">
        <w:tab/>
      </w:r>
      <w:r w:rsidR="00113804" w:rsidRPr="008F20FB">
        <w:t>(a)</w:t>
      </w:r>
      <w:r w:rsidR="00113804" w:rsidRPr="008F20FB">
        <w:tab/>
        <w:t>Decisions on subsidiary bodies and on the structure of the Committee</w:t>
      </w:r>
    </w:p>
    <w:p w14:paraId="43F41F6F" w14:textId="46CA58FD" w:rsidR="00A55579" w:rsidRPr="00CC0025" w:rsidRDefault="00A55579" w:rsidP="00A55579">
      <w:pPr>
        <w:pStyle w:val="SingleTxtG"/>
      </w:pPr>
      <w:r w:rsidRPr="00CC0025">
        <w:t xml:space="preserve">The Committee is </w:t>
      </w:r>
      <w:r w:rsidRPr="00CC0025">
        <w:rPr>
          <w:b/>
          <w:bCs/>
        </w:rPr>
        <w:t>invited to adopt</w:t>
      </w:r>
      <w:r w:rsidRPr="00CC0025">
        <w:t xml:space="preserve"> the revised Terms of Reference of the Working Party on Transport Statistics (WP.6), as requested by WP.6 (</w:t>
      </w:r>
      <w:bookmarkStart w:id="2" w:name="_Hlk89773356"/>
      <w:r w:rsidRPr="00CC0025">
        <w:t>ECE/TRANS/WP.6/181</w:t>
      </w:r>
      <w:bookmarkEnd w:id="2"/>
      <w:r w:rsidRPr="00CC0025">
        <w:t xml:space="preserve">). The revised Terms of Reference, as contained in </w:t>
      </w:r>
      <w:r w:rsidRPr="00CC0025">
        <w:rPr>
          <w:b/>
          <w:bCs/>
        </w:rPr>
        <w:t>Annex I</w:t>
      </w:r>
      <w:r w:rsidRPr="00CC0025">
        <w:t xml:space="preserve"> to </w:t>
      </w:r>
      <w:r w:rsidR="00EE27AE" w:rsidRPr="00CC0025">
        <w:t>ECE/TRANS/2022/6</w:t>
      </w:r>
      <w:r w:rsidRPr="00CC0025">
        <w:t>, have been prepared in line with the ITC Strategy until 2030 and agreed by WP.6 at its seventy-second session (9–11 June 2021).</w:t>
      </w:r>
    </w:p>
    <w:p w14:paraId="0766C23D" w14:textId="2196D406" w:rsidR="00A55579" w:rsidRPr="00CC0025" w:rsidRDefault="00A55579" w:rsidP="00A55579">
      <w:pPr>
        <w:pStyle w:val="SingleTxtG"/>
      </w:pPr>
      <w:r w:rsidRPr="00CC0025">
        <w:t xml:space="preserve">The Committee is also </w:t>
      </w:r>
      <w:r w:rsidRPr="00CC0025">
        <w:rPr>
          <w:b/>
          <w:bCs/>
        </w:rPr>
        <w:t>invited to adopt</w:t>
      </w:r>
      <w:r w:rsidRPr="00CC0025">
        <w:t xml:space="preserve"> the updated Terms of Reference of the Working Party on Intermodal Transport and Logistics (WP.24), as requested by WP.24 (ECE/TRANS/WP.24/149, para 82). The revised Terms of Reference, as contained in </w:t>
      </w:r>
      <w:r w:rsidRPr="00CC0025">
        <w:rPr>
          <w:b/>
          <w:bCs/>
        </w:rPr>
        <w:t>Annex II</w:t>
      </w:r>
      <w:r w:rsidRPr="00CC0025">
        <w:t xml:space="preserve"> to </w:t>
      </w:r>
      <w:r w:rsidR="00EE27AE" w:rsidRPr="00CC0025">
        <w:t>ECE/TRANS/2022/6</w:t>
      </w:r>
      <w:r w:rsidRPr="00CC0025">
        <w:t>, have been updated in line with the ITC Strategy until 2030 and agreed by WP.24 at its sixty-fourth session (20-22 October 2021).</w:t>
      </w:r>
    </w:p>
    <w:p w14:paraId="0C365AA1" w14:textId="45D6D9F7" w:rsidR="00A55579" w:rsidRPr="00CC0025" w:rsidRDefault="00A55579" w:rsidP="00A55579">
      <w:pPr>
        <w:pStyle w:val="SingleTxtG"/>
      </w:pPr>
      <w:r w:rsidRPr="00CC0025">
        <w:tab/>
        <w:t xml:space="preserve">The Committee is also </w:t>
      </w:r>
      <w:r w:rsidRPr="00CC0025">
        <w:rPr>
          <w:b/>
          <w:bCs/>
        </w:rPr>
        <w:t>invited to adopt</w:t>
      </w:r>
      <w:r w:rsidRPr="00CC0025">
        <w:t xml:space="preserve"> the revised Terms of Reference of the Working Party on Inland Water Transport (SC.3), as requested by SC.3 (ECE/TRANS/SC.3/215). The revised Terms of Reference, as contained in </w:t>
      </w:r>
      <w:r w:rsidRPr="00CC0025">
        <w:rPr>
          <w:b/>
          <w:bCs/>
        </w:rPr>
        <w:t>Annex III</w:t>
      </w:r>
      <w:r w:rsidRPr="00CC0025">
        <w:t xml:space="preserve"> to </w:t>
      </w:r>
      <w:r w:rsidR="00EE27AE" w:rsidRPr="00CC0025">
        <w:t>ECE/TRANS/2022/6</w:t>
      </w:r>
      <w:r w:rsidRPr="00CC0025">
        <w:t>, have been prepared in line with the ITC Strategy until 2030 and agreed by SC.3 at its sixty-fifth session (3-5 November 2021).</w:t>
      </w:r>
    </w:p>
    <w:p w14:paraId="42E180F6" w14:textId="1600BF29" w:rsidR="00EE27AE" w:rsidRPr="00CC0025" w:rsidRDefault="00EE27AE" w:rsidP="00EE27AE">
      <w:pPr>
        <w:pStyle w:val="SingleTxtG"/>
      </w:pPr>
      <w:r w:rsidRPr="00CC0025">
        <w:lastRenderedPageBreak/>
        <w:t xml:space="preserve">The Committee may wish </w:t>
      </w:r>
      <w:r w:rsidRPr="00CC0025">
        <w:rPr>
          <w:b/>
          <w:bCs/>
        </w:rPr>
        <w:t>to approve the establishment</w:t>
      </w:r>
      <w:r w:rsidRPr="00CC0025">
        <w:t xml:space="preserve"> of a </w:t>
      </w:r>
      <w:bookmarkStart w:id="3" w:name="_Hlk89436016"/>
      <w:r w:rsidRPr="00CC0025">
        <w:t xml:space="preserve">new Group of Experts on the operationalization of the e-CMR procedure </w:t>
      </w:r>
      <w:bookmarkEnd w:id="3"/>
      <w:r w:rsidRPr="00CC0025">
        <w:t xml:space="preserve">for two years, as requested by SC.1 (ECE/TRANS/SC.1/416). The Terms of Reference of the new Group of Experts, as agreed by SC.1 at its 116th session (13-15 October 2021), are contained in </w:t>
      </w:r>
      <w:r w:rsidRPr="00CC0025">
        <w:rPr>
          <w:b/>
          <w:bCs/>
        </w:rPr>
        <w:t>Annex IV</w:t>
      </w:r>
      <w:r w:rsidRPr="00CC0025">
        <w:t xml:space="preserve"> to ECE/TRANS/2022/6. </w:t>
      </w:r>
    </w:p>
    <w:p w14:paraId="40265B4F" w14:textId="4F3B5B5F" w:rsidR="00EE27AE" w:rsidRPr="00CC0025" w:rsidRDefault="00EE27AE" w:rsidP="00EE27AE">
      <w:pPr>
        <w:pStyle w:val="SingleTxtG"/>
      </w:pPr>
      <w:r w:rsidRPr="00CC0025">
        <w:t xml:space="preserve">The Committee may wish </w:t>
      </w:r>
      <w:r w:rsidRPr="00CC0025">
        <w:rPr>
          <w:b/>
          <w:bCs/>
        </w:rPr>
        <w:t>to approve the establishment</w:t>
      </w:r>
      <w:r w:rsidRPr="00CC0025">
        <w:t xml:space="preserve"> of a new Group of Experts on cycling infrastructure, as requested by WP.5 (ECE/TRANS/WP.5/70, para 50). The Terms of Reference of the new Group of Experts, as agreed by WP.5 at its thirty-fourth session (15-17 September 2021), are contained in </w:t>
      </w:r>
      <w:r w:rsidRPr="00CC0025">
        <w:rPr>
          <w:b/>
          <w:bCs/>
        </w:rPr>
        <w:t>Annex V</w:t>
      </w:r>
      <w:r w:rsidRPr="00CC0025">
        <w:t xml:space="preserve"> ECE/TRANS/2022/6.</w:t>
      </w:r>
    </w:p>
    <w:p w14:paraId="146F6678" w14:textId="77777777" w:rsidR="006E15D3" w:rsidRPr="00CC0025" w:rsidRDefault="006E15D3" w:rsidP="006E15D3">
      <w:pPr>
        <w:pStyle w:val="SingleTxtG"/>
        <w:rPr>
          <w:b/>
        </w:rPr>
      </w:pPr>
      <w:r w:rsidRPr="00CC0025">
        <w:rPr>
          <w:b/>
        </w:rPr>
        <w:t>Documentation</w:t>
      </w:r>
    </w:p>
    <w:p w14:paraId="04C1C5CC" w14:textId="1F4EC9C3" w:rsidR="000D46AF" w:rsidRPr="008F20FB" w:rsidRDefault="006E15D3" w:rsidP="0017727B">
      <w:pPr>
        <w:spacing w:after="120"/>
        <w:ind w:left="1134" w:right="1134"/>
      </w:pPr>
      <w:r w:rsidRPr="008F20FB">
        <w:t>ECE/TRANS/202</w:t>
      </w:r>
      <w:r w:rsidR="00CF1F99" w:rsidRPr="008F20FB">
        <w:t>2</w:t>
      </w:r>
      <w:r w:rsidRPr="008F20FB">
        <w:t>/</w:t>
      </w:r>
      <w:r w:rsidR="004F5BA6" w:rsidRPr="008F20FB">
        <w:t>6</w:t>
      </w:r>
    </w:p>
    <w:p w14:paraId="0EB9B8E8" w14:textId="7C6A8EFB" w:rsidR="00113804" w:rsidRPr="008F20FB" w:rsidRDefault="006B611F" w:rsidP="006B611F">
      <w:pPr>
        <w:pStyle w:val="H23G"/>
      </w:pPr>
      <w:r w:rsidRPr="008F20FB">
        <w:tab/>
      </w:r>
      <w:r w:rsidR="00113804" w:rsidRPr="008F20FB">
        <w:t>(b)</w:t>
      </w:r>
      <w:r w:rsidR="00113804" w:rsidRPr="008F20FB">
        <w:tab/>
        <w:t>Results of the meetings of the Bureau of the Inland Transport Committee</w:t>
      </w:r>
    </w:p>
    <w:p w14:paraId="215B473C" w14:textId="1E8F543E" w:rsidR="002E792F" w:rsidRPr="008F20FB" w:rsidRDefault="002E792F" w:rsidP="002E792F">
      <w:pPr>
        <w:spacing w:after="120"/>
        <w:ind w:left="1134" w:right="1134"/>
        <w:jc w:val="both"/>
        <w:rPr>
          <w:lang w:eastAsia="en-US"/>
        </w:rPr>
      </w:pPr>
      <w:r w:rsidRPr="008F20FB">
        <w:rPr>
          <w:lang w:eastAsia="en-US"/>
        </w:rPr>
        <w:t xml:space="preserve">The Committee will </w:t>
      </w:r>
      <w:r w:rsidRPr="008F20FB">
        <w:rPr>
          <w:b/>
          <w:lang w:eastAsia="en-US"/>
        </w:rPr>
        <w:t>consider</w:t>
      </w:r>
      <w:r w:rsidRPr="008F20FB">
        <w:rPr>
          <w:lang w:eastAsia="en-US"/>
        </w:rPr>
        <w:t xml:space="preserve"> document ECE/TRANS/2022/7, containing the results of the meetings held by the ITC Bureau in 2021. The Committee may wish to refer to the decisions of the Bureau under the relevant items of its agenda.</w:t>
      </w:r>
    </w:p>
    <w:p w14:paraId="36BE5A77" w14:textId="77777777" w:rsidR="0017727B" w:rsidRPr="008F20FB" w:rsidRDefault="0017727B" w:rsidP="0017727B">
      <w:pPr>
        <w:spacing w:after="120"/>
        <w:ind w:left="1134" w:right="1134"/>
        <w:jc w:val="both"/>
        <w:rPr>
          <w:b/>
          <w:lang w:eastAsia="en-US"/>
        </w:rPr>
      </w:pPr>
      <w:r w:rsidRPr="008F20FB">
        <w:rPr>
          <w:b/>
          <w:lang w:eastAsia="en-US"/>
        </w:rPr>
        <w:t>Documentation</w:t>
      </w:r>
    </w:p>
    <w:p w14:paraId="1B79DBF0" w14:textId="1785231E" w:rsidR="000D46AF" w:rsidRPr="008F20FB" w:rsidRDefault="0017727B" w:rsidP="0017727B">
      <w:pPr>
        <w:pStyle w:val="SingleTxtG"/>
      </w:pPr>
      <w:r w:rsidRPr="008F20FB">
        <w:rPr>
          <w:lang w:eastAsia="en-US"/>
        </w:rPr>
        <w:t>ECE/TRANS/2022/7</w:t>
      </w:r>
    </w:p>
    <w:p w14:paraId="05F74306" w14:textId="0264713B" w:rsidR="00113804" w:rsidRPr="008F20FB" w:rsidRDefault="0017727B" w:rsidP="00CC25B3">
      <w:pPr>
        <w:pStyle w:val="H1G"/>
      </w:pPr>
      <w:r w:rsidRPr="008F20FB">
        <w:tab/>
      </w:r>
      <w:r w:rsidR="00113804" w:rsidRPr="008F20FB">
        <w:t>6.</w:t>
      </w:r>
      <w:r w:rsidR="00113804" w:rsidRPr="008F20FB">
        <w:tab/>
        <w:t>Programmatic issues</w:t>
      </w:r>
    </w:p>
    <w:p w14:paraId="3832FDFC" w14:textId="03AAAE21" w:rsidR="001B2624" w:rsidRPr="008F20FB" w:rsidRDefault="001B2624" w:rsidP="001B2624">
      <w:pPr>
        <w:spacing w:after="120"/>
        <w:ind w:left="1134" w:right="1134"/>
        <w:jc w:val="both"/>
        <w:rPr>
          <w:lang w:eastAsia="en-US"/>
        </w:rPr>
      </w:pPr>
      <w:r w:rsidRPr="008F20FB">
        <w:rPr>
          <w:lang w:eastAsia="en-US"/>
        </w:rPr>
        <w:t xml:space="preserve">The Committee </w:t>
      </w:r>
      <w:r w:rsidRPr="008F20FB">
        <w:rPr>
          <w:b/>
          <w:bCs/>
          <w:lang w:eastAsia="en-US"/>
        </w:rPr>
        <w:t>may wish to recall</w:t>
      </w:r>
      <w:r w:rsidRPr="008F20FB">
        <w:rPr>
          <w:lang w:eastAsia="en-US"/>
        </w:rPr>
        <w:t xml:space="preserve"> that in December 2017 the seventy-second session of the General Assembly adopted resolution 72/266. In this resolution, Member States approved the proposed change from a biennial to an annual budget period on a trial basis, beginning with the programme budget for 2020, and requested the Secretary-General to conduct a review of the budgetary cycle in 2022, following the completion of the first full budgetary cycle. The General Assembly also decided to review at its seventy-seventh session, with a view to taking a final decision, the implementation of the annual budget.</w:t>
      </w:r>
    </w:p>
    <w:p w14:paraId="701A3C9E" w14:textId="77777777" w:rsidR="002B66D2" w:rsidRDefault="002B66D2" w:rsidP="002B66D2">
      <w:pPr>
        <w:spacing w:after="120"/>
        <w:ind w:left="1134" w:right="1134"/>
        <w:jc w:val="both"/>
      </w:pPr>
      <w:r w:rsidRPr="00B11D20">
        <w:rPr>
          <w:lang w:eastAsia="en-US"/>
        </w:rPr>
        <w:t>The draft programme of work for 202</w:t>
      </w:r>
      <w:r>
        <w:rPr>
          <w:lang w:eastAsia="en-US"/>
        </w:rPr>
        <w:t>2</w:t>
      </w:r>
      <w:r w:rsidRPr="00B11D20">
        <w:rPr>
          <w:lang w:eastAsia="en-US"/>
        </w:rPr>
        <w:t xml:space="preserve"> </w:t>
      </w:r>
      <w:r>
        <w:rPr>
          <w:lang w:eastAsia="en-US"/>
        </w:rPr>
        <w:t xml:space="preserve">and the draft Programme Plan for 2023 of the Transport subprogramme presented below </w:t>
      </w:r>
      <w:r w:rsidRPr="00B11D20">
        <w:rPr>
          <w:lang w:eastAsia="en-US"/>
        </w:rPr>
        <w:t>follow the annual format introduced from 2020, with amendments reflecting General Assembly resolution</w:t>
      </w:r>
      <w:r>
        <w:rPr>
          <w:lang w:eastAsia="en-US"/>
        </w:rPr>
        <w:t>s</w:t>
      </w:r>
      <w:r w:rsidRPr="00B11D20">
        <w:rPr>
          <w:lang w:eastAsia="en-US"/>
        </w:rPr>
        <w:t xml:space="preserve"> 74/251</w:t>
      </w:r>
      <w:r>
        <w:rPr>
          <w:lang w:eastAsia="en-US"/>
        </w:rPr>
        <w:t xml:space="preserve"> and 75/243</w:t>
      </w:r>
      <w:r w:rsidRPr="00B11D20">
        <w:rPr>
          <w:lang w:eastAsia="en-US"/>
        </w:rPr>
        <w:t>.</w:t>
      </w:r>
      <w:r>
        <w:rPr>
          <w:lang w:eastAsia="en-US"/>
        </w:rPr>
        <w:t xml:space="preserve"> In addition, the draft Programme Plan for 2023 follows </w:t>
      </w:r>
      <w:r w:rsidRPr="001F558D">
        <w:rPr>
          <w:lang w:eastAsia="en-US"/>
        </w:rPr>
        <w:t>recommend</w:t>
      </w:r>
      <w:r>
        <w:rPr>
          <w:lang w:eastAsia="en-US"/>
        </w:rPr>
        <w:t>ations</w:t>
      </w:r>
      <w:r w:rsidRPr="001F558D">
        <w:rPr>
          <w:lang w:eastAsia="en-US"/>
        </w:rPr>
        <w:t xml:space="preserve"> </w:t>
      </w:r>
      <w:r>
        <w:rPr>
          <w:lang w:eastAsia="en-US"/>
        </w:rPr>
        <w:t>of</w:t>
      </w:r>
      <w:r w:rsidRPr="001F558D">
        <w:rPr>
          <w:lang w:eastAsia="en-US"/>
        </w:rPr>
        <w:t xml:space="preserve"> the 61</w:t>
      </w:r>
      <w:r w:rsidRPr="00A11CE0">
        <w:rPr>
          <w:vertAlign w:val="superscript"/>
          <w:lang w:eastAsia="en-US"/>
        </w:rPr>
        <w:t>st</w:t>
      </w:r>
      <w:r>
        <w:rPr>
          <w:lang w:eastAsia="en-US"/>
        </w:rPr>
        <w:t xml:space="preserve"> </w:t>
      </w:r>
      <w:r w:rsidRPr="001F558D">
        <w:rPr>
          <w:lang w:eastAsia="en-US"/>
        </w:rPr>
        <w:t>session of the Committee for Programme and Coordination (document A/76/16)</w:t>
      </w:r>
      <w:r>
        <w:rPr>
          <w:lang w:eastAsia="en-US"/>
        </w:rPr>
        <w:t xml:space="preserve"> as well as the UN Controller instructions for the preparation of the proposed programme budget for 2023.</w:t>
      </w:r>
    </w:p>
    <w:p w14:paraId="79D2ED21" w14:textId="43325E0C" w:rsidR="00113804" w:rsidRPr="008F20FB" w:rsidRDefault="00923218" w:rsidP="00923218">
      <w:pPr>
        <w:pStyle w:val="H23G"/>
      </w:pPr>
      <w:r w:rsidRPr="008F20FB">
        <w:tab/>
      </w:r>
      <w:r w:rsidR="00113804" w:rsidRPr="008F20FB">
        <w:t>(a)</w:t>
      </w:r>
      <w:r w:rsidR="00113804" w:rsidRPr="008F20FB">
        <w:tab/>
        <w:t xml:space="preserve">Programme of </w:t>
      </w:r>
      <w:r w:rsidR="00822A4C">
        <w:t>W</w:t>
      </w:r>
      <w:r w:rsidR="00822A4C" w:rsidRPr="008F20FB">
        <w:t xml:space="preserve">ork </w:t>
      </w:r>
      <w:r w:rsidR="00113804" w:rsidRPr="008F20FB">
        <w:t>for 2022</w:t>
      </w:r>
      <w:r w:rsidR="0087763E" w:rsidRPr="008F20FB">
        <w:t xml:space="preserve"> </w:t>
      </w:r>
      <w:r w:rsidR="00203CAF" w:rsidRPr="008F20FB">
        <w:t xml:space="preserve">and </w:t>
      </w:r>
      <w:r w:rsidR="00C466E1" w:rsidRPr="008F20FB">
        <w:t xml:space="preserve">recommendations on key components of the </w:t>
      </w:r>
      <w:r w:rsidR="00822A4C">
        <w:t>P</w:t>
      </w:r>
      <w:r w:rsidR="00822A4C" w:rsidRPr="008F20FB">
        <w:t xml:space="preserve">rogramme </w:t>
      </w:r>
      <w:r w:rsidR="00C466E1" w:rsidRPr="008F20FB">
        <w:t xml:space="preserve">of </w:t>
      </w:r>
      <w:r w:rsidR="00822A4C">
        <w:t>W</w:t>
      </w:r>
      <w:r w:rsidR="00822A4C" w:rsidRPr="008F20FB">
        <w:t xml:space="preserve">ork </w:t>
      </w:r>
      <w:r w:rsidR="00C466E1" w:rsidRPr="008F20FB">
        <w:t>for 2024</w:t>
      </w:r>
    </w:p>
    <w:p w14:paraId="576A4A05" w14:textId="77777777" w:rsidR="00D844B0" w:rsidRDefault="00D844B0" w:rsidP="00D844B0">
      <w:pPr>
        <w:spacing w:after="120"/>
        <w:ind w:left="1134" w:right="1134"/>
        <w:jc w:val="both"/>
        <w:rPr>
          <w:lang w:eastAsia="en-US"/>
        </w:rPr>
      </w:pPr>
      <w:r>
        <w:tab/>
      </w:r>
      <w:r w:rsidRPr="004F0107">
        <w:t xml:space="preserve">The draft </w:t>
      </w:r>
      <w:r>
        <w:t>P</w:t>
      </w:r>
      <w:r w:rsidRPr="004F0107">
        <w:t xml:space="preserve">rogramme of work for 2022 </w:t>
      </w:r>
      <w:r w:rsidRPr="00362C88">
        <w:t xml:space="preserve">is based on the programme </w:t>
      </w:r>
      <w:r>
        <w:t xml:space="preserve">plan </w:t>
      </w:r>
      <w:r w:rsidRPr="00362C88">
        <w:t xml:space="preserve">of the subprogramme for 2022 which was </w:t>
      </w:r>
      <w:r>
        <w:t xml:space="preserve">adopted </w:t>
      </w:r>
      <w:r w:rsidRPr="00362C88">
        <w:t xml:space="preserve">by the 76th session of the UN General Assembly </w:t>
      </w:r>
      <w:r>
        <w:t xml:space="preserve">in December 2021 </w:t>
      </w:r>
      <w:r w:rsidRPr="00362C88">
        <w:t>as part of the ECE proposed programme budget for 2022.</w:t>
      </w:r>
      <w:r>
        <w:t xml:space="preserve"> </w:t>
      </w:r>
      <w:r w:rsidRPr="00680396">
        <w:rPr>
          <w:lang w:eastAsia="en-US"/>
        </w:rPr>
        <w:t xml:space="preserve">The Committee is </w:t>
      </w:r>
      <w:r w:rsidRPr="007A329C">
        <w:rPr>
          <w:b/>
          <w:bCs/>
          <w:lang w:eastAsia="en-US"/>
        </w:rPr>
        <w:t>invited to adopt</w:t>
      </w:r>
      <w:r w:rsidRPr="00915547">
        <w:rPr>
          <w:lang w:eastAsia="en-US"/>
        </w:rPr>
        <w:t xml:space="preserve"> the draft </w:t>
      </w:r>
      <w:r>
        <w:rPr>
          <w:lang w:eastAsia="en-US"/>
        </w:rPr>
        <w:t>P</w:t>
      </w:r>
      <w:r w:rsidRPr="00915547">
        <w:rPr>
          <w:lang w:eastAsia="en-US"/>
        </w:rPr>
        <w:t xml:space="preserve">rogramme of work of the Transport </w:t>
      </w:r>
      <w:r>
        <w:rPr>
          <w:lang w:eastAsia="en-US"/>
        </w:rPr>
        <w:t>s</w:t>
      </w:r>
      <w:r w:rsidRPr="00915547">
        <w:rPr>
          <w:lang w:eastAsia="en-US"/>
        </w:rPr>
        <w:t>ubprogramme for 202</w:t>
      </w:r>
      <w:r>
        <w:rPr>
          <w:lang w:eastAsia="en-US"/>
        </w:rPr>
        <w:t>2 (</w:t>
      </w:r>
      <w:r w:rsidRPr="00680396">
        <w:rPr>
          <w:lang w:eastAsia="en-US"/>
        </w:rPr>
        <w:t>ECE/TRANS/202</w:t>
      </w:r>
      <w:r>
        <w:rPr>
          <w:lang w:eastAsia="en-US"/>
        </w:rPr>
        <w:t>2</w:t>
      </w:r>
      <w:r w:rsidRPr="00680396">
        <w:rPr>
          <w:lang w:eastAsia="en-US"/>
        </w:rPr>
        <w:t>/</w:t>
      </w:r>
      <w:r>
        <w:rPr>
          <w:lang w:eastAsia="en-US"/>
        </w:rPr>
        <w:t xml:space="preserve">8) and </w:t>
      </w:r>
      <w:r w:rsidRPr="007A329C">
        <w:rPr>
          <w:b/>
          <w:bCs/>
          <w:lang w:eastAsia="en-US"/>
        </w:rPr>
        <w:t>recommend</w:t>
      </w:r>
      <w:r>
        <w:rPr>
          <w:lang w:eastAsia="en-US"/>
        </w:rPr>
        <w:t xml:space="preserve"> it to the Executive Committee for approval</w:t>
      </w:r>
      <w:r w:rsidRPr="00680396">
        <w:rPr>
          <w:lang w:eastAsia="en-US"/>
        </w:rPr>
        <w:t xml:space="preserve">. </w:t>
      </w:r>
    </w:p>
    <w:p w14:paraId="7C76BFDA" w14:textId="472B60D2" w:rsidR="004332B2" w:rsidRPr="008F20FB" w:rsidRDefault="00D844B0" w:rsidP="00FE7DC6">
      <w:pPr>
        <w:spacing w:after="120"/>
        <w:ind w:left="1134" w:right="1134"/>
        <w:jc w:val="both"/>
        <w:rPr>
          <w:lang w:eastAsia="en-US"/>
        </w:rPr>
      </w:pPr>
      <w:r w:rsidRPr="009B0062">
        <w:rPr>
          <w:lang w:eastAsia="en-US"/>
        </w:rPr>
        <w:t xml:space="preserve">The Committee is </w:t>
      </w:r>
      <w:r>
        <w:rPr>
          <w:lang w:eastAsia="en-US"/>
        </w:rPr>
        <w:t xml:space="preserve">also </w:t>
      </w:r>
      <w:r w:rsidRPr="007B6584">
        <w:rPr>
          <w:b/>
          <w:bCs/>
          <w:lang w:eastAsia="en-US"/>
        </w:rPr>
        <w:t>invited to consider</w:t>
      </w:r>
      <w:r w:rsidRPr="009B0062">
        <w:rPr>
          <w:lang w:eastAsia="en-US"/>
        </w:rPr>
        <w:t xml:space="preserve"> </w:t>
      </w:r>
      <w:r>
        <w:rPr>
          <w:lang w:eastAsia="en-US"/>
        </w:rPr>
        <w:t xml:space="preserve">the “Outline of </w:t>
      </w:r>
      <w:r w:rsidRPr="005D2EDD">
        <w:rPr>
          <w:lang w:eastAsia="en-US"/>
        </w:rPr>
        <w:t>key components of the programme of work for 2024</w:t>
      </w:r>
      <w:r>
        <w:rPr>
          <w:lang w:eastAsia="en-US"/>
        </w:rPr>
        <w:t xml:space="preserve">” (Informal document No. 1), </w:t>
      </w:r>
      <w:r w:rsidRPr="009B0062">
        <w:rPr>
          <w:lang w:eastAsia="en-US"/>
        </w:rPr>
        <w:t>and provide recommendations on these components, as necessary</w:t>
      </w:r>
      <w:r>
        <w:rPr>
          <w:lang w:eastAsia="en-US"/>
        </w:rPr>
        <w:t>.</w:t>
      </w:r>
      <w:r w:rsidRPr="00943044">
        <w:t xml:space="preserve"> </w:t>
      </w:r>
      <w:r w:rsidRPr="00943044">
        <w:rPr>
          <w:lang w:eastAsia="en-US"/>
        </w:rPr>
        <w:t xml:space="preserve">Those recommendations agreed by the Committee and included in its decisions will be reflected in the proposed programme plan of the </w:t>
      </w:r>
      <w:r>
        <w:rPr>
          <w:lang w:eastAsia="en-US"/>
        </w:rPr>
        <w:t>Transport</w:t>
      </w:r>
      <w:r w:rsidRPr="00943044">
        <w:rPr>
          <w:lang w:eastAsia="en-US"/>
        </w:rPr>
        <w:t xml:space="preserve"> subprogramme for 202</w:t>
      </w:r>
      <w:r>
        <w:rPr>
          <w:lang w:eastAsia="en-US"/>
        </w:rPr>
        <w:t>4</w:t>
      </w:r>
      <w:r w:rsidRPr="00943044">
        <w:rPr>
          <w:lang w:eastAsia="en-US"/>
        </w:rPr>
        <w:t>.</w:t>
      </w:r>
    </w:p>
    <w:p w14:paraId="38743CB5" w14:textId="77777777" w:rsidR="00B23BFE" w:rsidRPr="00897594" w:rsidRDefault="00B23BFE" w:rsidP="00B23BFE">
      <w:pPr>
        <w:spacing w:after="120"/>
        <w:ind w:left="1134" w:right="1134"/>
        <w:jc w:val="both"/>
        <w:rPr>
          <w:b/>
          <w:lang w:val="fr-FR" w:eastAsia="en-US"/>
        </w:rPr>
      </w:pPr>
      <w:r w:rsidRPr="00897594">
        <w:rPr>
          <w:b/>
          <w:lang w:val="fr-FR" w:eastAsia="en-US"/>
        </w:rPr>
        <w:t>Documentation</w:t>
      </w:r>
    </w:p>
    <w:p w14:paraId="23537B48" w14:textId="3B6EA322" w:rsidR="000D46AF" w:rsidRPr="00897594" w:rsidRDefault="00B23BFE" w:rsidP="0099334E">
      <w:pPr>
        <w:pStyle w:val="SingleTxtG"/>
        <w:rPr>
          <w:lang w:val="fr-FR"/>
        </w:rPr>
      </w:pPr>
      <w:r w:rsidRPr="00897594">
        <w:rPr>
          <w:lang w:val="fr-FR" w:eastAsia="en-US"/>
        </w:rPr>
        <w:t>ECE/TRANS/</w:t>
      </w:r>
      <w:r w:rsidR="00E244C2" w:rsidRPr="00897594">
        <w:rPr>
          <w:lang w:val="fr-FR" w:eastAsia="en-US"/>
        </w:rPr>
        <w:t>2022</w:t>
      </w:r>
      <w:r w:rsidRPr="00897594">
        <w:rPr>
          <w:lang w:val="fr-FR" w:eastAsia="en-US"/>
        </w:rPr>
        <w:t>/8</w:t>
      </w:r>
      <w:r w:rsidR="00405778" w:rsidRPr="00897594">
        <w:rPr>
          <w:lang w:val="fr-FR" w:eastAsia="en-US"/>
        </w:rPr>
        <w:t>, Informal document No. 1</w:t>
      </w:r>
    </w:p>
    <w:p w14:paraId="2BE014C8" w14:textId="7EF53DE7" w:rsidR="00113804" w:rsidRPr="008F20FB" w:rsidRDefault="0099334E" w:rsidP="0099334E">
      <w:pPr>
        <w:pStyle w:val="H23G"/>
      </w:pPr>
      <w:r w:rsidRPr="00406918">
        <w:rPr>
          <w:lang w:val="fr-CH"/>
        </w:rPr>
        <w:lastRenderedPageBreak/>
        <w:tab/>
      </w:r>
      <w:r w:rsidR="00113804" w:rsidRPr="008F20FB">
        <w:t>(b)</w:t>
      </w:r>
      <w:r w:rsidR="00113804" w:rsidRPr="008F20FB">
        <w:tab/>
        <w:t>Programme Plan for 2023</w:t>
      </w:r>
    </w:p>
    <w:p w14:paraId="3987A5F6" w14:textId="7103A51D" w:rsidR="00B734DB" w:rsidRPr="008F20FB" w:rsidRDefault="00FB5014" w:rsidP="00FE7DC6">
      <w:pPr>
        <w:spacing w:after="120"/>
        <w:ind w:left="1134" w:right="1134"/>
        <w:jc w:val="both"/>
        <w:rPr>
          <w:lang w:eastAsia="en-US"/>
        </w:rPr>
      </w:pPr>
      <w:r w:rsidRPr="00680396">
        <w:rPr>
          <w:lang w:eastAsia="en-US"/>
        </w:rPr>
        <w:t xml:space="preserve">The Committee is invited to </w:t>
      </w:r>
      <w:r w:rsidRPr="007A329C">
        <w:rPr>
          <w:b/>
          <w:bCs/>
          <w:lang w:eastAsia="en-US"/>
        </w:rPr>
        <w:t>review and comment</w:t>
      </w:r>
      <w:r w:rsidRPr="00680396">
        <w:rPr>
          <w:lang w:eastAsia="en-US"/>
        </w:rPr>
        <w:t xml:space="preserve"> on the </w:t>
      </w:r>
      <w:r>
        <w:rPr>
          <w:lang w:eastAsia="en-US"/>
        </w:rPr>
        <w:t xml:space="preserve">draft </w:t>
      </w:r>
      <w:r w:rsidRPr="00680396">
        <w:rPr>
          <w:lang w:eastAsia="en-US"/>
        </w:rPr>
        <w:t>Programme Plan for 202</w:t>
      </w:r>
      <w:r>
        <w:rPr>
          <w:lang w:eastAsia="en-US"/>
        </w:rPr>
        <w:t>3</w:t>
      </w:r>
      <w:r w:rsidRPr="00680396">
        <w:rPr>
          <w:lang w:eastAsia="en-US"/>
        </w:rPr>
        <w:t xml:space="preserve"> for the </w:t>
      </w:r>
      <w:r>
        <w:rPr>
          <w:lang w:eastAsia="en-US"/>
        </w:rPr>
        <w:t>T</w:t>
      </w:r>
      <w:r w:rsidRPr="00680396">
        <w:rPr>
          <w:lang w:eastAsia="en-US"/>
        </w:rPr>
        <w:t>ransport subprogramme (ECE/TRANS/202</w:t>
      </w:r>
      <w:r>
        <w:rPr>
          <w:lang w:eastAsia="en-US"/>
        </w:rPr>
        <w:t>2</w:t>
      </w:r>
      <w:r w:rsidRPr="00680396">
        <w:rPr>
          <w:lang w:eastAsia="en-US"/>
        </w:rPr>
        <w:t>/</w:t>
      </w:r>
      <w:r>
        <w:rPr>
          <w:lang w:eastAsia="en-US"/>
        </w:rPr>
        <w:t>9</w:t>
      </w:r>
      <w:r w:rsidRPr="00680396">
        <w:rPr>
          <w:lang w:eastAsia="en-US"/>
        </w:rPr>
        <w:t>)</w:t>
      </w:r>
      <w:r>
        <w:rPr>
          <w:lang w:eastAsia="en-US"/>
        </w:rPr>
        <w:t>, as necessary</w:t>
      </w:r>
      <w:r w:rsidRPr="00680396">
        <w:rPr>
          <w:lang w:eastAsia="en-US"/>
        </w:rPr>
        <w:t>.</w:t>
      </w:r>
    </w:p>
    <w:p w14:paraId="23F6A177" w14:textId="77777777" w:rsidR="00B734DB" w:rsidRPr="008F20FB" w:rsidRDefault="00B734DB" w:rsidP="00B734DB">
      <w:pPr>
        <w:spacing w:after="120"/>
        <w:ind w:left="1134" w:right="1134"/>
        <w:jc w:val="both"/>
        <w:rPr>
          <w:lang w:eastAsia="en-US"/>
        </w:rPr>
      </w:pPr>
      <w:r w:rsidRPr="008F20FB">
        <w:rPr>
          <w:b/>
          <w:lang w:eastAsia="en-US"/>
        </w:rPr>
        <w:t>Documentation</w:t>
      </w:r>
      <w:r w:rsidRPr="008F20FB">
        <w:rPr>
          <w:lang w:eastAsia="en-US"/>
        </w:rPr>
        <w:t xml:space="preserve"> </w:t>
      </w:r>
    </w:p>
    <w:p w14:paraId="16C0848C" w14:textId="00D41587" w:rsidR="000D46AF" w:rsidRPr="008F20FB" w:rsidRDefault="00B734DB" w:rsidP="00FC7475">
      <w:pPr>
        <w:spacing w:after="120"/>
        <w:ind w:left="1134" w:right="1134"/>
      </w:pPr>
      <w:r w:rsidRPr="008F20FB">
        <w:rPr>
          <w:lang w:eastAsia="en-US"/>
        </w:rPr>
        <w:t>ECE/TRANS/202</w:t>
      </w:r>
      <w:r w:rsidR="00FC7475" w:rsidRPr="008F20FB">
        <w:rPr>
          <w:lang w:eastAsia="en-US"/>
        </w:rPr>
        <w:t>2</w:t>
      </w:r>
      <w:r w:rsidRPr="008F20FB">
        <w:rPr>
          <w:lang w:eastAsia="en-US"/>
        </w:rPr>
        <w:t>/9</w:t>
      </w:r>
    </w:p>
    <w:p w14:paraId="4E8A17FE" w14:textId="7E4ED842" w:rsidR="00113804" w:rsidRPr="008F20FB" w:rsidRDefault="0099334E" w:rsidP="0099334E">
      <w:pPr>
        <w:pStyle w:val="H23G"/>
      </w:pPr>
      <w:r w:rsidRPr="008F20FB">
        <w:tab/>
      </w:r>
      <w:r w:rsidR="00113804" w:rsidRPr="008F20FB">
        <w:t>(c)</w:t>
      </w:r>
      <w:r w:rsidR="00113804" w:rsidRPr="008F20FB">
        <w:tab/>
        <w:t xml:space="preserve">List of </w:t>
      </w:r>
      <w:r w:rsidR="005C3B11">
        <w:t>P</w:t>
      </w:r>
      <w:r w:rsidR="005C3B11" w:rsidRPr="008F20FB">
        <w:t xml:space="preserve">ublications </w:t>
      </w:r>
      <w:r w:rsidR="00113804" w:rsidRPr="008F20FB">
        <w:t>for 2023</w:t>
      </w:r>
    </w:p>
    <w:p w14:paraId="2FE641CB" w14:textId="28FA4AA0" w:rsidR="0051374A" w:rsidRPr="008F20FB" w:rsidRDefault="0051374A" w:rsidP="0051374A">
      <w:pPr>
        <w:spacing w:after="120"/>
        <w:ind w:left="1134" w:right="1134"/>
        <w:jc w:val="both"/>
        <w:rPr>
          <w:lang w:eastAsia="en-US"/>
        </w:rPr>
      </w:pPr>
      <w:r w:rsidRPr="008F20FB">
        <w:rPr>
          <w:lang w:eastAsia="en-US"/>
        </w:rPr>
        <w:t xml:space="preserve">The secretariat will </w:t>
      </w:r>
      <w:r w:rsidRPr="008F20FB">
        <w:rPr>
          <w:b/>
          <w:bCs/>
          <w:lang w:eastAsia="en-US"/>
        </w:rPr>
        <w:t>inform</w:t>
      </w:r>
      <w:r w:rsidRPr="008F20FB">
        <w:rPr>
          <w:lang w:eastAsia="en-US"/>
        </w:rPr>
        <w:t xml:space="preserve"> the Committee about the publications programme for 2023, in line with the United Nations management reform. The Committee is </w:t>
      </w:r>
      <w:r w:rsidRPr="008F20FB">
        <w:rPr>
          <w:b/>
          <w:bCs/>
          <w:lang w:eastAsia="en-US"/>
        </w:rPr>
        <w:t>invited to consider, support and endorse</w:t>
      </w:r>
      <w:r w:rsidRPr="008F20FB">
        <w:rPr>
          <w:lang w:eastAsia="en-US"/>
        </w:rPr>
        <w:t xml:space="preserve"> the list of publications contained in ECE/TRANS/2022/10.</w:t>
      </w:r>
    </w:p>
    <w:p w14:paraId="2F76E7C2" w14:textId="3C8FFD13" w:rsidR="0051374A" w:rsidRPr="008F20FB" w:rsidRDefault="0051374A" w:rsidP="0051374A">
      <w:pPr>
        <w:spacing w:after="120"/>
        <w:ind w:left="1134" w:right="1134"/>
        <w:jc w:val="both"/>
        <w:rPr>
          <w:lang w:eastAsia="en-US"/>
        </w:rPr>
      </w:pPr>
      <w:r w:rsidRPr="008F20FB">
        <w:rPr>
          <w:lang w:eastAsia="en-US"/>
        </w:rPr>
        <w:t>The Committee</w:t>
      </w:r>
      <w:r w:rsidR="00831A1F" w:rsidRPr="008F20FB">
        <w:rPr>
          <w:lang w:eastAsia="en-US"/>
        </w:rPr>
        <w:t xml:space="preserve"> may wish to </w:t>
      </w:r>
      <w:r w:rsidRPr="008F20FB">
        <w:rPr>
          <w:b/>
          <w:bCs/>
          <w:lang w:eastAsia="en-US"/>
        </w:rPr>
        <w:t>recommend</w:t>
      </w:r>
      <w:r w:rsidRPr="008F20FB">
        <w:rPr>
          <w:lang w:eastAsia="en-US"/>
        </w:rPr>
        <w:t xml:space="preserve"> that the relevant Working Parties take part in the preparation of these publications, if appropriate.</w:t>
      </w:r>
    </w:p>
    <w:p w14:paraId="7FA5BD3D" w14:textId="77777777" w:rsidR="0051374A" w:rsidRPr="008F20FB" w:rsidRDefault="0051374A" w:rsidP="0051374A">
      <w:pPr>
        <w:spacing w:after="120"/>
        <w:ind w:left="1134" w:right="1134"/>
        <w:jc w:val="both"/>
        <w:rPr>
          <w:lang w:eastAsia="en-US"/>
        </w:rPr>
      </w:pPr>
      <w:r w:rsidRPr="008F20FB">
        <w:rPr>
          <w:b/>
          <w:bCs/>
          <w:lang w:eastAsia="en-US"/>
        </w:rPr>
        <w:t>Documentation</w:t>
      </w:r>
      <w:r w:rsidRPr="008F20FB">
        <w:rPr>
          <w:lang w:eastAsia="en-US"/>
        </w:rPr>
        <w:t xml:space="preserve"> </w:t>
      </w:r>
    </w:p>
    <w:p w14:paraId="65F096F5" w14:textId="4C457862" w:rsidR="000D46AF" w:rsidRPr="008F20FB" w:rsidRDefault="0051374A" w:rsidP="005E09A2">
      <w:pPr>
        <w:spacing w:after="120"/>
        <w:ind w:left="1134" w:right="1134"/>
      </w:pPr>
      <w:r w:rsidRPr="008F20FB">
        <w:rPr>
          <w:lang w:eastAsia="en-US"/>
        </w:rPr>
        <w:t>ECE/TRANS/202</w:t>
      </w:r>
      <w:r w:rsidR="00831A1F" w:rsidRPr="008F20FB">
        <w:rPr>
          <w:lang w:eastAsia="en-US"/>
        </w:rPr>
        <w:t>2</w:t>
      </w:r>
      <w:r w:rsidRPr="008F20FB">
        <w:rPr>
          <w:lang w:eastAsia="en-US"/>
        </w:rPr>
        <w:t>/10</w:t>
      </w:r>
    </w:p>
    <w:p w14:paraId="22C75539" w14:textId="40E36DCB" w:rsidR="00113804" w:rsidRPr="008F20FB" w:rsidRDefault="0099334E" w:rsidP="0099334E">
      <w:pPr>
        <w:pStyle w:val="H23G"/>
      </w:pPr>
      <w:r w:rsidRPr="008F20FB">
        <w:tab/>
      </w:r>
      <w:r w:rsidR="00113804" w:rsidRPr="008F20FB">
        <w:t>(d)</w:t>
      </w:r>
      <w:r w:rsidR="00113804" w:rsidRPr="008F20FB">
        <w:tab/>
        <w:t>Schedule of meetings in 2022</w:t>
      </w:r>
    </w:p>
    <w:p w14:paraId="67A2C179" w14:textId="6ED9A8FE" w:rsidR="000424B1" w:rsidRPr="008F20FB" w:rsidRDefault="000424B1" w:rsidP="00D26A7F">
      <w:pPr>
        <w:pStyle w:val="SingleTxtG"/>
        <w:rPr>
          <w:lang w:eastAsia="en-US"/>
        </w:rPr>
      </w:pPr>
      <w:r w:rsidRPr="008F20FB">
        <w:rPr>
          <w:lang w:eastAsia="en-US"/>
        </w:rPr>
        <w:t xml:space="preserve">A preliminary list of meetings has been circulated for </w:t>
      </w:r>
      <w:r w:rsidRPr="008F20FB">
        <w:rPr>
          <w:b/>
          <w:bCs/>
          <w:lang w:eastAsia="en-US"/>
        </w:rPr>
        <w:t>consideration</w:t>
      </w:r>
      <w:r w:rsidRPr="008F20FB">
        <w:rPr>
          <w:lang w:eastAsia="en-US"/>
        </w:rPr>
        <w:t xml:space="preserve"> and </w:t>
      </w:r>
      <w:r w:rsidRPr="008F20FB">
        <w:rPr>
          <w:b/>
          <w:bCs/>
          <w:lang w:eastAsia="en-US"/>
        </w:rPr>
        <w:t>adoption</w:t>
      </w:r>
      <w:r w:rsidRPr="008F20FB">
        <w:rPr>
          <w:lang w:eastAsia="en-US"/>
        </w:rPr>
        <w:t xml:space="preserve"> by the Committee, based on proposals from the Committee’s subsidiary bodies</w:t>
      </w:r>
      <w:r w:rsidR="00714BDF" w:rsidRPr="008F20FB">
        <w:rPr>
          <w:lang w:eastAsia="en-US"/>
        </w:rPr>
        <w:t xml:space="preserve"> (ECE/TRANS/2022/11)</w:t>
      </w:r>
      <w:r w:rsidRPr="008F20FB">
        <w:rPr>
          <w:lang w:eastAsia="en-US"/>
        </w:rPr>
        <w:t>.</w:t>
      </w:r>
    </w:p>
    <w:p w14:paraId="69E51F8A" w14:textId="77777777" w:rsidR="000424B1" w:rsidRPr="008F20FB" w:rsidRDefault="000424B1" w:rsidP="000424B1">
      <w:pPr>
        <w:spacing w:after="120"/>
        <w:ind w:left="1134" w:right="1134"/>
        <w:jc w:val="both"/>
        <w:rPr>
          <w:b/>
          <w:bCs/>
          <w:lang w:eastAsia="en-US"/>
        </w:rPr>
      </w:pPr>
      <w:r w:rsidRPr="008F20FB">
        <w:rPr>
          <w:b/>
          <w:bCs/>
          <w:lang w:eastAsia="en-US"/>
        </w:rPr>
        <w:t>Documentation</w:t>
      </w:r>
    </w:p>
    <w:p w14:paraId="427C5DAA" w14:textId="1A222392" w:rsidR="000D46AF" w:rsidRPr="008F20FB" w:rsidRDefault="000424B1" w:rsidP="006F1DD2">
      <w:pPr>
        <w:pStyle w:val="SingleTxtG"/>
      </w:pPr>
      <w:r w:rsidRPr="008F20FB">
        <w:rPr>
          <w:lang w:eastAsia="en-US"/>
        </w:rPr>
        <w:t>ECE/TRANS/2022/11</w:t>
      </w:r>
    </w:p>
    <w:p w14:paraId="541D3F67" w14:textId="2249611D" w:rsidR="00113804" w:rsidRPr="008F20FB" w:rsidRDefault="00D74E7E" w:rsidP="00D74E7E">
      <w:pPr>
        <w:pStyle w:val="H1G"/>
      </w:pPr>
      <w:r w:rsidRPr="008F20FB">
        <w:tab/>
      </w:r>
      <w:r w:rsidR="00113804" w:rsidRPr="008F20FB">
        <w:t>7.</w:t>
      </w:r>
      <w:r w:rsidR="00113804" w:rsidRPr="008F20FB">
        <w:tab/>
        <w:t xml:space="preserve">Election of </w:t>
      </w:r>
      <w:r w:rsidR="00701B70">
        <w:t>O</w:t>
      </w:r>
      <w:r w:rsidR="00701B70" w:rsidRPr="008F20FB">
        <w:t xml:space="preserve">fficers </w:t>
      </w:r>
      <w:r w:rsidR="00113804" w:rsidRPr="008F20FB">
        <w:t xml:space="preserve">for </w:t>
      </w:r>
      <w:r w:rsidR="00AE631D" w:rsidRPr="00DA50D2">
        <w:t>I</w:t>
      </w:r>
      <w:r w:rsidR="00AE631D">
        <w:t>nland Transport Committee</w:t>
      </w:r>
      <w:r w:rsidR="00113804" w:rsidRPr="008F20FB">
        <w:t xml:space="preserve"> sessions in 2023 and 2024</w:t>
      </w:r>
    </w:p>
    <w:p w14:paraId="47F94BDF" w14:textId="2B2436A9" w:rsidR="00D74E7E" w:rsidRPr="008F20FB" w:rsidRDefault="00D74E7E" w:rsidP="00113804">
      <w:pPr>
        <w:spacing w:after="120"/>
        <w:ind w:left="1701" w:right="1134" w:hanging="567"/>
        <w:jc w:val="both"/>
      </w:pPr>
      <w:r w:rsidRPr="008F20FB">
        <w:rPr>
          <w:lang w:eastAsia="en-US"/>
        </w:rPr>
        <w:t xml:space="preserve">The Committee is expected to </w:t>
      </w:r>
      <w:r w:rsidRPr="008F20FB">
        <w:rPr>
          <w:b/>
          <w:bCs/>
          <w:lang w:eastAsia="en-US"/>
        </w:rPr>
        <w:t>elect</w:t>
      </w:r>
      <w:r w:rsidRPr="008F20FB">
        <w:rPr>
          <w:lang w:eastAsia="en-US"/>
        </w:rPr>
        <w:t xml:space="preserve"> its officers for its sessions in 2023 and 2024.</w:t>
      </w:r>
    </w:p>
    <w:p w14:paraId="01162824" w14:textId="738AD85B" w:rsidR="00113804" w:rsidRPr="008F20FB" w:rsidRDefault="00D74E7E" w:rsidP="00D74E7E">
      <w:pPr>
        <w:pStyle w:val="H1G"/>
      </w:pPr>
      <w:r w:rsidRPr="008F20FB">
        <w:tab/>
      </w:r>
      <w:r w:rsidR="00113804" w:rsidRPr="008F20FB">
        <w:t>8.</w:t>
      </w:r>
      <w:r w:rsidR="00113804" w:rsidRPr="008F20FB">
        <w:tab/>
        <w:t xml:space="preserve">Composition of the </w:t>
      </w:r>
      <w:r w:rsidR="00EA1BDE" w:rsidRPr="00DA50D2">
        <w:t>I</w:t>
      </w:r>
      <w:r w:rsidR="00EA1BDE">
        <w:t>nland Transport Committee</w:t>
      </w:r>
      <w:r w:rsidR="00113804" w:rsidRPr="008F20FB">
        <w:t xml:space="preserve"> Bureau for the </w:t>
      </w:r>
      <w:r w:rsidR="00EA1BDE" w:rsidRPr="00DA50D2">
        <w:t>I</w:t>
      </w:r>
      <w:r w:rsidR="00EA1BDE">
        <w:t>nland Transport Committee</w:t>
      </w:r>
      <w:r w:rsidR="00113804" w:rsidRPr="008F20FB">
        <w:t xml:space="preserve"> sessions in 2023 and 2024</w:t>
      </w:r>
    </w:p>
    <w:p w14:paraId="5D7CB060" w14:textId="321F16F7" w:rsidR="00D74E7E" w:rsidRPr="008F20FB" w:rsidRDefault="008828B9" w:rsidP="008828B9">
      <w:pPr>
        <w:spacing w:after="120"/>
        <w:ind w:left="1134" w:right="1134"/>
        <w:jc w:val="both"/>
      </w:pPr>
      <w:r w:rsidRPr="008F20FB">
        <w:rPr>
          <w:lang w:eastAsia="en-US"/>
        </w:rPr>
        <w:t xml:space="preserve">The Committee may wish to </w:t>
      </w:r>
      <w:r w:rsidRPr="008F20FB">
        <w:rPr>
          <w:b/>
          <w:lang w:eastAsia="en-US"/>
        </w:rPr>
        <w:t xml:space="preserve">decide </w:t>
      </w:r>
      <w:r w:rsidRPr="008F20FB">
        <w:rPr>
          <w:lang w:eastAsia="en-US"/>
        </w:rPr>
        <w:t>on the composition of its Bureau for its sessions in 2023 and 2024.</w:t>
      </w:r>
    </w:p>
    <w:p w14:paraId="4A0E98C3" w14:textId="77777777" w:rsidR="00113804" w:rsidRPr="008F20FB" w:rsidRDefault="00113804" w:rsidP="00113804">
      <w:pPr>
        <w:pStyle w:val="HChG"/>
      </w:pPr>
      <w:r w:rsidRPr="008F20FB">
        <w:tab/>
        <w:t>IV.</w:t>
      </w:r>
      <w:r w:rsidRPr="008F20FB">
        <w:tab/>
        <w:t xml:space="preserve">Strategic Transport Policy and Regulatory Issues </w:t>
      </w:r>
    </w:p>
    <w:p w14:paraId="2D0746B6" w14:textId="309B1977" w:rsidR="00113804" w:rsidRPr="008F20FB" w:rsidRDefault="004446CD" w:rsidP="00710E2D">
      <w:pPr>
        <w:pStyle w:val="H1G"/>
      </w:pPr>
      <w:r w:rsidRPr="008F20FB">
        <w:tab/>
      </w:r>
      <w:r w:rsidR="00113804" w:rsidRPr="008F20FB">
        <w:t>9.</w:t>
      </w:r>
      <w:r w:rsidR="00113804" w:rsidRPr="008F20FB">
        <w:tab/>
        <w:t>Strategic questions of a horizontal and cross-sectoral policy or regulatory nature</w:t>
      </w:r>
    </w:p>
    <w:p w14:paraId="0B307934" w14:textId="4D433143" w:rsidR="00113804" w:rsidRPr="008F20FB" w:rsidRDefault="004446CD" w:rsidP="002F69D0">
      <w:pPr>
        <w:pStyle w:val="H23G"/>
      </w:pPr>
      <w:r w:rsidRPr="008F20FB">
        <w:tab/>
      </w:r>
      <w:r w:rsidR="00113804" w:rsidRPr="008F20FB">
        <w:t>(a)</w:t>
      </w:r>
      <w:r w:rsidR="00113804" w:rsidRPr="008F20FB">
        <w:tab/>
        <w:t>Status of accession</w:t>
      </w:r>
      <w:r w:rsidR="000F22D7" w:rsidRPr="008F20FB">
        <w:t>s</w:t>
      </w:r>
      <w:r w:rsidR="00113804" w:rsidRPr="008F20FB">
        <w:t xml:space="preserve"> to international United Nations inland transport conventions and agreements</w:t>
      </w:r>
    </w:p>
    <w:p w14:paraId="2514C56C" w14:textId="77777777" w:rsidR="000D0A4F" w:rsidRPr="008F20FB" w:rsidRDefault="000D0A4F" w:rsidP="000D0A4F">
      <w:pPr>
        <w:pStyle w:val="SingleTxtG"/>
        <w:ind w:left="1140"/>
        <w:rPr>
          <w:color w:val="000000" w:themeColor="text1"/>
        </w:rPr>
      </w:pPr>
      <w:bookmarkStart w:id="4" w:name="_Hlk23071953"/>
      <w:r w:rsidRPr="008F20FB">
        <w:rPr>
          <w:color w:val="000000" w:themeColor="text1"/>
        </w:rPr>
        <w:t xml:space="preserve">The Committee, in performing its role as the United Nations platform for sustainable inland transport, may wish </w:t>
      </w:r>
      <w:r w:rsidRPr="008F20FB">
        <w:rPr>
          <w:b/>
          <w:bCs/>
          <w:color w:val="000000" w:themeColor="text1"/>
        </w:rPr>
        <w:t>to discuss</w:t>
      </w:r>
      <w:r w:rsidRPr="008F20FB">
        <w:rPr>
          <w:color w:val="000000" w:themeColor="text1"/>
        </w:rPr>
        <w:t xml:space="preserve"> </w:t>
      </w:r>
      <w:r w:rsidRPr="008F20FB">
        <w:rPr>
          <w:b/>
          <w:color w:val="000000" w:themeColor="text1"/>
        </w:rPr>
        <w:t>ways to strengthen</w:t>
      </w:r>
      <w:r w:rsidRPr="008F20FB">
        <w:rPr>
          <w:color w:val="000000" w:themeColor="text1"/>
        </w:rPr>
        <w:t xml:space="preserve"> the regulatory governance of inland transport internationally, </w:t>
      </w:r>
      <w:bookmarkEnd w:id="4"/>
      <w:r w:rsidRPr="008F20FB">
        <w:rPr>
          <w:color w:val="000000" w:themeColor="text1"/>
        </w:rPr>
        <w:t xml:space="preserve">in light of its strategic role in supporting the implementation of the Sustainable Development Goals until 2030. In this regard, the Committee may wish </w:t>
      </w:r>
      <w:r w:rsidRPr="008F20FB">
        <w:rPr>
          <w:b/>
          <w:bCs/>
          <w:color w:val="000000" w:themeColor="text1"/>
        </w:rPr>
        <w:t xml:space="preserve">to emphasize </w:t>
      </w:r>
      <w:r w:rsidRPr="008F20FB">
        <w:rPr>
          <w:color w:val="000000" w:themeColor="text1"/>
        </w:rPr>
        <w:t xml:space="preserve">the urgency of accelerating accessions to and implementation of the United Nations transport conventions and agreements under its purview that form the international regulatory framework. </w:t>
      </w:r>
    </w:p>
    <w:p w14:paraId="28E6810D" w14:textId="77777777" w:rsidR="000D0A4F" w:rsidRPr="008F20FB" w:rsidRDefault="000D0A4F" w:rsidP="000D0A4F">
      <w:pPr>
        <w:pStyle w:val="SingleTxtG"/>
        <w:ind w:left="1140"/>
        <w:rPr>
          <w:color w:val="000000" w:themeColor="text1"/>
        </w:rPr>
      </w:pPr>
      <w:r w:rsidRPr="008F20FB">
        <w:rPr>
          <w:color w:val="000000" w:themeColor="text1"/>
        </w:rPr>
        <w:t xml:space="preserve">The Committee may also wish to </w:t>
      </w:r>
      <w:r w:rsidRPr="008F20FB">
        <w:rPr>
          <w:b/>
          <w:color w:val="000000" w:themeColor="text1"/>
        </w:rPr>
        <w:t>invite</w:t>
      </w:r>
      <w:r w:rsidRPr="008F20FB">
        <w:rPr>
          <w:color w:val="000000" w:themeColor="text1"/>
        </w:rPr>
        <w:t xml:space="preserve"> countries, which have not yet done so, to accede to the United Nations conventions and other legal instruments in inland transport. The </w:t>
      </w:r>
      <w:r w:rsidRPr="008F20FB">
        <w:rPr>
          <w:color w:val="000000" w:themeColor="text1"/>
        </w:rPr>
        <w:lastRenderedPageBreak/>
        <w:t xml:space="preserve">Committee may wish to </w:t>
      </w:r>
      <w:r w:rsidRPr="008F20FB">
        <w:rPr>
          <w:b/>
          <w:color w:val="000000" w:themeColor="text1"/>
        </w:rPr>
        <w:t>decide</w:t>
      </w:r>
      <w:r w:rsidRPr="008F20FB">
        <w:rPr>
          <w:color w:val="000000" w:themeColor="text1"/>
        </w:rPr>
        <w:t xml:space="preserve"> on concerted actions in support of accession to and implementation of United Nations transport conventions.</w:t>
      </w:r>
    </w:p>
    <w:p w14:paraId="2DF187C5" w14:textId="760301A0" w:rsidR="000D0A4F" w:rsidRPr="008F20FB" w:rsidRDefault="000D0A4F" w:rsidP="000D0A4F">
      <w:pPr>
        <w:pStyle w:val="SingleTxtG"/>
        <w:ind w:left="1140"/>
        <w:rPr>
          <w:color w:val="000000" w:themeColor="text1"/>
        </w:rPr>
      </w:pPr>
      <w:r w:rsidRPr="008F20FB">
        <w:rPr>
          <w:color w:val="000000" w:themeColor="text1"/>
        </w:rPr>
        <w:t xml:space="preserve">When considering these issues, the Committee may wish to </w:t>
      </w:r>
      <w:r w:rsidRPr="008F20FB">
        <w:rPr>
          <w:b/>
          <w:color w:val="000000" w:themeColor="text1"/>
        </w:rPr>
        <w:t>take note</w:t>
      </w:r>
      <w:r w:rsidRPr="008F20FB">
        <w:rPr>
          <w:color w:val="000000" w:themeColor="text1"/>
        </w:rPr>
        <w:t xml:space="preserve"> of ECE/TRANS/2022/1</w:t>
      </w:r>
      <w:r w:rsidR="002D2791" w:rsidRPr="008F20FB">
        <w:rPr>
          <w:color w:val="000000" w:themeColor="text1"/>
        </w:rPr>
        <w:t>2</w:t>
      </w:r>
      <w:r w:rsidRPr="008F20FB">
        <w:rPr>
          <w:color w:val="000000" w:themeColor="text1"/>
        </w:rPr>
        <w:t xml:space="preserve"> on the status of accessions to United Nations legal instruments on inland transport administered by the Committee and its subsidiary bodies as of December 202</w:t>
      </w:r>
      <w:r w:rsidR="002D2791" w:rsidRPr="008F20FB">
        <w:rPr>
          <w:color w:val="000000" w:themeColor="text1"/>
        </w:rPr>
        <w:t>1</w:t>
      </w:r>
      <w:r w:rsidRPr="008F20FB">
        <w:rPr>
          <w:color w:val="000000" w:themeColor="text1"/>
        </w:rPr>
        <w:t xml:space="preserve">. </w:t>
      </w:r>
    </w:p>
    <w:p w14:paraId="25F26550" w14:textId="77777777" w:rsidR="000D0A4F" w:rsidRPr="008F20FB" w:rsidRDefault="000D0A4F" w:rsidP="000D0A4F">
      <w:pPr>
        <w:pStyle w:val="SingleTxtG"/>
        <w:rPr>
          <w:b/>
          <w:color w:val="000000" w:themeColor="text1"/>
        </w:rPr>
      </w:pPr>
      <w:r w:rsidRPr="008F20FB">
        <w:rPr>
          <w:b/>
          <w:color w:val="000000" w:themeColor="text1"/>
        </w:rPr>
        <w:t>Documentation</w:t>
      </w:r>
    </w:p>
    <w:p w14:paraId="720C7B6D" w14:textId="2E94AE47" w:rsidR="0079061D" w:rsidRPr="008F20FB" w:rsidRDefault="000D0A4F" w:rsidP="0081716F">
      <w:pPr>
        <w:spacing w:after="120"/>
        <w:ind w:left="567" w:right="1134" w:firstLine="567"/>
        <w:jc w:val="both"/>
      </w:pPr>
      <w:r w:rsidRPr="008F20FB">
        <w:rPr>
          <w:color w:val="000000" w:themeColor="text1"/>
        </w:rPr>
        <w:t>ECE/TRANS/</w:t>
      </w:r>
      <w:r w:rsidR="00714BDF" w:rsidRPr="008F20FB">
        <w:rPr>
          <w:color w:val="000000" w:themeColor="text1"/>
        </w:rPr>
        <w:t>2022</w:t>
      </w:r>
      <w:r w:rsidRPr="008F20FB">
        <w:rPr>
          <w:color w:val="000000" w:themeColor="text1"/>
        </w:rPr>
        <w:t>/1</w:t>
      </w:r>
      <w:r w:rsidR="002D2791" w:rsidRPr="008F20FB">
        <w:rPr>
          <w:color w:val="000000" w:themeColor="text1"/>
        </w:rPr>
        <w:t>2</w:t>
      </w:r>
    </w:p>
    <w:p w14:paraId="5DA6857F" w14:textId="6C6257A0" w:rsidR="00113804" w:rsidRPr="008F20FB" w:rsidRDefault="002D2791" w:rsidP="002F69D0">
      <w:pPr>
        <w:pStyle w:val="H23G"/>
      </w:pPr>
      <w:r w:rsidRPr="008F20FB">
        <w:tab/>
      </w:r>
      <w:r w:rsidR="00113804" w:rsidRPr="008F20FB">
        <w:t>(b)</w:t>
      </w:r>
      <w:r w:rsidR="00113804" w:rsidRPr="008F20FB">
        <w:tab/>
        <w:t>Implementation of the international United Nations inland transport conventions and agreements (statements by delegates)</w:t>
      </w:r>
    </w:p>
    <w:p w14:paraId="1051FA8C" w14:textId="77777777" w:rsidR="0097006F" w:rsidRPr="008F20FB" w:rsidRDefault="0097006F" w:rsidP="0097006F">
      <w:pPr>
        <w:pStyle w:val="SingleTxtG"/>
      </w:pPr>
      <w:r w:rsidRPr="008F20FB">
        <w:t xml:space="preserve">Representatives of United Nations Member States which are contracting parties to United Nations inland transport conventions and agreements will have the opportunity to share national and regional experiences, including challenges and special needs, in their efforts to implement conventions to which they have acceded. </w:t>
      </w:r>
    </w:p>
    <w:p w14:paraId="3405964A" w14:textId="6B6C627A" w:rsidR="0097006F" w:rsidRPr="008F20FB" w:rsidRDefault="0097006F" w:rsidP="0097006F">
      <w:pPr>
        <w:pStyle w:val="SingleTxtG"/>
      </w:pPr>
      <w:r w:rsidRPr="008F20FB">
        <w:t xml:space="preserve">The Committee </w:t>
      </w:r>
      <w:r w:rsidRPr="008F20FB">
        <w:rPr>
          <w:b/>
          <w:bCs/>
        </w:rPr>
        <w:t>may wish to take into consideration</w:t>
      </w:r>
      <w:r w:rsidRPr="008F20FB">
        <w:t xml:space="preserve"> ECE/TRANS/2022/13 that contains an analysis of regional accession trends and dynamics in relation to key clusters of United Nations inland transport conventions and agreements.</w:t>
      </w:r>
    </w:p>
    <w:p w14:paraId="55636F05" w14:textId="77777777" w:rsidR="0097006F" w:rsidRPr="008F20FB" w:rsidRDefault="0097006F" w:rsidP="0097006F">
      <w:pPr>
        <w:pStyle w:val="SingleTxtG"/>
      </w:pPr>
      <w:r w:rsidRPr="008F20FB">
        <w:t>The Committee</w:t>
      </w:r>
      <w:r w:rsidRPr="008F20FB">
        <w:rPr>
          <w:color w:val="000000" w:themeColor="text1"/>
        </w:rPr>
        <w:t xml:space="preserve">, mindful that improving implementation worldwide is a core element of the ITC Strategy and its vision in the run-up to 2030, </w:t>
      </w:r>
      <w:r w:rsidRPr="008F20FB">
        <w:t xml:space="preserve">is invited to </w:t>
      </w:r>
      <w:r w:rsidRPr="008F20FB">
        <w:rPr>
          <w:b/>
          <w:bCs/>
        </w:rPr>
        <w:t>take note</w:t>
      </w:r>
      <w:r w:rsidRPr="008F20FB">
        <w:t xml:space="preserve"> of this information and may wish to </w:t>
      </w:r>
      <w:r w:rsidRPr="008F20FB">
        <w:rPr>
          <w:b/>
          <w:bCs/>
        </w:rPr>
        <w:t>provide guidance to the secretariat</w:t>
      </w:r>
      <w:r w:rsidRPr="008F20FB">
        <w:t xml:space="preserve"> on ways to strengthen accession to and the implementation of these legal instruments.</w:t>
      </w:r>
    </w:p>
    <w:p w14:paraId="62A7005C" w14:textId="77777777" w:rsidR="0097006F" w:rsidRPr="008F20FB" w:rsidRDefault="0097006F" w:rsidP="0097006F">
      <w:pPr>
        <w:pStyle w:val="SingleTxtG"/>
        <w:rPr>
          <w:b/>
          <w:color w:val="000000" w:themeColor="text1"/>
        </w:rPr>
      </w:pPr>
      <w:r w:rsidRPr="008F20FB">
        <w:rPr>
          <w:b/>
          <w:color w:val="000000" w:themeColor="text1"/>
        </w:rPr>
        <w:t>Documentation</w:t>
      </w:r>
    </w:p>
    <w:p w14:paraId="53B5D4A8" w14:textId="7636F429" w:rsidR="0079061D" w:rsidRPr="008F20FB" w:rsidRDefault="0097006F" w:rsidP="0081716F">
      <w:pPr>
        <w:spacing w:after="120"/>
        <w:ind w:left="1134" w:right="1134"/>
      </w:pPr>
      <w:r w:rsidRPr="008F20FB">
        <w:rPr>
          <w:color w:val="000000" w:themeColor="text1"/>
        </w:rPr>
        <w:t>ECE/TRANS/202</w:t>
      </w:r>
      <w:r w:rsidR="0081716F" w:rsidRPr="008F20FB">
        <w:rPr>
          <w:color w:val="000000" w:themeColor="text1"/>
        </w:rPr>
        <w:t>2</w:t>
      </w:r>
      <w:r w:rsidRPr="008F20FB">
        <w:rPr>
          <w:color w:val="000000" w:themeColor="text1"/>
        </w:rPr>
        <w:t>/1</w:t>
      </w:r>
      <w:r w:rsidR="0081716F" w:rsidRPr="008F20FB">
        <w:rPr>
          <w:color w:val="000000" w:themeColor="text1"/>
        </w:rPr>
        <w:t>3</w:t>
      </w:r>
    </w:p>
    <w:p w14:paraId="585C4F86" w14:textId="3541BFA8" w:rsidR="00113804" w:rsidRPr="008F20FB" w:rsidRDefault="0081716F" w:rsidP="002F69D0">
      <w:pPr>
        <w:pStyle w:val="H23G"/>
      </w:pPr>
      <w:r w:rsidRPr="008F20FB">
        <w:tab/>
      </w:r>
      <w:r w:rsidR="00113804" w:rsidRPr="008F20FB">
        <w:t>(c)</w:t>
      </w:r>
      <w:r w:rsidR="00113804" w:rsidRPr="008F20FB">
        <w:tab/>
        <w:t>Challenges and emerging trends of inland transport in different regions (statements by delegates)</w:t>
      </w:r>
    </w:p>
    <w:p w14:paraId="651E81A6" w14:textId="77777777" w:rsidR="00B477C8" w:rsidRPr="008F20FB" w:rsidRDefault="00B477C8" w:rsidP="00B477C8">
      <w:pPr>
        <w:pStyle w:val="SingleTxtG"/>
      </w:pPr>
      <w:r w:rsidRPr="008F20FB">
        <w:t xml:space="preserve">Representatives of United Nations Member States that are contracting parties to United Nations inland transport conventions and agreements will have the opportunity to share challenges and emerging trends of inland transport in their respective regions. </w:t>
      </w:r>
    </w:p>
    <w:p w14:paraId="5E60ABD3" w14:textId="6CE75A5C" w:rsidR="00B477C8" w:rsidRPr="008F20FB" w:rsidRDefault="00B477C8" w:rsidP="00B477C8">
      <w:pPr>
        <w:pStyle w:val="SingleTxtG"/>
      </w:pPr>
      <w:r w:rsidRPr="008F20FB">
        <w:t xml:space="preserve">The Committee </w:t>
      </w:r>
      <w:r w:rsidRPr="008F20FB">
        <w:rPr>
          <w:b/>
          <w:bCs/>
        </w:rPr>
        <w:t>may wish to take into consideration</w:t>
      </w:r>
      <w:r w:rsidRPr="008F20FB">
        <w:t xml:space="preserve"> ECE/TRANS/2022/14 which contains a review of challenges and emerging trends on inland transport in different regions. This year’s thematic focus is on COVID-19</w:t>
      </w:r>
      <w:r w:rsidR="0033752A" w:rsidRPr="008F20FB">
        <w:t xml:space="preserve"> recovery efforts and challenges</w:t>
      </w:r>
      <w:r w:rsidRPr="008F20FB">
        <w:t>.</w:t>
      </w:r>
    </w:p>
    <w:p w14:paraId="3DAC946B" w14:textId="77777777" w:rsidR="00B477C8" w:rsidRPr="008F20FB" w:rsidRDefault="00B477C8" w:rsidP="00B477C8">
      <w:pPr>
        <w:pStyle w:val="SingleTxtG"/>
      </w:pPr>
      <w:r w:rsidRPr="008F20FB">
        <w:t xml:space="preserve">The Committee, in performing its role as the United Nations platform for sustainable inland transport, is invited to </w:t>
      </w:r>
      <w:r w:rsidRPr="008F20FB">
        <w:rPr>
          <w:b/>
          <w:bCs/>
        </w:rPr>
        <w:t>take note</w:t>
      </w:r>
      <w:r w:rsidRPr="008F20FB">
        <w:t xml:space="preserve"> of this information and may wish to </w:t>
      </w:r>
      <w:r w:rsidRPr="008F20FB">
        <w:rPr>
          <w:b/>
          <w:bCs/>
        </w:rPr>
        <w:t>provide guidance to the secretariat</w:t>
      </w:r>
      <w:r w:rsidRPr="008F20FB">
        <w:t xml:space="preserve"> </w:t>
      </w:r>
      <w:r w:rsidRPr="008F20FB">
        <w:rPr>
          <w:b/>
          <w:bCs/>
        </w:rPr>
        <w:t>and its subsidiary bodies</w:t>
      </w:r>
      <w:r w:rsidRPr="008F20FB">
        <w:t xml:space="preserve"> on ways to integrate these experiences in their work, in order to strengthen its relevance and impact.</w:t>
      </w:r>
    </w:p>
    <w:p w14:paraId="20C6B3C0" w14:textId="77777777" w:rsidR="00B477C8" w:rsidRPr="00D96376" w:rsidRDefault="00B477C8" w:rsidP="00B477C8">
      <w:pPr>
        <w:pStyle w:val="SingleTxtG"/>
        <w:rPr>
          <w:b/>
          <w:color w:val="000000" w:themeColor="text1"/>
          <w:lang w:val="fr-FR"/>
        </w:rPr>
      </w:pPr>
      <w:r w:rsidRPr="00D96376">
        <w:rPr>
          <w:b/>
          <w:color w:val="000000" w:themeColor="text1"/>
          <w:lang w:val="fr-FR"/>
        </w:rPr>
        <w:t>Documentation</w:t>
      </w:r>
    </w:p>
    <w:p w14:paraId="6F7EB4CF" w14:textId="6B287EE9" w:rsidR="0079061D" w:rsidRPr="00D96376" w:rsidRDefault="00B477C8" w:rsidP="00631818">
      <w:pPr>
        <w:spacing w:after="120"/>
        <w:ind w:left="567" w:right="1134" w:firstLine="567"/>
        <w:jc w:val="both"/>
        <w:rPr>
          <w:lang w:val="fr-FR"/>
        </w:rPr>
      </w:pPr>
      <w:r w:rsidRPr="00D96376">
        <w:rPr>
          <w:color w:val="000000" w:themeColor="text1"/>
          <w:lang w:val="fr-FR"/>
        </w:rPr>
        <w:t>ECE/TRANS/</w:t>
      </w:r>
      <w:r w:rsidR="003D002D" w:rsidRPr="00D96376">
        <w:rPr>
          <w:color w:val="000000" w:themeColor="text1"/>
          <w:lang w:val="fr-FR"/>
        </w:rPr>
        <w:t>2022</w:t>
      </w:r>
      <w:r w:rsidRPr="00D96376">
        <w:rPr>
          <w:color w:val="000000" w:themeColor="text1"/>
          <w:lang w:val="fr-FR"/>
        </w:rPr>
        <w:t>/1</w:t>
      </w:r>
      <w:r w:rsidR="00631818" w:rsidRPr="00D96376">
        <w:rPr>
          <w:color w:val="000000" w:themeColor="text1"/>
          <w:lang w:val="fr-FR"/>
        </w:rPr>
        <w:t>4</w:t>
      </w:r>
    </w:p>
    <w:p w14:paraId="6863A138" w14:textId="375C2DA7" w:rsidR="00113804" w:rsidRPr="000F6A86" w:rsidRDefault="00631818" w:rsidP="002F69D0">
      <w:pPr>
        <w:pStyle w:val="H23G"/>
        <w:rPr>
          <w:lang w:val="fr-CH"/>
        </w:rPr>
      </w:pPr>
      <w:r w:rsidRPr="00D96376">
        <w:rPr>
          <w:lang w:val="fr-FR"/>
        </w:rPr>
        <w:tab/>
      </w:r>
      <w:r w:rsidR="00113804" w:rsidRPr="000F6A86">
        <w:rPr>
          <w:lang w:val="fr-CH"/>
        </w:rPr>
        <w:t>(d)</w:t>
      </w:r>
      <w:r w:rsidR="00113804" w:rsidRPr="000F6A86">
        <w:rPr>
          <w:lang w:val="fr-CH"/>
        </w:rPr>
        <w:tab/>
        <w:t>Intelligent transport systems</w:t>
      </w:r>
    </w:p>
    <w:p w14:paraId="79D1AF7C" w14:textId="6CF66C55" w:rsidR="00FE535F" w:rsidRPr="008F20FB" w:rsidRDefault="00FE535F" w:rsidP="00FE535F">
      <w:pPr>
        <w:spacing w:after="120"/>
        <w:ind w:left="1134" w:right="1134"/>
        <w:jc w:val="both"/>
        <w:rPr>
          <w:lang w:eastAsia="en-US"/>
        </w:rPr>
      </w:pPr>
      <w:r w:rsidRPr="008F20FB">
        <w:rPr>
          <w:color w:val="000000" w:themeColor="text1"/>
          <w:lang w:eastAsia="en-US"/>
        </w:rPr>
        <w:t xml:space="preserve">The Committee </w:t>
      </w:r>
      <w:r w:rsidR="00297676" w:rsidRPr="008F20FB">
        <w:rPr>
          <w:color w:val="000000" w:themeColor="text1"/>
          <w:lang w:eastAsia="en-US"/>
        </w:rPr>
        <w:t xml:space="preserve">may wish to </w:t>
      </w:r>
      <w:r w:rsidRPr="008F20FB">
        <w:rPr>
          <w:b/>
          <w:bCs/>
          <w:color w:val="000000" w:themeColor="text1"/>
          <w:lang w:eastAsia="en-US"/>
        </w:rPr>
        <w:t>recall</w:t>
      </w:r>
      <w:r w:rsidRPr="008F20FB">
        <w:rPr>
          <w:color w:val="000000" w:themeColor="text1"/>
          <w:lang w:eastAsia="en-US"/>
        </w:rPr>
        <w:t xml:space="preserve"> the </w:t>
      </w:r>
      <w:bookmarkStart w:id="5" w:name="_Hlk89704342"/>
      <w:r w:rsidRPr="008F20FB">
        <w:rPr>
          <w:color w:val="000000" w:themeColor="text1"/>
          <w:lang w:eastAsia="en-US"/>
        </w:rPr>
        <w:t xml:space="preserve">Revised ITS Roadmap 2021-2025 </w:t>
      </w:r>
      <w:bookmarkEnd w:id="5"/>
      <w:r w:rsidRPr="008F20FB">
        <w:rPr>
          <w:color w:val="000000" w:themeColor="text1"/>
          <w:lang w:eastAsia="en-US"/>
        </w:rPr>
        <w:t xml:space="preserve">that had been adopted at its eighty-third session and </w:t>
      </w:r>
      <w:r w:rsidRPr="008F20FB">
        <w:rPr>
          <w:b/>
          <w:bCs/>
          <w:color w:val="000000" w:themeColor="text1"/>
          <w:lang w:eastAsia="en-US"/>
        </w:rPr>
        <w:t>note</w:t>
      </w:r>
      <w:r w:rsidRPr="008F20FB">
        <w:rPr>
          <w:color w:val="000000" w:themeColor="text1"/>
          <w:lang w:eastAsia="en-US"/>
        </w:rPr>
        <w:t xml:space="preserve"> activities by all its subsidiary bodies towards its implementation</w:t>
      </w:r>
      <w:r w:rsidR="00DC123A" w:rsidRPr="008F20FB">
        <w:rPr>
          <w:color w:val="000000" w:themeColor="text1"/>
          <w:lang w:eastAsia="en-US"/>
        </w:rPr>
        <w:t xml:space="preserve"> </w:t>
      </w:r>
      <w:r w:rsidR="00DC123A" w:rsidRPr="008F20FB">
        <w:rPr>
          <w:rFonts w:asciiTheme="majorBidi" w:hAnsiTheme="majorBidi" w:cstheme="majorBidi"/>
          <w:color w:val="000000" w:themeColor="text1"/>
          <w:lang w:eastAsia="en-US"/>
        </w:rPr>
        <w:t>(ECE/TRANS/2022/15)</w:t>
      </w:r>
      <w:r w:rsidRPr="008F20FB">
        <w:rPr>
          <w:lang w:eastAsia="en-US"/>
        </w:rPr>
        <w:t xml:space="preserve">. Furthermore, the Committee will be </w:t>
      </w:r>
      <w:r w:rsidRPr="008F20FB">
        <w:rPr>
          <w:b/>
          <w:bCs/>
          <w:lang w:eastAsia="en-US"/>
        </w:rPr>
        <w:t>informed</w:t>
      </w:r>
      <w:r w:rsidRPr="008F20FB">
        <w:rPr>
          <w:lang w:eastAsia="en-US"/>
        </w:rPr>
        <w:t xml:space="preserve"> </w:t>
      </w:r>
      <w:r w:rsidR="00164F3E" w:rsidRPr="008F20FB">
        <w:rPr>
          <w:lang w:eastAsia="en-US"/>
        </w:rPr>
        <w:t xml:space="preserve">about </w:t>
      </w:r>
      <w:r w:rsidRPr="008F20FB">
        <w:rPr>
          <w:lang w:eastAsia="en-US"/>
        </w:rPr>
        <w:t xml:space="preserve">the activities of </w:t>
      </w:r>
      <w:r w:rsidR="00E018FC" w:rsidRPr="008F20FB">
        <w:rPr>
          <w:lang w:eastAsia="en-US"/>
        </w:rPr>
        <w:t xml:space="preserve">the </w:t>
      </w:r>
      <w:r w:rsidR="00E018FC" w:rsidRPr="008F20FB">
        <w:rPr>
          <w:rFonts w:asciiTheme="majorBidi" w:hAnsiTheme="majorBidi" w:cstheme="majorBidi"/>
          <w:lang w:eastAsia="en-US"/>
        </w:rPr>
        <w:t>Informal Working Group on Intelligent Transport Systems (ITS)</w:t>
      </w:r>
      <w:r w:rsidRPr="008F20FB">
        <w:rPr>
          <w:lang w:eastAsia="en-US"/>
        </w:rPr>
        <w:t>.</w:t>
      </w:r>
    </w:p>
    <w:p w14:paraId="7C46307D" w14:textId="77777777" w:rsidR="00FE535F" w:rsidRPr="008F20FB" w:rsidRDefault="00FE535F" w:rsidP="00FE535F">
      <w:pPr>
        <w:spacing w:after="120"/>
        <w:ind w:left="1134" w:right="1134"/>
        <w:jc w:val="both"/>
        <w:rPr>
          <w:rFonts w:asciiTheme="majorBidi" w:hAnsiTheme="majorBidi" w:cstheme="majorBidi"/>
          <w:lang w:eastAsia="en-US"/>
        </w:rPr>
      </w:pPr>
      <w:r w:rsidRPr="008F20FB">
        <w:rPr>
          <w:rFonts w:asciiTheme="majorBidi" w:hAnsiTheme="majorBidi" w:cstheme="majorBidi"/>
          <w:lang w:eastAsia="en-US"/>
        </w:rPr>
        <w:t xml:space="preserve">The Committee is invited to </w:t>
      </w:r>
      <w:r w:rsidRPr="008F20FB">
        <w:rPr>
          <w:rFonts w:asciiTheme="majorBidi" w:hAnsiTheme="majorBidi" w:cstheme="majorBidi"/>
          <w:b/>
          <w:bCs/>
          <w:lang w:eastAsia="en-US"/>
        </w:rPr>
        <w:t xml:space="preserve">encourage </w:t>
      </w:r>
      <w:r w:rsidRPr="008F20FB">
        <w:rPr>
          <w:rFonts w:asciiTheme="majorBidi" w:hAnsiTheme="majorBidi" w:cstheme="majorBidi"/>
          <w:bCs/>
          <w:lang w:eastAsia="en-US"/>
        </w:rPr>
        <w:t>continuation of the work of SC.3 on smart shipping, River Information Services, and innovative technologies in the recently adopted</w:t>
      </w:r>
      <w:r w:rsidRPr="008F20FB">
        <w:t xml:space="preserve"> </w:t>
      </w:r>
      <w:r w:rsidRPr="008F20FB">
        <w:rPr>
          <w:rFonts w:asciiTheme="majorBidi" w:hAnsiTheme="majorBidi" w:cstheme="majorBidi"/>
          <w:bCs/>
          <w:lang w:eastAsia="en-US"/>
        </w:rPr>
        <w:t>European Code for Signs and Signals on Inland Waterways (SIGNI); of WP.1 on the conditions of use of automated vehicles in traffic; of WP.15 on telematics for the transport of dangerous goods; of WP.29 on the implementation of the framework document on the safety of automated vehicles; of WP.29/GRVA on regulating autonomous/automated and connected vehicles (incl. Artificial Intelligence); and of WP.30 on eTIR,</w:t>
      </w:r>
      <w:r w:rsidRPr="008F20FB" w:rsidDel="005915D5">
        <w:rPr>
          <w:rFonts w:asciiTheme="majorBidi" w:hAnsiTheme="majorBidi" w:cstheme="majorBidi"/>
          <w:lang w:eastAsia="en-US"/>
        </w:rPr>
        <w:t xml:space="preserve"> </w:t>
      </w:r>
      <w:r w:rsidRPr="008F20FB">
        <w:rPr>
          <w:rFonts w:asciiTheme="majorBidi" w:hAnsiTheme="majorBidi" w:cstheme="majorBidi"/>
          <w:lang w:eastAsia="en-US"/>
        </w:rPr>
        <w:t xml:space="preserve">as fostering regulatory and other </w:t>
      </w:r>
      <w:r w:rsidRPr="008F20FB">
        <w:rPr>
          <w:rFonts w:asciiTheme="majorBidi" w:hAnsiTheme="majorBidi" w:cstheme="majorBidi"/>
          <w:lang w:eastAsia="en-US"/>
        </w:rPr>
        <w:lastRenderedPageBreak/>
        <w:t>activities in these areas would ensure the benefits that ITS could provide in terms of safety, environmental protection, energy efficiency and traffic management.</w:t>
      </w:r>
      <w:r w:rsidRPr="008F20FB">
        <w:rPr>
          <w:rFonts w:asciiTheme="majorBidi" w:hAnsiTheme="majorBidi" w:cstheme="majorBidi"/>
          <w:vertAlign w:val="superscript"/>
          <w:lang w:eastAsia="en-US"/>
        </w:rPr>
        <w:footnoteReference w:id="4"/>
      </w:r>
    </w:p>
    <w:p w14:paraId="2BBF22C6" w14:textId="77777777" w:rsidR="00FE535F" w:rsidRPr="00D96376" w:rsidRDefault="00FE535F" w:rsidP="00FE535F">
      <w:pPr>
        <w:spacing w:after="120"/>
        <w:ind w:left="1134" w:right="1134"/>
        <w:jc w:val="both"/>
        <w:rPr>
          <w:b/>
          <w:color w:val="000000" w:themeColor="text1"/>
          <w:lang w:val="fr-FR" w:eastAsia="en-US"/>
        </w:rPr>
      </w:pPr>
      <w:r w:rsidRPr="00D96376">
        <w:rPr>
          <w:b/>
          <w:color w:val="000000" w:themeColor="text1"/>
          <w:lang w:val="fr-FR" w:eastAsia="en-US"/>
        </w:rPr>
        <w:t>Documentation</w:t>
      </w:r>
    </w:p>
    <w:p w14:paraId="0F619928" w14:textId="49D109D1" w:rsidR="0079061D" w:rsidRPr="00D96376" w:rsidRDefault="00FE535F" w:rsidP="00EA2C4C">
      <w:pPr>
        <w:spacing w:after="120"/>
        <w:ind w:left="1134" w:right="1134"/>
        <w:jc w:val="both"/>
        <w:rPr>
          <w:lang w:val="fr-FR"/>
        </w:rPr>
      </w:pPr>
      <w:r w:rsidRPr="00D96376">
        <w:rPr>
          <w:color w:val="000000" w:themeColor="text1"/>
          <w:lang w:val="fr-FR" w:eastAsia="en-US"/>
        </w:rPr>
        <w:t>ECE/TRANS/2022/</w:t>
      </w:r>
      <w:r w:rsidR="00DC123A" w:rsidRPr="00D96376">
        <w:rPr>
          <w:color w:val="000000" w:themeColor="text1"/>
          <w:lang w:val="fr-FR" w:eastAsia="en-US"/>
        </w:rPr>
        <w:t>15</w:t>
      </w:r>
    </w:p>
    <w:p w14:paraId="512CBD81" w14:textId="73726260" w:rsidR="00113804" w:rsidRPr="000F6A86" w:rsidRDefault="00EA2C4C" w:rsidP="002F69D0">
      <w:pPr>
        <w:pStyle w:val="H23G"/>
        <w:rPr>
          <w:lang w:val="fr-CH"/>
        </w:rPr>
      </w:pPr>
      <w:r w:rsidRPr="00D96376">
        <w:rPr>
          <w:lang w:val="fr-FR"/>
        </w:rPr>
        <w:tab/>
      </w:r>
      <w:r w:rsidR="00113804" w:rsidRPr="000F6A86">
        <w:rPr>
          <w:lang w:val="fr-CH"/>
        </w:rPr>
        <w:t>(e)</w:t>
      </w:r>
      <w:r w:rsidR="00113804" w:rsidRPr="000F6A86">
        <w:rPr>
          <w:lang w:val="fr-CH"/>
        </w:rPr>
        <w:tab/>
        <w:t>Environment, climate change and transport</w:t>
      </w:r>
    </w:p>
    <w:p w14:paraId="3C6EE7BD" w14:textId="0634F9B6" w:rsidR="00113804" w:rsidRPr="008F20FB" w:rsidRDefault="00EA2C4C" w:rsidP="004446CD">
      <w:pPr>
        <w:pStyle w:val="H4G"/>
      </w:pPr>
      <w:r w:rsidRPr="000F6A86">
        <w:rPr>
          <w:lang w:val="fr-CH"/>
        </w:rPr>
        <w:tab/>
      </w:r>
      <w:r w:rsidR="00113804" w:rsidRPr="008F20FB">
        <w:t>(i)</w:t>
      </w:r>
      <w:r w:rsidR="00113804" w:rsidRPr="008F20FB">
        <w:tab/>
        <w:t>Inland Transport Committee follow-up to the 2030 Agenda</w:t>
      </w:r>
    </w:p>
    <w:p w14:paraId="5BF2A131" w14:textId="21DB922D" w:rsidR="001701DF" w:rsidRPr="008F20FB" w:rsidRDefault="001701DF" w:rsidP="001701DF">
      <w:pPr>
        <w:pStyle w:val="SingleTxtG"/>
        <w:rPr>
          <w:lang w:eastAsia="en-US"/>
        </w:rPr>
      </w:pPr>
      <w:r w:rsidRPr="008F20FB">
        <w:rPr>
          <w:lang w:eastAsia="en-US"/>
        </w:rPr>
        <w:t xml:space="preserve">The Committee will be </w:t>
      </w:r>
      <w:r w:rsidRPr="008F20FB">
        <w:rPr>
          <w:b/>
          <w:lang w:eastAsia="en-US"/>
        </w:rPr>
        <w:t>informed</w:t>
      </w:r>
      <w:r w:rsidRPr="008F20FB">
        <w:rPr>
          <w:lang w:eastAsia="en-US"/>
        </w:rPr>
        <w:t xml:space="preserve"> about progress in implementing the Sustainable Development Goals, despite the impacts of the pandemic</w:t>
      </w:r>
      <w:r w:rsidR="00005C47" w:rsidRPr="008F20FB">
        <w:rPr>
          <w:lang w:eastAsia="en-US"/>
        </w:rPr>
        <w:t>,</w:t>
      </w:r>
      <w:r w:rsidRPr="008F20FB">
        <w:rPr>
          <w:lang w:eastAsia="en-US"/>
        </w:rPr>
        <w:t xml:space="preserve"> including the targets and indicators of the Sustainable Development Goals (</w:t>
      </w:r>
      <w:r w:rsidRPr="008F20FB">
        <w:t xml:space="preserve">Informal document No. </w:t>
      </w:r>
      <w:r w:rsidR="001B015C" w:rsidRPr="008F20FB">
        <w:t>2</w:t>
      </w:r>
      <w:r w:rsidRPr="008F20FB">
        <w:t>)</w:t>
      </w:r>
      <w:r w:rsidRPr="008F20FB">
        <w:rPr>
          <w:lang w:eastAsia="en-US"/>
        </w:rPr>
        <w:t xml:space="preserve">. The Committee is invited to </w:t>
      </w:r>
      <w:r w:rsidRPr="008F20FB">
        <w:rPr>
          <w:b/>
          <w:lang w:eastAsia="en-US"/>
        </w:rPr>
        <w:t>consider</w:t>
      </w:r>
      <w:r w:rsidRPr="008F20FB">
        <w:rPr>
          <w:lang w:eastAsia="en-US"/>
        </w:rPr>
        <w:t xml:space="preserve"> ways to strengthen its possible role and contribution within the Sustainable Development Goals framework in the period until 2030. </w:t>
      </w:r>
    </w:p>
    <w:p w14:paraId="061EB5C3" w14:textId="77777777" w:rsidR="001701DF" w:rsidRPr="008F20FB" w:rsidRDefault="001701DF" w:rsidP="001701DF">
      <w:pPr>
        <w:pStyle w:val="SingleTxtG"/>
        <w:rPr>
          <w:b/>
        </w:rPr>
      </w:pPr>
      <w:r w:rsidRPr="008F20FB">
        <w:rPr>
          <w:b/>
        </w:rPr>
        <w:t>Documentation</w:t>
      </w:r>
    </w:p>
    <w:p w14:paraId="0A322B06" w14:textId="6051F270" w:rsidR="00B362E8" w:rsidRPr="008F20FB" w:rsidRDefault="001701DF" w:rsidP="001B015C">
      <w:pPr>
        <w:spacing w:after="120"/>
        <w:ind w:left="1134" w:right="1134"/>
      </w:pPr>
      <w:r w:rsidRPr="008F20FB">
        <w:t xml:space="preserve">Informal document No. </w:t>
      </w:r>
      <w:r w:rsidR="0078321E" w:rsidRPr="008F20FB">
        <w:t>2</w:t>
      </w:r>
    </w:p>
    <w:p w14:paraId="05BD0A64" w14:textId="31D900EF" w:rsidR="00113804" w:rsidRPr="008F20FB" w:rsidRDefault="001B015C" w:rsidP="00BD4F07">
      <w:pPr>
        <w:pStyle w:val="H4G"/>
      </w:pPr>
      <w:r w:rsidRPr="008F20FB">
        <w:tab/>
      </w:r>
      <w:r w:rsidR="00113804" w:rsidRPr="008F20FB">
        <w:t>(ii)</w:t>
      </w:r>
      <w:r w:rsidR="00113804" w:rsidRPr="008F20FB">
        <w:tab/>
        <w:t xml:space="preserve">Inland Transport Committee acting on </w:t>
      </w:r>
      <w:r w:rsidR="00227A90">
        <w:t>c</w:t>
      </w:r>
      <w:r w:rsidR="00227A90" w:rsidRPr="008F20FB">
        <w:t xml:space="preserve">limate </w:t>
      </w:r>
      <w:r w:rsidR="00227A90">
        <w:t>c</w:t>
      </w:r>
      <w:r w:rsidR="00227A90" w:rsidRPr="008F20FB">
        <w:t xml:space="preserve">hange </w:t>
      </w:r>
      <w:r w:rsidR="00113804" w:rsidRPr="008F20FB">
        <w:t xml:space="preserve">and the Paris </w:t>
      </w:r>
      <w:r w:rsidR="00227A90">
        <w:t>A</w:t>
      </w:r>
      <w:r w:rsidR="00227A90" w:rsidRPr="008F20FB">
        <w:t>greement</w:t>
      </w:r>
      <w:r w:rsidR="00113804" w:rsidRPr="008F20FB">
        <w:t>: Decarbonisation and adaptation requirements</w:t>
      </w:r>
    </w:p>
    <w:p w14:paraId="070DCCEE" w14:textId="0C8DF7A6" w:rsidR="00CF0C98" w:rsidRPr="008F20FB" w:rsidRDefault="00FC7DFF" w:rsidP="00D26A7F">
      <w:pPr>
        <w:pStyle w:val="SingleTxtG"/>
        <w:rPr>
          <w:color w:val="000000" w:themeColor="text1"/>
          <w:lang w:eastAsia="en-US"/>
        </w:rPr>
      </w:pPr>
      <w:r w:rsidRPr="008F20FB">
        <w:rPr>
          <w:color w:val="000000" w:themeColor="text1"/>
          <w:lang w:eastAsia="en-US"/>
        </w:rPr>
        <w:t>The worsening situation globally due to the increasing frequency and severity of impacts</w:t>
      </w:r>
      <w:r w:rsidR="002C3151" w:rsidRPr="008F20FB">
        <w:rPr>
          <w:color w:val="000000" w:themeColor="text1"/>
          <w:lang w:eastAsia="en-US"/>
        </w:rPr>
        <w:t xml:space="preserve"> </w:t>
      </w:r>
      <w:r w:rsidRPr="008F20FB">
        <w:rPr>
          <w:color w:val="000000" w:themeColor="text1"/>
          <w:lang w:eastAsia="en-US"/>
        </w:rPr>
        <w:t>from climate change, combined with the call for enhanced efforts to achieve SDGs, including</w:t>
      </w:r>
      <w:r w:rsidR="002C3151" w:rsidRPr="008F20FB">
        <w:rPr>
          <w:color w:val="000000" w:themeColor="text1"/>
          <w:lang w:eastAsia="en-US"/>
        </w:rPr>
        <w:t xml:space="preserve"> </w:t>
      </w:r>
      <w:r w:rsidRPr="008F20FB">
        <w:rPr>
          <w:color w:val="000000" w:themeColor="text1"/>
          <w:lang w:eastAsia="en-US"/>
        </w:rPr>
        <w:t>via mitigation policies and measures to limit global warming to well below 2</w:t>
      </w:r>
      <w:r w:rsidR="00442007" w:rsidRPr="00442007">
        <w:rPr>
          <w:color w:val="000000" w:themeColor="text1"/>
          <w:lang w:eastAsia="en-US"/>
        </w:rPr>
        <w:t>°C</w:t>
      </w:r>
      <w:r w:rsidR="002B18ED" w:rsidRPr="008F20FB">
        <w:rPr>
          <w:color w:val="000000" w:themeColor="text1"/>
          <w:lang w:eastAsia="en-US"/>
        </w:rPr>
        <w:t>,</w:t>
      </w:r>
      <w:r w:rsidR="002C3151" w:rsidRPr="008F20FB">
        <w:rPr>
          <w:color w:val="000000" w:themeColor="text1"/>
          <w:lang w:eastAsia="en-US"/>
        </w:rPr>
        <w:t xml:space="preserve"> </w:t>
      </w:r>
      <w:r w:rsidRPr="008F20FB">
        <w:rPr>
          <w:color w:val="000000" w:themeColor="text1"/>
          <w:lang w:eastAsia="en-US"/>
        </w:rPr>
        <w:t>as set in the</w:t>
      </w:r>
      <w:r w:rsidR="002C3151" w:rsidRPr="008F20FB">
        <w:rPr>
          <w:color w:val="000000" w:themeColor="text1"/>
          <w:lang w:eastAsia="en-US"/>
        </w:rPr>
        <w:t xml:space="preserve"> </w:t>
      </w:r>
      <w:r w:rsidRPr="008F20FB">
        <w:rPr>
          <w:color w:val="000000" w:themeColor="text1"/>
          <w:lang w:eastAsia="en-US"/>
        </w:rPr>
        <w:t>Paris Agreement, creates increased demands and opportunities for inland transport, the main</w:t>
      </w:r>
      <w:r w:rsidR="002C3151" w:rsidRPr="008F20FB">
        <w:rPr>
          <w:color w:val="000000" w:themeColor="text1"/>
          <w:lang w:eastAsia="en-US"/>
        </w:rPr>
        <w:t xml:space="preserve"> </w:t>
      </w:r>
      <w:r w:rsidRPr="008F20FB">
        <w:rPr>
          <w:color w:val="000000" w:themeColor="text1"/>
          <w:lang w:eastAsia="en-US"/>
        </w:rPr>
        <w:t>contributor to CO</w:t>
      </w:r>
      <w:r w:rsidRPr="008F20FB">
        <w:rPr>
          <w:color w:val="000000" w:themeColor="text1"/>
          <w:vertAlign w:val="subscript"/>
          <w:lang w:eastAsia="en-US"/>
        </w:rPr>
        <w:t>2</w:t>
      </w:r>
      <w:r w:rsidRPr="008F20FB">
        <w:rPr>
          <w:color w:val="000000" w:themeColor="text1"/>
          <w:lang w:eastAsia="en-US"/>
        </w:rPr>
        <w:t xml:space="preserve"> emissions, to become part of the solutions</w:t>
      </w:r>
      <w:r w:rsidR="002B18ED" w:rsidRPr="008F20FB">
        <w:rPr>
          <w:color w:val="000000" w:themeColor="text1"/>
          <w:lang w:eastAsia="en-US"/>
        </w:rPr>
        <w:t>’</w:t>
      </w:r>
      <w:r w:rsidRPr="008F20FB">
        <w:rPr>
          <w:color w:val="000000" w:themeColor="text1"/>
          <w:lang w:eastAsia="en-US"/>
        </w:rPr>
        <w:t xml:space="preserve"> mix. The </w:t>
      </w:r>
      <w:r w:rsidR="002B18ED" w:rsidRPr="008F20FB">
        <w:rPr>
          <w:color w:val="000000" w:themeColor="text1"/>
          <w:lang w:eastAsia="en-US"/>
        </w:rPr>
        <w:t xml:space="preserve">Committee </w:t>
      </w:r>
      <w:r w:rsidRPr="008F20FB">
        <w:rPr>
          <w:color w:val="000000" w:themeColor="text1"/>
          <w:lang w:eastAsia="en-US"/>
        </w:rPr>
        <w:t>may wish to</w:t>
      </w:r>
      <w:r w:rsidR="002C3151" w:rsidRPr="008F20FB">
        <w:rPr>
          <w:color w:val="000000" w:themeColor="text1"/>
          <w:lang w:eastAsia="en-US"/>
        </w:rPr>
        <w:t xml:space="preserve"> </w:t>
      </w:r>
      <w:r w:rsidRPr="008F20FB">
        <w:rPr>
          <w:color w:val="000000" w:themeColor="text1"/>
          <w:lang w:eastAsia="en-US"/>
        </w:rPr>
        <w:t xml:space="preserve">consider </w:t>
      </w:r>
      <w:r w:rsidR="00CF0C98" w:rsidRPr="008F20FB">
        <w:rPr>
          <w:color w:val="000000" w:themeColor="text1"/>
          <w:lang w:eastAsia="en-US"/>
        </w:rPr>
        <w:t xml:space="preserve">ECE/TRANS/2022/16 </w:t>
      </w:r>
      <w:r w:rsidRPr="008F20FB">
        <w:rPr>
          <w:color w:val="000000" w:themeColor="text1"/>
          <w:lang w:eastAsia="en-US"/>
        </w:rPr>
        <w:t>which offers a brief analysis of the issue and possible</w:t>
      </w:r>
      <w:r w:rsidR="002C3151" w:rsidRPr="008F20FB">
        <w:rPr>
          <w:color w:val="000000" w:themeColor="text1"/>
          <w:lang w:eastAsia="en-US"/>
        </w:rPr>
        <w:t xml:space="preserve"> </w:t>
      </w:r>
      <w:r w:rsidRPr="008F20FB">
        <w:rPr>
          <w:color w:val="000000" w:themeColor="text1"/>
          <w:lang w:eastAsia="en-US"/>
        </w:rPr>
        <w:t xml:space="preserve">ways to strengthen </w:t>
      </w:r>
      <w:r w:rsidRPr="008F20FB">
        <w:t>the</w:t>
      </w:r>
      <w:r w:rsidRPr="008F20FB">
        <w:rPr>
          <w:color w:val="000000" w:themeColor="text1"/>
          <w:lang w:eastAsia="en-US"/>
        </w:rPr>
        <w:t xml:space="preserve"> role and contribution of the Committee on this critical matter that is</w:t>
      </w:r>
      <w:r w:rsidR="002C3151" w:rsidRPr="008F20FB">
        <w:rPr>
          <w:color w:val="000000" w:themeColor="text1"/>
          <w:lang w:eastAsia="en-US"/>
        </w:rPr>
        <w:t xml:space="preserve"> </w:t>
      </w:r>
      <w:r w:rsidRPr="008F20FB">
        <w:rPr>
          <w:color w:val="000000" w:themeColor="text1"/>
          <w:lang w:eastAsia="en-US"/>
        </w:rPr>
        <w:t>addressed horizontally by several of the Committee’s subsidiaries, as well as the Committee</w:t>
      </w:r>
      <w:r w:rsidR="002C3151" w:rsidRPr="008F20FB">
        <w:rPr>
          <w:color w:val="000000" w:themeColor="text1"/>
          <w:lang w:eastAsia="en-US"/>
        </w:rPr>
        <w:t xml:space="preserve"> </w:t>
      </w:r>
      <w:r w:rsidRPr="008F20FB">
        <w:rPr>
          <w:color w:val="000000" w:themeColor="text1"/>
          <w:lang w:eastAsia="en-US"/>
        </w:rPr>
        <w:t xml:space="preserve">itself. The </w:t>
      </w:r>
      <w:r w:rsidR="00042032" w:rsidRPr="008F20FB">
        <w:rPr>
          <w:color w:val="000000" w:themeColor="text1"/>
          <w:lang w:eastAsia="en-US"/>
        </w:rPr>
        <w:t xml:space="preserve">Committee </w:t>
      </w:r>
      <w:r w:rsidRPr="008F20FB">
        <w:rPr>
          <w:color w:val="000000" w:themeColor="text1"/>
          <w:lang w:eastAsia="en-US"/>
        </w:rPr>
        <w:t>may then wish to discuss and suggest the way forward.</w:t>
      </w:r>
    </w:p>
    <w:p w14:paraId="6FE6F80F" w14:textId="09E881A6" w:rsidR="00B362E8" w:rsidRPr="008F20FB" w:rsidRDefault="006C4666" w:rsidP="00D26A7F">
      <w:pPr>
        <w:pStyle w:val="SingleTxtG"/>
      </w:pPr>
      <w:r w:rsidRPr="008F20FB">
        <w:rPr>
          <w:color w:val="000000" w:themeColor="text1"/>
          <w:lang w:eastAsia="en-US"/>
        </w:rPr>
        <w:t xml:space="preserve">The Committee will be </w:t>
      </w:r>
      <w:r w:rsidRPr="008F20FB">
        <w:rPr>
          <w:b/>
          <w:bCs/>
          <w:color w:val="000000" w:themeColor="text1"/>
          <w:lang w:eastAsia="en-US"/>
        </w:rPr>
        <w:t>informed</w:t>
      </w:r>
      <w:r w:rsidRPr="008F20FB">
        <w:rPr>
          <w:color w:val="000000" w:themeColor="text1"/>
          <w:lang w:eastAsia="en-US"/>
        </w:rPr>
        <w:t xml:space="preserve"> about </w:t>
      </w:r>
      <w:r w:rsidR="00D707DC" w:rsidRPr="008F20FB">
        <w:rPr>
          <w:color w:val="000000" w:themeColor="text1"/>
          <w:lang w:eastAsia="en-US"/>
        </w:rPr>
        <w:t xml:space="preserve">the work on climate change, in particular </w:t>
      </w:r>
      <w:r w:rsidRPr="008F20FB">
        <w:rPr>
          <w:color w:val="000000" w:themeColor="text1"/>
          <w:lang w:eastAsia="en-US"/>
        </w:rPr>
        <w:t>the For Future Inland Transport Systems (ForFITS) Tool</w:t>
      </w:r>
      <w:r w:rsidRPr="008F20FB">
        <w:rPr>
          <w:color w:val="000000" w:themeColor="text1"/>
          <w:sz w:val="18"/>
          <w:vertAlign w:val="superscript"/>
          <w:lang w:eastAsia="en-US"/>
        </w:rPr>
        <w:footnoteReference w:id="5"/>
      </w:r>
      <w:r w:rsidRPr="008F20FB">
        <w:rPr>
          <w:color w:val="000000" w:themeColor="text1"/>
          <w:lang w:eastAsia="en-US"/>
        </w:rPr>
        <w:t xml:space="preserve"> in the activities to support governments to mitigate the negative impacts of transport on the environment </w:t>
      </w:r>
      <w:r w:rsidR="00E312D6" w:rsidRPr="008F20FB">
        <w:rPr>
          <w:color w:val="000000" w:themeColor="text1"/>
          <w:lang w:eastAsia="en-US"/>
        </w:rPr>
        <w:t xml:space="preserve">and about </w:t>
      </w:r>
      <w:r w:rsidR="00070847" w:rsidRPr="008F20FB">
        <w:t>the implementation status of ForFITS over the last years</w:t>
      </w:r>
      <w:r w:rsidR="00070847" w:rsidRPr="008F20FB">
        <w:rPr>
          <w:color w:val="000000" w:themeColor="text1"/>
          <w:lang w:eastAsia="en-US"/>
        </w:rPr>
        <w:t xml:space="preserve"> </w:t>
      </w:r>
      <w:r w:rsidRPr="008F20FB">
        <w:rPr>
          <w:color w:val="000000" w:themeColor="text1"/>
          <w:lang w:eastAsia="en-US"/>
        </w:rPr>
        <w:t>(</w:t>
      </w:r>
      <w:r w:rsidR="007013B2" w:rsidRPr="008F20FB">
        <w:rPr>
          <w:color w:val="000000" w:themeColor="text1"/>
          <w:lang w:eastAsia="en-US"/>
        </w:rPr>
        <w:t>ECE/TRANS/2022/</w:t>
      </w:r>
      <w:r w:rsidR="005600DA" w:rsidRPr="008F20FB">
        <w:rPr>
          <w:color w:val="000000" w:themeColor="text1"/>
          <w:lang w:eastAsia="en-US"/>
        </w:rPr>
        <w:t>17</w:t>
      </w:r>
      <w:r w:rsidRPr="008F20FB">
        <w:rPr>
          <w:color w:val="000000" w:themeColor="text1"/>
          <w:lang w:eastAsia="en-US"/>
        </w:rPr>
        <w:t>). ForFITS is a monitoring and assessment tool for CO</w:t>
      </w:r>
      <w:r w:rsidRPr="008F20FB">
        <w:rPr>
          <w:color w:val="000000" w:themeColor="text1"/>
          <w:sz w:val="22"/>
          <w:szCs w:val="22"/>
          <w:vertAlign w:val="subscript"/>
          <w:lang w:eastAsia="en-US"/>
        </w:rPr>
        <w:t>2</w:t>
      </w:r>
      <w:r w:rsidRPr="008F20FB">
        <w:rPr>
          <w:color w:val="000000" w:themeColor="text1"/>
          <w:sz w:val="22"/>
          <w:szCs w:val="22"/>
          <w:lang w:eastAsia="en-US"/>
        </w:rPr>
        <w:t xml:space="preserve"> </w:t>
      </w:r>
      <w:r w:rsidRPr="008F20FB">
        <w:rPr>
          <w:color w:val="000000" w:themeColor="text1"/>
          <w:lang w:eastAsia="en-US"/>
        </w:rPr>
        <w:t xml:space="preserve">emissions in inland transport, including a transport policy converter to facilitate climate change mitigation. The Committee is invited to </w:t>
      </w:r>
      <w:r w:rsidR="00BB1E20" w:rsidRPr="008F20FB">
        <w:rPr>
          <w:b/>
          <w:bCs/>
        </w:rPr>
        <w:t>support</w:t>
      </w:r>
      <w:r w:rsidR="00BB1E20" w:rsidRPr="008F20FB">
        <w:t xml:space="preserve"> the </w:t>
      </w:r>
      <w:r w:rsidR="00C51CE0" w:rsidRPr="008F20FB">
        <w:t xml:space="preserve">proposed </w:t>
      </w:r>
      <w:r w:rsidR="00BB1E20" w:rsidRPr="008F20FB">
        <w:t xml:space="preserve">approach </w:t>
      </w:r>
      <w:r w:rsidR="00C51CE0" w:rsidRPr="008F20FB">
        <w:t xml:space="preserve">in order </w:t>
      </w:r>
      <w:r w:rsidR="00BB1E20" w:rsidRPr="008F20FB">
        <w:t>to further develop ForFITS, sustain its use internally, develop partnerships with other modelling groups, and engage in future technology modelling, pending additional resource</w:t>
      </w:r>
      <w:r w:rsidR="00C51CE0" w:rsidRPr="008F20FB">
        <w:t>s</w:t>
      </w:r>
      <w:r w:rsidR="00386BDF" w:rsidRPr="008F20FB">
        <w:t>.</w:t>
      </w:r>
      <w:r w:rsidR="00D707DC" w:rsidRPr="008F20FB">
        <w:t xml:space="preserve"> The Committee </w:t>
      </w:r>
      <w:r w:rsidR="00D707DC" w:rsidRPr="008F20FB">
        <w:rPr>
          <w:b/>
          <w:bCs/>
        </w:rPr>
        <w:t>may also wish to consider</w:t>
      </w:r>
      <w:r w:rsidR="00D707DC" w:rsidRPr="008F20FB">
        <w:t xml:space="preserve"> other activities to enhance the work in this crucially important area.</w:t>
      </w:r>
    </w:p>
    <w:p w14:paraId="7AFEB11F" w14:textId="3BEBEB93" w:rsidR="00386BDF" w:rsidRPr="008F20FB" w:rsidRDefault="00386BDF" w:rsidP="00386BDF">
      <w:pPr>
        <w:spacing w:after="120"/>
        <w:ind w:left="1134" w:right="1134"/>
        <w:jc w:val="both"/>
      </w:pPr>
      <w:r w:rsidRPr="008F20FB">
        <w:t xml:space="preserve">The Committee </w:t>
      </w:r>
      <w:r w:rsidRPr="008F20FB">
        <w:rPr>
          <w:b/>
          <w:bCs/>
        </w:rPr>
        <w:t>will also be informed</w:t>
      </w:r>
      <w:r w:rsidRPr="008F20FB">
        <w:t xml:space="preserve"> about progress </w:t>
      </w:r>
      <w:r w:rsidR="000B039E" w:rsidRPr="008F20FB">
        <w:t xml:space="preserve">in the </w:t>
      </w:r>
      <w:r w:rsidRPr="008F20FB">
        <w:t xml:space="preserve">work </w:t>
      </w:r>
      <w:r w:rsidR="000B039E" w:rsidRPr="008F20FB">
        <w:t xml:space="preserve">of </w:t>
      </w:r>
      <w:r w:rsidRPr="008F20FB">
        <w:t>the Group of Experts on assessment of climate change impacts and adaptation for inland transport.</w:t>
      </w:r>
    </w:p>
    <w:p w14:paraId="485CAD5C" w14:textId="77777777" w:rsidR="007013B2" w:rsidRPr="00E80D3A" w:rsidRDefault="007013B2" w:rsidP="007013B2">
      <w:pPr>
        <w:pStyle w:val="SingleTxtG"/>
        <w:rPr>
          <w:b/>
          <w:lang w:val="fr-FR"/>
        </w:rPr>
      </w:pPr>
      <w:r w:rsidRPr="00E80D3A">
        <w:rPr>
          <w:b/>
          <w:lang w:val="fr-FR"/>
        </w:rPr>
        <w:t>Documentation</w:t>
      </w:r>
    </w:p>
    <w:p w14:paraId="54D9F36E" w14:textId="16422C45" w:rsidR="007013B2" w:rsidRPr="00E80D3A" w:rsidRDefault="007013B2">
      <w:pPr>
        <w:spacing w:after="120"/>
        <w:ind w:left="567" w:right="1134" w:firstLine="567"/>
        <w:jc w:val="both"/>
        <w:rPr>
          <w:lang w:val="fr-FR"/>
        </w:rPr>
      </w:pPr>
      <w:r w:rsidRPr="00E80D3A">
        <w:rPr>
          <w:lang w:val="fr-FR"/>
        </w:rPr>
        <w:t>ECE/TRANS/2022/16</w:t>
      </w:r>
      <w:r w:rsidR="00CF0C98" w:rsidRPr="00E80D3A">
        <w:rPr>
          <w:lang w:val="fr-FR"/>
        </w:rPr>
        <w:t>, ECE/TRANS/2022/17</w:t>
      </w:r>
    </w:p>
    <w:p w14:paraId="404451CE" w14:textId="68EA3246" w:rsidR="00113804" w:rsidRPr="008F20FB" w:rsidRDefault="00D63F8E" w:rsidP="00BD4F07">
      <w:pPr>
        <w:pStyle w:val="H4G"/>
      </w:pPr>
      <w:r w:rsidRPr="00E80D3A">
        <w:rPr>
          <w:lang w:val="fr-FR"/>
        </w:rPr>
        <w:tab/>
      </w:r>
      <w:r w:rsidR="00113804" w:rsidRPr="008F20FB">
        <w:t>(iii)</w:t>
      </w:r>
      <w:r w:rsidR="00113804" w:rsidRPr="008F20FB">
        <w:tab/>
        <w:t>Mitigation of environmentally harmful effects of inland transport</w:t>
      </w:r>
    </w:p>
    <w:p w14:paraId="4E5AD90B" w14:textId="3D626110" w:rsidR="00B362E8" w:rsidRPr="008F20FB" w:rsidRDefault="00726F7C" w:rsidP="00962D5A">
      <w:pPr>
        <w:spacing w:after="120"/>
        <w:ind w:left="1134" w:right="1134"/>
        <w:jc w:val="both"/>
      </w:pPr>
      <w:r w:rsidRPr="008F20FB">
        <w:t xml:space="preserve">The Committee will be </w:t>
      </w:r>
      <w:r w:rsidRPr="008F20FB">
        <w:rPr>
          <w:b/>
          <w:bCs/>
        </w:rPr>
        <w:t>informed</w:t>
      </w:r>
      <w:r w:rsidRPr="008F20FB">
        <w:t xml:space="preserve"> about progress in relation to work on green transport across the </w:t>
      </w:r>
      <w:r w:rsidR="00962D5A">
        <w:t>Sustainable Transport D</w:t>
      </w:r>
      <w:r w:rsidRPr="008F20FB">
        <w:t xml:space="preserve">ivision, particularly in relation to implementing the ITC Strategy. </w:t>
      </w:r>
    </w:p>
    <w:p w14:paraId="18031D83" w14:textId="2A846747" w:rsidR="00113804" w:rsidRPr="008F20FB" w:rsidRDefault="00726F7C" w:rsidP="00BD4F07">
      <w:pPr>
        <w:pStyle w:val="H4G"/>
      </w:pPr>
      <w:r w:rsidRPr="008F20FB">
        <w:lastRenderedPageBreak/>
        <w:tab/>
      </w:r>
      <w:r w:rsidR="00113804" w:rsidRPr="008F20FB">
        <w:t>(iv)</w:t>
      </w:r>
      <w:r w:rsidR="00113804" w:rsidRPr="008F20FB">
        <w:tab/>
        <w:t>Transport, Health and Environment Pan-European Programme</w:t>
      </w:r>
    </w:p>
    <w:p w14:paraId="0C6099DD" w14:textId="77777777" w:rsidR="008E3F64" w:rsidRPr="008F20FB" w:rsidRDefault="008E3F64" w:rsidP="008E3F64">
      <w:pPr>
        <w:pStyle w:val="SingleTxtG"/>
      </w:pPr>
      <w:r w:rsidRPr="008F20FB">
        <w:t xml:space="preserve">The Committee may wish </w:t>
      </w:r>
      <w:r w:rsidRPr="008F20FB">
        <w:rPr>
          <w:b/>
          <w:bCs/>
        </w:rPr>
        <w:t>to take note</w:t>
      </w:r>
      <w:r w:rsidRPr="008F20FB">
        <w:t xml:space="preserve"> of the report of THE PEP Steering Committee on its nineteenth session (27-28 October 2021, Online) (ECE/AC.21/SC/2020/2). </w:t>
      </w:r>
    </w:p>
    <w:p w14:paraId="70FB6BC7" w14:textId="77777777" w:rsidR="008E3F64" w:rsidRPr="008F20FB" w:rsidRDefault="008E3F64" w:rsidP="008E3F64">
      <w:pPr>
        <w:pStyle w:val="SingleTxtG"/>
      </w:pPr>
      <w:r w:rsidRPr="008F20FB">
        <w:t xml:space="preserve">The Committee may wish to be </w:t>
      </w:r>
      <w:r w:rsidRPr="008F20FB">
        <w:rPr>
          <w:b/>
          <w:bCs/>
        </w:rPr>
        <w:t>informed</w:t>
      </w:r>
      <w:r w:rsidRPr="008F20FB">
        <w:t xml:space="preserve"> about the fifth High-level Meeting on Transport, Health and Environment held virtually on 17</w:t>
      </w:r>
      <w:r w:rsidRPr="00E80D3A">
        <w:t>–</w:t>
      </w:r>
      <w:r w:rsidRPr="008F20FB">
        <w:t xml:space="preserve">18 May 2021 and hosted by Austria. The Committee may wish to be </w:t>
      </w:r>
      <w:r w:rsidRPr="008F20FB">
        <w:rPr>
          <w:b/>
          <w:bCs/>
        </w:rPr>
        <w:t>informed</w:t>
      </w:r>
      <w:r w:rsidRPr="008F20FB">
        <w:t xml:space="preserve"> about the Vienna Declaration adopted at the High-level Meeting including its annexes. </w:t>
      </w:r>
    </w:p>
    <w:p w14:paraId="7862AFD8" w14:textId="77777777" w:rsidR="008E3F64" w:rsidRPr="008F20FB" w:rsidRDefault="008E3F64" w:rsidP="008E3F64">
      <w:pPr>
        <w:pStyle w:val="SingleTxtG"/>
        <w:rPr>
          <w:i/>
          <w:iCs/>
        </w:rPr>
      </w:pPr>
      <w:r w:rsidRPr="008F20FB">
        <w:t xml:space="preserve">The Committee is </w:t>
      </w:r>
      <w:r w:rsidRPr="008F20FB">
        <w:rPr>
          <w:b/>
          <w:bCs/>
        </w:rPr>
        <w:t>invited to consider taking actions</w:t>
      </w:r>
      <w:r w:rsidRPr="008F20FB">
        <w:t xml:space="preserve"> towards strengthening the presence of the transport sector in THE PEP, in particular, by designating national focal points as well as supporting the successful outcome of the Fifth High-level Meeting. </w:t>
      </w:r>
    </w:p>
    <w:p w14:paraId="4A8FDD9E" w14:textId="3170174B" w:rsidR="00113804" w:rsidRPr="008F20FB" w:rsidRDefault="00E102D4" w:rsidP="002F69D0">
      <w:pPr>
        <w:pStyle w:val="H23G"/>
      </w:pPr>
      <w:r w:rsidRPr="008F20FB">
        <w:tab/>
      </w:r>
      <w:r w:rsidR="00113804" w:rsidRPr="008F20FB">
        <w:t>(f)</w:t>
      </w:r>
      <w:r w:rsidR="00113804" w:rsidRPr="008F20FB">
        <w:tab/>
        <w:t>Inland transport security</w:t>
      </w:r>
    </w:p>
    <w:p w14:paraId="78224EA3" w14:textId="041399A7" w:rsidR="00BF7B41" w:rsidRPr="008F20FB" w:rsidRDefault="00BF7B41" w:rsidP="00BF7B41">
      <w:pPr>
        <w:pStyle w:val="SingleTxtG"/>
      </w:pPr>
      <w:r w:rsidRPr="008F20FB">
        <w:t xml:space="preserve">The Committee </w:t>
      </w:r>
      <w:r w:rsidRPr="008F20FB">
        <w:rPr>
          <w:b/>
          <w:bCs/>
        </w:rPr>
        <w:t>will be briefed</w:t>
      </w:r>
      <w:r w:rsidRPr="008F20FB">
        <w:t xml:space="preserve"> on the results of a </w:t>
      </w:r>
      <w:r w:rsidR="00334F40" w:rsidRPr="008F20FB">
        <w:t>w</w:t>
      </w:r>
      <w:r w:rsidRPr="008F20FB">
        <w:t>orkshop on Security Aspects of Dangerous Goods Transportation held in the framework of WP.5 on 16 September 2021.</w:t>
      </w:r>
    </w:p>
    <w:p w14:paraId="0C35C4A1" w14:textId="0BB51CEC" w:rsidR="00113804" w:rsidRPr="008F20FB" w:rsidRDefault="00E102D4" w:rsidP="002F69D0">
      <w:pPr>
        <w:pStyle w:val="H23G"/>
      </w:pPr>
      <w:r w:rsidRPr="008F20FB">
        <w:tab/>
      </w:r>
      <w:r w:rsidR="00113804" w:rsidRPr="008F20FB">
        <w:t>(g)</w:t>
      </w:r>
      <w:r w:rsidR="00113804" w:rsidRPr="008F20FB">
        <w:tab/>
        <w:t>Analytical work on transport</w:t>
      </w:r>
    </w:p>
    <w:p w14:paraId="3F9361FE" w14:textId="37C26E3C" w:rsidR="00E543F0" w:rsidRPr="008F20FB" w:rsidRDefault="00E543F0" w:rsidP="00E543F0">
      <w:pPr>
        <w:pStyle w:val="SingleTxtG"/>
      </w:pPr>
      <w:bookmarkStart w:id="6" w:name="_Hlk83202293"/>
      <w:r w:rsidRPr="008F20FB">
        <w:t xml:space="preserve">The Committee will be </w:t>
      </w:r>
      <w:r w:rsidRPr="008F20FB">
        <w:rPr>
          <w:b/>
          <w:bCs/>
        </w:rPr>
        <w:t xml:space="preserve">informed </w:t>
      </w:r>
      <w:r w:rsidRPr="008F20FB">
        <w:t>about the analytical work of 2021 carried out in the framework of the Working Party on Transport Trends and Economics (WP.5) (</w:t>
      </w:r>
      <w:bookmarkStart w:id="7" w:name="_Hlk86049760"/>
      <w:r w:rsidR="005303CE" w:rsidRPr="008F20FB">
        <w:t>ECE/TRANS/2022/</w:t>
      </w:r>
      <w:bookmarkEnd w:id="7"/>
      <w:r w:rsidR="005600DA" w:rsidRPr="008F20FB">
        <w:t>18</w:t>
      </w:r>
      <w:r w:rsidRPr="008F20FB">
        <w:t xml:space="preserve">). WP.5 serves as a think tank for ITC, it leads policy discussions on subjects of a horizontal nature that are relevant for ECE member States, the Committee, and its subsidiary bodies, and for the legal and regulatory framework of inland transport. </w:t>
      </w:r>
    </w:p>
    <w:p w14:paraId="142332BB" w14:textId="77777777" w:rsidR="00E543F0" w:rsidRPr="008F20FB" w:rsidRDefault="00E543F0" w:rsidP="00E543F0">
      <w:pPr>
        <w:pStyle w:val="SingleTxtG"/>
      </w:pPr>
      <w:r w:rsidRPr="008F20FB">
        <w:t xml:space="preserve">Among other analytical outputs, the Committee </w:t>
      </w:r>
      <w:r w:rsidRPr="008F20FB">
        <w:rPr>
          <w:b/>
          <w:bCs/>
        </w:rPr>
        <w:t>will be presented</w:t>
      </w:r>
      <w:r w:rsidRPr="008F20FB">
        <w:t xml:space="preserve"> with progress updates on: </w:t>
      </w:r>
    </w:p>
    <w:p w14:paraId="255DE12A" w14:textId="1E5B178A" w:rsidR="00E543F0" w:rsidRPr="008F20FB" w:rsidRDefault="00B90DEE" w:rsidP="00B90DEE">
      <w:pPr>
        <w:pStyle w:val="Bullet1G"/>
        <w:numPr>
          <w:ilvl w:val="0"/>
          <w:numId w:val="0"/>
        </w:numPr>
        <w:tabs>
          <w:tab w:val="left" w:pos="1701"/>
        </w:tabs>
        <w:ind w:left="1701" w:hanging="170"/>
      </w:pPr>
      <w:r w:rsidRPr="008F20FB">
        <w:t>•</w:t>
      </w:r>
      <w:r w:rsidRPr="008F20FB">
        <w:tab/>
      </w:r>
      <w:r w:rsidR="00E543F0" w:rsidRPr="008F20FB">
        <w:t xml:space="preserve">Efforts supported by the secretariat to </w:t>
      </w:r>
      <w:r w:rsidR="00267F48" w:rsidRPr="008F20FB">
        <w:t xml:space="preserve">advance the work on the </w:t>
      </w:r>
      <w:r w:rsidR="00E543F0" w:rsidRPr="008F20FB">
        <w:t>operationalization of international corridors between Europe and Asia and enhancing interregional connectivity.</w:t>
      </w:r>
    </w:p>
    <w:p w14:paraId="1D93C8B3" w14:textId="2409930D" w:rsidR="00E543F0" w:rsidRPr="008F20FB" w:rsidRDefault="00B90DEE" w:rsidP="00B90DEE">
      <w:pPr>
        <w:pStyle w:val="Bullet1G"/>
        <w:numPr>
          <w:ilvl w:val="0"/>
          <w:numId w:val="0"/>
        </w:numPr>
        <w:tabs>
          <w:tab w:val="left" w:pos="1701"/>
        </w:tabs>
        <w:ind w:left="1701" w:hanging="170"/>
      </w:pPr>
      <w:r w:rsidRPr="008F20FB">
        <w:t>•</w:t>
      </w:r>
      <w:r w:rsidRPr="008F20FB">
        <w:tab/>
      </w:r>
      <w:r w:rsidR="00E543F0" w:rsidRPr="008F20FB">
        <w:t>The newly established Geographic Information System (GIS) based International Transport Infrastructure Observatory, its purpose, functions, user groups and operational modalities (</w:t>
      </w:r>
      <w:r w:rsidR="00BE69FA" w:rsidRPr="008F20FB">
        <w:t>ECE/TRANS/2022/</w:t>
      </w:r>
      <w:r w:rsidR="005600DA" w:rsidRPr="008F20FB">
        <w:t>19</w:t>
      </w:r>
      <w:r w:rsidR="00E543F0" w:rsidRPr="008F20FB">
        <w:t>).</w:t>
      </w:r>
    </w:p>
    <w:p w14:paraId="49873698" w14:textId="29CC774D" w:rsidR="00E543F0" w:rsidRPr="008F20FB" w:rsidRDefault="00B90DEE" w:rsidP="00B90DEE">
      <w:pPr>
        <w:pStyle w:val="Bullet1G"/>
        <w:numPr>
          <w:ilvl w:val="0"/>
          <w:numId w:val="0"/>
        </w:numPr>
        <w:tabs>
          <w:tab w:val="left" w:pos="1701"/>
        </w:tabs>
        <w:ind w:left="1701" w:hanging="170"/>
      </w:pPr>
      <w:r w:rsidRPr="008F20FB">
        <w:t>•</w:t>
      </w:r>
      <w:r w:rsidRPr="008F20FB">
        <w:tab/>
      </w:r>
      <w:r w:rsidR="00E543F0" w:rsidRPr="008F20FB">
        <w:t>A set of Sustainable Inland Transport Connectivity I</w:t>
      </w:r>
      <w:r w:rsidR="00334F40" w:rsidRPr="008F20FB">
        <w:t>N</w:t>
      </w:r>
      <w:r w:rsidR="00E543F0" w:rsidRPr="008F20FB">
        <w:t>dicators (SITCIN) providing an instrument for Governments to evaluate their inland transport system performance and connectivity situation.</w:t>
      </w:r>
    </w:p>
    <w:p w14:paraId="63464E91" w14:textId="17296320" w:rsidR="00E543F0" w:rsidRPr="008F20FB" w:rsidRDefault="00B90DEE" w:rsidP="00B90DEE">
      <w:pPr>
        <w:pStyle w:val="Bullet1G"/>
        <w:numPr>
          <w:ilvl w:val="0"/>
          <w:numId w:val="0"/>
        </w:numPr>
        <w:tabs>
          <w:tab w:val="left" w:pos="1701"/>
        </w:tabs>
        <w:ind w:left="1701" w:hanging="170"/>
      </w:pPr>
      <w:r w:rsidRPr="008F20FB">
        <w:t>•</w:t>
      </w:r>
      <w:r w:rsidRPr="008F20FB">
        <w:tab/>
      </w:r>
      <w:r w:rsidR="00E543F0" w:rsidRPr="008F20FB">
        <w:t xml:space="preserve">The preparation of a THE PEP Pan‐European Cycling Master Plan and the proposed mandate </w:t>
      </w:r>
      <w:r w:rsidR="00E543F0" w:rsidRPr="00161194">
        <w:t xml:space="preserve">and </w:t>
      </w:r>
      <w:r w:rsidR="00161194" w:rsidRPr="00161194">
        <w:t>T</w:t>
      </w:r>
      <w:r w:rsidR="00E543F0" w:rsidRPr="00161194">
        <w:t xml:space="preserve">erms of </w:t>
      </w:r>
      <w:r w:rsidR="00161194" w:rsidRPr="00161194">
        <w:t>R</w:t>
      </w:r>
      <w:r w:rsidR="00E543F0" w:rsidRPr="00161194">
        <w:t>eference for</w:t>
      </w:r>
      <w:r w:rsidR="00E543F0" w:rsidRPr="008F20FB">
        <w:t xml:space="preserve"> the establishment of a Group of Experts on cycling infrastructure module (</w:t>
      </w:r>
      <w:r w:rsidR="00FA3355" w:rsidRPr="008F20FB">
        <w:t xml:space="preserve">see agenda item </w:t>
      </w:r>
      <w:r w:rsidR="0018281A" w:rsidRPr="008F20FB">
        <w:t>5(a))</w:t>
      </w:r>
      <w:r w:rsidR="00E543F0" w:rsidRPr="008F20FB">
        <w:t>.</w:t>
      </w:r>
    </w:p>
    <w:p w14:paraId="1B40F95A" w14:textId="15952E99" w:rsidR="00E543F0" w:rsidRPr="008F20FB" w:rsidRDefault="00B90DEE" w:rsidP="00B90DEE">
      <w:pPr>
        <w:pStyle w:val="Bullet1G"/>
        <w:numPr>
          <w:ilvl w:val="0"/>
          <w:numId w:val="0"/>
        </w:numPr>
        <w:tabs>
          <w:tab w:val="left" w:pos="1701"/>
        </w:tabs>
        <w:ind w:left="1701" w:hanging="170"/>
      </w:pPr>
      <w:r w:rsidRPr="008F20FB">
        <w:t>•</w:t>
      </w:r>
      <w:r w:rsidRPr="008F20FB">
        <w:tab/>
      </w:r>
      <w:r w:rsidR="00EE5728" w:rsidRPr="008F20FB">
        <w:t xml:space="preserve">Outcomes of the activities of </w:t>
      </w:r>
      <w:r w:rsidR="00E543F0" w:rsidRPr="008F20FB">
        <w:t>the Informal Multidisciplinary Advisory Group on Transport Responses to COVID-19 aimed at strengthening the inland transport sector preparedness for contingency situations (</w:t>
      </w:r>
      <w:r w:rsidR="00892822" w:rsidRPr="008F20FB">
        <w:t>ECE/TRANS/2022/</w:t>
      </w:r>
      <w:r w:rsidR="005600DA" w:rsidRPr="008F20FB">
        <w:t>20</w:t>
      </w:r>
      <w:r w:rsidR="00E543F0" w:rsidRPr="008F20FB">
        <w:t>).</w:t>
      </w:r>
    </w:p>
    <w:p w14:paraId="482A3A22" w14:textId="77777777" w:rsidR="005303CE" w:rsidRPr="00406918" w:rsidRDefault="005303CE" w:rsidP="005303CE">
      <w:pPr>
        <w:pStyle w:val="SingleTxtG"/>
        <w:rPr>
          <w:b/>
          <w:lang w:val="fr-CH"/>
        </w:rPr>
      </w:pPr>
      <w:r w:rsidRPr="00406918">
        <w:rPr>
          <w:b/>
          <w:lang w:val="fr-CH"/>
        </w:rPr>
        <w:t>Documentation</w:t>
      </w:r>
    </w:p>
    <w:p w14:paraId="21F17BE1" w14:textId="7A939D84" w:rsidR="005303CE" w:rsidRPr="00406918" w:rsidRDefault="00A95D30" w:rsidP="005303CE">
      <w:pPr>
        <w:spacing w:after="120"/>
        <w:ind w:left="567" w:right="1134" w:firstLine="567"/>
        <w:jc w:val="both"/>
        <w:rPr>
          <w:lang w:val="fr-CH"/>
        </w:rPr>
      </w:pPr>
      <w:r w:rsidRPr="00406918">
        <w:rPr>
          <w:lang w:val="fr-CH"/>
        </w:rPr>
        <w:t>ECE/TRANS/2022/18, ECE/TRANS/2022/19</w:t>
      </w:r>
      <w:r w:rsidR="005600DA" w:rsidRPr="00406918">
        <w:rPr>
          <w:lang w:val="fr-CH"/>
        </w:rPr>
        <w:t>, ECE/TRANS/2022/20</w:t>
      </w:r>
    </w:p>
    <w:p w14:paraId="265FE6D2" w14:textId="19967505" w:rsidR="006A74B1" w:rsidRPr="008F20FB" w:rsidRDefault="00E102D4" w:rsidP="002F69D0">
      <w:pPr>
        <w:pStyle w:val="H23G"/>
      </w:pPr>
      <w:r w:rsidRPr="00406918">
        <w:rPr>
          <w:lang w:val="fr-CH"/>
        </w:rPr>
        <w:tab/>
      </w:r>
      <w:r w:rsidR="006A74B1" w:rsidRPr="008F20FB">
        <w:t>(h)</w:t>
      </w:r>
      <w:r w:rsidR="006A74B1" w:rsidRPr="008F20FB">
        <w:tab/>
      </w:r>
      <w:r w:rsidR="00144A69" w:rsidRPr="008F20FB">
        <w:t xml:space="preserve">Capacity development activities </w:t>
      </w:r>
      <w:r w:rsidR="00172951" w:rsidRPr="008F20FB">
        <w:t>in</w:t>
      </w:r>
      <w:r w:rsidR="006A74B1" w:rsidRPr="008F20FB">
        <w:t xml:space="preserve"> </w:t>
      </w:r>
      <w:r w:rsidR="006E4D09" w:rsidRPr="008F20FB">
        <w:t>United Nations</w:t>
      </w:r>
      <w:r w:rsidR="006F1DCD" w:rsidRPr="008F20FB">
        <w:t xml:space="preserve"> </w:t>
      </w:r>
      <w:r w:rsidR="00793EC3" w:rsidRPr="008F20FB">
        <w:t xml:space="preserve">programme </w:t>
      </w:r>
      <w:r w:rsidR="006A74B1" w:rsidRPr="008F20FB">
        <w:t>countries</w:t>
      </w:r>
      <w:r w:rsidR="00AC4323" w:rsidRPr="008F20FB">
        <w:t xml:space="preserve"> in the </w:t>
      </w:r>
      <w:r w:rsidR="00BB3815">
        <w:t>United Nations Economic Commission for Europe</w:t>
      </w:r>
      <w:r w:rsidR="00BB3815" w:rsidRPr="008F20FB">
        <w:t xml:space="preserve"> </w:t>
      </w:r>
      <w:r w:rsidR="00AC4323" w:rsidRPr="008F20FB">
        <w:t>region</w:t>
      </w:r>
    </w:p>
    <w:p w14:paraId="6C66B5BB" w14:textId="24C55B4D" w:rsidR="0059183F" w:rsidRPr="008F20FB" w:rsidRDefault="0083179C" w:rsidP="00C54376">
      <w:pPr>
        <w:spacing w:after="120"/>
        <w:ind w:left="1134" w:right="1134"/>
        <w:jc w:val="both"/>
      </w:pPr>
      <w:r w:rsidRPr="008F20FB">
        <w:t xml:space="preserve">The Committee is </w:t>
      </w:r>
      <w:r w:rsidRPr="008F20FB">
        <w:rPr>
          <w:b/>
          <w:bCs/>
        </w:rPr>
        <w:t>invited to take note</w:t>
      </w:r>
      <w:r w:rsidRPr="008F20FB">
        <w:t xml:space="preserve"> of </w:t>
      </w:r>
      <w:r w:rsidR="0059183F" w:rsidRPr="008F20FB">
        <w:t xml:space="preserve">progress in </w:t>
      </w:r>
      <w:r w:rsidRPr="008F20FB">
        <w:t xml:space="preserve">the </w:t>
      </w:r>
      <w:r w:rsidR="0059183F" w:rsidRPr="008F20FB">
        <w:t>implementation of the ITC Capacity Development Action Plan (2020–2025)</w:t>
      </w:r>
      <w:r w:rsidRPr="008F20FB">
        <w:t>,</w:t>
      </w:r>
      <w:r w:rsidR="0059183F" w:rsidRPr="008F20FB">
        <w:t xml:space="preserve"> in particular in the capacity enhancement area</w:t>
      </w:r>
      <w:r w:rsidR="002F64AC" w:rsidRPr="008F20FB">
        <w:t xml:space="preserve"> (ECE/TRANS/2022/</w:t>
      </w:r>
      <w:r w:rsidR="005600DA" w:rsidRPr="008F20FB">
        <w:t>21</w:t>
      </w:r>
      <w:r w:rsidR="002F64AC" w:rsidRPr="008F20FB">
        <w:t>)</w:t>
      </w:r>
      <w:r w:rsidR="0059183F" w:rsidRPr="008F20FB">
        <w:t xml:space="preserve">. </w:t>
      </w:r>
      <w:r w:rsidR="005173CA" w:rsidRPr="008F20FB">
        <w:t xml:space="preserve">The Committee </w:t>
      </w:r>
      <w:r w:rsidR="005173CA" w:rsidRPr="008F20FB">
        <w:rPr>
          <w:b/>
          <w:bCs/>
        </w:rPr>
        <w:t xml:space="preserve">may wish to </w:t>
      </w:r>
      <w:r w:rsidR="0059183F" w:rsidRPr="008F20FB">
        <w:rPr>
          <w:b/>
          <w:bCs/>
        </w:rPr>
        <w:t>call upon</w:t>
      </w:r>
      <w:r w:rsidR="0059183F" w:rsidRPr="008F20FB">
        <w:t xml:space="preserve"> </w:t>
      </w:r>
      <w:r w:rsidR="005173CA" w:rsidRPr="008F20FB">
        <w:t xml:space="preserve">the </w:t>
      </w:r>
      <w:r w:rsidR="0059183F" w:rsidRPr="008F20FB">
        <w:t>secretariat, based on experience and results achieved in two years of implementation</w:t>
      </w:r>
      <w:r w:rsidR="00FA5C5E" w:rsidRPr="008F20FB">
        <w:t xml:space="preserve"> of the Action Plan</w:t>
      </w:r>
      <w:r w:rsidR="0059183F" w:rsidRPr="008F20FB">
        <w:t>, to continue working hand</w:t>
      </w:r>
      <w:r w:rsidR="008B594B">
        <w:t xml:space="preserve"> </w:t>
      </w:r>
      <w:r w:rsidR="0059183F" w:rsidRPr="008F20FB">
        <w:t>in</w:t>
      </w:r>
      <w:r w:rsidR="008B594B">
        <w:t xml:space="preserve"> </w:t>
      </w:r>
      <w:r w:rsidR="0059183F" w:rsidRPr="008F20FB">
        <w:t xml:space="preserve">hand with </w:t>
      </w:r>
      <w:r w:rsidR="004C5916">
        <w:t>m</w:t>
      </w:r>
      <w:r w:rsidR="0059183F" w:rsidRPr="008F20FB">
        <w:t xml:space="preserve">ember States on </w:t>
      </w:r>
      <w:r w:rsidR="00FA5C5E" w:rsidRPr="008F20FB">
        <w:t xml:space="preserve">the </w:t>
      </w:r>
      <w:r w:rsidR="0059183F" w:rsidRPr="008F20FB">
        <w:t xml:space="preserve">preparation of </w:t>
      </w:r>
      <w:r w:rsidR="00FA5C5E" w:rsidRPr="008F20FB">
        <w:t xml:space="preserve">the </w:t>
      </w:r>
      <w:r w:rsidR="0059183F" w:rsidRPr="008F20FB">
        <w:t xml:space="preserve">necessary legal and organizational framework for </w:t>
      </w:r>
      <w:r w:rsidR="0031396B" w:rsidRPr="008F20FB">
        <w:t xml:space="preserve">the </w:t>
      </w:r>
      <w:r w:rsidR="0059183F" w:rsidRPr="008F20FB">
        <w:t xml:space="preserve">efficient implementation of United Nations transport legal instruments. </w:t>
      </w:r>
      <w:r w:rsidR="0031396B" w:rsidRPr="008F20FB">
        <w:t xml:space="preserve">The Committee </w:t>
      </w:r>
      <w:r w:rsidR="0031396B" w:rsidRPr="008F20FB">
        <w:rPr>
          <w:b/>
          <w:bCs/>
        </w:rPr>
        <w:t>may wish to t</w:t>
      </w:r>
      <w:r w:rsidR="0059183F" w:rsidRPr="008F20FB">
        <w:rPr>
          <w:b/>
          <w:bCs/>
        </w:rPr>
        <w:t>hank</w:t>
      </w:r>
      <w:r w:rsidR="0059183F" w:rsidRPr="008F20FB">
        <w:t xml:space="preserve"> the Regular Programme of Technical Cooperation (RPTC) for additional funding provided in the last two years for </w:t>
      </w:r>
      <w:r w:rsidR="0031396B" w:rsidRPr="008F20FB">
        <w:t xml:space="preserve">the </w:t>
      </w:r>
      <w:r w:rsidR="0059183F" w:rsidRPr="008F20FB">
        <w:t xml:space="preserve">implementation of capacity development projects.   </w:t>
      </w:r>
    </w:p>
    <w:p w14:paraId="336B2586" w14:textId="34613213" w:rsidR="00B56754" w:rsidRPr="008F20FB" w:rsidRDefault="0005040C" w:rsidP="00C54376">
      <w:pPr>
        <w:spacing w:after="120"/>
        <w:ind w:left="1134" w:right="1134"/>
        <w:jc w:val="both"/>
      </w:pPr>
      <w:r w:rsidRPr="008F20FB">
        <w:lastRenderedPageBreak/>
        <w:t xml:space="preserve">The Committee </w:t>
      </w:r>
      <w:r w:rsidRPr="008F20FB">
        <w:rPr>
          <w:b/>
          <w:bCs/>
        </w:rPr>
        <w:t>will be informed</w:t>
      </w:r>
      <w:r w:rsidRPr="008F20FB">
        <w:t xml:space="preserve"> about progress with the development of an “E-learning platform for sustainable mobility and smart connectivity”</w:t>
      </w:r>
      <w:r w:rsidR="00410057" w:rsidRPr="008F20FB">
        <w:t>,</w:t>
      </w:r>
      <w:r w:rsidRPr="008F20FB">
        <w:t xml:space="preserve"> which is intended to leverage the Division’s capacity to provide training modules for core constituents, among other things, on legal instruments under the Committee’s purview</w:t>
      </w:r>
      <w:r w:rsidR="00410057" w:rsidRPr="008F20FB">
        <w:t>.</w:t>
      </w:r>
    </w:p>
    <w:p w14:paraId="760DD06B" w14:textId="77777777" w:rsidR="002F64AC" w:rsidRPr="008F20FB" w:rsidRDefault="002F64AC" w:rsidP="002F64AC">
      <w:pPr>
        <w:pStyle w:val="SingleTxtG"/>
        <w:rPr>
          <w:b/>
        </w:rPr>
      </w:pPr>
      <w:r w:rsidRPr="008F20FB">
        <w:rPr>
          <w:b/>
        </w:rPr>
        <w:t>Documentation</w:t>
      </w:r>
    </w:p>
    <w:p w14:paraId="74C22DCD" w14:textId="198C5B58" w:rsidR="002F64AC" w:rsidRPr="008F20FB" w:rsidRDefault="002F64AC" w:rsidP="002F64AC">
      <w:pPr>
        <w:spacing w:after="120"/>
        <w:ind w:left="1134" w:right="1134"/>
        <w:jc w:val="both"/>
      </w:pPr>
      <w:r w:rsidRPr="008F20FB">
        <w:t>ECE/TRANS/2022/</w:t>
      </w:r>
      <w:r w:rsidR="005600DA" w:rsidRPr="008F20FB">
        <w:t>21</w:t>
      </w:r>
    </w:p>
    <w:p w14:paraId="4826BDA9" w14:textId="424C5D28" w:rsidR="006A74B1" w:rsidRPr="008F20FB" w:rsidRDefault="002F64AC" w:rsidP="002F69D0">
      <w:pPr>
        <w:pStyle w:val="H23G"/>
      </w:pPr>
      <w:r w:rsidRPr="008F20FB">
        <w:tab/>
      </w:r>
      <w:r w:rsidR="006A74B1" w:rsidRPr="008F20FB">
        <w:t>(i)</w:t>
      </w:r>
      <w:r w:rsidR="006A74B1" w:rsidRPr="008F20FB">
        <w:tab/>
        <w:t>Continued support to landlocked countries: the Vienna Programme of Action</w:t>
      </w:r>
    </w:p>
    <w:p w14:paraId="6B2AB458" w14:textId="069EAC9D" w:rsidR="00B362E8" w:rsidRPr="008F20FB" w:rsidRDefault="00BE0BB6" w:rsidP="00BE0BB6">
      <w:pPr>
        <w:spacing w:after="120"/>
        <w:ind w:left="1134" w:right="1134"/>
        <w:jc w:val="both"/>
      </w:pPr>
      <w:r w:rsidRPr="008F20FB">
        <w:t xml:space="preserve">The Committee </w:t>
      </w:r>
      <w:r w:rsidRPr="008F20FB">
        <w:rPr>
          <w:b/>
          <w:bCs/>
        </w:rPr>
        <w:t>will be informed</w:t>
      </w:r>
      <w:r w:rsidRPr="008F20FB">
        <w:t xml:space="preserve"> about progress made in the implementation of the Road</w:t>
      </w:r>
      <w:r w:rsidR="00523AD0">
        <w:t xml:space="preserve"> </w:t>
      </w:r>
      <w:r w:rsidRPr="008F20FB">
        <w:t xml:space="preserve">map for </w:t>
      </w:r>
      <w:r w:rsidRPr="008F20FB">
        <w:rPr>
          <w:lang w:eastAsia="en-US"/>
        </w:rPr>
        <w:t>Accelerated</w:t>
      </w:r>
      <w:r w:rsidRPr="008F20FB">
        <w:t xml:space="preserve"> Implementation of the Vienna Programme of Action for LLDCs and the role of ECE and other U</w:t>
      </w:r>
      <w:r w:rsidR="00FE69F4">
        <w:t xml:space="preserve">nited </w:t>
      </w:r>
      <w:r w:rsidRPr="008F20FB">
        <w:t>N</w:t>
      </w:r>
      <w:r w:rsidR="00FE69F4">
        <w:t>ations</w:t>
      </w:r>
      <w:r w:rsidRPr="008F20FB">
        <w:t xml:space="preserve"> regional commissions in this regard.</w:t>
      </w:r>
    </w:p>
    <w:bookmarkEnd w:id="6"/>
    <w:p w14:paraId="378CCCBD" w14:textId="7682A4AA" w:rsidR="007C357A" w:rsidRPr="008F20FB" w:rsidRDefault="002F64AC" w:rsidP="002F69D0">
      <w:pPr>
        <w:pStyle w:val="H23G"/>
      </w:pPr>
      <w:r w:rsidRPr="008F20FB">
        <w:tab/>
      </w:r>
      <w:r w:rsidR="006A74B1" w:rsidRPr="008F20FB">
        <w:t>(j)</w:t>
      </w:r>
      <w:r w:rsidR="006A74B1" w:rsidRPr="008F20FB">
        <w:tab/>
        <w:t>Road traffic safety</w:t>
      </w:r>
    </w:p>
    <w:p w14:paraId="73D4622E" w14:textId="77777777" w:rsidR="00101D8A" w:rsidRPr="008F20FB" w:rsidRDefault="002E4997" w:rsidP="00C54376">
      <w:pPr>
        <w:spacing w:after="120"/>
        <w:ind w:left="1134" w:right="1134"/>
        <w:jc w:val="both"/>
      </w:pPr>
      <w:r w:rsidRPr="008F20FB">
        <w:t xml:space="preserve">The Committee </w:t>
      </w:r>
      <w:r w:rsidRPr="008F20FB">
        <w:rPr>
          <w:b/>
          <w:bCs/>
        </w:rPr>
        <w:t>will be informed</w:t>
      </w:r>
      <w:r w:rsidRPr="008F20FB">
        <w:t xml:space="preserve"> about recent developments in the work carried out by the Global Forum for Road Traffic Safety (WP.1). This will include information about subject areas such as automated vehicles in traffic, international driving permits, powered two-wheeler policies, the Consolidated Resolution on Road Traffic (R.E.1), and road safety and Sustainable Development Goals. </w:t>
      </w:r>
    </w:p>
    <w:p w14:paraId="6198545D" w14:textId="1B5449E9" w:rsidR="006A74B1" w:rsidRPr="008F20FB" w:rsidRDefault="002E4997" w:rsidP="00C54376">
      <w:pPr>
        <w:spacing w:after="120"/>
        <w:ind w:left="1134" w:right="1134"/>
        <w:jc w:val="both"/>
      </w:pPr>
      <w:r w:rsidRPr="008F20FB">
        <w:t xml:space="preserve">The Committee </w:t>
      </w:r>
      <w:r w:rsidRPr="008F20FB">
        <w:rPr>
          <w:b/>
          <w:bCs/>
        </w:rPr>
        <w:t>will also be informed</w:t>
      </w:r>
      <w:r w:rsidRPr="008F20FB">
        <w:t xml:space="preserve"> about the work and achievements of the Group of Experts on Road Signs and Signals (GERSS). The Committee </w:t>
      </w:r>
      <w:r w:rsidRPr="008F20FB">
        <w:rPr>
          <w:b/>
          <w:bCs/>
        </w:rPr>
        <w:t>will be informed</w:t>
      </w:r>
      <w:r w:rsidRPr="008F20FB">
        <w:t xml:space="preserve"> on the progress of developing e-CoRSS which is an electronic version of the 1968 Convention on Road Signs and Signals.</w:t>
      </w:r>
    </w:p>
    <w:p w14:paraId="0BA42200" w14:textId="018FBB7A" w:rsidR="00E45B73" w:rsidRPr="008F20FB" w:rsidRDefault="00E45B73" w:rsidP="00C54376">
      <w:pPr>
        <w:spacing w:after="120"/>
        <w:ind w:left="1134" w:right="1134"/>
        <w:jc w:val="both"/>
      </w:pPr>
      <w:r w:rsidRPr="008F20FB">
        <w:t xml:space="preserve">The Committee </w:t>
      </w:r>
      <w:r w:rsidRPr="008F20FB">
        <w:rPr>
          <w:b/>
          <w:bCs/>
        </w:rPr>
        <w:t>will also be informed</w:t>
      </w:r>
      <w:r w:rsidRPr="008F20FB">
        <w:t xml:space="preserve"> about the progress of the Group of Experts on drafting a new Legal Instrument on the </w:t>
      </w:r>
      <w:r w:rsidR="00F86503">
        <w:t>U</w:t>
      </w:r>
      <w:r w:rsidRPr="008F20FB">
        <w:t xml:space="preserve">se of Automated Vehicles in </w:t>
      </w:r>
      <w:r w:rsidR="00F86503">
        <w:t>T</w:t>
      </w:r>
      <w:r w:rsidRPr="008F20FB">
        <w:t>raffic.</w:t>
      </w:r>
    </w:p>
    <w:p w14:paraId="70B2F8B7" w14:textId="602F9AE8" w:rsidR="00113804" w:rsidRPr="008F20FB" w:rsidRDefault="009D4E3B" w:rsidP="002F69D0">
      <w:pPr>
        <w:pStyle w:val="H23G"/>
      </w:pPr>
      <w:r w:rsidRPr="008F20FB">
        <w:tab/>
      </w:r>
      <w:r w:rsidR="00113804" w:rsidRPr="008F20FB">
        <w:t>(</w:t>
      </w:r>
      <w:r w:rsidR="006A74B1" w:rsidRPr="008F20FB">
        <w:t>k</w:t>
      </w:r>
      <w:r w:rsidR="00113804" w:rsidRPr="008F20FB">
        <w:t>)</w:t>
      </w:r>
      <w:r w:rsidR="00113804" w:rsidRPr="008F20FB">
        <w:tab/>
        <w:t>Harmonization of vehicle regulations</w:t>
      </w:r>
    </w:p>
    <w:p w14:paraId="2204A016" w14:textId="38990687" w:rsidR="00700739" w:rsidRPr="008F20FB" w:rsidRDefault="00700739" w:rsidP="00700739">
      <w:pPr>
        <w:pStyle w:val="SingleTxtG"/>
        <w:rPr>
          <w:rFonts w:asciiTheme="majorBidi" w:hAnsiTheme="majorBidi" w:cstheme="majorBidi"/>
        </w:rPr>
      </w:pPr>
      <w:r w:rsidRPr="008F20FB">
        <w:rPr>
          <w:rFonts w:asciiTheme="majorBidi" w:hAnsiTheme="majorBidi" w:cstheme="majorBidi"/>
        </w:rPr>
        <w:t xml:space="preserve">The Committee will be </w:t>
      </w:r>
      <w:r w:rsidRPr="008F20FB">
        <w:rPr>
          <w:rFonts w:asciiTheme="majorBidi" w:hAnsiTheme="majorBidi" w:cstheme="majorBidi"/>
          <w:b/>
          <w:bCs/>
        </w:rPr>
        <w:t xml:space="preserve">informed </w:t>
      </w:r>
      <w:r w:rsidRPr="008F20FB">
        <w:rPr>
          <w:rFonts w:asciiTheme="majorBidi" w:hAnsiTheme="majorBidi" w:cstheme="majorBidi"/>
        </w:rPr>
        <w:t>about the most recent developments in the work carried out by the World Forum for Harmonization of Vehicle Regulations (WP.29) and its six subsidiary Working Parties (GRBP, GRE, GRPE, GRSG, GRSP and GRVA), the Administrative Committee of the 1958 Agreement, the Administrative Committee of the 1997 Agreement and the Executive Committee of the 1998 Agreement (ECE/TRANS/202</w:t>
      </w:r>
      <w:r w:rsidR="00E8231D" w:rsidRPr="008F20FB">
        <w:rPr>
          <w:rFonts w:asciiTheme="majorBidi" w:hAnsiTheme="majorBidi" w:cstheme="majorBidi"/>
        </w:rPr>
        <w:t>2</w:t>
      </w:r>
      <w:r w:rsidRPr="008F20FB">
        <w:rPr>
          <w:rFonts w:asciiTheme="majorBidi" w:hAnsiTheme="majorBidi" w:cstheme="majorBidi"/>
        </w:rPr>
        <w:t>/</w:t>
      </w:r>
      <w:r w:rsidR="005600DA" w:rsidRPr="008F20FB">
        <w:rPr>
          <w:rFonts w:asciiTheme="majorBidi" w:hAnsiTheme="majorBidi" w:cstheme="majorBidi"/>
        </w:rPr>
        <w:t>22</w:t>
      </w:r>
      <w:r w:rsidRPr="008F20FB">
        <w:rPr>
          <w:rFonts w:asciiTheme="majorBidi" w:hAnsiTheme="majorBidi" w:cstheme="majorBidi"/>
        </w:rPr>
        <w:t xml:space="preserve">). </w:t>
      </w:r>
    </w:p>
    <w:p w14:paraId="267E2BE8" w14:textId="77777777" w:rsidR="00700739" w:rsidRPr="008F20FB" w:rsidRDefault="00700739" w:rsidP="00700739">
      <w:pPr>
        <w:pStyle w:val="SingleTxtG"/>
        <w:rPr>
          <w:rFonts w:asciiTheme="majorBidi" w:hAnsiTheme="majorBidi" w:cstheme="majorBidi"/>
        </w:rPr>
      </w:pPr>
      <w:r w:rsidRPr="008F20FB">
        <w:rPr>
          <w:rFonts w:asciiTheme="majorBidi" w:hAnsiTheme="majorBidi" w:cstheme="majorBidi"/>
        </w:rPr>
        <w:t xml:space="preserve">The Committee will also be </w:t>
      </w:r>
      <w:r w:rsidRPr="008F20FB">
        <w:rPr>
          <w:rFonts w:asciiTheme="majorBidi" w:hAnsiTheme="majorBidi" w:cstheme="majorBidi"/>
          <w:b/>
          <w:bCs/>
        </w:rPr>
        <w:t xml:space="preserve">informed </w:t>
      </w:r>
      <w:r w:rsidRPr="008F20FB">
        <w:rPr>
          <w:rFonts w:asciiTheme="majorBidi" w:hAnsiTheme="majorBidi" w:cstheme="majorBidi"/>
        </w:rPr>
        <w:t>about the activities of the World Forum and its Working Parties as reflected in ECE/TRANS/WP.29/2022/1 which provides a detailed overview of the distribution of the areas of work among the different groups as a result of the processes of work prioritisation and of the alignment with the ITC Strategy.</w:t>
      </w:r>
    </w:p>
    <w:p w14:paraId="51673ACC" w14:textId="77777777" w:rsidR="00700739" w:rsidRPr="008F20FB" w:rsidRDefault="00700739" w:rsidP="00700739">
      <w:pPr>
        <w:pStyle w:val="SingleTxtG"/>
        <w:rPr>
          <w:rFonts w:asciiTheme="majorBidi" w:hAnsiTheme="majorBidi" w:cstheme="majorBidi"/>
        </w:rPr>
      </w:pPr>
      <w:r w:rsidRPr="008F20FB">
        <w:rPr>
          <w:rFonts w:asciiTheme="majorBidi" w:hAnsiTheme="majorBidi" w:cstheme="majorBidi"/>
        </w:rPr>
        <w:t xml:space="preserve">The Committee may wish to </w:t>
      </w:r>
      <w:r w:rsidRPr="008F20FB">
        <w:rPr>
          <w:rFonts w:asciiTheme="majorBidi" w:hAnsiTheme="majorBidi" w:cstheme="majorBidi"/>
          <w:b/>
          <w:bCs/>
        </w:rPr>
        <w:t xml:space="preserve">note </w:t>
      </w:r>
      <w:r w:rsidRPr="008F20FB">
        <w:rPr>
          <w:rFonts w:asciiTheme="majorBidi" w:hAnsiTheme="majorBidi" w:cstheme="majorBidi"/>
        </w:rPr>
        <w:t xml:space="preserve">that over 40 informal groups worked during 2020 in parallel to the World Forum and to its subsidiary bodies to assist them in developing new vehicle regulations and updating the 157 existing UN Regulations annexed to the 1958 Agreement, 20 UN Global Technical Regulations (UN GTRs) associated to the 1998 Agreement and four UN Rules annexed to the 1997 Agreement with [134] amendments and established six UN Regulations. </w:t>
      </w:r>
    </w:p>
    <w:p w14:paraId="004783F2" w14:textId="77777777" w:rsidR="00700739" w:rsidRPr="008F20FB" w:rsidRDefault="00700739" w:rsidP="00700739">
      <w:pPr>
        <w:pStyle w:val="SingleTxtG"/>
        <w:rPr>
          <w:rFonts w:asciiTheme="majorBidi" w:hAnsiTheme="majorBidi" w:cstheme="majorBidi"/>
        </w:rPr>
      </w:pPr>
      <w:r w:rsidRPr="008F20FB">
        <w:rPr>
          <w:rFonts w:asciiTheme="majorBidi" w:hAnsiTheme="majorBidi" w:cstheme="majorBidi"/>
        </w:rPr>
        <w:t xml:space="preserve">The Committee may wish to </w:t>
      </w:r>
      <w:r w:rsidRPr="008F20FB">
        <w:rPr>
          <w:rFonts w:asciiTheme="majorBidi" w:hAnsiTheme="majorBidi" w:cstheme="majorBidi"/>
          <w:b/>
          <w:bCs/>
        </w:rPr>
        <w:t xml:space="preserve">note </w:t>
      </w:r>
      <w:r w:rsidRPr="008F20FB">
        <w:rPr>
          <w:rFonts w:asciiTheme="majorBidi" w:hAnsiTheme="majorBidi" w:cstheme="majorBidi"/>
        </w:rPr>
        <w:t>the number of contracting parties to the 1958 Agreement (57), to the 1998 Agreement (36), and to the 1997 Agreement (16).</w:t>
      </w:r>
    </w:p>
    <w:p w14:paraId="529D9A9A" w14:textId="0217F07F" w:rsidR="00700739" w:rsidRPr="008F20FB" w:rsidRDefault="00700739" w:rsidP="00700739">
      <w:pPr>
        <w:pStyle w:val="SingleTxtG"/>
        <w:rPr>
          <w:rStyle w:val="normaltextrun"/>
          <w:color w:val="000000"/>
        </w:rPr>
      </w:pPr>
      <w:r w:rsidRPr="008F20FB">
        <w:rPr>
          <w:rFonts w:asciiTheme="majorBidi" w:hAnsiTheme="majorBidi" w:cstheme="majorBidi"/>
        </w:rPr>
        <w:t xml:space="preserve">The Committee may wish to be </w:t>
      </w:r>
      <w:r w:rsidRPr="008F20FB">
        <w:rPr>
          <w:rFonts w:asciiTheme="majorBidi" w:hAnsiTheme="majorBidi" w:cstheme="majorBidi"/>
          <w:b/>
          <w:bCs/>
        </w:rPr>
        <w:t>informed</w:t>
      </w:r>
      <w:r w:rsidRPr="008F20FB">
        <w:rPr>
          <w:rFonts w:asciiTheme="majorBidi" w:hAnsiTheme="majorBidi" w:cstheme="majorBidi"/>
        </w:rPr>
        <w:t xml:space="preserve">, that </w:t>
      </w:r>
      <w:r w:rsidRPr="008F20FB">
        <w:t xml:space="preserve">two new UN Regulations established in 2020 entered into force in 2021 aiming at the protection of vulnerable Road users, with UN Regulation No. 158 on </w:t>
      </w:r>
      <w:r w:rsidRPr="008F20FB">
        <w:rPr>
          <w:rStyle w:val="normaltextrun"/>
          <w:color w:val="000000"/>
        </w:rPr>
        <w:t xml:space="preserve">devices for Reversing Motion and motor vehicles with regard to the driver’s awareness of vulnerable road users behind vehicles and UN Regulation No. 159 on </w:t>
      </w:r>
      <w:r w:rsidRPr="00E80D3A">
        <w:rPr>
          <w:rStyle w:val="normaltextrun"/>
          <w:color w:val="000000"/>
          <w:bdr w:val="none" w:sz="0" w:space="0" w:color="auto" w:frame="1"/>
        </w:rPr>
        <w:t xml:space="preserve">the Moving Off Information System for the Detection of Pedestrians and Cyclists and that WP.29 adopted </w:t>
      </w:r>
      <w:r w:rsidRPr="008F20FB">
        <w:t xml:space="preserve">four new UN Regulations, which entered into force on 30 September 2021, </w:t>
      </w:r>
      <w:r w:rsidRPr="008F20FB">
        <w:rPr>
          <w:rStyle w:val="normaltextrun"/>
          <w:color w:val="000000"/>
        </w:rPr>
        <w:t xml:space="preserve">UN Regulation No. 160 on Event Data Storage systems, </w:t>
      </w:r>
      <w:r w:rsidRPr="008F20FB">
        <w:t xml:space="preserve">UN Regulation No. 161 on Devices against Unauthorized Use, UN Regulation No. 162 on Immobilizers </w:t>
      </w:r>
      <w:r w:rsidRPr="008F20FB">
        <w:rPr>
          <w:rStyle w:val="normaltextrun"/>
          <w:color w:val="000000"/>
        </w:rPr>
        <w:t>and UN Regulation No. 163 on Vehicle Alarm systems.</w:t>
      </w:r>
    </w:p>
    <w:p w14:paraId="0340EEED" w14:textId="77777777" w:rsidR="00700739" w:rsidRPr="008F20FB" w:rsidRDefault="00700739" w:rsidP="00700739">
      <w:pPr>
        <w:pStyle w:val="SingleTxtG"/>
      </w:pPr>
      <w:r w:rsidRPr="008F20FB">
        <w:rPr>
          <w:rFonts w:asciiTheme="majorBidi" w:hAnsiTheme="majorBidi" w:cstheme="majorBidi"/>
        </w:rPr>
        <w:lastRenderedPageBreak/>
        <w:t xml:space="preserve">The Committee may wish to be </w:t>
      </w:r>
      <w:r w:rsidRPr="008F20FB">
        <w:rPr>
          <w:rFonts w:asciiTheme="majorBidi" w:hAnsiTheme="majorBidi" w:cstheme="majorBidi"/>
          <w:b/>
          <w:bCs/>
        </w:rPr>
        <w:t>informed</w:t>
      </w:r>
      <w:r w:rsidRPr="008F20FB">
        <w:rPr>
          <w:rFonts w:asciiTheme="majorBidi" w:hAnsiTheme="majorBidi" w:cstheme="majorBidi"/>
        </w:rPr>
        <w:t xml:space="preserve"> </w:t>
      </w:r>
      <w:r w:rsidRPr="008F20FB">
        <w:t>on the progress of the GRVA working groups on automation with the objective to submit proposals for guidelines for automated/autonomous vehicles, including requirements as well as the related test and validation methods in the second half of 2022.</w:t>
      </w:r>
    </w:p>
    <w:p w14:paraId="6D1AA7F4" w14:textId="6B71DBF4" w:rsidR="00700739" w:rsidRPr="008F20FB" w:rsidRDefault="00700739" w:rsidP="00700739">
      <w:pPr>
        <w:pStyle w:val="SingleTxtG"/>
        <w:rPr>
          <w:rFonts w:asciiTheme="majorBidi" w:hAnsiTheme="majorBidi" w:cstheme="majorBidi"/>
        </w:rPr>
      </w:pPr>
      <w:r w:rsidRPr="008F20FB">
        <w:rPr>
          <w:rFonts w:asciiTheme="majorBidi" w:hAnsiTheme="majorBidi" w:cstheme="majorBidi"/>
        </w:rPr>
        <w:t xml:space="preserve">The Committee may wish to </w:t>
      </w:r>
      <w:r w:rsidRPr="008F20FB">
        <w:rPr>
          <w:rFonts w:asciiTheme="majorBidi" w:hAnsiTheme="majorBidi" w:cstheme="majorBidi"/>
          <w:b/>
          <w:bCs/>
        </w:rPr>
        <w:t xml:space="preserve">note </w:t>
      </w:r>
      <w:r w:rsidRPr="008F20FB">
        <w:rPr>
          <w:rFonts w:asciiTheme="majorBidi" w:hAnsiTheme="majorBidi" w:cstheme="majorBidi"/>
        </w:rPr>
        <w:t xml:space="preserve">that </w:t>
      </w:r>
      <w:r w:rsidRPr="008F20FB">
        <w:t xml:space="preserve">WP.29 considered </w:t>
      </w:r>
      <w:r w:rsidR="00913A09" w:rsidRPr="008F20FB">
        <w:t>a proposal for a framework document on vehicle whole-life compliance</w:t>
      </w:r>
      <w:r w:rsidRPr="008F20FB">
        <w:t>, which provides for a compliance regime for vehicles from type-approval via periodic technical inspections, roadside technical inspections until its end-of-li</w:t>
      </w:r>
      <w:r w:rsidR="008E2521">
        <w:t>f</w:t>
      </w:r>
      <w:r w:rsidRPr="008F20FB">
        <w:t>e and scrapping by applying a holistic approach.</w:t>
      </w:r>
    </w:p>
    <w:p w14:paraId="32AA1BC7" w14:textId="77777777" w:rsidR="00700739" w:rsidRPr="008F20FB" w:rsidRDefault="00700739" w:rsidP="00700739">
      <w:pPr>
        <w:pStyle w:val="SingleTxtG"/>
        <w:rPr>
          <w:rFonts w:asciiTheme="majorBidi" w:hAnsiTheme="majorBidi" w:cstheme="majorBidi"/>
        </w:rPr>
      </w:pPr>
      <w:r w:rsidRPr="008F20FB">
        <w:rPr>
          <w:rFonts w:asciiTheme="majorBidi" w:hAnsiTheme="majorBidi" w:cstheme="majorBidi"/>
        </w:rPr>
        <w:t xml:space="preserve">The Committee may wish to </w:t>
      </w:r>
      <w:r w:rsidRPr="008F20FB">
        <w:rPr>
          <w:rFonts w:asciiTheme="majorBidi" w:hAnsiTheme="majorBidi" w:cstheme="majorBidi"/>
          <w:b/>
          <w:bCs/>
        </w:rPr>
        <w:t xml:space="preserve">note </w:t>
      </w:r>
      <w:r w:rsidRPr="008F20FB">
        <w:rPr>
          <w:rFonts w:asciiTheme="majorBidi" w:hAnsiTheme="majorBidi" w:cstheme="majorBidi"/>
        </w:rPr>
        <w:t xml:space="preserve">that the Executive Committee of the 1998 Agreement adopted </w:t>
      </w:r>
      <w:r w:rsidRPr="008F20FB">
        <w:t xml:space="preserve">on </w:t>
      </w:r>
      <w:r w:rsidRPr="008F20FB">
        <w:rPr>
          <w:rFonts w:asciiTheme="majorBidi" w:hAnsiTheme="majorBidi" w:cstheme="majorBidi"/>
        </w:rPr>
        <w:t xml:space="preserve">amendments to Global Technical Regulations No. 4 (Test procedure for compression-ignition (C.I.) engines and positive-ignition (P.I.) engines fuelled with natural gas (NG) or liquefied petroleum gas (LPG) with regard to the emission of pollutants (WHDC)) and one Mutual Resolution on Panoramic Sunroof Glazing, which were adopted during 2021. </w:t>
      </w:r>
    </w:p>
    <w:p w14:paraId="42F86D7F" w14:textId="44797DBB" w:rsidR="00700739" w:rsidRPr="008F20FB" w:rsidRDefault="00700739" w:rsidP="008E2521">
      <w:pPr>
        <w:pStyle w:val="SingleTxtG"/>
        <w:rPr>
          <w:rFonts w:asciiTheme="majorBidi" w:hAnsiTheme="majorBidi" w:cstheme="majorBidi"/>
        </w:rPr>
      </w:pPr>
      <w:r w:rsidRPr="008F20FB">
        <w:rPr>
          <w:rFonts w:asciiTheme="majorBidi" w:hAnsiTheme="majorBidi" w:cstheme="majorBidi"/>
        </w:rPr>
        <w:t xml:space="preserve">The Committee </w:t>
      </w:r>
      <w:r w:rsidRPr="008F20FB">
        <w:rPr>
          <w:rFonts w:asciiTheme="majorBidi" w:hAnsiTheme="majorBidi" w:cstheme="majorBidi"/>
          <w:b/>
          <w:bCs/>
        </w:rPr>
        <w:t>may wish to be informed</w:t>
      </w:r>
      <w:r w:rsidRPr="008F20FB">
        <w:rPr>
          <w:rFonts w:asciiTheme="majorBidi" w:hAnsiTheme="majorBidi" w:cstheme="majorBidi"/>
        </w:rPr>
        <w:t xml:space="preserve"> about the status of establishing the type-approval database DETA</w:t>
      </w:r>
      <w:r w:rsidRPr="008F20FB">
        <w:rPr>
          <w:rFonts w:asciiTheme="majorBidi" w:hAnsiTheme="majorBidi" w:cstheme="majorBidi"/>
          <w:vertAlign w:val="superscript"/>
        </w:rPr>
        <w:footnoteReference w:id="6"/>
      </w:r>
      <w:r w:rsidRPr="008F20FB">
        <w:rPr>
          <w:rFonts w:asciiTheme="majorBidi" w:hAnsiTheme="majorBidi" w:cstheme="majorBidi"/>
        </w:rPr>
        <w:t xml:space="preserve"> </w:t>
      </w:r>
      <w:r w:rsidR="005E65F9" w:rsidRPr="008F20FB">
        <w:rPr>
          <w:rFonts w:asciiTheme="majorBidi" w:hAnsiTheme="majorBidi" w:cstheme="majorBidi"/>
        </w:rPr>
        <w:t>, which is</w:t>
      </w:r>
      <w:r w:rsidRPr="008F20FB">
        <w:rPr>
          <w:rFonts w:asciiTheme="majorBidi" w:hAnsiTheme="majorBidi" w:cstheme="majorBidi"/>
        </w:rPr>
        <w:t xml:space="preserve"> currently hosted by Germany.</w:t>
      </w:r>
    </w:p>
    <w:p w14:paraId="4F8D708F" w14:textId="77777777" w:rsidR="00700739" w:rsidRPr="008F20FB" w:rsidRDefault="00700739" w:rsidP="00700739">
      <w:pPr>
        <w:pStyle w:val="SingleTxtG"/>
        <w:rPr>
          <w:b/>
        </w:rPr>
      </w:pPr>
      <w:r w:rsidRPr="008F20FB">
        <w:rPr>
          <w:b/>
        </w:rPr>
        <w:t>Documentation</w:t>
      </w:r>
    </w:p>
    <w:p w14:paraId="44AE7017" w14:textId="619C2E6D" w:rsidR="007C357A" w:rsidRPr="008F20FB" w:rsidRDefault="00700739" w:rsidP="00E8231D">
      <w:pPr>
        <w:spacing w:after="120"/>
        <w:ind w:left="567" w:right="1134" w:firstLine="567"/>
        <w:jc w:val="both"/>
      </w:pPr>
      <w:r w:rsidRPr="008F20FB">
        <w:t>ECE/TRANS/2022/</w:t>
      </w:r>
      <w:r w:rsidR="005600DA" w:rsidRPr="008F20FB">
        <w:t>22</w:t>
      </w:r>
    </w:p>
    <w:p w14:paraId="1CFC655D" w14:textId="09BAA736" w:rsidR="00113804" w:rsidRPr="008F20FB" w:rsidRDefault="0063310D" w:rsidP="002F69D0">
      <w:pPr>
        <w:pStyle w:val="H23G"/>
      </w:pPr>
      <w:r w:rsidRPr="008F20FB">
        <w:tab/>
      </w:r>
      <w:r w:rsidR="00113804" w:rsidRPr="008F20FB">
        <w:t>(</w:t>
      </w:r>
      <w:r w:rsidR="006A74B1" w:rsidRPr="008F20FB">
        <w:t>l</w:t>
      </w:r>
      <w:r w:rsidR="00113804" w:rsidRPr="008F20FB">
        <w:t>)</w:t>
      </w:r>
      <w:r w:rsidR="00113804" w:rsidRPr="008F20FB">
        <w:tab/>
        <w:t>Transport of dangerous goods</w:t>
      </w:r>
    </w:p>
    <w:p w14:paraId="44A95CF9" w14:textId="4B363B28" w:rsidR="00BE138E" w:rsidRPr="008F20FB" w:rsidRDefault="00BE138E" w:rsidP="00BE138E">
      <w:pPr>
        <w:pStyle w:val="SingleTxtG"/>
        <w:rPr>
          <w:rFonts w:asciiTheme="majorBidi" w:hAnsiTheme="majorBidi" w:cstheme="majorBidi"/>
        </w:rPr>
      </w:pPr>
      <w:r w:rsidRPr="008F20FB">
        <w:rPr>
          <w:rFonts w:asciiTheme="majorBidi" w:hAnsiTheme="majorBidi" w:cstheme="majorBidi"/>
        </w:rPr>
        <w:t xml:space="preserve">The Committee may wish to </w:t>
      </w:r>
      <w:r w:rsidRPr="008F20FB">
        <w:rPr>
          <w:rFonts w:asciiTheme="majorBidi" w:hAnsiTheme="majorBidi" w:cstheme="majorBidi"/>
          <w:b/>
        </w:rPr>
        <w:t>note</w:t>
      </w:r>
      <w:r w:rsidRPr="008F20FB">
        <w:rPr>
          <w:rFonts w:asciiTheme="majorBidi" w:hAnsiTheme="majorBidi" w:cstheme="majorBidi"/>
        </w:rPr>
        <w:t xml:space="preserve"> that the Economic and Social Council adopted resolution E/RES/2021/13 on 8 June 2021, on the work of the Committee of Experts on the Transport of Dangerous Goods and on the Globally Harmonized System of Classification and Labelling of Chemicals (Informal document No. </w:t>
      </w:r>
      <w:r w:rsidR="008329C6" w:rsidRPr="008F20FB">
        <w:rPr>
          <w:rFonts w:asciiTheme="majorBidi" w:hAnsiTheme="majorBidi" w:cstheme="majorBidi"/>
        </w:rPr>
        <w:t>3</w:t>
      </w:r>
      <w:r w:rsidRPr="008F20FB">
        <w:rPr>
          <w:rFonts w:asciiTheme="majorBidi" w:hAnsiTheme="majorBidi" w:cstheme="majorBidi"/>
        </w:rPr>
        <w:t>) and that the Working Party on the Transport of Dangerous Goods (WP.15), the RID/ADR/ADN</w:t>
      </w:r>
      <w:r w:rsidRPr="008F20FB">
        <w:rPr>
          <w:rFonts w:asciiTheme="majorBidi" w:hAnsiTheme="majorBidi" w:cstheme="majorBidi"/>
          <w:vertAlign w:val="superscript"/>
        </w:rPr>
        <w:footnoteReference w:id="7"/>
      </w:r>
      <w:r w:rsidRPr="008F20FB">
        <w:rPr>
          <w:rFonts w:asciiTheme="majorBidi" w:hAnsiTheme="majorBidi" w:cstheme="majorBidi"/>
        </w:rPr>
        <w:t xml:space="preserve"> Joint Meeting and the ADN Safety Committee have already taken or are taking action as required in operative paragraphs 3, 4, 5 and 6 of section A of the resolution. The Committee may also wish to </w:t>
      </w:r>
      <w:r w:rsidRPr="008F20FB">
        <w:rPr>
          <w:rFonts w:asciiTheme="majorBidi" w:hAnsiTheme="majorBidi" w:cstheme="majorBidi"/>
          <w:b/>
        </w:rPr>
        <w:t>note</w:t>
      </w:r>
      <w:r w:rsidRPr="008F20FB">
        <w:rPr>
          <w:rFonts w:asciiTheme="majorBidi" w:hAnsiTheme="majorBidi" w:cstheme="majorBidi"/>
        </w:rPr>
        <w:t xml:space="preserve"> that, pursuant to operative paragraph 2 of section A and paragraph 3 of section B, the secretariat has already published the twenty-second revised edition of the United Nations Recommendations on the Transport of Dangerous Goods, Model Regulations (in English, French [, Russian and Spanish]), the amendment to the seventh revised edition of the Manual of Tests and Criteria (in English, French [and Spanish]) and the ninth revised edition of the Globally Harmonized System of Classification and Labelling of Chemicals (GHS) (in English, French and Spanish). Other language versions should be available soon.</w:t>
      </w:r>
    </w:p>
    <w:p w14:paraId="306088A9" w14:textId="77777777" w:rsidR="00BE138E" w:rsidRPr="008F20FB" w:rsidRDefault="00BE138E" w:rsidP="00BE138E">
      <w:pPr>
        <w:pStyle w:val="SingleTxtG"/>
        <w:rPr>
          <w:rFonts w:asciiTheme="majorBidi" w:hAnsiTheme="majorBidi" w:cstheme="majorBidi"/>
        </w:rPr>
      </w:pPr>
      <w:r w:rsidRPr="008F20FB">
        <w:rPr>
          <w:rFonts w:asciiTheme="majorBidi" w:hAnsiTheme="majorBidi" w:cstheme="majorBidi"/>
        </w:rPr>
        <w:t xml:space="preserve">The Committee may wish to </w:t>
      </w:r>
      <w:r w:rsidRPr="008F20FB">
        <w:rPr>
          <w:rFonts w:asciiTheme="majorBidi" w:hAnsiTheme="majorBidi" w:cstheme="majorBidi"/>
          <w:b/>
        </w:rPr>
        <w:t xml:space="preserve">note </w:t>
      </w:r>
      <w:r w:rsidRPr="008F20FB">
        <w:rPr>
          <w:rFonts w:asciiTheme="majorBidi" w:hAnsiTheme="majorBidi" w:cstheme="majorBidi"/>
        </w:rPr>
        <w:t xml:space="preserve">that the Sub-Committee of Experts on the Transport of Dangerous Goods of the Economic and Social Council met from 28 June to 2 July 2021 (see report </w:t>
      </w:r>
      <w:hyperlink r:id="rId12" w:history="1">
        <w:r w:rsidRPr="002F3BB1">
          <w:rPr>
            <w:rStyle w:val="Hyperlink"/>
            <w:rFonts w:asciiTheme="majorBidi" w:hAnsiTheme="majorBidi" w:cstheme="majorBidi"/>
            <w:color w:val="auto"/>
          </w:rPr>
          <w:t>ST/SG/AC.10/C.3/</w:t>
        </w:r>
      </w:hyperlink>
      <w:r w:rsidRPr="008F20FB">
        <w:rPr>
          <w:rFonts w:asciiTheme="majorBidi" w:hAnsiTheme="majorBidi" w:cstheme="majorBidi"/>
        </w:rPr>
        <w:t xml:space="preserve">116) and again from 29 November to 8 December 2021. The Sub-Committee of Experts on the Globally Harmonized System of Classification and Labelling of Chemicals met from 5 to 7 July 2021 (see report ST/SG/AC.10/C.4/80) and again from 8 to 10 December 2021. </w:t>
      </w:r>
    </w:p>
    <w:p w14:paraId="02678AD3" w14:textId="77777777" w:rsidR="00BE138E" w:rsidRPr="008F20FB" w:rsidRDefault="00BE138E" w:rsidP="00BE138E">
      <w:pPr>
        <w:pStyle w:val="SingleTxtG"/>
        <w:rPr>
          <w:rFonts w:asciiTheme="majorBidi" w:hAnsiTheme="majorBidi" w:cstheme="majorBidi"/>
        </w:rPr>
      </w:pPr>
      <w:r w:rsidRPr="008F20FB">
        <w:rPr>
          <w:rFonts w:asciiTheme="majorBidi" w:hAnsiTheme="majorBidi" w:cstheme="majorBidi"/>
        </w:rPr>
        <w:t xml:space="preserve">The Committee may wish to </w:t>
      </w:r>
      <w:r w:rsidRPr="008F20FB">
        <w:rPr>
          <w:rFonts w:asciiTheme="majorBidi" w:hAnsiTheme="majorBidi" w:cstheme="majorBidi"/>
          <w:b/>
        </w:rPr>
        <w:t>note</w:t>
      </w:r>
      <w:r w:rsidRPr="008F20FB">
        <w:rPr>
          <w:rFonts w:asciiTheme="majorBidi" w:hAnsiTheme="majorBidi" w:cstheme="majorBidi"/>
        </w:rPr>
        <w:t xml:space="preserve"> that the number of contracting parties to the Agreement concerning the International Carriage of Dangerous Goods by Road (ADR) remains 52. The Protocol amending articles 1 (a), 14 (1) and 14 (3) (b) of the ADR, adopted by the Conference of the Contracting Parties on 28 October 1993, has not yet entered into force as not all contracting parties to ADR have become parties to it ([39] contracting parties have done so to date). The Committee </w:t>
      </w:r>
      <w:r w:rsidRPr="008F20FB">
        <w:rPr>
          <w:rFonts w:asciiTheme="majorBidi" w:hAnsiTheme="majorBidi" w:cstheme="majorBidi"/>
          <w:b/>
          <w:bCs/>
        </w:rPr>
        <w:t>may wish to urge</w:t>
      </w:r>
      <w:r w:rsidRPr="008F20FB">
        <w:rPr>
          <w:rFonts w:asciiTheme="majorBidi" w:hAnsiTheme="majorBidi" w:cstheme="majorBidi"/>
        </w:rPr>
        <w:t xml:space="preserve"> the remaining contracting parties (Azerbaijan, Belarus, Bosnia and Herzegovina, Croatia, [Georgia], Iceland, Kazakhstan, Montenegro, Morocco, Nigeria, North Macedonia, San Marino, Tajikistan) to take the necessary steps to allow the Protocol to come into force.</w:t>
      </w:r>
    </w:p>
    <w:p w14:paraId="59456272" w14:textId="77777777" w:rsidR="00BE138E" w:rsidRPr="008F20FB" w:rsidRDefault="00BE138E" w:rsidP="00BE138E">
      <w:pPr>
        <w:pStyle w:val="SingleTxtG"/>
        <w:rPr>
          <w:rFonts w:asciiTheme="majorBidi" w:hAnsiTheme="majorBidi" w:cstheme="majorBidi"/>
        </w:rPr>
      </w:pPr>
      <w:r w:rsidRPr="008F20FB">
        <w:rPr>
          <w:rFonts w:asciiTheme="majorBidi" w:hAnsiTheme="majorBidi" w:cstheme="majorBidi"/>
        </w:rPr>
        <w:lastRenderedPageBreak/>
        <w:t xml:space="preserve">The Committee may wish to </w:t>
      </w:r>
      <w:r w:rsidRPr="008F20FB">
        <w:rPr>
          <w:rFonts w:asciiTheme="majorBidi" w:hAnsiTheme="majorBidi" w:cstheme="majorBidi"/>
          <w:b/>
        </w:rPr>
        <w:t>note</w:t>
      </w:r>
      <w:r w:rsidRPr="008F20FB">
        <w:rPr>
          <w:rFonts w:asciiTheme="majorBidi" w:hAnsiTheme="majorBidi" w:cstheme="majorBidi"/>
        </w:rPr>
        <w:t xml:space="preserve"> that WP.15 endorsed the common amendments to RID, ADR and ADN adopted by the RID/ADR/ADN Joint Meeting (WP.15/AC.1) during the biennium; adopted amendments specific to ADR, e.g. as regards construction and equipment of vehicles and tank-vehicles for the carriage of dangerous goods; requested the secretariat to prepare a consolidated list of all the amendments which it had adopted so that they could be made the subject of an official proposal in accordance with the procedure set out in article 14 of ADR. All these amendments should come into force on 1 January 2023.</w:t>
      </w:r>
    </w:p>
    <w:p w14:paraId="55DE862F" w14:textId="77777777" w:rsidR="00BE138E" w:rsidRPr="008F20FB" w:rsidRDefault="00BE138E" w:rsidP="00BE138E">
      <w:pPr>
        <w:pStyle w:val="SingleTxtG"/>
        <w:rPr>
          <w:rFonts w:asciiTheme="majorBidi" w:hAnsiTheme="majorBidi" w:cstheme="majorBidi"/>
        </w:rPr>
      </w:pPr>
      <w:r w:rsidRPr="008F20FB">
        <w:rPr>
          <w:rFonts w:asciiTheme="majorBidi" w:hAnsiTheme="majorBidi" w:cstheme="majorBidi"/>
        </w:rPr>
        <w:t xml:space="preserve">The Committee may wish to </w:t>
      </w:r>
      <w:r w:rsidRPr="008F20FB">
        <w:rPr>
          <w:rFonts w:asciiTheme="majorBidi" w:hAnsiTheme="majorBidi" w:cstheme="majorBidi"/>
          <w:b/>
        </w:rPr>
        <w:t>endorse</w:t>
      </w:r>
      <w:r w:rsidRPr="008F20FB">
        <w:rPr>
          <w:rFonts w:asciiTheme="majorBidi" w:hAnsiTheme="majorBidi" w:cstheme="majorBidi"/>
        </w:rPr>
        <w:t xml:space="preserve"> the request by WP.15 that the consolidated text of ADR as it would be amended on 1 January 2023 be published by the secretariat, sufficiently in advance to prepare for its effective implementation before the entry into force of the amendments in question.</w:t>
      </w:r>
    </w:p>
    <w:p w14:paraId="54CE9097" w14:textId="0A0FFE3D" w:rsidR="00BE138E" w:rsidRPr="008F20FB" w:rsidRDefault="00BE138E" w:rsidP="00BE138E">
      <w:pPr>
        <w:pStyle w:val="SingleTxtG"/>
        <w:rPr>
          <w:rFonts w:asciiTheme="majorBidi" w:hAnsiTheme="majorBidi" w:cstheme="majorBidi"/>
        </w:rPr>
      </w:pPr>
      <w:r w:rsidRPr="008F20FB">
        <w:rPr>
          <w:rFonts w:asciiTheme="majorBidi" w:hAnsiTheme="majorBidi" w:cstheme="majorBidi"/>
        </w:rPr>
        <w:t xml:space="preserve">The Committee may wish to </w:t>
      </w:r>
      <w:r w:rsidRPr="008F20FB">
        <w:rPr>
          <w:rFonts w:asciiTheme="majorBidi" w:hAnsiTheme="majorBidi" w:cstheme="majorBidi"/>
          <w:b/>
          <w:bCs/>
        </w:rPr>
        <w:t>note</w:t>
      </w:r>
      <w:r w:rsidRPr="008F20FB">
        <w:rPr>
          <w:rFonts w:asciiTheme="majorBidi" w:hAnsiTheme="majorBidi" w:cstheme="majorBidi"/>
        </w:rPr>
        <w:t xml:space="preserve"> that, at its 110</w:t>
      </w:r>
      <w:r w:rsidRPr="008F20FB">
        <w:rPr>
          <w:rFonts w:asciiTheme="majorBidi" w:hAnsiTheme="majorBidi" w:cstheme="majorBidi"/>
          <w:vertAlign w:val="superscript"/>
        </w:rPr>
        <w:t>th</w:t>
      </w:r>
      <w:r w:rsidRPr="008F20FB">
        <w:rPr>
          <w:rFonts w:asciiTheme="majorBidi" w:hAnsiTheme="majorBidi" w:cstheme="majorBidi"/>
        </w:rPr>
        <w:t xml:space="preserve"> session, WP.15 adopted a revised text for the Road Map for accession to and implementation of ADR. The Working Party recognised this Road Map as an important tool for the implementation of the Committee’s strategy until 2030. The Committee may wish to </w:t>
      </w:r>
      <w:r w:rsidRPr="008F20FB">
        <w:rPr>
          <w:rFonts w:asciiTheme="majorBidi" w:hAnsiTheme="majorBidi" w:cstheme="majorBidi"/>
          <w:b/>
        </w:rPr>
        <w:t>endorse</w:t>
      </w:r>
      <w:r w:rsidRPr="008F20FB">
        <w:rPr>
          <w:rFonts w:asciiTheme="majorBidi" w:hAnsiTheme="majorBidi" w:cstheme="majorBidi"/>
        </w:rPr>
        <w:t xml:space="preserve"> the request by WP.15 that an electronic version of the revised Road Map be published and made available on the ECE website.</w:t>
      </w:r>
    </w:p>
    <w:p w14:paraId="138DD0B1" w14:textId="77777777" w:rsidR="00BE138E" w:rsidRPr="008F20FB" w:rsidRDefault="00BE138E" w:rsidP="00BE138E">
      <w:pPr>
        <w:pStyle w:val="SingleTxtG"/>
        <w:rPr>
          <w:rFonts w:asciiTheme="majorBidi" w:hAnsiTheme="majorBidi" w:cstheme="majorBidi"/>
        </w:rPr>
      </w:pPr>
      <w:r w:rsidRPr="008F20FB">
        <w:rPr>
          <w:rFonts w:asciiTheme="majorBidi" w:hAnsiTheme="majorBidi" w:cstheme="majorBidi"/>
        </w:rPr>
        <w:t xml:space="preserve">The Committee may wish to </w:t>
      </w:r>
      <w:r w:rsidRPr="008F20FB">
        <w:rPr>
          <w:rFonts w:asciiTheme="majorBidi" w:hAnsiTheme="majorBidi" w:cstheme="majorBidi"/>
          <w:b/>
          <w:bCs/>
        </w:rPr>
        <w:t>stress</w:t>
      </w:r>
      <w:r w:rsidRPr="008F20FB">
        <w:rPr>
          <w:rFonts w:asciiTheme="majorBidi" w:hAnsiTheme="majorBidi" w:cstheme="majorBidi"/>
        </w:rPr>
        <w:t xml:space="preserve"> the importance of ADR during the COVID-19 pandemic when there is a vital need to ensure the safe transport of dangerous goods for medical use and </w:t>
      </w:r>
      <w:r w:rsidRPr="008F20FB">
        <w:rPr>
          <w:rFonts w:asciiTheme="majorBidi" w:hAnsiTheme="majorBidi" w:cstheme="majorBidi"/>
          <w:b/>
          <w:bCs/>
        </w:rPr>
        <w:t>welcome</w:t>
      </w:r>
      <w:r w:rsidRPr="008F20FB">
        <w:rPr>
          <w:rFonts w:asciiTheme="majorBidi" w:hAnsiTheme="majorBidi" w:cstheme="majorBidi"/>
        </w:rPr>
        <w:t xml:space="preserve"> the measures that the competent authorities had taken, including the various multilateral agreements that allowed continuity of service. </w:t>
      </w:r>
    </w:p>
    <w:p w14:paraId="428BD5FD" w14:textId="2BED0079" w:rsidR="00BE138E" w:rsidRPr="008F20FB" w:rsidRDefault="00BE138E" w:rsidP="00BE138E">
      <w:pPr>
        <w:pStyle w:val="SingleTxtG"/>
        <w:rPr>
          <w:rFonts w:asciiTheme="majorBidi" w:hAnsiTheme="majorBidi" w:cstheme="majorBidi"/>
        </w:rPr>
      </w:pPr>
      <w:r w:rsidRPr="008F20FB">
        <w:rPr>
          <w:rFonts w:asciiTheme="majorBidi" w:hAnsiTheme="majorBidi" w:cstheme="majorBidi"/>
        </w:rPr>
        <w:t xml:space="preserve">The Committee may also wish to </w:t>
      </w:r>
      <w:r w:rsidRPr="008F20FB">
        <w:rPr>
          <w:rFonts w:asciiTheme="majorBidi" w:hAnsiTheme="majorBidi" w:cstheme="majorBidi"/>
          <w:b/>
          <w:bCs/>
        </w:rPr>
        <w:t xml:space="preserve">note </w:t>
      </w:r>
      <w:r w:rsidRPr="008F20FB">
        <w:rPr>
          <w:rFonts w:asciiTheme="majorBidi" w:hAnsiTheme="majorBidi" w:cstheme="majorBidi"/>
        </w:rPr>
        <w:t xml:space="preserve">that the number of </w:t>
      </w:r>
      <w:r w:rsidR="00166B55" w:rsidRPr="008F20FB">
        <w:rPr>
          <w:rFonts w:asciiTheme="majorBidi" w:hAnsiTheme="majorBidi" w:cstheme="majorBidi"/>
        </w:rPr>
        <w:t xml:space="preserve">contracting parties </w:t>
      </w:r>
      <w:r w:rsidRPr="008F20FB">
        <w:rPr>
          <w:rFonts w:asciiTheme="majorBidi" w:hAnsiTheme="majorBidi" w:cstheme="majorBidi"/>
        </w:rPr>
        <w:t>to the European Agreement concerning the International Carriage of Dangerous Goods by Inland Waterways (ADN) remains 18.</w:t>
      </w:r>
    </w:p>
    <w:p w14:paraId="099D33E3" w14:textId="77777777" w:rsidR="00BE138E" w:rsidRPr="008F20FB" w:rsidRDefault="00BE138E" w:rsidP="00BE138E">
      <w:pPr>
        <w:pStyle w:val="SingleTxtG"/>
        <w:rPr>
          <w:rFonts w:asciiTheme="majorBidi" w:hAnsiTheme="majorBidi" w:cstheme="majorBidi"/>
        </w:rPr>
      </w:pPr>
      <w:r w:rsidRPr="008F20FB">
        <w:rPr>
          <w:rFonts w:asciiTheme="majorBidi" w:hAnsiTheme="majorBidi" w:cstheme="majorBidi"/>
        </w:rPr>
        <w:t xml:space="preserve">The Committee may wish to </w:t>
      </w:r>
      <w:r w:rsidRPr="008F20FB">
        <w:rPr>
          <w:rFonts w:asciiTheme="majorBidi" w:hAnsiTheme="majorBidi" w:cstheme="majorBidi"/>
          <w:b/>
          <w:bCs/>
        </w:rPr>
        <w:t xml:space="preserve">note </w:t>
      </w:r>
      <w:r w:rsidRPr="008F20FB">
        <w:rPr>
          <w:rFonts w:asciiTheme="majorBidi" w:hAnsiTheme="majorBidi" w:cstheme="majorBidi"/>
        </w:rPr>
        <w:t>that the Joint Meeting of Experts on the Regulations annexed to ADN (ADN Safety Committee) (WP.15/AC.2) held its thirty-eighth session from 23 to 27 August 2021.</w:t>
      </w:r>
    </w:p>
    <w:p w14:paraId="6EDC514C" w14:textId="77777777" w:rsidR="00BE138E" w:rsidRPr="008F20FB" w:rsidRDefault="00BE138E" w:rsidP="00BE138E">
      <w:pPr>
        <w:pStyle w:val="SingleTxtG"/>
        <w:rPr>
          <w:rFonts w:asciiTheme="majorBidi" w:hAnsiTheme="majorBidi" w:cstheme="majorBidi"/>
        </w:rPr>
      </w:pPr>
      <w:r w:rsidRPr="008F20FB">
        <w:rPr>
          <w:rFonts w:asciiTheme="majorBidi" w:hAnsiTheme="majorBidi" w:cstheme="majorBidi"/>
        </w:rPr>
        <w:t>The Committee may wish to</w:t>
      </w:r>
      <w:r w:rsidRPr="008F20FB">
        <w:rPr>
          <w:rFonts w:asciiTheme="majorBidi" w:hAnsiTheme="majorBidi" w:cstheme="majorBidi"/>
          <w:b/>
        </w:rPr>
        <w:t xml:space="preserve"> note</w:t>
      </w:r>
      <w:r w:rsidRPr="008F20FB">
        <w:rPr>
          <w:rFonts w:asciiTheme="majorBidi" w:hAnsiTheme="majorBidi" w:cstheme="majorBidi"/>
        </w:rPr>
        <w:t xml:space="preserve"> that the ADN Safety Committee has adopted a wide range of new provisions concerning the carriage of dangerous goods in inland navigation vessels and will meet again from 24 to 28 January 2022 (see agenda ECE/TRANS/WP.15/AC.2/79 and Add.1).</w:t>
      </w:r>
    </w:p>
    <w:p w14:paraId="1527B58A" w14:textId="77777777" w:rsidR="00BE138E" w:rsidRPr="008F20FB" w:rsidRDefault="00BE138E" w:rsidP="00BE138E">
      <w:pPr>
        <w:pStyle w:val="SingleTxtG"/>
        <w:rPr>
          <w:rFonts w:asciiTheme="majorBidi" w:hAnsiTheme="majorBidi" w:cstheme="majorBidi"/>
        </w:rPr>
      </w:pPr>
      <w:r w:rsidRPr="008F20FB">
        <w:rPr>
          <w:rFonts w:asciiTheme="majorBidi" w:hAnsiTheme="majorBidi" w:cstheme="majorBidi"/>
        </w:rPr>
        <w:t>The ADN Administrative Committee should meet on 28 January 2022 (see agenda ECE/ADN/59 and Add.1), mainly to adopt all draft amendments prepared by the Safety Committee in 2021 and January 2022, i.e. the set of amendments that should enter into force on 1 January 2023 and that would ensure harmonization of ADN with ADR and RID.</w:t>
      </w:r>
    </w:p>
    <w:p w14:paraId="2F6C3C63" w14:textId="77777777" w:rsidR="00BE138E" w:rsidRPr="008F20FB" w:rsidRDefault="00BE138E" w:rsidP="00BE138E">
      <w:pPr>
        <w:pStyle w:val="SingleTxtG"/>
        <w:rPr>
          <w:rFonts w:asciiTheme="majorBidi" w:hAnsiTheme="majorBidi" w:cstheme="majorBidi"/>
        </w:rPr>
      </w:pPr>
      <w:r w:rsidRPr="008F20FB">
        <w:rPr>
          <w:rFonts w:asciiTheme="majorBidi" w:hAnsiTheme="majorBidi" w:cstheme="majorBidi"/>
        </w:rPr>
        <w:t xml:space="preserve">The Committee may wish to </w:t>
      </w:r>
      <w:r w:rsidRPr="008F20FB">
        <w:rPr>
          <w:rFonts w:asciiTheme="majorBidi" w:hAnsiTheme="majorBidi" w:cstheme="majorBidi"/>
          <w:b/>
          <w:bCs/>
        </w:rPr>
        <w:t xml:space="preserve">welcome </w:t>
      </w:r>
      <w:r w:rsidRPr="008F20FB">
        <w:rPr>
          <w:rFonts w:asciiTheme="majorBidi" w:hAnsiTheme="majorBidi" w:cstheme="majorBidi"/>
        </w:rPr>
        <w:t>the measures that ADN competent authorities had taken, including various multilateral agreements that allowed continuity on the transport of dangerous goods by inland waterways during the COVID-19 pandemic.</w:t>
      </w:r>
    </w:p>
    <w:p w14:paraId="66555FDB" w14:textId="77777777" w:rsidR="00BE138E" w:rsidRPr="008F20FB" w:rsidRDefault="00BE138E" w:rsidP="00BE138E">
      <w:pPr>
        <w:pStyle w:val="SingleTxtG"/>
        <w:rPr>
          <w:rFonts w:asciiTheme="majorBidi" w:hAnsiTheme="majorBidi" w:cstheme="majorBidi"/>
        </w:rPr>
      </w:pPr>
      <w:r w:rsidRPr="008F20FB">
        <w:rPr>
          <w:rFonts w:asciiTheme="majorBidi" w:hAnsiTheme="majorBidi" w:cstheme="majorBidi"/>
        </w:rPr>
        <w:t xml:space="preserve">The Committee may wish to </w:t>
      </w:r>
      <w:r w:rsidRPr="008F20FB">
        <w:rPr>
          <w:rFonts w:asciiTheme="majorBidi" w:hAnsiTheme="majorBidi" w:cstheme="majorBidi"/>
          <w:b/>
          <w:bCs/>
        </w:rPr>
        <w:t>emphasise</w:t>
      </w:r>
      <w:r w:rsidRPr="008F20FB">
        <w:rPr>
          <w:rFonts w:asciiTheme="majorBidi" w:hAnsiTheme="majorBidi" w:cstheme="majorBidi"/>
        </w:rPr>
        <w:t xml:space="preserve"> the importance of the work of the Sub-Committee on the Transport of Dangerous and WP.15, the Joint Meeting and WP.15/AC.2 within the framework of energy transition. This includes the development and improvement of provisions for the transport of hazardous waste, for the use of recycled plastics in packagings for dangerous goods, for the carriage of batteries during their whole life cycle and for the use of battery electric vehicles and hydrogen fuel cell vehicles for the transport of dangerous goods.</w:t>
      </w:r>
    </w:p>
    <w:p w14:paraId="744B2FBE" w14:textId="77777777" w:rsidR="00BE138E" w:rsidRPr="008F20FB" w:rsidRDefault="00BE138E" w:rsidP="00BE138E">
      <w:pPr>
        <w:pStyle w:val="SingleTxtG"/>
        <w:rPr>
          <w:rFonts w:asciiTheme="majorBidi" w:hAnsiTheme="majorBidi" w:cstheme="majorBidi"/>
          <w:b/>
          <w:bCs/>
        </w:rPr>
      </w:pPr>
      <w:r w:rsidRPr="008F20FB">
        <w:rPr>
          <w:rFonts w:asciiTheme="majorBidi" w:hAnsiTheme="majorBidi" w:cstheme="majorBidi"/>
          <w:b/>
          <w:bCs/>
        </w:rPr>
        <w:t>Documentation</w:t>
      </w:r>
    </w:p>
    <w:p w14:paraId="158276C0" w14:textId="578EAB8C" w:rsidR="007C357A" w:rsidRPr="008F20FB" w:rsidRDefault="00BE138E" w:rsidP="00BE138E">
      <w:pPr>
        <w:pStyle w:val="SingleTxtG"/>
        <w:rPr>
          <w:rFonts w:asciiTheme="majorBidi" w:hAnsiTheme="majorBidi" w:cstheme="majorBidi"/>
        </w:rPr>
      </w:pPr>
      <w:r w:rsidRPr="008F20FB">
        <w:rPr>
          <w:rFonts w:asciiTheme="majorBidi" w:hAnsiTheme="majorBidi" w:cstheme="majorBidi"/>
        </w:rPr>
        <w:t xml:space="preserve">Informal document No. </w:t>
      </w:r>
      <w:r w:rsidR="008329C6" w:rsidRPr="008F20FB">
        <w:rPr>
          <w:rFonts w:asciiTheme="majorBidi" w:hAnsiTheme="majorBidi" w:cstheme="majorBidi"/>
        </w:rPr>
        <w:t>3</w:t>
      </w:r>
      <w:r w:rsidRPr="008F20FB">
        <w:rPr>
          <w:rFonts w:asciiTheme="majorBidi" w:hAnsiTheme="majorBidi" w:cstheme="majorBidi"/>
        </w:rPr>
        <w:t>, ST/SG/AC.10/C.3/116, ST/SG/AC.10/C.4/80, ECE/TRANS/WP.15/253, ECE/TRANS/WP.15/255, ECE/TRANS/WP.15/AC.1/160 and Add.1, ECE/TRANS/WP.15/AC.1/162 and [Adds.1-2], ECE/TRANS/WP.15/AC.2/78, ECE/ADN/58</w:t>
      </w:r>
    </w:p>
    <w:p w14:paraId="7749D826" w14:textId="2F442880" w:rsidR="00376EF4" w:rsidRPr="008F20FB" w:rsidRDefault="00F722BF" w:rsidP="002F69D0">
      <w:pPr>
        <w:pStyle w:val="H23G"/>
      </w:pPr>
      <w:r w:rsidRPr="008F20FB">
        <w:lastRenderedPageBreak/>
        <w:tab/>
      </w:r>
      <w:r w:rsidR="00376EF4" w:rsidRPr="008F20FB">
        <w:t>(</w:t>
      </w:r>
      <w:r w:rsidR="00B17591" w:rsidRPr="008F20FB">
        <w:t>m</w:t>
      </w:r>
      <w:r w:rsidR="00376EF4" w:rsidRPr="008F20FB">
        <w:t>)</w:t>
      </w:r>
      <w:r w:rsidR="00376EF4" w:rsidRPr="008F20FB">
        <w:tab/>
        <w:t>United Nations Road Safety Fund</w:t>
      </w:r>
    </w:p>
    <w:p w14:paraId="08054BF5" w14:textId="3FADED14" w:rsidR="007C357A" w:rsidRPr="008F20FB" w:rsidRDefault="00F02FC6" w:rsidP="00E22335">
      <w:pPr>
        <w:pStyle w:val="SingleTxtG"/>
      </w:pPr>
      <w:r w:rsidRPr="008F20FB">
        <w:t xml:space="preserve">The </w:t>
      </w:r>
      <w:r w:rsidRPr="008F20FB">
        <w:rPr>
          <w:rFonts w:asciiTheme="majorBidi" w:hAnsiTheme="majorBidi" w:cstheme="majorBidi"/>
        </w:rPr>
        <w:t>Committee</w:t>
      </w:r>
      <w:r w:rsidRPr="008F20FB">
        <w:t xml:space="preserve"> </w:t>
      </w:r>
      <w:r w:rsidRPr="008F20FB">
        <w:rPr>
          <w:b/>
          <w:bCs/>
        </w:rPr>
        <w:t>will be informed</w:t>
      </w:r>
      <w:r w:rsidRPr="008F20FB">
        <w:t xml:space="preserve"> about the latest activities and future plans of the United Nations Road Safety Fund (UNRSF) as they </w:t>
      </w:r>
      <w:r w:rsidRPr="008F20FB">
        <w:rPr>
          <w:rFonts w:asciiTheme="majorBidi" w:hAnsiTheme="majorBidi" w:cstheme="majorBidi"/>
        </w:rPr>
        <w:t>relate</w:t>
      </w:r>
      <w:r w:rsidRPr="008F20FB">
        <w:t xml:space="preserve"> to resource mobilization, partnerships and projects (ECE/TRANS/202</w:t>
      </w:r>
      <w:r w:rsidR="007A42AA" w:rsidRPr="008F20FB">
        <w:t>2</w:t>
      </w:r>
      <w:r w:rsidRPr="008F20FB">
        <w:t>/</w:t>
      </w:r>
      <w:r w:rsidR="00AF66CD" w:rsidRPr="008F20FB">
        <w:t>23</w:t>
      </w:r>
      <w:r w:rsidRPr="008F20FB">
        <w:t>).</w:t>
      </w:r>
    </w:p>
    <w:p w14:paraId="6BCFC89D" w14:textId="77777777" w:rsidR="007A42AA" w:rsidRPr="008F20FB" w:rsidRDefault="007A42AA" w:rsidP="007A42AA">
      <w:pPr>
        <w:pStyle w:val="SingleTxtG"/>
        <w:rPr>
          <w:b/>
        </w:rPr>
      </w:pPr>
      <w:r w:rsidRPr="008F20FB">
        <w:rPr>
          <w:b/>
        </w:rPr>
        <w:t>Documentation</w:t>
      </w:r>
    </w:p>
    <w:p w14:paraId="21E1BB01" w14:textId="065F92AA" w:rsidR="007A42AA" w:rsidRPr="008F20FB" w:rsidRDefault="007A42AA" w:rsidP="007A42AA">
      <w:pPr>
        <w:spacing w:after="120"/>
        <w:ind w:left="567" w:right="1134" w:firstLine="567"/>
        <w:jc w:val="both"/>
      </w:pPr>
      <w:r w:rsidRPr="008F20FB">
        <w:t>ECE/TRANS/2022/</w:t>
      </w:r>
      <w:r w:rsidR="00AF66CD" w:rsidRPr="008F20FB">
        <w:t>23</w:t>
      </w:r>
    </w:p>
    <w:p w14:paraId="10403864" w14:textId="2299262E" w:rsidR="00376EF4" w:rsidRPr="008F20FB" w:rsidRDefault="00E22335" w:rsidP="002F69D0">
      <w:pPr>
        <w:pStyle w:val="H23G"/>
      </w:pPr>
      <w:r w:rsidRPr="008F20FB">
        <w:tab/>
      </w:r>
      <w:r w:rsidR="00376EF4" w:rsidRPr="008F20FB">
        <w:t>(</w:t>
      </w:r>
      <w:r w:rsidR="00B17591" w:rsidRPr="008F20FB">
        <w:t>n</w:t>
      </w:r>
      <w:r w:rsidR="00376EF4" w:rsidRPr="008F20FB">
        <w:t>)</w:t>
      </w:r>
      <w:r w:rsidR="00376EF4" w:rsidRPr="008F20FB">
        <w:tab/>
      </w:r>
      <w:r w:rsidR="00960976" w:rsidRPr="008F20FB">
        <w:t xml:space="preserve">Special Envoy of </w:t>
      </w:r>
      <w:r w:rsidR="00B30BE3">
        <w:t xml:space="preserve">the </w:t>
      </w:r>
      <w:r w:rsidR="00507415" w:rsidRPr="008F20FB">
        <w:t>Secretary</w:t>
      </w:r>
      <w:r w:rsidR="00507415">
        <w:t>-</w:t>
      </w:r>
      <w:r w:rsidR="00960976" w:rsidRPr="008F20FB">
        <w:t>General for Road Safety</w:t>
      </w:r>
    </w:p>
    <w:p w14:paraId="7D8BD979" w14:textId="4518BCF5" w:rsidR="007C357A" w:rsidRPr="008F20FB" w:rsidRDefault="00E22335" w:rsidP="00E22335">
      <w:pPr>
        <w:pStyle w:val="SingleTxtG"/>
      </w:pPr>
      <w:r w:rsidRPr="008F20FB">
        <w:t xml:space="preserve">The Committee </w:t>
      </w:r>
      <w:r w:rsidRPr="008F20FB">
        <w:rPr>
          <w:b/>
          <w:bCs/>
        </w:rPr>
        <w:t>will be informed</w:t>
      </w:r>
      <w:r w:rsidRPr="008F20FB">
        <w:t xml:space="preserve"> about the main developments in the activities of the United Nations Secretary-General’s Special Envoy for Road Safety and areas of cooperation with the Committee (ECE/TRANS/202</w:t>
      </w:r>
      <w:r w:rsidR="00571174" w:rsidRPr="008F20FB">
        <w:t>2</w:t>
      </w:r>
      <w:r w:rsidRPr="008F20FB">
        <w:t>/</w:t>
      </w:r>
      <w:r w:rsidR="00AF66CD" w:rsidRPr="008F20FB">
        <w:t>24</w:t>
      </w:r>
      <w:r w:rsidRPr="008F20FB">
        <w:t xml:space="preserve">). The Committee </w:t>
      </w:r>
      <w:r w:rsidRPr="008F20FB">
        <w:rPr>
          <w:b/>
          <w:bCs/>
        </w:rPr>
        <w:t xml:space="preserve">may wish to </w:t>
      </w:r>
      <w:r w:rsidR="006855F5" w:rsidRPr="008F20FB">
        <w:rPr>
          <w:b/>
          <w:bCs/>
        </w:rPr>
        <w:t xml:space="preserve">take note of </w:t>
      </w:r>
      <w:r w:rsidRPr="008F20FB">
        <w:t>the Special Envoy</w:t>
      </w:r>
      <w:r w:rsidR="0010493A" w:rsidRPr="008F20FB">
        <w:t>’s</w:t>
      </w:r>
      <w:r w:rsidRPr="008F20FB">
        <w:t xml:space="preserve"> </w:t>
      </w:r>
      <w:r w:rsidR="0010493A" w:rsidRPr="008F20FB">
        <w:t>activities</w:t>
      </w:r>
      <w:r w:rsidRPr="008F20FB">
        <w:t xml:space="preserve"> in particular in promoting accession and implementation of the U</w:t>
      </w:r>
      <w:r w:rsidR="003A06B2">
        <w:t xml:space="preserve">nited </w:t>
      </w:r>
      <w:r w:rsidRPr="008F20FB">
        <w:t>N</w:t>
      </w:r>
      <w:r w:rsidR="003A06B2">
        <w:t>ations</w:t>
      </w:r>
      <w:r w:rsidRPr="008F20FB">
        <w:t xml:space="preserve"> road safety conventions</w:t>
      </w:r>
      <w:r w:rsidR="00257A72" w:rsidRPr="008F20FB">
        <w:t>,</w:t>
      </w:r>
      <w:r w:rsidRPr="008F20FB">
        <w:t xml:space="preserve"> as well as </w:t>
      </w:r>
      <w:r w:rsidR="00731209" w:rsidRPr="008F20FB">
        <w:t>progress with</w:t>
      </w:r>
      <w:r w:rsidRPr="008F20FB">
        <w:t xml:space="preserve"> the extension of the function of the Special Envoy through 2030, as mentioned in U</w:t>
      </w:r>
      <w:r w:rsidR="003A06B2">
        <w:t xml:space="preserve">nited Nations General Assembly </w:t>
      </w:r>
      <w:r w:rsidRPr="008F20FB">
        <w:t>Resolution on Improving Global Road Safety (A/RES/74/299).</w:t>
      </w:r>
    </w:p>
    <w:p w14:paraId="179F76DE" w14:textId="77777777" w:rsidR="00571174" w:rsidRPr="008F20FB" w:rsidRDefault="00571174" w:rsidP="00571174">
      <w:pPr>
        <w:pStyle w:val="SingleTxtG"/>
        <w:rPr>
          <w:b/>
        </w:rPr>
      </w:pPr>
      <w:r w:rsidRPr="008F20FB">
        <w:rPr>
          <w:b/>
        </w:rPr>
        <w:t>Documentation</w:t>
      </w:r>
    </w:p>
    <w:p w14:paraId="7D3C914F" w14:textId="1EB27EC6" w:rsidR="00571174" w:rsidRPr="008F20FB" w:rsidRDefault="00571174" w:rsidP="00571174">
      <w:pPr>
        <w:spacing w:after="120"/>
        <w:ind w:left="567" w:right="1134" w:firstLine="567"/>
        <w:jc w:val="both"/>
      </w:pPr>
      <w:r w:rsidRPr="008F20FB">
        <w:t>ECE/TRANS/2022/</w:t>
      </w:r>
      <w:r w:rsidR="00AF66CD" w:rsidRPr="008F20FB">
        <w:t>24</w:t>
      </w:r>
    </w:p>
    <w:p w14:paraId="19C97562" w14:textId="1027C3B4" w:rsidR="00113804" w:rsidRPr="008F20FB" w:rsidRDefault="00257A72" w:rsidP="002F69D0">
      <w:pPr>
        <w:pStyle w:val="H23G"/>
      </w:pPr>
      <w:r w:rsidRPr="008F20FB">
        <w:tab/>
      </w:r>
      <w:r w:rsidR="00113804" w:rsidRPr="008F20FB">
        <w:t>(</w:t>
      </w:r>
      <w:r w:rsidR="00583EE0" w:rsidRPr="008F20FB">
        <w:t>o</w:t>
      </w:r>
      <w:r w:rsidR="00113804" w:rsidRPr="008F20FB">
        <w:t>)</w:t>
      </w:r>
      <w:r w:rsidR="00113804" w:rsidRPr="008F20FB">
        <w:tab/>
      </w:r>
      <w:r w:rsidR="008C6AD0" w:rsidRPr="008F20FB">
        <w:t>Strengthening border crossing facilitation (TIR Convention, eTIR project, Harmonization Convention and other customs transit facilitation measures</w:t>
      </w:r>
      <w:r w:rsidR="005A1086" w:rsidRPr="008F20FB">
        <w:t>)</w:t>
      </w:r>
    </w:p>
    <w:p w14:paraId="01CA754A" w14:textId="40B64626" w:rsidR="00B31834" w:rsidRPr="008F20FB" w:rsidRDefault="00B31834" w:rsidP="00B31834">
      <w:pPr>
        <w:pStyle w:val="SingleTxtG"/>
      </w:pPr>
      <w:r w:rsidRPr="008F20FB">
        <w:t xml:space="preserve">The Committee </w:t>
      </w:r>
      <w:r w:rsidRPr="008F20FB">
        <w:rPr>
          <w:b/>
          <w:bCs/>
        </w:rPr>
        <w:t>will be informed</w:t>
      </w:r>
      <w:r w:rsidRPr="008F20FB">
        <w:t xml:space="preserve"> about the main outcome of the 156th and 157th and 158th sessions of the Working Party on Customs Questions affecting Transport (WP.30) (ECE/TRANS/WP.30/312; ECE/TRANS/WP.30/314 and ECE/TRANS/WP.30/316) and </w:t>
      </w:r>
      <w:r w:rsidRPr="008F20FB">
        <w:rPr>
          <w:b/>
          <w:bCs/>
        </w:rPr>
        <w:t>will be</w:t>
      </w:r>
      <w:r w:rsidRPr="008F20FB">
        <w:t xml:space="preserve"> </w:t>
      </w:r>
      <w:r w:rsidRPr="008F20FB">
        <w:rPr>
          <w:b/>
          <w:bCs/>
        </w:rPr>
        <w:t>invited to take note</w:t>
      </w:r>
      <w:r w:rsidRPr="008F20FB">
        <w:t xml:space="preserve"> of the activities of the TIR Administrative Committee (AC.2) in the year 2021, including, but not limited to, amendments adopted (ECE/TRANS/WP.30/AC.2/151, ECE/TRANS/WP.30/AC.2/153 and ECE/TRANS/WP.30/AC.2/155), as contained in document ECE/TRANS/2022/</w:t>
      </w:r>
      <w:r w:rsidR="00AF66CD" w:rsidRPr="008F20FB">
        <w:t>25</w:t>
      </w:r>
      <w:r w:rsidRPr="008F20FB">
        <w:t>.</w:t>
      </w:r>
    </w:p>
    <w:p w14:paraId="4F024656" w14:textId="4595AEA2" w:rsidR="00B31834" w:rsidRPr="008F20FB" w:rsidRDefault="00B31834" w:rsidP="00B31834">
      <w:pPr>
        <w:pStyle w:val="SingleTxtG"/>
      </w:pPr>
      <w:r w:rsidRPr="008F20FB">
        <w:t xml:space="preserve">In particular, the Committee </w:t>
      </w:r>
      <w:r w:rsidRPr="008F20FB">
        <w:rPr>
          <w:b/>
          <w:bCs/>
        </w:rPr>
        <w:t>will be informed</w:t>
      </w:r>
      <w:r w:rsidRPr="008F20FB">
        <w:t xml:space="preserve"> about the entry into force, on 25 May 2021, of amendment proposals introducing the eTIR procedure in new </w:t>
      </w:r>
      <w:r w:rsidR="006F774F" w:rsidRPr="008F20FB">
        <w:t>annex</w:t>
      </w:r>
      <w:r w:rsidRPr="008F20FB">
        <w:t xml:space="preserve"> 11 of the TIR Convention, the operations of the eTIR international system, its interconnection with several national customs (IT) systems and the finalization of version 4.3 of the conceptual, functional and technical specifications by the Group of Experts on Conceptual and Technical Aspects of </w:t>
      </w:r>
      <w:r w:rsidR="00515557" w:rsidRPr="008F20FB">
        <w:t>C</w:t>
      </w:r>
      <w:r w:rsidRPr="008F20FB">
        <w:t>omputerization of the TIR Procedure (WP.30/GE.1).</w:t>
      </w:r>
    </w:p>
    <w:p w14:paraId="255142C3" w14:textId="77777777" w:rsidR="00B31834" w:rsidRPr="008F20FB" w:rsidRDefault="00B31834" w:rsidP="00B31834">
      <w:pPr>
        <w:pStyle w:val="SingleTxtG"/>
      </w:pPr>
      <w:r w:rsidRPr="008F20FB">
        <w:t xml:space="preserve">The Committee </w:t>
      </w:r>
      <w:r w:rsidRPr="008F20FB">
        <w:rPr>
          <w:b/>
          <w:bCs/>
        </w:rPr>
        <w:t>will be also informed</w:t>
      </w:r>
      <w:r w:rsidRPr="008F20FB">
        <w:t xml:space="preserve"> about the latest developments in the International TIR Data Bank (ITDB) and efforts to make the electronic submission of data to ITDB mandatory.</w:t>
      </w:r>
    </w:p>
    <w:p w14:paraId="397B0470" w14:textId="77777777" w:rsidR="00B31834" w:rsidRPr="008F20FB" w:rsidRDefault="00B31834" w:rsidP="00B31834">
      <w:pPr>
        <w:pStyle w:val="SingleTxtG"/>
      </w:pPr>
      <w:r w:rsidRPr="008F20FB">
        <w:t xml:space="preserve">The Committee </w:t>
      </w:r>
      <w:r w:rsidRPr="008F20FB">
        <w:rPr>
          <w:b/>
          <w:bCs/>
        </w:rPr>
        <w:t>will be informed</w:t>
      </w:r>
      <w:r w:rsidRPr="008F20FB">
        <w:t xml:space="preserve"> about progress in 2021 in the implementation of recommendations further to an audit of the TIR trust fund by the United Nations Office of Internal Oversight Services (OIOS) in 2020.</w:t>
      </w:r>
    </w:p>
    <w:p w14:paraId="3F660F1C" w14:textId="0E6254F2" w:rsidR="00B31834" w:rsidRPr="008F20FB" w:rsidRDefault="00B31834" w:rsidP="00B31834">
      <w:pPr>
        <w:pStyle w:val="SingleTxtG"/>
      </w:pPr>
      <w:r w:rsidRPr="008F20FB">
        <w:t xml:space="preserve">The Committee </w:t>
      </w:r>
      <w:r w:rsidRPr="008F20FB">
        <w:rPr>
          <w:b/>
          <w:bCs/>
        </w:rPr>
        <w:t>will be informed</w:t>
      </w:r>
      <w:r w:rsidRPr="008F20FB">
        <w:t xml:space="preserve"> about the conclusion of a new Memorandum of Understanding between ECE and the International Road Transport Union (IRU) concerning the implementation of </w:t>
      </w:r>
      <w:r w:rsidR="00515557" w:rsidRPr="008F20FB">
        <w:t>a</w:t>
      </w:r>
      <w:r w:rsidRPr="008F20FB">
        <w:t>nnex 11 of the TIR Convention.</w:t>
      </w:r>
    </w:p>
    <w:p w14:paraId="495E7785" w14:textId="77777777" w:rsidR="00B31834" w:rsidRPr="008F20FB" w:rsidRDefault="00B31834" w:rsidP="00B31834">
      <w:pPr>
        <w:pStyle w:val="SingleTxtG"/>
      </w:pPr>
      <w:r w:rsidRPr="008F20FB">
        <w:t xml:space="preserve">The Committee </w:t>
      </w:r>
      <w:r w:rsidRPr="008F20FB">
        <w:rPr>
          <w:b/>
          <w:bCs/>
        </w:rPr>
        <w:t>will be informed</w:t>
      </w:r>
      <w:r w:rsidRPr="008F20FB">
        <w:t xml:space="preserve"> about the latest amendment proposal to the International Convention on the Harmonization of Frontier Controls for Goods, 1982.</w:t>
      </w:r>
    </w:p>
    <w:p w14:paraId="481BF4B2" w14:textId="77777777" w:rsidR="00B31834" w:rsidRPr="008F20FB" w:rsidRDefault="00B31834" w:rsidP="00B31834">
      <w:pPr>
        <w:pStyle w:val="SingleTxtG"/>
      </w:pPr>
      <w:r w:rsidRPr="008F20FB">
        <w:t xml:space="preserve">The Committee </w:t>
      </w:r>
      <w:r w:rsidRPr="008F20FB">
        <w:rPr>
          <w:b/>
          <w:bCs/>
        </w:rPr>
        <w:t>will be informed</w:t>
      </w:r>
      <w:r w:rsidRPr="008F20FB">
        <w:t xml:space="preserve"> about the conclusion between ECE and the International Touring Alliance / International Automobile Federation (AIT/FIA) of a memorandum of understanding on the revitalization and digitalization of relevant United Nations inland transport conventions and, in particular the development of an eCPD (Carnet de Passage en Douane) system.</w:t>
      </w:r>
    </w:p>
    <w:p w14:paraId="73872029" w14:textId="77777777" w:rsidR="00B31834" w:rsidRPr="008F20FB" w:rsidRDefault="00B31834" w:rsidP="00B31834">
      <w:pPr>
        <w:pStyle w:val="SingleTxtG"/>
      </w:pPr>
      <w:r w:rsidRPr="008F20FB">
        <w:t xml:space="preserve">The Committee </w:t>
      </w:r>
      <w:r w:rsidRPr="008F20FB">
        <w:rPr>
          <w:b/>
          <w:bCs/>
        </w:rPr>
        <w:t>will be informed</w:t>
      </w:r>
      <w:r w:rsidRPr="008F20FB">
        <w:t xml:space="preserve"> about follow‐up actions taken by WP.30 in 2021 in alignment of its work with the ITC Strategy.</w:t>
      </w:r>
    </w:p>
    <w:p w14:paraId="21E9BA62" w14:textId="77777777" w:rsidR="00B31834" w:rsidRPr="008F20FB" w:rsidRDefault="00B31834" w:rsidP="004D6B96">
      <w:pPr>
        <w:pStyle w:val="SingleTxtG"/>
        <w:keepNext/>
        <w:keepLines/>
        <w:rPr>
          <w:b/>
          <w:bCs/>
        </w:rPr>
      </w:pPr>
      <w:r w:rsidRPr="008F20FB">
        <w:rPr>
          <w:b/>
          <w:bCs/>
        </w:rPr>
        <w:lastRenderedPageBreak/>
        <w:t>Documentation</w:t>
      </w:r>
    </w:p>
    <w:p w14:paraId="7F95C2AB" w14:textId="2BADFFF0" w:rsidR="007C357A" w:rsidRPr="008F20FB" w:rsidRDefault="00B31834" w:rsidP="004D6B96">
      <w:pPr>
        <w:pStyle w:val="SingleTxtG"/>
        <w:keepNext/>
        <w:keepLines/>
      </w:pPr>
      <w:r w:rsidRPr="008F20FB">
        <w:t>ECE/TRANS/2022/</w:t>
      </w:r>
      <w:r w:rsidR="00AF66CD" w:rsidRPr="008F20FB">
        <w:t>25</w:t>
      </w:r>
    </w:p>
    <w:p w14:paraId="60A8E6D9" w14:textId="54D5AD8E" w:rsidR="00113804" w:rsidRPr="008F20FB" w:rsidRDefault="00290C37" w:rsidP="002F69D0">
      <w:pPr>
        <w:pStyle w:val="H23G"/>
      </w:pPr>
      <w:r w:rsidRPr="008F20FB">
        <w:tab/>
      </w:r>
      <w:r w:rsidR="00113804" w:rsidRPr="008F20FB">
        <w:t>(</w:t>
      </w:r>
      <w:r w:rsidR="00583EE0" w:rsidRPr="008F20FB">
        <w:t>p</w:t>
      </w:r>
      <w:r w:rsidR="00113804" w:rsidRPr="008F20FB">
        <w:t>)</w:t>
      </w:r>
      <w:r w:rsidR="00113804" w:rsidRPr="008F20FB">
        <w:tab/>
        <w:t>Transport of perishable foodstuffs</w:t>
      </w:r>
    </w:p>
    <w:p w14:paraId="4FF92C73" w14:textId="77777777" w:rsidR="008853FE" w:rsidRPr="008F20FB" w:rsidRDefault="008853FE" w:rsidP="008853FE">
      <w:pPr>
        <w:pStyle w:val="SingleTxtG"/>
      </w:pPr>
      <w:r w:rsidRPr="008F20FB">
        <w:t xml:space="preserve">The Committee will be </w:t>
      </w:r>
      <w:r w:rsidRPr="008F20FB">
        <w:rPr>
          <w:b/>
          <w:bCs/>
        </w:rPr>
        <w:t>informed</w:t>
      </w:r>
      <w:r w:rsidRPr="008F20FB">
        <w:t xml:space="preserve"> about the status of proposed amendments to the Agreement on the International Carriage of Perishable Foodstuffs and on the Special Equipment to be Used for such Carriage (ATP) adopted at the seventy-sixth session of the Working Party on the Transport of Perishable Foodstuffs (WP.11) in 2020 (ECE/TRANS/WP.11/243).</w:t>
      </w:r>
    </w:p>
    <w:p w14:paraId="252B04BB" w14:textId="372912B0" w:rsidR="008853FE" w:rsidRPr="008F20FB" w:rsidRDefault="008853FE" w:rsidP="008853FE">
      <w:pPr>
        <w:pStyle w:val="SingleTxtG"/>
      </w:pPr>
      <w:r w:rsidRPr="008F20FB">
        <w:t xml:space="preserve">The Committee may wish to </w:t>
      </w:r>
      <w:r w:rsidRPr="008F20FB">
        <w:rPr>
          <w:b/>
          <w:bCs/>
        </w:rPr>
        <w:t>note</w:t>
      </w:r>
      <w:r w:rsidRPr="008F20FB">
        <w:t xml:space="preserve"> that at its seventy-sixth session (13–16 October 2020), WP.11 adopted draft amendments to several Model Tests Reports and adopted a new Model Test Report for the Declaration of conformity for Multi Temperature – Multi compartment equipment included in </w:t>
      </w:r>
      <w:r w:rsidR="00515557" w:rsidRPr="008F20FB">
        <w:t>a</w:t>
      </w:r>
      <w:r w:rsidRPr="008F20FB">
        <w:t xml:space="preserve">nnex 1, appendix 2 (ECE/TRANS/WP.11/243, </w:t>
      </w:r>
      <w:r w:rsidR="00515557" w:rsidRPr="008F20FB">
        <w:t>a</w:t>
      </w:r>
      <w:r w:rsidRPr="008F20FB">
        <w:t>nnex I).</w:t>
      </w:r>
    </w:p>
    <w:p w14:paraId="7E614250" w14:textId="54C69C85" w:rsidR="008853FE" w:rsidRPr="008F20FB" w:rsidRDefault="008853FE" w:rsidP="008853FE">
      <w:pPr>
        <w:pStyle w:val="SingleTxtG"/>
      </w:pPr>
      <w:r w:rsidRPr="008F20FB">
        <w:t xml:space="preserve">The Committee may wish to </w:t>
      </w:r>
      <w:r w:rsidRPr="008F20FB">
        <w:rPr>
          <w:b/>
          <w:bCs/>
        </w:rPr>
        <w:t>note</w:t>
      </w:r>
      <w:r w:rsidRPr="008F20FB">
        <w:t xml:space="preserve"> that of the number of </w:t>
      </w:r>
      <w:r w:rsidR="00515557" w:rsidRPr="008F20FB">
        <w:t xml:space="preserve">contracting parties </w:t>
      </w:r>
      <w:r w:rsidRPr="008F20FB">
        <w:t>to the Agreement remains at fifty.</w:t>
      </w:r>
    </w:p>
    <w:p w14:paraId="7439E2BB" w14:textId="77777777" w:rsidR="008853FE" w:rsidRPr="008F20FB" w:rsidRDefault="008853FE" w:rsidP="008853FE">
      <w:pPr>
        <w:pStyle w:val="SingleTxtG"/>
        <w:rPr>
          <w:b/>
          <w:bCs/>
        </w:rPr>
      </w:pPr>
      <w:r w:rsidRPr="008F20FB">
        <w:rPr>
          <w:b/>
          <w:bCs/>
        </w:rPr>
        <w:t>Documentation</w:t>
      </w:r>
    </w:p>
    <w:p w14:paraId="77615293" w14:textId="6BBC20E2" w:rsidR="007C357A" w:rsidRPr="008F20FB" w:rsidRDefault="008853FE" w:rsidP="008853FE">
      <w:pPr>
        <w:pStyle w:val="SingleTxtG"/>
      </w:pPr>
      <w:r w:rsidRPr="008F20FB">
        <w:t>ECE/TRANS/WP.11/243, ECE/TRANS/WP.11/245</w:t>
      </w:r>
    </w:p>
    <w:p w14:paraId="4AAD0027" w14:textId="1757FCFE" w:rsidR="00113804" w:rsidRPr="008F20FB" w:rsidRDefault="008329C6" w:rsidP="002F69D0">
      <w:pPr>
        <w:pStyle w:val="H23G"/>
      </w:pPr>
      <w:r w:rsidRPr="008F20FB">
        <w:tab/>
      </w:r>
      <w:r w:rsidR="00113804" w:rsidRPr="008F20FB">
        <w:t>(</w:t>
      </w:r>
      <w:r w:rsidR="00583EE0" w:rsidRPr="008F20FB">
        <w:t>q</w:t>
      </w:r>
      <w:r w:rsidR="00113804" w:rsidRPr="008F20FB">
        <w:t>)</w:t>
      </w:r>
      <w:r w:rsidR="00113804" w:rsidRPr="008F20FB">
        <w:tab/>
        <w:t>Road transport</w:t>
      </w:r>
    </w:p>
    <w:p w14:paraId="75948444" w14:textId="2BA6DEE7" w:rsidR="00A977E7" w:rsidRPr="00770630" w:rsidRDefault="00A977E7" w:rsidP="00A977E7">
      <w:pPr>
        <w:ind w:left="1134" w:right="1106"/>
        <w:jc w:val="both"/>
        <w:rPr>
          <w:rFonts w:asciiTheme="majorBidi" w:hAnsiTheme="majorBidi" w:cstheme="majorBidi"/>
        </w:rPr>
      </w:pPr>
      <w:r w:rsidRPr="00770630">
        <w:rPr>
          <w:rFonts w:asciiTheme="majorBidi" w:hAnsiTheme="majorBidi" w:cstheme="majorBidi"/>
        </w:rPr>
        <w:t xml:space="preserve">The Committee </w:t>
      </w:r>
      <w:r w:rsidRPr="00770630">
        <w:rPr>
          <w:rFonts w:asciiTheme="majorBidi" w:hAnsiTheme="majorBidi" w:cstheme="majorBidi"/>
          <w:b/>
          <w:bCs/>
        </w:rPr>
        <w:t>will be informed</w:t>
      </w:r>
      <w:r w:rsidRPr="00770630">
        <w:rPr>
          <w:rFonts w:asciiTheme="majorBidi" w:hAnsiTheme="majorBidi" w:cstheme="majorBidi"/>
        </w:rPr>
        <w:t xml:space="preserve"> about the latest developments in the work carried out by the Group of Experts on the European Agreement concerning the Work of Crews of Vehicles Engaged in International Road Transport (AETR). In particular, the Committee will be updated on the progress of proposals to amend AETR Article 14 (eligibility to accede), 22 and 22bis (amendment procedures), as well as to create a new </w:t>
      </w:r>
      <w:r w:rsidR="006F774F" w:rsidRPr="00770630">
        <w:rPr>
          <w:rFonts w:asciiTheme="majorBidi" w:hAnsiTheme="majorBidi" w:cstheme="majorBidi"/>
        </w:rPr>
        <w:t>a</w:t>
      </w:r>
      <w:r w:rsidRPr="00770630">
        <w:rPr>
          <w:rFonts w:asciiTheme="majorBidi" w:hAnsiTheme="majorBidi" w:cstheme="majorBidi"/>
        </w:rPr>
        <w:t xml:space="preserve">ppendix 1C (on the basis of European Union Regulations 165/2014, 2016/799 and 2018/502) and a new </w:t>
      </w:r>
      <w:r w:rsidR="006F774F" w:rsidRPr="00770630">
        <w:rPr>
          <w:rFonts w:asciiTheme="majorBidi" w:hAnsiTheme="majorBidi" w:cstheme="majorBidi"/>
        </w:rPr>
        <w:t>a</w:t>
      </w:r>
      <w:r w:rsidRPr="00770630">
        <w:rPr>
          <w:rFonts w:asciiTheme="majorBidi" w:hAnsiTheme="majorBidi" w:cstheme="majorBidi"/>
        </w:rPr>
        <w:t>ppendix 4 (exchange of information).  </w:t>
      </w:r>
    </w:p>
    <w:p w14:paraId="5DA31458" w14:textId="77777777" w:rsidR="00A977E7" w:rsidRPr="00770630" w:rsidRDefault="00A977E7" w:rsidP="00A977E7">
      <w:pPr>
        <w:pStyle w:val="SingleTxtG"/>
      </w:pPr>
      <w:r w:rsidRPr="00770630">
        <w:t xml:space="preserve">The Committee </w:t>
      </w:r>
      <w:r w:rsidRPr="00770630">
        <w:rPr>
          <w:b/>
          <w:bCs/>
        </w:rPr>
        <w:t>will then be informed</w:t>
      </w:r>
      <w:r w:rsidRPr="00770630">
        <w:t xml:space="preserve"> about the discussions at the 116</w:t>
      </w:r>
      <w:r w:rsidRPr="00770630">
        <w:rPr>
          <w:vertAlign w:val="superscript"/>
        </w:rPr>
        <w:t>th</w:t>
      </w:r>
      <w:r w:rsidRPr="00770630">
        <w:t xml:space="preserve"> session of the Working Party on Road Transport (SC.1) regarding article 5 of the European Agreement on Main International Traffic Arteries (AGR) which covers eligibility to become a contracting party.</w:t>
      </w:r>
    </w:p>
    <w:p w14:paraId="545066AF" w14:textId="77777777" w:rsidR="00A977E7" w:rsidRPr="00770630" w:rsidRDefault="00A977E7" w:rsidP="00A977E7">
      <w:pPr>
        <w:pStyle w:val="SingleTxtG"/>
      </w:pPr>
      <w:r w:rsidRPr="00770630">
        <w:t xml:space="preserve">The Committee </w:t>
      </w:r>
      <w:r w:rsidRPr="00770630">
        <w:rPr>
          <w:b/>
          <w:bCs/>
        </w:rPr>
        <w:t xml:space="preserve">will also be informed </w:t>
      </w:r>
      <w:r w:rsidRPr="00770630">
        <w:t xml:space="preserve">about the number of contracting parties to the Convention on the Contract for the International Carriage of Goods by Road (CMR) and its Protocols, including the Additional Protocol to the CMR Convention (e-CMR). The Committee </w:t>
      </w:r>
      <w:r w:rsidRPr="00770630">
        <w:rPr>
          <w:b/>
          <w:bCs/>
        </w:rPr>
        <w:t>will be asked to take note</w:t>
      </w:r>
      <w:r w:rsidRPr="00770630">
        <w:t xml:space="preserve"> of a paper submitted by the informal group of experts on e-CMR which details the research and other actions needed and/or recommended for the operationalization of e-CMR (ECE/TRANS/SC.1/2021/1) as requested by the Committee at its eighty-first session.</w:t>
      </w:r>
    </w:p>
    <w:p w14:paraId="2B8024F0" w14:textId="52A2F3A0" w:rsidR="00A977E7" w:rsidRPr="00770630" w:rsidRDefault="00A977E7" w:rsidP="00A977E7">
      <w:pPr>
        <w:pStyle w:val="SingleTxtG"/>
        <w:rPr>
          <w:b/>
          <w:bCs/>
        </w:rPr>
      </w:pPr>
      <w:r w:rsidRPr="00770630">
        <w:t xml:space="preserve">The Committee </w:t>
      </w:r>
      <w:r w:rsidRPr="00770630">
        <w:rPr>
          <w:b/>
          <w:bCs/>
        </w:rPr>
        <w:t>will be</w:t>
      </w:r>
      <w:r w:rsidR="00A73485" w:rsidRPr="00770630">
        <w:t xml:space="preserve"> </w:t>
      </w:r>
      <w:r w:rsidR="00704401" w:rsidRPr="00770630">
        <w:rPr>
          <w:b/>
          <w:bCs/>
        </w:rPr>
        <w:t>informed</w:t>
      </w:r>
      <w:r w:rsidR="00704401" w:rsidRPr="00770630">
        <w:t xml:space="preserve"> about </w:t>
      </w:r>
      <w:r w:rsidR="00A73485" w:rsidRPr="00770630">
        <w:t xml:space="preserve">the proposed mandate and </w:t>
      </w:r>
      <w:r w:rsidR="00770630" w:rsidRPr="00770630">
        <w:t>T</w:t>
      </w:r>
      <w:r w:rsidR="00A73485" w:rsidRPr="00770630">
        <w:t xml:space="preserve">erms of </w:t>
      </w:r>
      <w:r w:rsidR="00770630" w:rsidRPr="00770630">
        <w:t>R</w:t>
      </w:r>
      <w:r w:rsidR="00A73485" w:rsidRPr="00770630">
        <w:t>eference for the establishment</w:t>
      </w:r>
      <w:r w:rsidRPr="00770630">
        <w:rPr>
          <w:b/>
          <w:bCs/>
        </w:rPr>
        <w:t xml:space="preserve"> </w:t>
      </w:r>
      <w:r w:rsidRPr="00770630">
        <w:t xml:space="preserve">of a </w:t>
      </w:r>
      <w:r w:rsidR="00406E9A" w:rsidRPr="00770630">
        <w:t>G</w:t>
      </w:r>
      <w:r w:rsidRPr="00770630">
        <w:t xml:space="preserve">roup of </w:t>
      </w:r>
      <w:r w:rsidR="00406E9A" w:rsidRPr="00770630">
        <w:t>E</w:t>
      </w:r>
      <w:r w:rsidRPr="00770630">
        <w:t xml:space="preserve">xperts on the operationalization of the e-CMR procedure for two years </w:t>
      </w:r>
      <w:r w:rsidR="00443481" w:rsidRPr="00770630">
        <w:t>(see agenda item 5(a)</w:t>
      </w:r>
      <w:r w:rsidR="00CD76D3" w:rsidRPr="00770630">
        <w:t>)</w:t>
      </w:r>
      <w:r w:rsidRPr="00770630">
        <w:t xml:space="preserve">. The proposed </w:t>
      </w:r>
      <w:r w:rsidR="00443481" w:rsidRPr="00770630">
        <w:t>G</w:t>
      </w:r>
      <w:r w:rsidRPr="00770630">
        <w:t xml:space="preserve">roup of </w:t>
      </w:r>
      <w:r w:rsidR="00443481" w:rsidRPr="00770630">
        <w:t>E</w:t>
      </w:r>
      <w:r w:rsidRPr="00770630">
        <w:t>xperts would discuss and if possible agree on the requirements of article 5 of the Additional Protocol to CMR including the objective/scope, the high</w:t>
      </w:r>
      <w:r w:rsidR="000151DE" w:rsidRPr="00770630">
        <w:t>-</w:t>
      </w:r>
      <w:r w:rsidRPr="00770630">
        <w:t xml:space="preserve">level architecture, and the conceptual specifications for a future environment that would support the conclusion and exchange of electronic consignment notes in accordance with the provisions of CMR and its Additional Protocol. The group’s work should also include an impact assessment of possible implementation scenarios of a future e-CMR environment. The proposed </w:t>
      </w:r>
      <w:r w:rsidR="00770630" w:rsidRPr="00770630">
        <w:t>T</w:t>
      </w:r>
      <w:r w:rsidRPr="00770630">
        <w:t xml:space="preserve">erms of </w:t>
      </w:r>
      <w:r w:rsidR="00770630" w:rsidRPr="00770630">
        <w:t>R</w:t>
      </w:r>
      <w:r w:rsidRPr="00770630">
        <w:t xml:space="preserve">eference of the group may be found in </w:t>
      </w:r>
      <w:r w:rsidR="001B2C0A" w:rsidRPr="00770630">
        <w:t>ECE/TRAN/2022/6</w:t>
      </w:r>
      <w:r w:rsidRPr="00770630">
        <w:t>.</w:t>
      </w:r>
    </w:p>
    <w:p w14:paraId="669DFC7C" w14:textId="6E15CB19" w:rsidR="007C357A" w:rsidRPr="008F20FB" w:rsidRDefault="00A977E7" w:rsidP="00A977E7">
      <w:pPr>
        <w:pStyle w:val="SingleTxtG"/>
      </w:pPr>
      <w:r w:rsidRPr="00770630">
        <w:rPr>
          <w:color w:val="000000"/>
        </w:rPr>
        <w:t>Finally, the</w:t>
      </w:r>
      <w:r w:rsidRPr="00770630">
        <w:t xml:space="preserve"> Committee </w:t>
      </w:r>
      <w:r w:rsidRPr="00770630">
        <w:rPr>
          <w:b/>
          <w:bCs/>
        </w:rPr>
        <w:t>will be informed</w:t>
      </w:r>
      <w:r w:rsidRPr="00770630">
        <w:t xml:space="preserve"> about the progress in developing a global multilateral agreement on the international</w:t>
      </w:r>
      <w:r w:rsidRPr="008F20FB">
        <w:t xml:space="preserve"> regular transport of passengers by coach and bus (OmniBus).</w:t>
      </w:r>
    </w:p>
    <w:p w14:paraId="69EBB287" w14:textId="18A4DBD9" w:rsidR="00113804" w:rsidRPr="008F20FB" w:rsidRDefault="001B2C0A" w:rsidP="002F69D0">
      <w:pPr>
        <w:pStyle w:val="H23G"/>
      </w:pPr>
      <w:r w:rsidRPr="008F20FB">
        <w:tab/>
      </w:r>
      <w:r w:rsidR="00113804" w:rsidRPr="008F20FB">
        <w:t>(</w:t>
      </w:r>
      <w:r w:rsidR="00583EE0" w:rsidRPr="008F20FB">
        <w:t>r</w:t>
      </w:r>
      <w:r w:rsidR="00113804" w:rsidRPr="008F20FB">
        <w:t>)</w:t>
      </w:r>
      <w:r w:rsidR="00113804" w:rsidRPr="008F20FB">
        <w:tab/>
        <w:t>Rail transport</w:t>
      </w:r>
    </w:p>
    <w:p w14:paraId="36B25E8A" w14:textId="77777777" w:rsidR="00E011F7" w:rsidRPr="008F20FB" w:rsidRDefault="00E011F7" w:rsidP="00E011F7">
      <w:pPr>
        <w:pStyle w:val="SingleTxtG"/>
      </w:pPr>
      <w:r w:rsidRPr="008F20FB">
        <w:t xml:space="preserve">The Committee </w:t>
      </w:r>
      <w:r w:rsidRPr="008F20FB">
        <w:rPr>
          <w:b/>
          <w:bCs/>
        </w:rPr>
        <w:t>will be informed</w:t>
      </w:r>
      <w:r w:rsidRPr="008F20FB">
        <w:t xml:space="preserve"> that, due to limitations imposed by UNOG, a reduced agenda was discussed in three languages at the session of the Working Party. </w:t>
      </w:r>
    </w:p>
    <w:p w14:paraId="73E1983D" w14:textId="77777777" w:rsidR="00E011F7" w:rsidRPr="008F20FB" w:rsidRDefault="00E011F7" w:rsidP="00E011F7">
      <w:pPr>
        <w:pStyle w:val="SingleTxtG"/>
      </w:pPr>
      <w:r w:rsidRPr="008F20FB">
        <w:lastRenderedPageBreak/>
        <w:t xml:space="preserve">The Committee </w:t>
      </w:r>
      <w:r w:rsidRPr="008F20FB">
        <w:rPr>
          <w:b/>
          <w:bCs/>
        </w:rPr>
        <w:t>will be informed</w:t>
      </w:r>
      <w:r w:rsidRPr="008F20FB">
        <w:t xml:space="preserve"> about the results of the seventy-fifth session of the Working Party on Rail Transport (SC.2) (ECE/TRANS/SC.2/236). The Committee may wish also </w:t>
      </w:r>
      <w:r w:rsidRPr="008F20FB">
        <w:rPr>
          <w:b/>
          <w:bCs/>
        </w:rPr>
        <w:t>to be informed</w:t>
      </w:r>
      <w:r w:rsidRPr="008F20FB">
        <w:t xml:space="preserve"> about the results of the workshop on “Railways at the centre of the post-pandemic recovery – Connectivity through the railways” held during the last session of SC.2. </w:t>
      </w:r>
    </w:p>
    <w:p w14:paraId="309A60A2" w14:textId="77777777" w:rsidR="00E011F7" w:rsidRPr="008F20FB" w:rsidRDefault="00E011F7" w:rsidP="00E011F7">
      <w:pPr>
        <w:pStyle w:val="SingleTxtG"/>
      </w:pPr>
      <w:r w:rsidRPr="008F20FB">
        <w:t xml:space="preserve">The Committee may wish to </w:t>
      </w:r>
      <w:r w:rsidRPr="008F20FB">
        <w:rPr>
          <w:b/>
          <w:bCs/>
        </w:rPr>
        <w:t>take</w:t>
      </w:r>
      <w:r w:rsidRPr="008F20FB">
        <w:t xml:space="preserve"> </w:t>
      </w:r>
      <w:r w:rsidRPr="008F20FB">
        <w:rPr>
          <w:b/>
          <w:bCs/>
        </w:rPr>
        <w:t>note</w:t>
      </w:r>
      <w:r w:rsidRPr="008F20FB">
        <w:t xml:space="preserve"> of developments in relation to the European Agreement on Main International Railway Lines (AGC). The Committee may wish to </w:t>
      </w:r>
      <w:r w:rsidRPr="008F20FB">
        <w:rPr>
          <w:b/>
          <w:bCs/>
        </w:rPr>
        <w:t>be informed</w:t>
      </w:r>
      <w:r w:rsidRPr="008F20FB">
        <w:t xml:space="preserve"> about the completion of the second phase of the master plan on high-speed trains for the TER region and the cooperation with the TER project. In addition, the Committee </w:t>
      </w:r>
      <w:r w:rsidRPr="008F20FB">
        <w:rPr>
          <w:b/>
          <w:bCs/>
        </w:rPr>
        <w:t>may wish to be updated</w:t>
      </w:r>
      <w:r w:rsidRPr="008F20FB">
        <w:t xml:space="preserve"> on progress in relation to the other key areas addressed by the Working Party aimed at making rail transport more competitive. </w:t>
      </w:r>
    </w:p>
    <w:p w14:paraId="2D7A0616" w14:textId="77777777" w:rsidR="00E011F7" w:rsidRPr="008F20FB" w:rsidRDefault="00E011F7" w:rsidP="00E011F7">
      <w:pPr>
        <w:pStyle w:val="SingleTxtG"/>
      </w:pPr>
      <w:r w:rsidRPr="008F20FB">
        <w:t xml:space="preserve">The Committee may wish to be </w:t>
      </w:r>
      <w:r w:rsidRPr="008F20FB">
        <w:rPr>
          <w:b/>
          <w:bCs/>
        </w:rPr>
        <w:t>informed</w:t>
      </w:r>
      <w:r w:rsidRPr="008F20FB">
        <w:t xml:space="preserve"> about progress of the Group of Experts on Unified Railway Law on preparing a new legal regime for rail transport.</w:t>
      </w:r>
    </w:p>
    <w:p w14:paraId="3D484EA9" w14:textId="77777777" w:rsidR="00E011F7" w:rsidRPr="008F20FB" w:rsidRDefault="00E011F7" w:rsidP="00E011F7">
      <w:pPr>
        <w:pStyle w:val="SingleTxtG"/>
      </w:pPr>
      <w:r w:rsidRPr="008F20FB">
        <w:t xml:space="preserve">The Committee may wish to be </w:t>
      </w:r>
      <w:r w:rsidRPr="008F20FB">
        <w:rPr>
          <w:b/>
          <w:bCs/>
        </w:rPr>
        <w:t>informed</w:t>
      </w:r>
      <w:r w:rsidRPr="008F20FB">
        <w:t xml:space="preserve"> about progress of the Group of Experts on the Permanent Identification of Railway Rolling Stock. </w:t>
      </w:r>
    </w:p>
    <w:p w14:paraId="19FE8CFA" w14:textId="77777777" w:rsidR="00E011F7" w:rsidRPr="008F20FB" w:rsidRDefault="00E011F7" w:rsidP="00E011F7">
      <w:pPr>
        <w:pStyle w:val="SingleTxtG"/>
      </w:pPr>
      <w:r w:rsidRPr="008F20FB">
        <w:t xml:space="preserve">The Committee may wish to be </w:t>
      </w:r>
      <w:r w:rsidRPr="008F20FB">
        <w:rPr>
          <w:b/>
          <w:bCs/>
        </w:rPr>
        <w:t>informed</w:t>
      </w:r>
      <w:r w:rsidRPr="008F20FB">
        <w:t xml:space="preserve"> about progress of the Group of Experts on International Railway Passenger Hubs. </w:t>
      </w:r>
    </w:p>
    <w:p w14:paraId="557315A8" w14:textId="77777777" w:rsidR="00E011F7" w:rsidRPr="00E80D3A" w:rsidRDefault="00E011F7" w:rsidP="00E011F7">
      <w:pPr>
        <w:spacing w:after="120"/>
        <w:ind w:left="1134" w:right="1134"/>
        <w:jc w:val="both"/>
        <w:rPr>
          <w:i/>
          <w:iCs/>
        </w:rPr>
      </w:pPr>
      <w:r w:rsidRPr="00E80D3A">
        <w:t xml:space="preserve">The Committee is </w:t>
      </w:r>
      <w:r w:rsidRPr="00E80D3A">
        <w:rPr>
          <w:b/>
          <w:bCs/>
        </w:rPr>
        <w:t>invited to give guidance</w:t>
      </w:r>
      <w:r w:rsidRPr="00E80D3A">
        <w:t xml:space="preserve"> on these activities.</w:t>
      </w:r>
    </w:p>
    <w:p w14:paraId="122CE77F" w14:textId="16620665" w:rsidR="00113804" w:rsidRPr="008F20FB" w:rsidRDefault="001B2C0A" w:rsidP="002F69D0">
      <w:pPr>
        <w:pStyle w:val="H23G"/>
      </w:pPr>
      <w:r w:rsidRPr="008F20FB">
        <w:tab/>
      </w:r>
      <w:r w:rsidR="00113804" w:rsidRPr="008F20FB">
        <w:t>(</w:t>
      </w:r>
      <w:r w:rsidR="00583EE0" w:rsidRPr="008F20FB">
        <w:t>s</w:t>
      </w:r>
      <w:r w:rsidR="00113804" w:rsidRPr="008F20FB">
        <w:t>)</w:t>
      </w:r>
      <w:r w:rsidR="00113804" w:rsidRPr="008F20FB">
        <w:tab/>
        <w:t>Intermodal transport and logistics</w:t>
      </w:r>
    </w:p>
    <w:p w14:paraId="4C5A6636" w14:textId="77777777" w:rsidR="00E746E4" w:rsidRPr="008F20FB" w:rsidRDefault="00E746E4" w:rsidP="00E746E4">
      <w:pPr>
        <w:pStyle w:val="SingleTxtG"/>
      </w:pPr>
      <w:r w:rsidRPr="008F20FB">
        <w:t xml:space="preserve">The Committee </w:t>
      </w:r>
      <w:r w:rsidRPr="008F20FB">
        <w:rPr>
          <w:b/>
          <w:bCs/>
        </w:rPr>
        <w:t>will be informed</w:t>
      </w:r>
      <w:r w:rsidRPr="008F20FB">
        <w:t xml:space="preserve"> about the results of the sixty‐fourth session of the Working Party on Intermodal Transport and Logistics (ECE/TRANS/WP.24/149). </w:t>
      </w:r>
    </w:p>
    <w:p w14:paraId="5674CC6F" w14:textId="01C39062" w:rsidR="00E746E4" w:rsidRPr="008F20FB" w:rsidRDefault="00E746E4" w:rsidP="00E746E4">
      <w:pPr>
        <w:pStyle w:val="SingleTxtG"/>
      </w:pPr>
      <w:r w:rsidRPr="008F20FB">
        <w:t xml:space="preserve">In particular, the Committee </w:t>
      </w:r>
      <w:r w:rsidRPr="008F20FB">
        <w:rPr>
          <w:b/>
          <w:bCs/>
        </w:rPr>
        <w:t>will be updated</w:t>
      </w:r>
      <w:r w:rsidRPr="008F20FB">
        <w:t xml:space="preserve"> on further developments related to the European Agreement on Important International Combined Transport Lines and Related Installations (AGTC). Such concern (a) the amendments to the Agreement, and (b) the establishment of a monitoring mechanism for the AGTC lines and related installations vis-à-vis their technical parameters by setting up the AGTC inventory in Geographic Information System (GIS) environment.</w:t>
      </w:r>
    </w:p>
    <w:p w14:paraId="2952A8F6" w14:textId="16DC3640" w:rsidR="00E746E4" w:rsidRPr="008F20FB" w:rsidRDefault="00E746E4" w:rsidP="00E746E4">
      <w:pPr>
        <w:pStyle w:val="SingleTxtG"/>
      </w:pPr>
      <w:r w:rsidRPr="008F20FB">
        <w:t xml:space="preserve">The Committee </w:t>
      </w:r>
      <w:r w:rsidRPr="008F20FB">
        <w:rPr>
          <w:b/>
          <w:bCs/>
        </w:rPr>
        <w:t xml:space="preserve">will </w:t>
      </w:r>
      <w:r w:rsidR="001C3FAC" w:rsidRPr="008F20FB">
        <w:rPr>
          <w:b/>
          <w:bCs/>
        </w:rPr>
        <w:t xml:space="preserve">also </w:t>
      </w:r>
      <w:r w:rsidRPr="008F20FB">
        <w:rPr>
          <w:b/>
          <w:bCs/>
        </w:rPr>
        <w:t>be informed</w:t>
      </w:r>
      <w:r w:rsidRPr="008F20FB">
        <w:t xml:space="preserve"> about the challenges faced with the Protocol on Combined Transport on Inland Waterways to the AGTC Agreement, and the ways the Working Party is wishing to address these challenges. </w:t>
      </w:r>
    </w:p>
    <w:p w14:paraId="2A28895D" w14:textId="397F94CF" w:rsidR="00E746E4" w:rsidRPr="008F20FB" w:rsidRDefault="00E746E4" w:rsidP="00E746E4">
      <w:pPr>
        <w:pStyle w:val="SingleTxtG"/>
      </w:pPr>
      <w:r w:rsidRPr="008F20FB">
        <w:t xml:space="preserve">Following the adoption by the Committee at its previous session of the resolution on strengthening intermodal freight transport, the Committee </w:t>
      </w:r>
      <w:r w:rsidRPr="008F20FB">
        <w:rPr>
          <w:b/>
          <w:bCs/>
        </w:rPr>
        <w:t>will be apprised</w:t>
      </w:r>
      <w:r w:rsidRPr="008F20FB">
        <w:t xml:space="preserve"> of the progress made in the implementation of this resolution. </w:t>
      </w:r>
    </w:p>
    <w:p w14:paraId="285B8814" w14:textId="4FAB05B2" w:rsidR="00E746E4" w:rsidRPr="008F20FB" w:rsidRDefault="00E746E4" w:rsidP="00E746E4">
      <w:pPr>
        <w:pStyle w:val="SingleTxtG"/>
      </w:pPr>
      <w:r w:rsidRPr="008F20FB">
        <w:t xml:space="preserve">The Committee </w:t>
      </w:r>
      <w:r w:rsidRPr="008F20FB">
        <w:rPr>
          <w:b/>
          <w:bCs/>
        </w:rPr>
        <w:t xml:space="preserve">will be </w:t>
      </w:r>
      <w:r w:rsidR="00610F41" w:rsidRPr="008F20FB">
        <w:rPr>
          <w:b/>
          <w:bCs/>
        </w:rPr>
        <w:t xml:space="preserve">informed </w:t>
      </w:r>
      <w:r w:rsidR="00610F41" w:rsidRPr="008F20FB">
        <w:t>about</w:t>
      </w:r>
      <w:r w:rsidRPr="008F20FB">
        <w:t xml:space="preserve"> the activities aiming at updating the Code of Practice for Packing of Cargo Transport Units in the absence of the Group of Experts on CTU Code. </w:t>
      </w:r>
    </w:p>
    <w:p w14:paraId="5FB9AFAD" w14:textId="486CD4EA" w:rsidR="00113804" w:rsidRPr="008F20FB" w:rsidRDefault="001B2C0A" w:rsidP="002F69D0">
      <w:pPr>
        <w:pStyle w:val="H23G"/>
      </w:pPr>
      <w:r w:rsidRPr="008F20FB">
        <w:tab/>
      </w:r>
      <w:r w:rsidR="00113804" w:rsidRPr="008F20FB">
        <w:t>(</w:t>
      </w:r>
      <w:r w:rsidR="00583EE0" w:rsidRPr="008F20FB">
        <w:t>t</w:t>
      </w:r>
      <w:r w:rsidR="00113804" w:rsidRPr="008F20FB">
        <w:t>)</w:t>
      </w:r>
      <w:r w:rsidR="00113804" w:rsidRPr="008F20FB">
        <w:tab/>
        <w:t xml:space="preserve">Project related activities: Trans-European </w:t>
      </w:r>
      <w:r w:rsidR="00266A2F" w:rsidRPr="008F20FB">
        <w:t xml:space="preserve">North-South </w:t>
      </w:r>
      <w:r w:rsidR="00113804" w:rsidRPr="008F20FB">
        <w:t>Motorway and Trans-European Railway Projects</w:t>
      </w:r>
    </w:p>
    <w:p w14:paraId="1CA75056" w14:textId="34522AB4" w:rsidR="002F64AC" w:rsidRPr="008F20FB" w:rsidRDefault="002F64AC" w:rsidP="002F64AC">
      <w:pPr>
        <w:spacing w:after="120"/>
        <w:ind w:left="1134" w:right="1134"/>
        <w:jc w:val="both"/>
      </w:pPr>
      <w:r w:rsidRPr="008F20FB">
        <w:t xml:space="preserve">The Committee </w:t>
      </w:r>
      <w:r w:rsidRPr="008F20FB">
        <w:rPr>
          <w:b/>
          <w:bCs/>
        </w:rPr>
        <w:t>may wish to be informed</w:t>
      </w:r>
      <w:r w:rsidRPr="008F20FB">
        <w:t xml:space="preserve"> about the recent developments in the Trans-European North-South Motorway (TEM) and the Trans-European Railway (TER) projects (Informal document No. </w:t>
      </w:r>
      <w:r w:rsidR="001B2C0A" w:rsidRPr="008F20FB">
        <w:t>4</w:t>
      </w:r>
      <w:r w:rsidRPr="008F20FB">
        <w:t xml:space="preserve">). The Committee </w:t>
      </w:r>
      <w:r w:rsidRPr="008F20FB">
        <w:rPr>
          <w:b/>
          <w:bCs/>
        </w:rPr>
        <w:t>may wish to express its support</w:t>
      </w:r>
      <w:r w:rsidRPr="008F20FB">
        <w:t xml:space="preserve"> for the activities carried out by TEM and TER, </w:t>
      </w:r>
      <w:r w:rsidRPr="008F20FB">
        <w:rPr>
          <w:b/>
          <w:bCs/>
        </w:rPr>
        <w:t>thank</w:t>
      </w:r>
      <w:r w:rsidRPr="008F20FB">
        <w:t xml:space="preserve"> those member States that offered candidates for TEM and TER project managers and encourage the rapid finalization of their contracts. The Committee may also wish to express its appreciation to the Republic of Serbia for the extension of the agreement on hosting the TER PCO for another two years and Croatia and Poland for supporting TEM and TER with project management.</w:t>
      </w:r>
    </w:p>
    <w:p w14:paraId="0F99ABF4" w14:textId="77777777" w:rsidR="001B2C0A" w:rsidRPr="008F20FB" w:rsidRDefault="001B2C0A" w:rsidP="001B2C0A">
      <w:pPr>
        <w:pStyle w:val="SingleTxtG"/>
        <w:rPr>
          <w:b/>
          <w:bCs/>
        </w:rPr>
      </w:pPr>
      <w:r w:rsidRPr="008F20FB">
        <w:rPr>
          <w:b/>
          <w:bCs/>
        </w:rPr>
        <w:t>Documentation</w:t>
      </w:r>
    </w:p>
    <w:p w14:paraId="755A720F" w14:textId="63227DC5" w:rsidR="007C357A" w:rsidRPr="008F20FB" w:rsidRDefault="001B2C0A" w:rsidP="001B2C0A">
      <w:pPr>
        <w:spacing w:after="120"/>
        <w:ind w:left="567" w:right="1134" w:firstLine="567"/>
        <w:jc w:val="both"/>
      </w:pPr>
      <w:r w:rsidRPr="008F20FB">
        <w:t>Informal document No. 4</w:t>
      </w:r>
    </w:p>
    <w:p w14:paraId="7195770E" w14:textId="40179211" w:rsidR="00113804" w:rsidRPr="008F20FB" w:rsidRDefault="00282111" w:rsidP="002F69D0">
      <w:pPr>
        <w:pStyle w:val="H23G"/>
      </w:pPr>
      <w:r w:rsidRPr="008F20FB">
        <w:tab/>
      </w:r>
      <w:r w:rsidR="00113804" w:rsidRPr="008F20FB">
        <w:t>(</w:t>
      </w:r>
      <w:r w:rsidR="00583EE0" w:rsidRPr="008F20FB">
        <w:t>u</w:t>
      </w:r>
      <w:r w:rsidR="00113804" w:rsidRPr="008F20FB">
        <w:t>)</w:t>
      </w:r>
      <w:r w:rsidR="00113804" w:rsidRPr="008F20FB">
        <w:tab/>
        <w:t>Inland water transport</w:t>
      </w:r>
    </w:p>
    <w:p w14:paraId="184070C0" w14:textId="77777777" w:rsidR="00234519" w:rsidRPr="00234519" w:rsidRDefault="00234519" w:rsidP="00234519">
      <w:pPr>
        <w:spacing w:after="120"/>
        <w:ind w:left="1134" w:right="1134"/>
        <w:jc w:val="both"/>
      </w:pPr>
      <w:r w:rsidRPr="00234519">
        <w:t xml:space="preserve">The Committee </w:t>
      </w:r>
      <w:r w:rsidRPr="00234519">
        <w:rPr>
          <w:b/>
          <w:bCs/>
        </w:rPr>
        <w:t>will be informed</w:t>
      </w:r>
      <w:r w:rsidRPr="00234519">
        <w:t xml:space="preserve"> about the latest activities of the Working Party on Inland Water Transport (SC.3) (ECE/TRANS/SC.3/215). In particular, the Committee may </w:t>
      </w:r>
      <w:r w:rsidRPr="00234519">
        <w:rPr>
          <w:b/>
          <w:bCs/>
        </w:rPr>
        <w:t xml:space="preserve">wish to </w:t>
      </w:r>
      <w:r w:rsidRPr="00234519">
        <w:rPr>
          <w:b/>
          <w:bCs/>
        </w:rPr>
        <w:lastRenderedPageBreak/>
        <w:t xml:space="preserve">take note </w:t>
      </w:r>
      <w:r w:rsidRPr="00234519">
        <w:t xml:space="preserve">of the finalization and adoption of the sixth revision of the European Code for Inland Waterways (CEVNI), adopted by resolution No. 102 of SC.3 at its sixty-fifth session. The Committee may </w:t>
      </w:r>
      <w:r w:rsidRPr="00234519">
        <w:rPr>
          <w:b/>
          <w:bCs/>
        </w:rPr>
        <w:t>wish to support</w:t>
      </w:r>
      <w:r w:rsidRPr="00234519">
        <w:t xml:space="preserve"> the activities of SC.3 on further updating of CEVNI to keep this a living document, harmonized with the navigation rules of member States and River Commissions and may </w:t>
      </w:r>
      <w:r w:rsidRPr="00234519">
        <w:rPr>
          <w:b/>
          <w:bCs/>
        </w:rPr>
        <w:t>wish to encourage</w:t>
      </w:r>
      <w:r w:rsidRPr="00234519">
        <w:t xml:space="preserve"> member States to apply the sixth revision of CEVNI.</w:t>
      </w:r>
    </w:p>
    <w:p w14:paraId="7B323DC1" w14:textId="77777777" w:rsidR="00234519" w:rsidRPr="00234519" w:rsidRDefault="00234519" w:rsidP="00234519">
      <w:pPr>
        <w:spacing w:after="120"/>
        <w:ind w:left="1134" w:right="1134"/>
        <w:jc w:val="both"/>
      </w:pPr>
      <w:r w:rsidRPr="00234519">
        <w:t xml:space="preserve">The Committee may </w:t>
      </w:r>
      <w:r w:rsidRPr="00234519">
        <w:rPr>
          <w:b/>
          <w:bCs/>
        </w:rPr>
        <w:t>wish to take note</w:t>
      </w:r>
      <w:r w:rsidRPr="00234519">
        <w:t xml:space="preserve"> of the discussion initiated at the sixty-fifth session of SC.3 on the new proposal for the classification of European inland waterways transmitted by the World Association for Waterborne Transport Infrastructure (PIANC) and support the decision of SC.3 to establish an informal expert group to investigate the proposal and prepare recommendations for SC.3.</w:t>
      </w:r>
    </w:p>
    <w:p w14:paraId="5178044E" w14:textId="77777777" w:rsidR="00234519" w:rsidRPr="00234519" w:rsidRDefault="00234519" w:rsidP="00234519">
      <w:pPr>
        <w:spacing w:after="120"/>
        <w:ind w:left="1134" w:right="1134"/>
        <w:jc w:val="both"/>
      </w:pPr>
      <w:r w:rsidRPr="00234519">
        <w:t xml:space="preserve">The Committee </w:t>
      </w:r>
      <w:r w:rsidRPr="00234519">
        <w:rPr>
          <w:b/>
          <w:bCs/>
        </w:rPr>
        <w:t>may wish to take note</w:t>
      </w:r>
      <w:r w:rsidRPr="00234519">
        <w:t xml:space="preserve"> of the progress reached by SC.3 and its subsidiary bodies in 2021: (a) the approval of amendment No. 4 to the third revision of the Inventory of Main Standards and Parameters of the E Waterway Network (“Blue Book”); (b) the adoption of amendment No. 3 to the second revision of resolution No. 61 as resolution No. 103; (c) the adoption of the amendment to revised resolution No. 21, “Prevention of pollution of inland waterways by vessels”, and (d) the promotion of recreational navigation, including the activities of the Informal Working Group on Recreational Navigation, updating annex IV to resolution No. 40, International Certificate for Operators of Pleasure Craft (ICC) and the online database of ICC specimens.</w:t>
      </w:r>
    </w:p>
    <w:p w14:paraId="044A1375" w14:textId="77777777" w:rsidR="00234519" w:rsidRPr="00234519" w:rsidRDefault="00234519" w:rsidP="00234519">
      <w:pPr>
        <w:spacing w:after="120"/>
        <w:ind w:left="1134" w:right="1134"/>
        <w:jc w:val="both"/>
      </w:pPr>
      <w:r w:rsidRPr="00234519">
        <w:t xml:space="preserve">The Committee </w:t>
      </w:r>
      <w:r w:rsidRPr="00234519">
        <w:rPr>
          <w:b/>
          <w:bCs/>
        </w:rPr>
        <w:t>may wish to take note</w:t>
      </w:r>
      <w:r w:rsidRPr="00234519">
        <w:t xml:space="preserve"> of the programme of work and biennial evaluation for 2022–2023 (ECE/TRANS/SC.3/2021/12), adopted by SC.3 following its decision to maintain the practice of the adoption of biennial programmes of work and the 4-year plans (ECE/TRANS/SC.3/210, para. 99). </w:t>
      </w:r>
    </w:p>
    <w:p w14:paraId="28D9314B" w14:textId="77777777" w:rsidR="00234519" w:rsidRPr="00234519" w:rsidRDefault="00234519" w:rsidP="00234519">
      <w:pPr>
        <w:spacing w:after="120"/>
        <w:ind w:left="1134" w:right="1134"/>
        <w:jc w:val="both"/>
      </w:pPr>
      <w:r w:rsidRPr="00234519">
        <w:t xml:space="preserve">The Committee </w:t>
      </w:r>
      <w:r w:rsidRPr="00234519">
        <w:rPr>
          <w:b/>
          <w:bCs/>
        </w:rPr>
        <w:t>may wish to approve</w:t>
      </w:r>
      <w:r w:rsidRPr="00234519">
        <w:t xml:space="preserve"> the revised Terms of Reference of SC.3 adopted at its sixty-fifth session (see agenda item 5(a)), brought in line with the ITC Strategy until 2030, new activities and tasks arising from the Ministerial declaration “Inland Navigation in a Global Setting” adopted at the International Conference in Wroclaw (Poland) on 18 April 2018, the White Paper on the Progress, Accomplishments and Future of Sustainable Inland Water Transport and its programme of work (ECE/TRANS/SC.3/2021/13).</w:t>
      </w:r>
    </w:p>
    <w:p w14:paraId="0CC5B3D8" w14:textId="521C5F07" w:rsidR="00B70F3F" w:rsidRPr="008F20FB" w:rsidRDefault="00234519" w:rsidP="00B70F3F">
      <w:pPr>
        <w:spacing w:after="120"/>
        <w:ind w:left="1134" w:right="1134"/>
        <w:jc w:val="both"/>
      </w:pPr>
      <w:r w:rsidRPr="00234519">
        <w:t xml:space="preserve">The Committee </w:t>
      </w:r>
      <w:r w:rsidRPr="00234519">
        <w:rPr>
          <w:b/>
          <w:bCs/>
        </w:rPr>
        <w:t>will be informed</w:t>
      </w:r>
      <w:r w:rsidRPr="00234519">
        <w:t xml:space="preserve"> about the outcome of the workshops on inland water transport held in 2021: (a) Climate change and the extreme water situation on European waterways and its impact on inland water transport (17 February 2021), (b) Building up a solid international regulatory framework aimed at increasing the efficiency and safety of inland water transport (23 June 2021), and (c) Cybersecurity in inland water transport (3 November 2021). </w:t>
      </w:r>
      <w:r w:rsidR="00B70F3F" w:rsidRPr="008F20FB">
        <w:t xml:space="preserve"> </w:t>
      </w:r>
    </w:p>
    <w:p w14:paraId="4405803D" w14:textId="710C8A79" w:rsidR="006A74B1" w:rsidRPr="008F20FB" w:rsidRDefault="004A5423" w:rsidP="002F69D0">
      <w:pPr>
        <w:pStyle w:val="H23G"/>
      </w:pPr>
      <w:r w:rsidRPr="008F20FB">
        <w:tab/>
      </w:r>
      <w:r w:rsidR="006A74B1" w:rsidRPr="008F20FB">
        <w:t>(</w:t>
      </w:r>
      <w:r w:rsidR="00583EE0" w:rsidRPr="008F20FB">
        <w:t>v</w:t>
      </w:r>
      <w:r w:rsidR="006A74B1" w:rsidRPr="008F20FB">
        <w:t>)</w:t>
      </w:r>
      <w:r w:rsidR="006A74B1" w:rsidRPr="008F20FB">
        <w:tab/>
        <w:t>Transport statistics and data</w:t>
      </w:r>
    </w:p>
    <w:p w14:paraId="03437634" w14:textId="61C1935C" w:rsidR="00AB5A0E" w:rsidRPr="008F20FB" w:rsidRDefault="00AB5A0E" w:rsidP="00AB5A0E">
      <w:pPr>
        <w:spacing w:after="120"/>
        <w:ind w:left="1134" w:right="1134"/>
        <w:jc w:val="both"/>
      </w:pPr>
      <w:r w:rsidRPr="008F20FB">
        <w:t xml:space="preserve">The Committee </w:t>
      </w:r>
      <w:r w:rsidRPr="008F20FB">
        <w:rPr>
          <w:b/>
          <w:bCs/>
        </w:rPr>
        <w:t>will be informed</w:t>
      </w:r>
      <w:r w:rsidRPr="008F20FB">
        <w:t xml:space="preserve"> about the latest transport statistics activities, including the hybrid session of the Working Party on Transport Statistics (WP.6) held in June 2021. The Committee </w:t>
      </w:r>
      <w:r w:rsidRPr="008F20FB">
        <w:rPr>
          <w:b/>
          <w:bCs/>
        </w:rPr>
        <w:t>will be invited</w:t>
      </w:r>
      <w:r w:rsidRPr="008F20FB">
        <w:t xml:space="preserve"> to approve the new </w:t>
      </w:r>
      <w:r w:rsidRPr="009E1A2C">
        <w:t>Terms of Reference</w:t>
      </w:r>
      <w:r w:rsidRPr="008F20FB">
        <w:t xml:space="preserve"> for WP.6 (ECE/TRANS/WP.6/2021/3 and ECE/TRANS/2022/</w:t>
      </w:r>
      <w:r w:rsidR="00AE60E4" w:rsidRPr="008F20FB">
        <w:t>6</w:t>
      </w:r>
      <w:r w:rsidRPr="008F20FB">
        <w:t>).</w:t>
      </w:r>
    </w:p>
    <w:p w14:paraId="4E1A5B04" w14:textId="203611AE" w:rsidR="00AB5A0E" w:rsidRPr="008F20FB" w:rsidRDefault="00AB5A0E" w:rsidP="00AB5A0E">
      <w:pPr>
        <w:spacing w:after="120"/>
        <w:ind w:left="1134" w:right="1134"/>
        <w:jc w:val="both"/>
      </w:pPr>
      <w:r w:rsidRPr="008F20FB">
        <w:t xml:space="preserve">The secretariat </w:t>
      </w:r>
      <w:r w:rsidRPr="008F20FB">
        <w:rPr>
          <w:b/>
          <w:bCs/>
        </w:rPr>
        <w:t xml:space="preserve">will </w:t>
      </w:r>
      <w:r w:rsidR="00AE60E4" w:rsidRPr="008F20FB">
        <w:rPr>
          <w:b/>
          <w:bCs/>
        </w:rPr>
        <w:t>inform</w:t>
      </w:r>
      <w:r w:rsidR="00AE60E4" w:rsidRPr="008F20FB">
        <w:t xml:space="preserve"> the Committee about</w:t>
      </w:r>
      <w:r w:rsidRPr="008F20FB">
        <w:t xml:space="preserve"> ongoing activities related to monitoring the COVID-19 pandemic.</w:t>
      </w:r>
    </w:p>
    <w:p w14:paraId="64229626" w14:textId="6D614EB3" w:rsidR="00AB5A0E" w:rsidRPr="008F20FB" w:rsidRDefault="00AB5A0E" w:rsidP="00AB5A0E">
      <w:pPr>
        <w:spacing w:after="120"/>
        <w:ind w:left="1134" w:right="1134"/>
        <w:jc w:val="both"/>
      </w:pPr>
      <w:r w:rsidRPr="008F20FB">
        <w:rPr>
          <w:b/>
          <w:bCs/>
        </w:rPr>
        <w:t>Recalling</w:t>
      </w:r>
      <w:r w:rsidRPr="008F20FB">
        <w:t xml:space="preserve"> </w:t>
      </w:r>
      <w:r w:rsidR="00AE60E4" w:rsidRPr="008F20FB">
        <w:t>R</w:t>
      </w:r>
      <w:r w:rsidRPr="008F20FB">
        <w:t xml:space="preserve">esolution </w:t>
      </w:r>
      <w:r w:rsidR="00306D57" w:rsidRPr="008F20FB">
        <w:t xml:space="preserve">No. </w:t>
      </w:r>
      <w:r w:rsidRPr="008F20FB">
        <w:t>266 of the 2019 Committee session (ECE/TRANS/288</w:t>
      </w:r>
      <w:r w:rsidR="00306D57" w:rsidRPr="008F20FB">
        <w:t>, a</w:t>
      </w:r>
      <w:r w:rsidRPr="008F20FB">
        <w:t xml:space="preserve">nnex IV), the secretariat </w:t>
      </w:r>
      <w:r w:rsidRPr="008F20FB">
        <w:rPr>
          <w:b/>
          <w:bCs/>
        </w:rPr>
        <w:t>will update</w:t>
      </w:r>
      <w:r w:rsidRPr="008F20FB">
        <w:t xml:space="preserve"> the </w:t>
      </w:r>
      <w:r w:rsidR="007C0379" w:rsidRPr="008F20FB">
        <w:t>C</w:t>
      </w:r>
      <w:r w:rsidRPr="008F20FB">
        <w:t>ommittee on the status of the 2020 E-Road census</w:t>
      </w:r>
      <w:r w:rsidR="007C0379" w:rsidRPr="008F20FB">
        <w:t xml:space="preserve">. The Committee </w:t>
      </w:r>
      <w:r w:rsidR="007C0379" w:rsidRPr="008F20FB">
        <w:rPr>
          <w:b/>
          <w:bCs/>
        </w:rPr>
        <w:t xml:space="preserve">may wish to </w:t>
      </w:r>
      <w:r w:rsidRPr="008F20FB">
        <w:rPr>
          <w:b/>
          <w:bCs/>
        </w:rPr>
        <w:t>encourage</w:t>
      </w:r>
      <w:r w:rsidRPr="008F20FB">
        <w:t xml:space="preserve"> member States to provide data for this exercise.</w:t>
      </w:r>
    </w:p>
    <w:p w14:paraId="1DE71DA7" w14:textId="4D4075C0" w:rsidR="00AB5A0E" w:rsidRPr="008F20FB" w:rsidRDefault="00AB5A0E" w:rsidP="00AB5A0E">
      <w:pPr>
        <w:spacing w:after="120"/>
        <w:ind w:left="1134" w:right="1134"/>
        <w:jc w:val="both"/>
      </w:pPr>
      <w:r w:rsidRPr="008F20FB">
        <w:t xml:space="preserve">The Committee </w:t>
      </w:r>
      <w:r w:rsidRPr="008F20FB">
        <w:rPr>
          <w:b/>
          <w:bCs/>
        </w:rPr>
        <w:t>will be informed</w:t>
      </w:r>
      <w:r w:rsidRPr="008F20FB">
        <w:t xml:space="preserve"> about the recent Statistics of Road Traffic Accidents in Europe and North America publication, as well the new interactive Transport Statistics Infocards (ECE/TRANS/2022/</w:t>
      </w:r>
      <w:r w:rsidR="00645329" w:rsidRPr="008F20FB">
        <w:t>26</w:t>
      </w:r>
      <w:r w:rsidRPr="008F20FB">
        <w:t xml:space="preserve">). </w:t>
      </w:r>
    </w:p>
    <w:p w14:paraId="44C2EB10" w14:textId="77777777" w:rsidR="004B56C9" w:rsidRPr="008F20FB" w:rsidRDefault="004B56C9" w:rsidP="004B56C9">
      <w:pPr>
        <w:pStyle w:val="SingleTxtG"/>
        <w:rPr>
          <w:b/>
          <w:bCs/>
        </w:rPr>
      </w:pPr>
      <w:r w:rsidRPr="008F20FB">
        <w:rPr>
          <w:b/>
          <w:bCs/>
        </w:rPr>
        <w:t>Documentation</w:t>
      </w:r>
    </w:p>
    <w:p w14:paraId="109598FB" w14:textId="3CF21F3E" w:rsidR="00446B6C" w:rsidRPr="008F20FB" w:rsidRDefault="004B56C9" w:rsidP="004B56C9">
      <w:pPr>
        <w:spacing w:after="120"/>
        <w:ind w:left="1134" w:right="1134"/>
        <w:jc w:val="both"/>
      </w:pPr>
      <w:r w:rsidRPr="008F20FB">
        <w:t>ECE/TRANS/2022/</w:t>
      </w:r>
      <w:r w:rsidR="00645329" w:rsidRPr="008F20FB">
        <w:t>26</w:t>
      </w:r>
    </w:p>
    <w:p w14:paraId="0E0553EB" w14:textId="086BF31D" w:rsidR="00113804" w:rsidRPr="008F20FB" w:rsidRDefault="004B56C9" w:rsidP="002F69D0">
      <w:pPr>
        <w:pStyle w:val="H23G"/>
      </w:pPr>
      <w:r w:rsidRPr="008F20FB">
        <w:lastRenderedPageBreak/>
        <w:tab/>
      </w:r>
      <w:r w:rsidR="006A74B1" w:rsidRPr="008F20FB">
        <w:t>(</w:t>
      </w:r>
      <w:r w:rsidR="00583EE0" w:rsidRPr="008F20FB">
        <w:t>w</w:t>
      </w:r>
      <w:r w:rsidR="006A74B1" w:rsidRPr="008F20FB">
        <w:t>)</w:t>
      </w:r>
      <w:r w:rsidR="006A74B1" w:rsidRPr="008F20FB">
        <w:tab/>
        <w:t>Draft Annual Report of activities undertaken by the Committee’s subsidiary bodies in 2021</w:t>
      </w:r>
    </w:p>
    <w:p w14:paraId="11C56792" w14:textId="74B52C66" w:rsidR="008F7832" w:rsidRPr="008F20FB" w:rsidRDefault="008F7832" w:rsidP="008F7832">
      <w:pPr>
        <w:spacing w:after="120"/>
        <w:ind w:left="1134" w:right="1134"/>
        <w:jc w:val="both"/>
        <w:rPr>
          <w:lang w:eastAsia="en-US"/>
        </w:rPr>
      </w:pPr>
      <w:r w:rsidRPr="008F20FB">
        <w:rPr>
          <w:lang w:eastAsia="en-US"/>
        </w:rPr>
        <w:t xml:space="preserve">The Committee will be </w:t>
      </w:r>
      <w:r w:rsidRPr="008F20FB">
        <w:rPr>
          <w:b/>
          <w:lang w:eastAsia="en-US"/>
        </w:rPr>
        <w:t>presented</w:t>
      </w:r>
      <w:r w:rsidRPr="008F20FB">
        <w:rPr>
          <w:lang w:eastAsia="en-US"/>
        </w:rPr>
        <w:t xml:space="preserve"> with a comprehensive report of activities undertaken by the Committee’s subsidiary bodies during 2021, in administering the 59 United Nations conventions, agreements and other types of legal instrument which shape the international legal framework for road, rail, inland waterway, intermodal transport, dangerous goods transport and vehicle construction (ECE/TRANS/202</w:t>
      </w:r>
      <w:r w:rsidR="008423DE" w:rsidRPr="008F20FB">
        <w:rPr>
          <w:lang w:eastAsia="en-US"/>
        </w:rPr>
        <w:t>2</w:t>
      </w:r>
      <w:r w:rsidRPr="008F20FB">
        <w:rPr>
          <w:lang w:eastAsia="en-US"/>
        </w:rPr>
        <w:t>/</w:t>
      </w:r>
      <w:r w:rsidR="00645329" w:rsidRPr="008F20FB">
        <w:rPr>
          <w:lang w:eastAsia="en-US"/>
        </w:rPr>
        <w:t>27</w:t>
      </w:r>
      <w:r w:rsidRPr="008F20FB">
        <w:rPr>
          <w:lang w:eastAsia="en-US"/>
        </w:rPr>
        <w:t>). The focus is on the impacts of the work of the Working Parties and contribution to implementing the Sustainable Development Goals.</w:t>
      </w:r>
    </w:p>
    <w:p w14:paraId="5D2302BC" w14:textId="77777777" w:rsidR="008F7832" w:rsidRPr="008F20FB" w:rsidRDefault="008F7832" w:rsidP="008F7832">
      <w:pPr>
        <w:pStyle w:val="SingleTxtG"/>
        <w:rPr>
          <w:lang w:eastAsia="en-US"/>
        </w:rPr>
      </w:pPr>
      <w:r w:rsidRPr="008F20FB">
        <w:rPr>
          <w:lang w:eastAsia="en-US"/>
        </w:rPr>
        <w:t xml:space="preserve">The Committee is invited to </w:t>
      </w:r>
      <w:r w:rsidRPr="008F20FB">
        <w:rPr>
          <w:b/>
          <w:lang w:eastAsia="en-US"/>
        </w:rPr>
        <w:t>discuss</w:t>
      </w:r>
      <w:r w:rsidRPr="008F20FB">
        <w:rPr>
          <w:lang w:eastAsia="en-US"/>
        </w:rPr>
        <w:t xml:space="preserve"> the annual report and to </w:t>
      </w:r>
      <w:r w:rsidRPr="008F20FB">
        <w:rPr>
          <w:b/>
          <w:lang w:eastAsia="en-US"/>
        </w:rPr>
        <w:t>provide guidance</w:t>
      </w:r>
      <w:r w:rsidRPr="008F20FB">
        <w:rPr>
          <w:lang w:eastAsia="en-US"/>
        </w:rPr>
        <w:t xml:space="preserve"> on improving the visibility and awareness of the results, noting that the annual report would benefit greatly from substantive feedback from contracting parties on the </w:t>
      </w:r>
      <w:r w:rsidRPr="00E80D3A">
        <w:rPr>
          <w:lang w:eastAsia="en-US"/>
        </w:rPr>
        <w:t>impacts</w:t>
      </w:r>
      <w:r w:rsidRPr="008F20FB">
        <w:rPr>
          <w:lang w:eastAsia="en-US"/>
        </w:rPr>
        <w:t xml:space="preserve"> of the Committee’s work especially at the national context. </w:t>
      </w:r>
    </w:p>
    <w:p w14:paraId="232CD711" w14:textId="77777777" w:rsidR="008F7832" w:rsidRPr="008F20FB" w:rsidRDefault="008F7832" w:rsidP="008F7832">
      <w:pPr>
        <w:spacing w:after="120"/>
        <w:ind w:left="1134" w:right="1134"/>
        <w:jc w:val="both"/>
        <w:rPr>
          <w:b/>
          <w:lang w:eastAsia="en-US"/>
        </w:rPr>
      </w:pPr>
      <w:r w:rsidRPr="008F20FB">
        <w:rPr>
          <w:b/>
          <w:lang w:eastAsia="en-US"/>
        </w:rPr>
        <w:t>Documentation</w:t>
      </w:r>
    </w:p>
    <w:p w14:paraId="305A42E7" w14:textId="5C2E867B" w:rsidR="008F7832" w:rsidRPr="008F20FB" w:rsidRDefault="008F7832" w:rsidP="008423DE">
      <w:pPr>
        <w:pStyle w:val="SingleTxtG"/>
      </w:pPr>
      <w:r w:rsidRPr="008F20FB">
        <w:rPr>
          <w:lang w:eastAsia="en-US"/>
        </w:rPr>
        <w:t>ECE/TRANS/202</w:t>
      </w:r>
      <w:r w:rsidR="008423DE" w:rsidRPr="008F20FB">
        <w:rPr>
          <w:lang w:eastAsia="en-US"/>
        </w:rPr>
        <w:t>2</w:t>
      </w:r>
      <w:r w:rsidRPr="008F20FB">
        <w:rPr>
          <w:lang w:eastAsia="en-US"/>
        </w:rPr>
        <w:t>/</w:t>
      </w:r>
      <w:r w:rsidR="00645329" w:rsidRPr="008F20FB">
        <w:rPr>
          <w:lang w:eastAsia="en-US"/>
        </w:rPr>
        <w:t>27</w:t>
      </w:r>
    </w:p>
    <w:p w14:paraId="7D710D59" w14:textId="5941FE9B" w:rsidR="00113804" w:rsidRPr="008F20FB" w:rsidRDefault="008423DE" w:rsidP="00710E2D">
      <w:pPr>
        <w:pStyle w:val="H1G"/>
      </w:pPr>
      <w:r w:rsidRPr="008F20FB">
        <w:tab/>
      </w:r>
      <w:r w:rsidR="00113804" w:rsidRPr="008F20FB">
        <w:t>10.</w:t>
      </w:r>
      <w:r w:rsidR="00113804" w:rsidRPr="008F20FB">
        <w:tab/>
        <w:t>Approval of the reports of the Committee’s subsidiary bodies</w:t>
      </w:r>
    </w:p>
    <w:p w14:paraId="265E197F" w14:textId="77777777" w:rsidR="009D3E66" w:rsidRPr="008F20FB" w:rsidRDefault="009D3E66" w:rsidP="009D3E66">
      <w:pPr>
        <w:pStyle w:val="SingleTxtG"/>
        <w:rPr>
          <w:lang w:eastAsia="en-US"/>
        </w:rPr>
      </w:pPr>
      <w:r w:rsidRPr="008F20FB">
        <w:rPr>
          <w:lang w:eastAsia="en-US"/>
        </w:rPr>
        <w:t xml:space="preserve">The Committee may wish to </w:t>
      </w:r>
      <w:r w:rsidRPr="008F20FB">
        <w:rPr>
          <w:b/>
          <w:lang w:eastAsia="en-US"/>
        </w:rPr>
        <w:t>approve</w:t>
      </w:r>
      <w:r w:rsidRPr="008F20FB">
        <w:rPr>
          <w:lang w:eastAsia="en-US"/>
        </w:rPr>
        <w:t xml:space="preserve"> as a whole the reports and related activities of its subsidiary bodies and </w:t>
      </w:r>
      <w:r w:rsidRPr="008F20FB">
        <w:rPr>
          <w:b/>
          <w:lang w:eastAsia="en-US"/>
        </w:rPr>
        <w:t>request</w:t>
      </w:r>
      <w:r w:rsidRPr="008F20FB">
        <w:rPr>
          <w:lang w:eastAsia="en-US"/>
        </w:rPr>
        <w:t xml:space="preserve"> the secretariat to incorporate related references in the complete ITC report on the basis of the respective annotations contained in this document.</w:t>
      </w:r>
    </w:p>
    <w:p w14:paraId="0304E55F" w14:textId="77777777" w:rsidR="009D3E66" w:rsidRPr="00E80D3A" w:rsidRDefault="009D3E66" w:rsidP="009D3E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7087"/>
        </w:tabs>
        <w:spacing w:after="120"/>
        <w:ind w:left="1701" w:right="1134" w:hanging="567"/>
        <w:jc w:val="both"/>
        <w:rPr>
          <w:lang w:eastAsia="en-US"/>
        </w:rPr>
      </w:pPr>
      <w:r w:rsidRPr="00E80D3A">
        <w:rPr>
          <w:b/>
          <w:bCs/>
          <w:lang w:eastAsia="en-US"/>
        </w:rPr>
        <w:t>Documentation</w:t>
      </w:r>
      <w:r w:rsidRPr="00E80D3A">
        <w:rPr>
          <w:lang w:eastAsia="en-US"/>
        </w:rPr>
        <w:t xml:space="preserve"> </w:t>
      </w:r>
    </w:p>
    <w:p w14:paraId="103B6C22" w14:textId="02FB1C31" w:rsidR="00531817" w:rsidRPr="008F20FB" w:rsidRDefault="00D75367" w:rsidP="00E84D58">
      <w:pPr>
        <w:pStyle w:val="SingleTxtG"/>
        <w:rPr>
          <w:lang w:eastAsia="en-US"/>
        </w:rPr>
      </w:pPr>
      <w:r w:rsidRPr="008F20FB">
        <w:rPr>
          <w:lang w:eastAsia="en-US"/>
        </w:rPr>
        <w:t>ECE/TRANS/WP.1/17</w:t>
      </w:r>
      <w:r w:rsidR="00D05109" w:rsidRPr="008F20FB">
        <w:rPr>
          <w:lang w:eastAsia="en-US"/>
        </w:rPr>
        <w:t>5</w:t>
      </w:r>
      <w:r w:rsidRPr="008F20FB">
        <w:rPr>
          <w:lang w:eastAsia="en-US"/>
        </w:rPr>
        <w:t>, ECE/TRANS/WP.1/17</w:t>
      </w:r>
      <w:r w:rsidR="00D05109" w:rsidRPr="008F20FB">
        <w:rPr>
          <w:lang w:eastAsia="en-US"/>
        </w:rPr>
        <w:t>7</w:t>
      </w:r>
      <w:r w:rsidRPr="008F20FB">
        <w:rPr>
          <w:lang w:eastAsia="en-US"/>
        </w:rPr>
        <w:t xml:space="preserve">; </w:t>
      </w:r>
      <w:r w:rsidR="00F8105D" w:rsidRPr="008F20FB">
        <w:rPr>
          <w:lang w:eastAsia="en-US"/>
        </w:rPr>
        <w:t>ECE/TRANS/WP.1/GE.2/40; ECE/TRANS/WP.1/GE.3/2021/2</w:t>
      </w:r>
      <w:r w:rsidR="004D3F1E" w:rsidRPr="008F20FB">
        <w:rPr>
          <w:lang w:eastAsia="en-US"/>
        </w:rPr>
        <w:t xml:space="preserve">; </w:t>
      </w:r>
      <w:r w:rsidR="00A1102B" w:rsidRPr="008F20FB">
        <w:t>ECE/TRANS/WP.5/70</w:t>
      </w:r>
      <w:r w:rsidRPr="008F20FB">
        <w:rPr>
          <w:lang w:eastAsia="en-US"/>
        </w:rPr>
        <w:t>;</w:t>
      </w:r>
      <w:r w:rsidR="00A03F41" w:rsidRPr="008F20FB">
        <w:rPr>
          <w:lang w:eastAsia="en-US"/>
        </w:rPr>
        <w:t xml:space="preserve"> </w:t>
      </w:r>
      <w:r w:rsidR="00220DA6" w:rsidRPr="008F20FB">
        <w:rPr>
          <w:lang w:eastAsia="en-US"/>
        </w:rPr>
        <w:t xml:space="preserve">ECE/TRANS/WP.6/181; </w:t>
      </w:r>
      <w:r w:rsidR="00A03F41" w:rsidRPr="008F20FB">
        <w:t>ECE/TRANS/WP.11/243, ECE/TRANS/WP.11/245</w:t>
      </w:r>
      <w:r w:rsidRPr="008F20FB">
        <w:rPr>
          <w:lang w:eastAsia="en-US"/>
        </w:rPr>
        <w:t xml:space="preserve">; </w:t>
      </w:r>
      <w:r w:rsidR="009F4C0C" w:rsidRPr="008F20FB">
        <w:rPr>
          <w:rFonts w:asciiTheme="majorBidi" w:hAnsiTheme="majorBidi" w:cstheme="majorBidi"/>
        </w:rPr>
        <w:t>ECE/TRANS/WP.15/253, ECE/TRANS/WP.15/255, ECE/TRANS/WP.15/AC.1/160 and Add.1</w:t>
      </w:r>
      <w:r w:rsidR="00AB5E11" w:rsidRPr="008F20FB">
        <w:t xml:space="preserve"> </w:t>
      </w:r>
      <w:r w:rsidR="00AB5E11" w:rsidRPr="008F20FB">
        <w:rPr>
          <w:rFonts w:asciiTheme="majorBidi" w:hAnsiTheme="majorBidi" w:cstheme="majorBidi"/>
        </w:rPr>
        <w:t>and Corr.1</w:t>
      </w:r>
      <w:r w:rsidR="009F4C0C" w:rsidRPr="008F20FB">
        <w:rPr>
          <w:rFonts w:asciiTheme="majorBidi" w:hAnsiTheme="majorBidi" w:cstheme="majorBidi"/>
        </w:rPr>
        <w:t>, ECE/TRANS/WP.15/AC.1/162 and Add.1, ECE/TRANS/WP.15/AC.2/78</w:t>
      </w:r>
      <w:r w:rsidR="00550C39" w:rsidRPr="008F20FB">
        <w:rPr>
          <w:rFonts w:asciiTheme="majorBidi" w:hAnsiTheme="majorBidi" w:cstheme="majorBidi"/>
        </w:rPr>
        <w:t>,</w:t>
      </w:r>
      <w:r w:rsidR="00550C39" w:rsidRPr="008F20FB">
        <w:t xml:space="preserve"> </w:t>
      </w:r>
      <w:r w:rsidR="00550C39" w:rsidRPr="008F20FB">
        <w:rPr>
          <w:rFonts w:asciiTheme="majorBidi" w:hAnsiTheme="majorBidi" w:cstheme="majorBidi"/>
        </w:rPr>
        <w:t>[ECE/TRANS/WP.15/AC.2/80]</w:t>
      </w:r>
      <w:r w:rsidR="009F4C0C" w:rsidRPr="008F20FB">
        <w:rPr>
          <w:rFonts w:asciiTheme="majorBidi" w:hAnsiTheme="majorBidi" w:cstheme="majorBidi"/>
        </w:rPr>
        <w:t>, ECE/ADN/58</w:t>
      </w:r>
      <w:r w:rsidR="002B6DF2" w:rsidRPr="008F20FB">
        <w:rPr>
          <w:rFonts w:asciiTheme="majorBidi" w:hAnsiTheme="majorBidi" w:cstheme="majorBidi"/>
        </w:rPr>
        <w:t>, [ECE/ADN/60]</w:t>
      </w:r>
      <w:r w:rsidRPr="008F20FB">
        <w:rPr>
          <w:lang w:eastAsia="en-US"/>
        </w:rPr>
        <w:t xml:space="preserve">; </w:t>
      </w:r>
      <w:r w:rsidR="006C3CB0" w:rsidRPr="008F20FB">
        <w:t>ECE/TRANS/WP.24/149</w:t>
      </w:r>
      <w:r w:rsidRPr="008F20FB">
        <w:rPr>
          <w:lang w:eastAsia="en-US"/>
        </w:rPr>
        <w:t>; ECE/TRANS/WP.29/115</w:t>
      </w:r>
      <w:r w:rsidR="00B336C7" w:rsidRPr="008F20FB">
        <w:rPr>
          <w:lang w:eastAsia="en-US"/>
        </w:rPr>
        <w:t>7</w:t>
      </w:r>
      <w:r w:rsidRPr="008F20FB">
        <w:rPr>
          <w:lang w:eastAsia="en-US"/>
        </w:rPr>
        <w:t>,</w:t>
      </w:r>
      <w:r w:rsidR="00CC7AF9" w:rsidRPr="008F20FB">
        <w:rPr>
          <w:lang w:eastAsia="en-US"/>
        </w:rPr>
        <w:t xml:space="preserve"> </w:t>
      </w:r>
      <w:r w:rsidRPr="008F20FB">
        <w:rPr>
          <w:lang w:eastAsia="en-US"/>
        </w:rPr>
        <w:t>ECE/TRANS/WP.29/115</w:t>
      </w:r>
      <w:r w:rsidR="00213B83" w:rsidRPr="008F20FB">
        <w:rPr>
          <w:lang w:eastAsia="en-US"/>
        </w:rPr>
        <w:t>9</w:t>
      </w:r>
      <w:r w:rsidRPr="008F20FB">
        <w:rPr>
          <w:lang w:eastAsia="en-US"/>
        </w:rPr>
        <w:t>, ECE/TRANS/WP.29/11</w:t>
      </w:r>
      <w:r w:rsidR="00213B83" w:rsidRPr="008F20FB">
        <w:rPr>
          <w:lang w:eastAsia="en-US"/>
        </w:rPr>
        <w:t>61</w:t>
      </w:r>
      <w:r w:rsidRPr="008F20FB">
        <w:rPr>
          <w:lang w:eastAsia="en-US"/>
        </w:rPr>
        <w:t xml:space="preserve">; </w:t>
      </w:r>
      <w:r w:rsidR="00AC1255" w:rsidRPr="008F20FB">
        <w:rPr>
          <w:lang w:eastAsia="en-US"/>
        </w:rPr>
        <w:t>ECE/TRANS/WP.30/312</w:t>
      </w:r>
      <w:r w:rsidR="0086320D" w:rsidRPr="008F20FB">
        <w:rPr>
          <w:lang w:eastAsia="en-US"/>
        </w:rPr>
        <w:t>,</w:t>
      </w:r>
      <w:r w:rsidR="00AC1255" w:rsidRPr="008F20FB">
        <w:rPr>
          <w:lang w:eastAsia="en-US"/>
        </w:rPr>
        <w:t xml:space="preserve"> ECE/TRANS/WP.30/314 and ECE/TRANS/WP.30/316</w:t>
      </w:r>
      <w:r w:rsidR="004707A7" w:rsidRPr="008F20FB">
        <w:rPr>
          <w:lang w:eastAsia="en-US"/>
        </w:rPr>
        <w:t xml:space="preserve">; </w:t>
      </w:r>
      <w:r w:rsidR="00AC1255" w:rsidRPr="008F20FB">
        <w:rPr>
          <w:lang w:eastAsia="en-US"/>
        </w:rPr>
        <w:t>ECE/TRANS/WP.30/AC.2/151, ECE/TRANS/WP.30/AC.2/153</w:t>
      </w:r>
      <w:r w:rsidR="000C2FF7" w:rsidRPr="008F20FB">
        <w:rPr>
          <w:lang w:eastAsia="en-US"/>
        </w:rPr>
        <w:t xml:space="preserve">, </w:t>
      </w:r>
      <w:r w:rsidR="00AC1255" w:rsidRPr="008F20FB">
        <w:rPr>
          <w:lang w:eastAsia="en-US"/>
        </w:rPr>
        <w:t>ECE/TRANS/WP.30/AC.2/155</w:t>
      </w:r>
      <w:r w:rsidRPr="008F20FB">
        <w:rPr>
          <w:lang w:eastAsia="en-US"/>
        </w:rPr>
        <w:t xml:space="preserve">; </w:t>
      </w:r>
      <w:r w:rsidR="00B05A51" w:rsidRPr="008F20FB">
        <w:t>ECE/TRANS/SC.1/416</w:t>
      </w:r>
      <w:r w:rsidRPr="008F20FB">
        <w:rPr>
          <w:lang w:eastAsia="en-US"/>
        </w:rPr>
        <w:t>; ECE/TRANS/SC.2/23</w:t>
      </w:r>
      <w:r w:rsidR="004707A7" w:rsidRPr="008F20FB">
        <w:rPr>
          <w:lang w:eastAsia="en-US"/>
        </w:rPr>
        <w:t>6</w:t>
      </w:r>
      <w:r w:rsidRPr="008F20FB">
        <w:rPr>
          <w:lang w:eastAsia="en-US"/>
        </w:rPr>
        <w:t>;</w:t>
      </w:r>
      <w:r w:rsidR="00CC7AF9" w:rsidRPr="008F20FB">
        <w:rPr>
          <w:lang w:eastAsia="en-US"/>
        </w:rPr>
        <w:t xml:space="preserve"> </w:t>
      </w:r>
      <w:bookmarkStart w:id="8" w:name="_Hlk86340228"/>
      <w:r w:rsidR="00F40F14" w:rsidRPr="008F20FB">
        <w:t>ECE/TRANS/SC.3/215</w:t>
      </w:r>
      <w:bookmarkEnd w:id="8"/>
    </w:p>
    <w:p w14:paraId="0A22781C" w14:textId="50D02B41" w:rsidR="006A74B1" w:rsidRPr="008F20FB" w:rsidRDefault="009D3E66" w:rsidP="00710E2D">
      <w:pPr>
        <w:pStyle w:val="H1G"/>
      </w:pPr>
      <w:r w:rsidRPr="008F20FB">
        <w:tab/>
      </w:r>
      <w:r w:rsidR="00113804" w:rsidRPr="008F20FB">
        <w:t>11.</w:t>
      </w:r>
      <w:r w:rsidR="006A74B1" w:rsidRPr="008F20FB">
        <w:t xml:space="preserve"> </w:t>
      </w:r>
      <w:r w:rsidR="006A74B1" w:rsidRPr="008F20FB">
        <w:tab/>
        <w:t>Partnerships and activities of other organizations and programmes/projects of interest to the Committee</w:t>
      </w:r>
    </w:p>
    <w:p w14:paraId="24030527" w14:textId="5D182DC2" w:rsidR="006A74B1" w:rsidRPr="008F20FB" w:rsidRDefault="009D3E66" w:rsidP="002F69D0">
      <w:pPr>
        <w:pStyle w:val="H23G"/>
      </w:pPr>
      <w:r w:rsidRPr="008F20FB">
        <w:tab/>
      </w:r>
      <w:r w:rsidR="006A74B1" w:rsidRPr="008F20FB">
        <w:t>(a)</w:t>
      </w:r>
      <w:r w:rsidR="006A74B1" w:rsidRPr="008F20FB">
        <w:tab/>
        <w:t>Transport developments in the European Union</w:t>
      </w:r>
    </w:p>
    <w:p w14:paraId="63C09F15" w14:textId="58AED7DB" w:rsidR="008A1F83" w:rsidRPr="008F20FB" w:rsidRDefault="008A1F83" w:rsidP="008A1F83">
      <w:pPr>
        <w:pStyle w:val="SingleTxtG"/>
        <w:rPr>
          <w:lang w:eastAsia="en-US"/>
        </w:rPr>
      </w:pPr>
      <w:r w:rsidRPr="008F20FB">
        <w:rPr>
          <w:lang w:eastAsia="en-US"/>
        </w:rPr>
        <w:t xml:space="preserve">The Committee will be </w:t>
      </w:r>
      <w:r w:rsidRPr="008F20FB">
        <w:rPr>
          <w:b/>
          <w:bCs/>
          <w:lang w:eastAsia="en-US"/>
        </w:rPr>
        <w:t>informed</w:t>
      </w:r>
      <w:r w:rsidRPr="008F20FB">
        <w:rPr>
          <w:lang w:eastAsia="en-US"/>
        </w:rPr>
        <w:t xml:space="preserve"> by a representative from the Directorate-General for Mobility and Transport of the European Commission about the most important legislative and policy initiatives in transport undertaken by the European Union in 2021.</w:t>
      </w:r>
    </w:p>
    <w:p w14:paraId="6FA3C83C" w14:textId="77777777" w:rsidR="008A1F83" w:rsidRPr="008F20FB" w:rsidRDefault="008A1F83" w:rsidP="008A1F83">
      <w:pPr>
        <w:autoSpaceDE w:val="0"/>
        <w:autoSpaceDN w:val="0"/>
        <w:adjustRightInd w:val="0"/>
        <w:spacing w:after="120" w:line="240" w:lineRule="auto"/>
        <w:ind w:left="1134"/>
        <w:jc w:val="both"/>
      </w:pPr>
      <w:r w:rsidRPr="008F20FB">
        <w:rPr>
          <w:b/>
          <w:bCs/>
          <w:color w:val="000000"/>
        </w:rPr>
        <w:t>Documentation</w:t>
      </w:r>
      <w:r w:rsidRPr="008F20FB">
        <w:t xml:space="preserve"> </w:t>
      </w:r>
    </w:p>
    <w:p w14:paraId="51F5DD31" w14:textId="517D37FE" w:rsidR="00446B6C" w:rsidRPr="008F20FB" w:rsidRDefault="008A1F83" w:rsidP="008A1F83">
      <w:pPr>
        <w:spacing w:after="120"/>
        <w:ind w:left="1134" w:right="1134"/>
      </w:pPr>
      <w:r w:rsidRPr="008F20FB">
        <w:t>ECE/TRANS/2022/</w:t>
      </w:r>
      <w:r w:rsidR="00645329" w:rsidRPr="008F20FB">
        <w:t>28</w:t>
      </w:r>
    </w:p>
    <w:p w14:paraId="22E9791E" w14:textId="6D93B597" w:rsidR="006A74B1" w:rsidRPr="008F20FB" w:rsidRDefault="008A1F83" w:rsidP="002F69D0">
      <w:pPr>
        <w:pStyle w:val="H23G"/>
      </w:pPr>
      <w:r w:rsidRPr="008F20FB">
        <w:tab/>
      </w:r>
      <w:r w:rsidR="006A74B1" w:rsidRPr="008F20FB">
        <w:t>(b)</w:t>
      </w:r>
      <w:r w:rsidR="006A74B1" w:rsidRPr="008F20FB">
        <w:tab/>
        <w:t>Developments related to the work of the International Transport Forum</w:t>
      </w:r>
    </w:p>
    <w:p w14:paraId="27DC9BB1" w14:textId="72487EF8" w:rsidR="00446B6C" w:rsidRPr="008F20FB" w:rsidRDefault="00C71DB7" w:rsidP="00C71DB7">
      <w:pPr>
        <w:spacing w:after="120"/>
        <w:ind w:left="1134" w:right="1134"/>
      </w:pPr>
      <w:r w:rsidRPr="008F20FB">
        <w:rPr>
          <w:lang w:eastAsia="en-US"/>
        </w:rPr>
        <w:t xml:space="preserve">The Committee will be </w:t>
      </w:r>
      <w:r w:rsidRPr="008F20FB">
        <w:rPr>
          <w:b/>
          <w:lang w:eastAsia="en-US"/>
        </w:rPr>
        <w:t>informed</w:t>
      </w:r>
      <w:r w:rsidRPr="008F20FB">
        <w:rPr>
          <w:lang w:eastAsia="en-US"/>
        </w:rPr>
        <w:t xml:space="preserve"> by a representative of the International Transport Forum about the latest developments in the work of the Forum.</w:t>
      </w:r>
    </w:p>
    <w:p w14:paraId="71D84677" w14:textId="623BEEF2" w:rsidR="006A74B1" w:rsidRPr="008F20FB" w:rsidRDefault="00C71DB7" w:rsidP="002F69D0">
      <w:pPr>
        <w:pStyle w:val="H23G"/>
      </w:pPr>
      <w:r w:rsidRPr="008F20FB">
        <w:tab/>
      </w:r>
      <w:r w:rsidR="006A74B1" w:rsidRPr="008F20FB">
        <w:t>(c)</w:t>
      </w:r>
      <w:r w:rsidR="006A74B1" w:rsidRPr="008F20FB">
        <w:tab/>
        <w:t>Activities of other organizations and programmes/projects of interest to the Committee</w:t>
      </w:r>
    </w:p>
    <w:p w14:paraId="1FC08FB4" w14:textId="7C1B68D2" w:rsidR="00446B6C" w:rsidRPr="008F20FB" w:rsidRDefault="003F2F7C" w:rsidP="003F2F7C">
      <w:pPr>
        <w:pStyle w:val="SingleTxtG"/>
      </w:pPr>
      <w:r w:rsidRPr="008F20FB">
        <w:rPr>
          <w:lang w:eastAsia="en-US"/>
        </w:rPr>
        <w:t xml:space="preserve">The Committee may wish to be </w:t>
      </w:r>
      <w:r w:rsidRPr="008F20FB">
        <w:rPr>
          <w:b/>
          <w:lang w:eastAsia="en-US"/>
        </w:rPr>
        <w:t>informed</w:t>
      </w:r>
      <w:r w:rsidRPr="008F20FB">
        <w:rPr>
          <w:lang w:eastAsia="en-US"/>
        </w:rPr>
        <w:t xml:space="preserve"> by representatives from other organizations about their recent activities of interest to the Committee.</w:t>
      </w:r>
    </w:p>
    <w:p w14:paraId="25925778" w14:textId="491514ED" w:rsidR="00113804" w:rsidRPr="008F20FB" w:rsidRDefault="003F2F7C" w:rsidP="002F69D0">
      <w:pPr>
        <w:pStyle w:val="H23G"/>
      </w:pPr>
      <w:r w:rsidRPr="008F20FB">
        <w:lastRenderedPageBreak/>
        <w:tab/>
      </w:r>
      <w:r w:rsidR="006A74B1" w:rsidRPr="008F20FB">
        <w:t>(d)</w:t>
      </w:r>
      <w:r w:rsidR="006A74B1" w:rsidRPr="008F20FB">
        <w:tab/>
        <w:t xml:space="preserve">Dialogue with United Nations </w:t>
      </w:r>
      <w:r w:rsidR="006A74B1" w:rsidRPr="00E80D3A">
        <w:t>Regional Commissions on ongoing activities related to inland transport</w:t>
      </w:r>
    </w:p>
    <w:p w14:paraId="247B5DFA" w14:textId="05F8A748" w:rsidR="00446B6C" w:rsidRPr="008F20FB" w:rsidRDefault="00CE7247" w:rsidP="00CE7247">
      <w:pPr>
        <w:pStyle w:val="SingleTxtG"/>
      </w:pPr>
      <w:r w:rsidRPr="008F20FB">
        <w:t xml:space="preserve">The </w:t>
      </w:r>
      <w:r w:rsidRPr="008F20FB">
        <w:rPr>
          <w:lang w:eastAsia="en-US"/>
        </w:rPr>
        <w:t>Committee</w:t>
      </w:r>
      <w:r w:rsidRPr="008F20FB">
        <w:t xml:space="preserve"> </w:t>
      </w:r>
      <w:r w:rsidRPr="008F20FB">
        <w:rPr>
          <w:b/>
          <w:bCs/>
        </w:rPr>
        <w:t>will invite</w:t>
      </w:r>
      <w:r w:rsidRPr="008F20FB">
        <w:t xml:space="preserve"> representatives of the other United Nations </w:t>
      </w:r>
      <w:r w:rsidRPr="008F20FB">
        <w:rPr>
          <w:lang w:eastAsia="en-US"/>
        </w:rPr>
        <w:t>regional</w:t>
      </w:r>
      <w:r w:rsidRPr="008F20FB">
        <w:t xml:space="preserve"> commissions to share information and discuss ongoing activities of inland transport in their regions.</w:t>
      </w:r>
    </w:p>
    <w:p w14:paraId="7A325023" w14:textId="77777777" w:rsidR="00113804" w:rsidRPr="008F20FB" w:rsidRDefault="00113804" w:rsidP="00113804">
      <w:pPr>
        <w:pStyle w:val="HChG"/>
      </w:pPr>
      <w:r w:rsidRPr="008F20FB" w:rsidDel="00D84D45">
        <w:t xml:space="preserve"> </w:t>
      </w:r>
      <w:r w:rsidRPr="008F20FB">
        <w:tab/>
        <w:t>V.</w:t>
      </w:r>
      <w:r w:rsidRPr="008F20FB">
        <w:tab/>
        <w:t>Miscellaneous</w:t>
      </w:r>
    </w:p>
    <w:p w14:paraId="77393BBC" w14:textId="48D09127" w:rsidR="00113804" w:rsidRPr="008F20FB" w:rsidRDefault="00CE7247" w:rsidP="00710E2D">
      <w:pPr>
        <w:pStyle w:val="H1G"/>
      </w:pPr>
      <w:r w:rsidRPr="008F20FB">
        <w:tab/>
      </w:r>
      <w:r w:rsidR="00113804" w:rsidRPr="008F20FB">
        <w:t>12.</w:t>
      </w:r>
      <w:r w:rsidR="00113804" w:rsidRPr="008F20FB">
        <w:tab/>
        <w:t>Any other business. Dates of next session</w:t>
      </w:r>
    </w:p>
    <w:p w14:paraId="0EFD83A4" w14:textId="755B66A2" w:rsidR="00446B6C" w:rsidRPr="008F20FB" w:rsidRDefault="004A6B2D" w:rsidP="004A6B2D">
      <w:pPr>
        <w:pStyle w:val="SingleTxtG"/>
      </w:pPr>
      <w:r w:rsidRPr="008F20FB">
        <w:t xml:space="preserve">The Committee may wish to </w:t>
      </w:r>
      <w:r w:rsidRPr="008F20FB">
        <w:rPr>
          <w:b/>
          <w:bCs/>
        </w:rPr>
        <w:t>note</w:t>
      </w:r>
      <w:r w:rsidRPr="008F20FB">
        <w:t xml:space="preserve"> that its eighty-fifth session is tentatively </w:t>
      </w:r>
      <w:r w:rsidRPr="008F20FB">
        <w:rPr>
          <w:lang w:eastAsia="en-US"/>
        </w:rPr>
        <w:t>scheduled</w:t>
      </w:r>
      <w:r w:rsidRPr="008F20FB">
        <w:t xml:space="preserve"> to be held in Geneva from 2</w:t>
      </w:r>
      <w:r w:rsidR="006E256B" w:rsidRPr="008F20FB">
        <w:t>1</w:t>
      </w:r>
      <w:r w:rsidRPr="008F20FB">
        <w:t>–2</w:t>
      </w:r>
      <w:r w:rsidR="006E256B" w:rsidRPr="008F20FB">
        <w:t>4</w:t>
      </w:r>
      <w:r w:rsidRPr="008F20FB">
        <w:t xml:space="preserve"> February 202</w:t>
      </w:r>
      <w:r w:rsidR="006E256B" w:rsidRPr="008F20FB">
        <w:t>3</w:t>
      </w:r>
      <w:r w:rsidRPr="008F20FB">
        <w:rPr>
          <w:rStyle w:val="SingleTxtGChar"/>
        </w:rPr>
        <w:t>.</w:t>
      </w:r>
    </w:p>
    <w:p w14:paraId="69B58039" w14:textId="30413D0B" w:rsidR="00113804" w:rsidRPr="008F20FB" w:rsidRDefault="00113804" w:rsidP="00113804">
      <w:pPr>
        <w:pStyle w:val="HChG"/>
      </w:pPr>
      <w:r w:rsidRPr="008F20FB">
        <w:tab/>
        <w:t>VI.</w:t>
      </w:r>
      <w:r w:rsidRPr="008F20FB">
        <w:tab/>
        <w:t>List of decisions</w:t>
      </w:r>
    </w:p>
    <w:p w14:paraId="7304FE52" w14:textId="1C9B4FD8" w:rsidR="00113804" w:rsidRPr="008F20FB" w:rsidRDefault="00FD6688" w:rsidP="00710E2D">
      <w:pPr>
        <w:pStyle w:val="H1G"/>
      </w:pPr>
      <w:r w:rsidRPr="008F20FB">
        <w:tab/>
      </w:r>
      <w:r w:rsidR="00113804" w:rsidRPr="008F20FB">
        <w:t>13.</w:t>
      </w:r>
      <w:r w:rsidR="00113804" w:rsidRPr="008F20FB">
        <w:tab/>
        <w:t>Adoption of the list of main decisions of the eighty-fourth session</w:t>
      </w:r>
    </w:p>
    <w:p w14:paraId="11FE7740" w14:textId="77777777" w:rsidR="007656E1" w:rsidRPr="008F20FB" w:rsidRDefault="007656E1" w:rsidP="00FD6688">
      <w:pPr>
        <w:pStyle w:val="SingleTxtG"/>
        <w:rPr>
          <w:lang w:eastAsia="en-US"/>
        </w:rPr>
      </w:pPr>
      <w:r w:rsidRPr="008F20FB">
        <w:rPr>
          <w:lang w:eastAsia="en-US"/>
        </w:rPr>
        <w:t xml:space="preserve">The Committee may </w:t>
      </w:r>
      <w:r w:rsidRPr="008F20FB">
        <w:rPr>
          <w:b/>
          <w:bCs/>
          <w:lang w:eastAsia="en-US"/>
        </w:rPr>
        <w:t>wish to</w:t>
      </w:r>
      <w:r w:rsidRPr="008F20FB">
        <w:rPr>
          <w:lang w:eastAsia="en-US"/>
        </w:rPr>
        <w:t xml:space="preserve"> </w:t>
      </w:r>
      <w:r w:rsidRPr="008F20FB">
        <w:rPr>
          <w:b/>
          <w:lang w:eastAsia="en-US"/>
        </w:rPr>
        <w:t>note</w:t>
      </w:r>
      <w:r w:rsidRPr="008F20FB">
        <w:rPr>
          <w:lang w:eastAsia="en-US"/>
        </w:rPr>
        <w:t xml:space="preserve"> that the adoption of the report of the eighty-fourth session will be limited to a list of main decisions, in line with the extraordinary special procedures for decisions in formal meetings with remote participation currently in place. The complete report of the Committee will be circulated at a later stage.</w:t>
      </w:r>
    </w:p>
    <w:p w14:paraId="147E34FA" w14:textId="65192DC9" w:rsidR="00FD6688" w:rsidRPr="008F20FB" w:rsidRDefault="00FD6688" w:rsidP="00FD6688">
      <w:pPr>
        <w:pStyle w:val="SingleTxtG"/>
      </w:pPr>
      <w:r w:rsidRPr="008F20FB">
        <w:t xml:space="preserve">The Committee will </w:t>
      </w:r>
      <w:r w:rsidRPr="008F20FB">
        <w:rPr>
          <w:b/>
          <w:bCs/>
        </w:rPr>
        <w:t>adopt</w:t>
      </w:r>
      <w:r w:rsidRPr="008F20FB">
        <w:t xml:space="preserve"> the list of main decisions of the eighty-fourth session (ECE/TRANS/2022/R.1).</w:t>
      </w:r>
    </w:p>
    <w:p w14:paraId="48C328D2" w14:textId="77777777" w:rsidR="00FD6688" w:rsidRPr="008F20FB" w:rsidRDefault="00FD6688" w:rsidP="00FD6688">
      <w:pPr>
        <w:spacing w:after="120"/>
        <w:ind w:left="1134" w:right="1134"/>
        <w:jc w:val="both"/>
        <w:rPr>
          <w:b/>
          <w:lang w:eastAsia="en-US"/>
        </w:rPr>
      </w:pPr>
      <w:r w:rsidRPr="008F20FB">
        <w:rPr>
          <w:b/>
          <w:lang w:eastAsia="en-US"/>
        </w:rPr>
        <w:t>Documentation</w:t>
      </w:r>
    </w:p>
    <w:p w14:paraId="7DD7B9AC" w14:textId="1CF2FE8B" w:rsidR="00710E2D" w:rsidRPr="008F20FB" w:rsidRDefault="00FD6688" w:rsidP="00FD6688">
      <w:pPr>
        <w:ind w:left="567" w:firstLine="567"/>
      </w:pPr>
      <w:r w:rsidRPr="008F20FB">
        <w:rPr>
          <w:lang w:eastAsia="en-US"/>
        </w:rPr>
        <w:t>ECE/TRANS/2022/R.1</w:t>
      </w:r>
    </w:p>
    <w:p w14:paraId="219D740C" w14:textId="045D62D5" w:rsidR="00113804" w:rsidRPr="008F20FB" w:rsidRDefault="00113804" w:rsidP="00113804">
      <w:pPr>
        <w:pStyle w:val="HChG"/>
      </w:pPr>
      <w:r w:rsidRPr="008F20FB">
        <w:tab/>
        <w:t>VII.</w:t>
      </w:r>
      <w:r w:rsidRPr="008F20FB">
        <w:tab/>
      </w:r>
      <w:r w:rsidR="00B24DD4" w:rsidRPr="003B5AC1">
        <w:t>Inland Transport Committee</w:t>
      </w:r>
      <w:r w:rsidRPr="008F20FB">
        <w:t xml:space="preserve"> Round</w:t>
      </w:r>
      <w:r w:rsidR="00B24DD4">
        <w:t xml:space="preserve"> </w:t>
      </w:r>
      <w:r w:rsidRPr="008F20FB">
        <w:t>table on the 4-Platforms of the Committee’s Strategy</w:t>
      </w:r>
    </w:p>
    <w:p w14:paraId="3079A556" w14:textId="0DA53ACE" w:rsidR="00113804" w:rsidRPr="008F20FB" w:rsidRDefault="00FD6688" w:rsidP="00710E2D">
      <w:pPr>
        <w:pStyle w:val="H1G"/>
      </w:pPr>
      <w:r w:rsidRPr="008F20FB">
        <w:tab/>
      </w:r>
      <w:r w:rsidR="00113804" w:rsidRPr="008F20FB">
        <w:t>14.</w:t>
      </w:r>
      <w:r w:rsidR="00113804" w:rsidRPr="008F20FB">
        <w:tab/>
        <w:t>Round</w:t>
      </w:r>
      <w:r w:rsidR="0083410A">
        <w:t xml:space="preserve"> </w:t>
      </w:r>
      <w:r w:rsidR="00113804" w:rsidRPr="008F20FB">
        <w:t>table theme: “On the road to sustained and full recovery: Post-</w:t>
      </w:r>
      <w:r w:rsidR="0083410A" w:rsidRPr="008F20FB">
        <w:t>C</w:t>
      </w:r>
      <w:r w:rsidR="0083410A">
        <w:t>OVID</w:t>
      </w:r>
      <w:r w:rsidR="00113804" w:rsidRPr="008F20FB">
        <w:t>-19 initiative for inland transport and the role of the Committee”</w:t>
      </w:r>
    </w:p>
    <w:p w14:paraId="764C2091" w14:textId="79C33C3A" w:rsidR="00095517" w:rsidRPr="008F20FB" w:rsidRDefault="00976BA9" w:rsidP="00AE781B">
      <w:pPr>
        <w:pStyle w:val="SingleTxtG"/>
      </w:pPr>
      <w:r w:rsidRPr="008F20FB">
        <w:t xml:space="preserve">The Committee during its eighty-third </w:t>
      </w:r>
      <w:r w:rsidR="00B664B7" w:rsidRPr="008F20FB">
        <w:t>(</w:t>
      </w:r>
      <w:r w:rsidR="00EE191F" w:rsidRPr="008F20FB">
        <w:t>25-28 February 2020</w:t>
      </w:r>
      <w:r w:rsidR="00B664B7" w:rsidRPr="008F20FB">
        <w:t xml:space="preserve">) </w:t>
      </w:r>
      <w:r w:rsidRPr="008F20FB">
        <w:t xml:space="preserve">and eighty-fourth </w:t>
      </w:r>
      <w:r w:rsidR="00D0461B" w:rsidRPr="008F20FB">
        <w:t xml:space="preserve">(23-26 February 2021) </w:t>
      </w:r>
      <w:r w:rsidR="00B664B7" w:rsidRPr="008F20FB">
        <w:t xml:space="preserve">plenary </w:t>
      </w:r>
      <w:r w:rsidRPr="008F20FB">
        <w:t xml:space="preserve">sessions </w:t>
      </w:r>
      <w:r w:rsidR="005C1959" w:rsidRPr="008F20FB">
        <w:t xml:space="preserve">took a leadership role in </w:t>
      </w:r>
      <w:r w:rsidR="00095517" w:rsidRPr="008F20FB">
        <w:t>help</w:t>
      </w:r>
      <w:r w:rsidR="005C1959" w:rsidRPr="008F20FB">
        <w:t xml:space="preserve">ing </w:t>
      </w:r>
      <w:r w:rsidR="00095517" w:rsidRPr="008F20FB">
        <w:t>build consensus on the important role of transport in leading global recovery from the pandemic and strengthening resilience against future crises</w:t>
      </w:r>
      <w:r w:rsidR="00C90483" w:rsidRPr="008F20FB">
        <w:t xml:space="preserve">, among others by endorsing a Ministerial Resolution entitled “Enhancing resilient inland transport connectivity in emergency situations: an urgent call for concerted action” (ECE/TRANS/304, </w:t>
      </w:r>
      <w:r w:rsidR="006F774F" w:rsidRPr="008F20FB">
        <w:t>annex</w:t>
      </w:r>
      <w:r w:rsidR="00C90483" w:rsidRPr="008F20FB">
        <w:t xml:space="preserve"> I</w:t>
      </w:r>
      <w:r w:rsidR="00C52BE9" w:rsidRPr="008F20FB">
        <w:t>)</w:t>
      </w:r>
      <w:r w:rsidR="00C90483" w:rsidRPr="008F20FB">
        <w:t>.</w:t>
      </w:r>
    </w:p>
    <w:p w14:paraId="04CC3B9B" w14:textId="4C504F51" w:rsidR="00A22CD5" w:rsidRPr="008F20FB" w:rsidRDefault="00A22CD5" w:rsidP="00AE781B">
      <w:pPr>
        <w:pStyle w:val="SingleTxtG"/>
      </w:pPr>
      <w:r w:rsidRPr="008F20FB">
        <w:t xml:space="preserve">Despite strong and consistent efforts by Member States, </w:t>
      </w:r>
      <w:r w:rsidR="006D2ABD" w:rsidRPr="008F20FB">
        <w:t xml:space="preserve">recovery efforts </w:t>
      </w:r>
      <w:r w:rsidR="00695E8D" w:rsidRPr="008F20FB">
        <w:t xml:space="preserve">have not </w:t>
      </w:r>
      <w:r w:rsidR="006D2ABD" w:rsidRPr="008F20FB">
        <w:t xml:space="preserve">yet </w:t>
      </w:r>
      <w:r w:rsidR="00695E8D" w:rsidRPr="008F20FB">
        <w:t xml:space="preserve">led to the desired </w:t>
      </w:r>
      <w:r w:rsidR="00FB6205" w:rsidRPr="008F20FB">
        <w:t xml:space="preserve">return to pre-pandemic </w:t>
      </w:r>
      <w:r w:rsidR="00695E8D" w:rsidRPr="008F20FB">
        <w:t xml:space="preserve">levels of </w:t>
      </w:r>
      <w:r w:rsidR="00FB6205" w:rsidRPr="008F20FB">
        <w:t>growth and sustainable development</w:t>
      </w:r>
      <w:r w:rsidR="00695E8D" w:rsidRPr="008F20FB">
        <w:t xml:space="preserve">. The challenges remain formidable and progress is patchy and unevenly distributed </w:t>
      </w:r>
      <w:r w:rsidR="003A7697" w:rsidRPr="008F20FB">
        <w:t xml:space="preserve">worldwide, further challenging the implementation of the 2030 </w:t>
      </w:r>
      <w:r w:rsidR="00030D1E" w:rsidRPr="008F20FB">
        <w:t>A</w:t>
      </w:r>
      <w:r w:rsidR="003A7697" w:rsidRPr="008F20FB">
        <w:t>genda and the achievement of the SDGs.</w:t>
      </w:r>
    </w:p>
    <w:p w14:paraId="6A103436" w14:textId="674A2237" w:rsidR="00C60C55" w:rsidRPr="008F20FB" w:rsidRDefault="00C60C55" w:rsidP="008339A2">
      <w:pPr>
        <w:pStyle w:val="SingleTxtG"/>
      </w:pPr>
      <w:r w:rsidRPr="008F20FB">
        <w:t>The ITC Round</w:t>
      </w:r>
      <w:r w:rsidR="004F6A05">
        <w:t xml:space="preserve"> </w:t>
      </w:r>
      <w:r w:rsidRPr="008F20FB">
        <w:t>table will bring together key worldwide stakeholders for a strategic discussion on the new course of action that is needed in order to make measurable progress in successfully addressing the continuing crisis (ECE/TRANS/202</w:t>
      </w:r>
      <w:r w:rsidR="00145AFE" w:rsidRPr="008F20FB">
        <w:t>2</w:t>
      </w:r>
      <w:r w:rsidRPr="008F20FB">
        <w:t>/</w:t>
      </w:r>
      <w:r w:rsidR="00645329" w:rsidRPr="008F20FB">
        <w:t>29</w:t>
      </w:r>
      <w:r w:rsidRPr="008F20FB">
        <w:t>).</w:t>
      </w:r>
    </w:p>
    <w:p w14:paraId="5E0BE2BE" w14:textId="77777777" w:rsidR="00145AFE" w:rsidRPr="00234519" w:rsidRDefault="00145AFE" w:rsidP="00145AFE">
      <w:pPr>
        <w:autoSpaceDE w:val="0"/>
        <w:autoSpaceDN w:val="0"/>
        <w:adjustRightInd w:val="0"/>
        <w:spacing w:after="120" w:line="240" w:lineRule="auto"/>
        <w:ind w:left="1134"/>
        <w:jc w:val="both"/>
        <w:rPr>
          <w:lang w:val="fr-CH"/>
        </w:rPr>
      </w:pPr>
      <w:r w:rsidRPr="002B66D2">
        <w:rPr>
          <w:b/>
          <w:bCs/>
          <w:color w:val="000000"/>
          <w:lang w:val="fr-CH"/>
        </w:rPr>
        <w:t>Documentation</w:t>
      </w:r>
      <w:r w:rsidRPr="00D844B0">
        <w:rPr>
          <w:lang w:val="fr-CH"/>
        </w:rPr>
        <w:t xml:space="preserve"> </w:t>
      </w:r>
    </w:p>
    <w:p w14:paraId="781BD01D" w14:textId="3B1A5A63" w:rsidR="00145AFE" w:rsidRPr="00146027" w:rsidRDefault="00145AFE" w:rsidP="00145AFE">
      <w:pPr>
        <w:pStyle w:val="SingleTxtG"/>
        <w:rPr>
          <w:lang w:val="fr-CH"/>
        </w:rPr>
      </w:pPr>
      <w:r w:rsidRPr="00A963AD">
        <w:rPr>
          <w:lang w:val="fr-CH"/>
        </w:rPr>
        <w:t>ECE/TRANS/2022/</w:t>
      </w:r>
      <w:r w:rsidR="00645329" w:rsidRPr="00A963AD">
        <w:rPr>
          <w:lang w:val="fr-CH"/>
        </w:rPr>
        <w:t>29</w:t>
      </w:r>
    </w:p>
    <w:p w14:paraId="45C897D4" w14:textId="16CDB7DF" w:rsidR="00113804" w:rsidRPr="00EE3DBE" w:rsidRDefault="00113804" w:rsidP="00AF560F">
      <w:pPr>
        <w:pStyle w:val="HChG"/>
        <w:tabs>
          <w:tab w:val="left" w:pos="1134"/>
          <w:tab w:val="left" w:pos="1701"/>
          <w:tab w:val="left" w:pos="2268"/>
          <w:tab w:val="left" w:pos="2835"/>
          <w:tab w:val="left" w:pos="3402"/>
          <w:tab w:val="center" w:pos="4252"/>
        </w:tabs>
        <w:rPr>
          <w:lang w:val="fr-CH"/>
        </w:rPr>
      </w:pPr>
      <w:r w:rsidRPr="00146027">
        <w:rPr>
          <w:lang w:val="fr-CH"/>
        </w:rPr>
        <w:lastRenderedPageBreak/>
        <w:tab/>
        <w:t>VIII.</w:t>
      </w:r>
      <w:r w:rsidRPr="00146027">
        <w:rPr>
          <w:lang w:val="fr-CH"/>
        </w:rPr>
        <w:tab/>
        <w:t>Tentative timetabl</w:t>
      </w:r>
      <w:r w:rsidRPr="002B66D2">
        <w:rPr>
          <w:lang w:val="fr-CH"/>
        </w:rPr>
        <w:t>e</w:t>
      </w:r>
    </w:p>
    <w:p w14:paraId="45B01247" w14:textId="77777777" w:rsidR="00AF560F" w:rsidRPr="008F20FB" w:rsidRDefault="00AF560F" w:rsidP="00AF560F">
      <w:pPr>
        <w:pStyle w:val="SingleTxtG"/>
      </w:pPr>
      <w:r w:rsidRPr="008F20FB">
        <w:t>Tentative timetable of annual session under hybrid settings:</w:t>
      </w:r>
    </w:p>
    <w:tbl>
      <w:tblPr>
        <w:tblW w:w="7370" w:type="dxa"/>
        <w:tblInd w:w="1134" w:type="dxa"/>
        <w:tblLayout w:type="fixed"/>
        <w:tblCellMar>
          <w:left w:w="0" w:type="dxa"/>
          <w:right w:w="0" w:type="dxa"/>
        </w:tblCellMar>
        <w:tblLook w:val="01E0" w:firstRow="1" w:lastRow="1" w:firstColumn="1" w:lastColumn="1" w:noHBand="0" w:noVBand="0"/>
      </w:tblPr>
      <w:tblGrid>
        <w:gridCol w:w="2456"/>
        <w:gridCol w:w="2457"/>
        <w:gridCol w:w="2457"/>
      </w:tblGrid>
      <w:tr w:rsidR="000C4480" w:rsidRPr="008F20FB" w14:paraId="2673B8A9" w14:textId="77777777" w:rsidTr="00D26A7F">
        <w:trPr>
          <w:trHeight w:val="474"/>
        </w:trPr>
        <w:tc>
          <w:tcPr>
            <w:tcW w:w="2456" w:type="dxa"/>
            <w:vMerge w:val="restart"/>
            <w:tcBorders>
              <w:top w:val="single" w:sz="4" w:space="0" w:color="auto"/>
            </w:tcBorders>
            <w:shd w:val="clear" w:color="auto" w:fill="auto"/>
            <w:vAlign w:val="center"/>
          </w:tcPr>
          <w:p w14:paraId="0EBA187F" w14:textId="3D0CCB59" w:rsidR="000C4480" w:rsidRPr="008F20FB" w:rsidRDefault="000C4480">
            <w:pPr>
              <w:keepNext/>
              <w:keepLines/>
              <w:spacing w:before="80" w:after="80" w:line="200" w:lineRule="exact"/>
              <w:ind w:right="113"/>
            </w:pPr>
            <w:r w:rsidRPr="008F20FB">
              <w:t>Tuesday, 22 February</w:t>
            </w:r>
          </w:p>
        </w:tc>
        <w:tc>
          <w:tcPr>
            <w:tcW w:w="2457" w:type="dxa"/>
            <w:tcBorders>
              <w:top w:val="single" w:sz="4" w:space="0" w:color="auto"/>
              <w:bottom w:val="single" w:sz="4" w:space="0" w:color="auto"/>
            </w:tcBorders>
            <w:shd w:val="clear" w:color="auto" w:fill="auto"/>
            <w:vAlign w:val="bottom"/>
          </w:tcPr>
          <w:p w14:paraId="144A71E4" w14:textId="0FDBAA18" w:rsidR="000C4480" w:rsidRPr="00EC7210" w:rsidRDefault="000C4480" w:rsidP="00871848">
            <w:pPr>
              <w:keepNext/>
              <w:keepLines/>
              <w:spacing w:before="80" w:after="80" w:line="200" w:lineRule="exact"/>
              <w:ind w:right="113"/>
            </w:pPr>
            <w:r w:rsidRPr="00EC7210">
              <w:t>10 a.m.–1 p.m.</w:t>
            </w:r>
          </w:p>
        </w:tc>
        <w:tc>
          <w:tcPr>
            <w:tcW w:w="2457" w:type="dxa"/>
            <w:tcBorders>
              <w:top w:val="single" w:sz="4" w:space="0" w:color="auto"/>
              <w:bottom w:val="single" w:sz="4" w:space="0" w:color="auto"/>
            </w:tcBorders>
            <w:shd w:val="clear" w:color="auto" w:fill="auto"/>
            <w:vAlign w:val="bottom"/>
          </w:tcPr>
          <w:p w14:paraId="070002AF" w14:textId="61F1DA83" w:rsidR="000C4480" w:rsidRPr="00EC7210" w:rsidRDefault="000C4480" w:rsidP="00871848">
            <w:pPr>
              <w:keepNext/>
              <w:keepLines/>
              <w:spacing w:before="80" w:after="80" w:line="200" w:lineRule="exact"/>
              <w:ind w:right="113"/>
            </w:pPr>
            <w:r w:rsidRPr="00EC7210">
              <w:t>Items 1,</w:t>
            </w:r>
            <w:r w:rsidR="0015199D">
              <w:t xml:space="preserve"> </w:t>
            </w:r>
            <w:r w:rsidRPr="00EC7210">
              <w:t>2</w:t>
            </w:r>
          </w:p>
        </w:tc>
      </w:tr>
      <w:tr w:rsidR="000C4480" w:rsidRPr="008F20FB" w14:paraId="42BB9F06" w14:textId="77777777" w:rsidTr="00871848">
        <w:tc>
          <w:tcPr>
            <w:tcW w:w="2456" w:type="dxa"/>
            <w:vMerge/>
            <w:tcBorders>
              <w:bottom w:val="single" w:sz="4" w:space="0" w:color="auto"/>
            </w:tcBorders>
            <w:shd w:val="clear" w:color="auto" w:fill="auto"/>
            <w:vAlign w:val="bottom"/>
          </w:tcPr>
          <w:p w14:paraId="407FF101" w14:textId="77777777" w:rsidR="000C4480" w:rsidRPr="008F20FB" w:rsidRDefault="000C4480" w:rsidP="00871848">
            <w:pPr>
              <w:keepNext/>
              <w:keepLines/>
              <w:spacing w:before="80" w:after="80" w:line="200" w:lineRule="exact"/>
              <w:ind w:right="113"/>
            </w:pPr>
          </w:p>
        </w:tc>
        <w:tc>
          <w:tcPr>
            <w:tcW w:w="2457" w:type="dxa"/>
            <w:tcBorders>
              <w:top w:val="single" w:sz="4" w:space="0" w:color="auto"/>
              <w:bottom w:val="single" w:sz="4" w:space="0" w:color="auto"/>
            </w:tcBorders>
            <w:shd w:val="clear" w:color="auto" w:fill="auto"/>
            <w:vAlign w:val="bottom"/>
          </w:tcPr>
          <w:p w14:paraId="074D8364" w14:textId="791903DA" w:rsidR="000C4480" w:rsidRPr="00EC7210" w:rsidRDefault="000C4480" w:rsidP="00871848">
            <w:pPr>
              <w:keepNext/>
              <w:keepLines/>
              <w:spacing w:before="80" w:after="80" w:line="200" w:lineRule="exact"/>
              <w:ind w:right="113"/>
            </w:pPr>
            <w:r w:rsidRPr="00EC7210">
              <w:t>3–6 p.m.</w:t>
            </w:r>
          </w:p>
        </w:tc>
        <w:tc>
          <w:tcPr>
            <w:tcW w:w="2457" w:type="dxa"/>
            <w:tcBorders>
              <w:top w:val="single" w:sz="4" w:space="0" w:color="auto"/>
              <w:bottom w:val="single" w:sz="4" w:space="0" w:color="auto"/>
            </w:tcBorders>
            <w:shd w:val="clear" w:color="auto" w:fill="auto"/>
            <w:vAlign w:val="bottom"/>
          </w:tcPr>
          <w:p w14:paraId="43B64681" w14:textId="2FEF5D3C" w:rsidR="000C4480" w:rsidRPr="00EC7210" w:rsidRDefault="000C4480" w:rsidP="00871848">
            <w:pPr>
              <w:keepNext/>
              <w:keepLines/>
              <w:spacing w:before="80" w:after="80" w:line="200" w:lineRule="exact"/>
              <w:ind w:right="113"/>
            </w:pPr>
            <w:r w:rsidRPr="00EC7210">
              <w:t>Item 2 (cont’d)</w:t>
            </w:r>
          </w:p>
        </w:tc>
      </w:tr>
      <w:tr w:rsidR="00725057" w:rsidRPr="008F20FB" w14:paraId="2D365D2F" w14:textId="77777777" w:rsidTr="00D26A7F">
        <w:tc>
          <w:tcPr>
            <w:tcW w:w="2456" w:type="dxa"/>
            <w:vMerge w:val="restart"/>
            <w:tcBorders>
              <w:top w:val="single" w:sz="4" w:space="0" w:color="auto"/>
            </w:tcBorders>
            <w:shd w:val="clear" w:color="auto" w:fill="auto"/>
            <w:vAlign w:val="center"/>
          </w:tcPr>
          <w:p w14:paraId="19C9932D" w14:textId="2A2AE19E" w:rsidR="00725057" w:rsidRPr="008F20FB" w:rsidRDefault="00725057">
            <w:pPr>
              <w:keepNext/>
              <w:keepLines/>
              <w:spacing w:before="80" w:after="80" w:line="200" w:lineRule="exact"/>
              <w:ind w:right="113"/>
            </w:pPr>
            <w:r w:rsidRPr="008F20FB">
              <w:t>Wednesday, 23 February</w:t>
            </w:r>
          </w:p>
        </w:tc>
        <w:tc>
          <w:tcPr>
            <w:tcW w:w="2457" w:type="dxa"/>
            <w:tcBorders>
              <w:top w:val="single" w:sz="4" w:space="0" w:color="auto"/>
              <w:bottom w:val="single" w:sz="4" w:space="0" w:color="auto"/>
            </w:tcBorders>
            <w:shd w:val="clear" w:color="auto" w:fill="auto"/>
            <w:vAlign w:val="bottom"/>
          </w:tcPr>
          <w:p w14:paraId="651FD7B3" w14:textId="5A65987F" w:rsidR="00725057" w:rsidRPr="00EC7210" w:rsidRDefault="00725057" w:rsidP="00871848">
            <w:pPr>
              <w:keepNext/>
              <w:keepLines/>
              <w:spacing w:before="80" w:after="80" w:line="200" w:lineRule="exact"/>
              <w:ind w:right="113"/>
            </w:pPr>
            <w:r w:rsidRPr="00EC7210">
              <w:t>10-11.00 a.m.</w:t>
            </w:r>
          </w:p>
        </w:tc>
        <w:tc>
          <w:tcPr>
            <w:tcW w:w="2457" w:type="dxa"/>
            <w:tcBorders>
              <w:top w:val="single" w:sz="4" w:space="0" w:color="auto"/>
              <w:bottom w:val="single" w:sz="4" w:space="0" w:color="auto"/>
            </w:tcBorders>
            <w:shd w:val="clear" w:color="auto" w:fill="auto"/>
            <w:vAlign w:val="bottom"/>
          </w:tcPr>
          <w:p w14:paraId="11A2CA44" w14:textId="7966153C" w:rsidR="00725057" w:rsidRPr="00EC7210" w:rsidRDefault="00725057" w:rsidP="00871848">
            <w:pPr>
              <w:keepNext/>
              <w:keepLines/>
              <w:spacing w:before="80" w:after="80" w:line="200" w:lineRule="exact"/>
              <w:ind w:right="113"/>
              <w:rPr>
                <w:i/>
                <w:iCs/>
              </w:rPr>
            </w:pPr>
            <w:r w:rsidRPr="00EC7210">
              <w:t>Item 3 (restricted session)</w:t>
            </w:r>
          </w:p>
        </w:tc>
      </w:tr>
      <w:tr w:rsidR="00725057" w:rsidRPr="008F20FB" w14:paraId="654E68E9" w14:textId="77777777" w:rsidTr="00871848">
        <w:tc>
          <w:tcPr>
            <w:tcW w:w="2456" w:type="dxa"/>
            <w:vMerge/>
            <w:shd w:val="clear" w:color="auto" w:fill="auto"/>
            <w:vAlign w:val="bottom"/>
          </w:tcPr>
          <w:p w14:paraId="30DFD1E8" w14:textId="77777777" w:rsidR="00725057" w:rsidRPr="008F20FB" w:rsidRDefault="00725057" w:rsidP="00C879D3">
            <w:pPr>
              <w:keepNext/>
              <w:keepLines/>
              <w:spacing w:before="80" w:after="80" w:line="200" w:lineRule="exact"/>
              <w:ind w:right="113"/>
            </w:pPr>
          </w:p>
        </w:tc>
        <w:tc>
          <w:tcPr>
            <w:tcW w:w="2457" w:type="dxa"/>
            <w:tcBorders>
              <w:top w:val="single" w:sz="4" w:space="0" w:color="auto"/>
              <w:bottom w:val="single" w:sz="4" w:space="0" w:color="auto"/>
            </w:tcBorders>
            <w:shd w:val="clear" w:color="auto" w:fill="auto"/>
            <w:vAlign w:val="bottom"/>
          </w:tcPr>
          <w:p w14:paraId="1584831B" w14:textId="069820CC" w:rsidR="00725057" w:rsidRPr="00EC7210" w:rsidRDefault="00725057" w:rsidP="00C879D3">
            <w:pPr>
              <w:keepNext/>
              <w:keepLines/>
              <w:spacing w:before="80" w:after="80" w:line="200" w:lineRule="exact"/>
              <w:ind w:right="113"/>
            </w:pPr>
            <w:r w:rsidRPr="00EC7210">
              <w:t xml:space="preserve">11.00 a.m.–12.30 p.m. </w:t>
            </w:r>
          </w:p>
        </w:tc>
        <w:tc>
          <w:tcPr>
            <w:tcW w:w="2457" w:type="dxa"/>
            <w:tcBorders>
              <w:top w:val="single" w:sz="4" w:space="0" w:color="auto"/>
              <w:bottom w:val="single" w:sz="4" w:space="0" w:color="auto"/>
            </w:tcBorders>
            <w:shd w:val="clear" w:color="auto" w:fill="auto"/>
            <w:vAlign w:val="bottom"/>
          </w:tcPr>
          <w:p w14:paraId="17A663C6" w14:textId="0BC710A1" w:rsidR="00725057" w:rsidRPr="00EC7210" w:rsidRDefault="00725057" w:rsidP="00C879D3">
            <w:pPr>
              <w:keepNext/>
              <w:keepLines/>
              <w:spacing w:before="80" w:after="80" w:line="200" w:lineRule="exact"/>
              <w:ind w:right="113"/>
            </w:pPr>
            <w:r w:rsidRPr="00EC7210">
              <w:t xml:space="preserve">Items 4 – 8 </w:t>
            </w:r>
          </w:p>
        </w:tc>
      </w:tr>
      <w:tr w:rsidR="00725057" w:rsidRPr="008F20FB" w14:paraId="6C14055C" w14:textId="77777777" w:rsidTr="00871848">
        <w:tc>
          <w:tcPr>
            <w:tcW w:w="2456" w:type="dxa"/>
            <w:vMerge/>
            <w:shd w:val="clear" w:color="auto" w:fill="auto"/>
            <w:vAlign w:val="bottom"/>
          </w:tcPr>
          <w:p w14:paraId="66DA51BE" w14:textId="77777777" w:rsidR="00725057" w:rsidRPr="008F20FB" w:rsidRDefault="00725057" w:rsidP="00C879D3">
            <w:pPr>
              <w:keepNext/>
              <w:keepLines/>
              <w:spacing w:before="80" w:after="80" w:line="200" w:lineRule="exact"/>
              <w:ind w:right="113"/>
            </w:pPr>
          </w:p>
        </w:tc>
        <w:tc>
          <w:tcPr>
            <w:tcW w:w="2457" w:type="dxa"/>
            <w:tcBorders>
              <w:top w:val="single" w:sz="4" w:space="0" w:color="auto"/>
              <w:bottom w:val="single" w:sz="4" w:space="0" w:color="auto"/>
            </w:tcBorders>
            <w:shd w:val="clear" w:color="auto" w:fill="auto"/>
            <w:vAlign w:val="bottom"/>
          </w:tcPr>
          <w:p w14:paraId="607EDA9C" w14:textId="16E016CF" w:rsidR="00725057" w:rsidRPr="008F20FB" w:rsidRDefault="00725057" w:rsidP="00C879D3">
            <w:pPr>
              <w:keepNext/>
              <w:keepLines/>
              <w:spacing w:before="80" w:after="80" w:line="200" w:lineRule="exact"/>
              <w:ind w:right="113"/>
            </w:pPr>
            <w:r w:rsidRPr="008F20FB">
              <w:t>12.30 –1 p.m.</w:t>
            </w:r>
          </w:p>
        </w:tc>
        <w:tc>
          <w:tcPr>
            <w:tcW w:w="2457" w:type="dxa"/>
            <w:tcBorders>
              <w:top w:val="single" w:sz="4" w:space="0" w:color="auto"/>
              <w:bottom w:val="single" w:sz="4" w:space="0" w:color="auto"/>
            </w:tcBorders>
            <w:shd w:val="clear" w:color="auto" w:fill="auto"/>
            <w:vAlign w:val="bottom"/>
          </w:tcPr>
          <w:p w14:paraId="7D9584C9" w14:textId="47D29928" w:rsidR="00725057" w:rsidRPr="008F20FB" w:rsidRDefault="00725057" w:rsidP="00C879D3">
            <w:pPr>
              <w:keepNext/>
              <w:keepLines/>
              <w:spacing w:before="80" w:after="80" w:line="200" w:lineRule="exact"/>
              <w:ind w:right="113"/>
            </w:pPr>
            <w:r w:rsidRPr="008F20FB">
              <w:t>Item 9</w:t>
            </w:r>
          </w:p>
        </w:tc>
      </w:tr>
      <w:tr w:rsidR="00725057" w:rsidRPr="008F20FB" w14:paraId="76B75643" w14:textId="77777777" w:rsidTr="00871848">
        <w:tc>
          <w:tcPr>
            <w:tcW w:w="2456" w:type="dxa"/>
            <w:vMerge/>
            <w:tcBorders>
              <w:bottom w:val="single" w:sz="4" w:space="0" w:color="auto"/>
            </w:tcBorders>
            <w:shd w:val="clear" w:color="auto" w:fill="auto"/>
            <w:vAlign w:val="bottom"/>
          </w:tcPr>
          <w:p w14:paraId="571E7B74" w14:textId="77777777" w:rsidR="00725057" w:rsidRPr="008F20FB" w:rsidRDefault="00725057" w:rsidP="00C879D3">
            <w:pPr>
              <w:keepNext/>
              <w:keepLines/>
              <w:spacing w:before="80" w:after="80" w:line="200" w:lineRule="exact"/>
              <w:ind w:right="113"/>
            </w:pPr>
          </w:p>
        </w:tc>
        <w:tc>
          <w:tcPr>
            <w:tcW w:w="2457" w:type="dxa"/>
            <w:tcBorders>
              <w:top w:val="single" w:sz="4" w:space="0" w:color="auto"/>
              <w:bottom w:val="single" w:sz="4" w:space="0" w:color="auto"/>
            </w:tcBorders>
            <w:shd w:val="clear" w:color="auto" w:fill="auto"/>
            <w:vAlign w:val="bottom"/>
          </w:tcPr>
          <w:p w14:paraId="4772F3AC" w14:textId="152EF1BA" w:rsidR="00725057" w:rsidRPr="008F20FB" w:rsidRDefault="00725057" w:rsidP="00C879D3">
            <w:pPr>
              <w:keepNext/>
              <w:keepLines/>
              <w:spacing w:before="80" w:after="80" w:line="200" w:lineRule="exact"/>
              <w:ind w:right="113"/>
            </w:pPr>
            <w:r w:rsidRPr="008F20FB">
              <w:t>3–6 p.m.</w:t>
            </w:r>
          </w:p>
        </w:tc>
        <w:tc>
          <w:tcPr>
            <w:tcW w:w="2457" w:type="dxa"/>
            <w:tcBorders>
              <w:top w:val="single" w:sz="4" w:space="0" w:color="auto"/>
              <w:bottom w:val="single" w:sz="4" w:space="0" w:color="auto"/>
            </w:tcBorders>
            <w:shd w:val="clear" w:color="auto" w:fill="auto"/>
            <w:vAlign w:val="bottom"/>
          </w:tcPr>
          <w:p w14:paraId="1FFAE1DB" w14:textId="421FE6DF" w:rsidR="00725057" w:rsidRPr="008F20FB" w:rsidRDefault="00725057" w:rsidP="00C879D3">
            <w:pPr>
              <w:keepNext/>
              <w:keepLines/>
              <w:spacing w:before="80" w:after="80" w:line="200" w:lineRule="exact"/>
              <w:ind w:right="113"/>
            </w:pPr>
            <w:r w:rsidRPr="008F20FB">
              <w:t>Item 9 (cont’d)</w:t>
            </w:r>
          </w:p>
        </w:tc>
      </w:tr>
      <w:tr w:rsidR="00725057" w:rsidRPr="008F20FB" w14:paraId="139F7E07" w14:textId="77777777" w:rsidTr="00D26A7F">
        <w:tc>
          <w:tcPr>
            <w:tcW w:w="2456" w:type="dxa"/>
            <w:vMerge w:val="restart"/>
            <w:tcBorders>
              <w:top w:val="single" w:sz="4" w:space="0" w:color="auto"/>
            </w:tcBorders>
            <w:shd w:val="clear" w:color="auto" w:fill="auto"/>
            <w:vAlign w:val="center"/>
          </w:tcPr>
          <w:p w14:paraId="62C11CC3" w14:textId="2545E438" w:rsidR="00725057" w:rsidRPr="008F20FB" w:rsidRDefault="00725057">
            <w:pPr>
              <w:keepNext/>
              <w:keepLines/>
              <w:spacing w:before="40" w:after="120"/>
              <w:ind w:right="113"/>
            </w:pPr>
            <w:r w:rsidRPr="008F20FB">
              <w:t>Thursday, 24 February</w:t>
            </w:r>
          </w:p>
        </w:tc>
        <w:tc>
          <w:tcPr>
            <w:tcW w:w="2457" w:type="dxa"/>
            <w:tcBorders>
              <w:top w:val="single" w:sz="4" w:space="0" w:color="auto"/>
              <w:bottom w:val="single" w:sz="4" w:space="0" w:color="auto"/>
            </w:tcBorders>
            <w:shd w:val="clear" w:color="auto" w:fill="auto"/>
          </w:tcPr>
          <w:p w14:paraId="25796352" w14:textId="09F480E4" w:rsidR="00725057" w:rsidRPr="008F20FB" w:rsidRDefault="001D4EC8" w:rsidP="00F221EC">
            <w:pPr>
              <w:keepNext/>
              <w:keepLines/>
              <w:spacing w:before="40" w:after="120"/>
              <w:ind w:right="113"/>
            </w:pPr>
            <w:r w:rsidRPr="008F20FB">
              <w:t>10</w:t>
            </w:r>
            <w:r w:rsidR="00725057" w:rsidRPr="008F20FB">
              <w:t xml:space="preserve"> a.m.–12 p.m.</w:t>
            </w:r>
          </w:p>
        </w:tc>
        <w:tc>
          <w:tcPr>
            <w:tcW w:w="2457" w:type="dxa"/>
            <w:tcBorders>
              <w:top w:val="single" w:sz="4" w:space="0" w:color="auto"/>
              <w:bottom w:val="single" w:sz="4" w:space="0" w:color="auto"/>
            </w:tcBorders>
            <w:shd w:val="clear" w:color="auto" w:fill="auto"/>
          </w:tcPr>
          <w:p w14:paraId="3CE40BA5" w14:textId="670C3587" w:rsidR="00725057" w:rsidRPr="008F20FB" w:rsidRDefault="00725057" w:rsidP="00F221EC">
            <w:pPr>
              <w:keepNext/>
              <w:keepLines/>
              <w:spacing w:before="40" w:after="120"/>
              <w:ind w:right="113"/>
            </w:pPr>
            <w:r w:rsidRPr="008F20FB">
              <w:t xml:space="preserve">Items 9 (cont’d) – 10 </w:t>
            </w:r>
          </w:p>
        </w:tc>
      </w:tr>
      <w:tr w:rsidR="00725057" w:rsidRPr="008F20FB" w14:paraId="3D84847B" w14:textId="77777777" w:rsidTr="00871848">
        <w:tc>
          <w:tcPr>
            <w:tcW w:w="2456" w:type="dxa"/>
            <w:vMerge/>
            <w:shd w:val="clear" w:color="auto" w:fill="auto"/>
          </w:tcPr>
          <w:p w14:paraId="4EC1ADF7" w14:textId="77777777" w:rsidR="00725057" w:rsidRPr="008F20FB" w:rsidRDefault="00725057" w:rsidP="00F221EC">
            <w:pPr>
              <w:keepNext/>
              <w:keepLines/>
              <w:spacing w:before="40" w:after="120"/>
              <w:ind w:right="113"/>
            </w:pPr>
          </w:p>
        </w:tc>
        <w:tc>
          <w:tcPr>
            <w:tcW w:w="2457" w:type="dxa"/>
            <w:tcBorders>
              <w:top w:val="single" w:sz="4" w:space="0" w:color="auto"/>
              <w:bottom w:val="single" w:sz="4" w:space="0" w:color="auto"/>
            </w:tcBorders>
            <w:shd w:val="clear" w:color="auto" w:fill="auto"/>
            <w:vAlign w:val="bottom"/>
          </w:tcPr>
          <w:p w14:paraId="773BC507" w14:textId="77777777" w:rsidR="00725057" w:rsidRPr="008F20FB" w:rsidRDefault="00725057" w:rsidP="00F221EC">
            <w:pPr>
              <w:keepNext/>
              <w:keepLines/>
              <w:spacing w:before="40" w:after="120"/>
              <w:ind w:right="113"/>
            </w:pPr>
            <w:r w:rsidRPr="008F20FB">
              <w:t>12.00 –1 p.m.</w:t>
            </w:r>
          </w:p>
        </w:tc>
        <w:tc>
          <w:tcPr>
            <w:tcW w:w="2457" w:type="dxa"/>
            <w:tcBorders>
              <w:top w:val="single" w:sz="4" w:space="0" w:color="auto"/>
              <w:bottom w:val="single" w:sz="4" w:space="0" w:color="auto"/>
            </w:tcBorders>
            <w:shd w:val="clear" w:color="auto" w:fill="auto"/>
            <w:vAlign w:val="bottom"/>
          </w:tcPr>
          <w:p w14:paraId="4B0297C0" w14:textId="5B5EB2B3" w:rsidR="00725057" w:rsidRPr="008F20FB" w:rsidRDefault="00725057" w:rsidP="00F221EC">
            <w:pPr>
              <w:keepNext/>
              <w:keepLines/>
              <w:spacing w:before="40" w:after="120"/>
              <w:ind w:right="113"/>
            </w:pPr>
            <w:r w:rsidRPr="008F20FB">
              <w:t xml:space="preserve">Items 11 – 12 </w:t>
            </w:r>
          </w:p>
        </w:tc>
      </w:tr>
      <w:tr w:rsidR="00725057" w:rsidRPr="008F20FB" w14:paraId="581E31AE" w14:textId="77777777" w:rsidTr="00871848">
        <w:tc>
          <w:tcPr>
            <w:tcW w:w="2456" w:type="dxa"/>
            <w:vMerge/>
            <w:tcBorders>
              <w:bottom w:val="single" w:sz="4" w:space="0" w:color="auto"/>
            </w:tcBorders>
            <w:shd w:val="clear" w:color="auto" w:fill="auto"/>
          </w:tcPr>
          <w:p w14:paraId="1FDB3375" w14:textId="77777777" w:rsidR="00725057" w:rsidRPr="008F20FB" w:rsidRDefault="00725057" w:rsidP="00F221EC">
            <w:pPr>
              <w:keepNext/>
              <w:keepLines/>
              <w:spacing w:before="40" w:after="120"/>
              <w:ind w:right="113"/>
            </w:pPr>
          </w:p>
        </w:tc>
        <w:tc>
          <w:tcPr>
            <w:tcW w:w="2457" w:type="dxa"/>
            <w:tcBorders>
              <w:top w:val="single" w:sz="4" w:space="0" w:color="auto"/>
              <w:bottom w:val="single" w:sz="4" w:space="0" w:color="auto"/>
            </w:tcBorders>
            <w:shd w:val="clear" w:color="auto" w:fill="auto"/>
          </w:tcPr>
          <w:p w14:paraId="3751E200" w14:textId="04015BD6" w:rsidR="00725057" w:rsidRPr="008F20FB" w:rsidRDefault="00725057" w:rsidP="00F221EC">
            <w:pPr>
              <w:keepNext/>
              <w:keepLines/>
              <w:spacing w:before="40" w:after="120"/>
              <w:ind w:right="113"/>
            </w:pPr>
            <w:r w:rsidRPr="008F20FB">
              <w:t>3–</w:t>
            </w:r>
            <w:r w:rsidR="001D4EC8" w:rsidRPr="008F20FB">
              <w:t>6</w:t>
            </w:r>
            <w:r w:rsidRPr="008F20FB">
              <w:t xml:space="preserve"> p.m.</w:t>
            </w:r>
          </w:p>
        </w:tc>
        <w:tc>
          <w:tcPr>
            <w:tcW w:w="2457" w:type="dxa"/>
            <w:tcBorders>
              <w:top w:val="single" w:sz="4" w:space="0" w:color="auto"/>
              <w:bottom w:val="single" w:sz="4" w:space="0" w:color="auto"/>
            </w:tcBorders>
            <w:shd w:val="clear" w:color="auto" w:fill="auto"/>
          </w:tcPr>
          <w:p w14:paraId="5B57F350" w14:textId="50A9D6E8" w:rsidR="00725057" w:rsidRPr="008F20FB" w:rsidRDefault="00725057" w:rsidP="00F221EC">
            <w:pPr>
              <w:keepNext/>
              <w:keepLines/>
              <w:spacing w:before="40" w:after="120"/>
              <w:ind w:right="113"/>
            </w:pPr>
            <w:r w:rsidRPr="008F20FB">
              <w:t>Item 13</w:t>
            </w:r>
          </w:p>
        </w:tc>
      </w:tr>
      <w:tr w:rsidR="00EA295D" w:rsidRPr="008F20FB" w14:paraId="5D30C2B3" w14:textId="77777777" w:rsidTr="00871848">
        <w:tc>
          <w:tcPr>
            <w:tcW w:w="2456" w:type="dxa"/>
            <w:tcBorders>
              <w:top w:val="single" w:sz="4" w:space="0" w:color="auto"/>
              <w:bottom w:val="single" w:sz="4" w:space="0" w:color="auto"/>
            </w:tcBorders>
            <w:shd w:val="clear" w:color="auto" w:fill="auto"/>
          </w:tcPr>
          <w:p w14:paraId="1964D673" w14:textId="13C8288C" w:rsidR="00EA295D" w:rsidRPr="008F20FB" w:rsidRDefault="00EA295D" w:rsidP="00EA295D">
            <w:pPr>
              <w:keepNext/>
              <w:keepLines/>
              <w:spacing w:before="40" w:after="120"/>
              <w:ind w:right="113"/>
            </w:pPr>
            <w:r w:rsidRPr="008F20FB">
              <w:t>Friday, 25 February</w:t>
            </w:r>
          </w:p>
        </w:tc>
        <w:tc>
          <w:tcPr>
            <w:tcW w:w="2457" w:type="dxa"/>
            <w:tcBorders>
              <w:top w:val="single" w:sz="4" w:space="0" w:color="auto"/>
              <w:bottom w:val="single" w:sz="4" w:space="0" w:color="auto"/>
            </w:tcBorders>
            <w:shd w:val="clear" w:color="auto" w:fill="auto"/>
          </w:tcPr>
          <w:p w14:paraId="4C83C561" w14:textId="7F7E5932" w:rsidR="00EA295D" w:rsidRPr="008F20FB" w:rsidRDefault="001D4EC8" w:rsidP="00EA295D">
            <w:pPr>
              <w:keepNext/>
              <w:keepLines/>
              <w:spacing w:before="40" w:after="120"/>
              <w:ind w:right="113"/>
            </w:pPr>
            <w:r w:rsidRPr="008F20FB">
              <w:t>10</w:t>
            </w:r>
            <w:r w:rsidR="00EA295D" w:rsidRPr="008F20FB">
              <w:t xml:space="preserve"> a.m.–1 p.m.</w:t>
            </w:r>
          </w:p>
        </w:tc>
        <w:tc>
          <w:tcPr>
            <w:tcW w:w="2457" w:type="dxa"/>
            <w:tcBorders>
              <w:top w:val="single" w:sz="4" w:space="0" w:color="auto"/>
              <w:bottom w:val="single" w:sz="4" w:space="0" w:color="auto"/>
            </w:tcBorders>
            <w:shd w:val="clear" w:color="auto" w:fill="auto"/>
          </w:tcPr>
          <w:p w14:paraId="7637FEA4" w14:textId="30E27C5A" w:rsidR="00EA295D" w:rsidRPr="008F20FB" w:rsidRDefault="00EA295D" w:rsidP="00EA295D">
            <w:pPr>
              <w:keepNext/>
              <w:keepLines/>
              <w:spacing w:before="40" w:after="120"/>
              <w:ind w:right="113"/>
            </w:pPr>
            <w:r w:rsidRPr="008F20FB">
              <w:t>Item 1</w:t>
            </w:r>
            <w:r w:rsidR="00346D06" w:rsidRPr="008F20FB">
              <w:t>4</w:t>
            </w:r>
          </w:p>
        </w:tc>
      </w:tr>
    </w:tbl>
    <w:p w14:paraId="08CBC995" w14:textId="7D9C0583" w:rsidR="00EF33DF" w:rsidRPr="008F20FB" w:rsidRDefault="00231E20" w:rsidP="00231E20">
      <w:pPr>
        <w:spacing w:before="240"/>
        <w:jc w:val="center"/>
        <w:rPr>
          <w:u w:val="single"/>
        </w:rPr>
      </w:pPr>
      <w:r w:rsidRPr="008F20FB">
        <w:rPr>
          <w:u w:val="single"/>
        </w:rPr>
        <w:tab/>
      </w:r>
      <w:r w:rsidRPr="008F20FB">
        <w:rPr>
          <w:u w:val="single"/>
        </w:rPr>
        <w:tab/>
      </w:r>
      <w:r w:rsidRPr="008F20FB">
        <w:rPr>
          <w:u w:val="single"/>
        </w:rPr>
        <w:tab/>
      </w:r>
    </w:p>
    <w:sectPr w:rsidR="00EF33DF" w:rsidRPr="008F20FB" w:rsidSect="00954785">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E6320" w14:textId="77777777" w:rsidR="00237084" w:rsidRDefault="00237084"/>
  </w:endnote>
  <w:endnote w:type="continuationSeparator" w:id="0">
    <w:p w14:paraId="1EDBB9A2" w14:textId="77777777" w:rsidR="00237084" w:rsidRDefault="00237084"/>
  </w:endnote>
  <w:endnote w:type="continuationNotice" w:id="1">
    <w:p w14:paraId="6E69F36D" w14:textId="77777777" w:rsidR="00237084" w:rsidRDefault="00237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D" w14:textId="77777777" w:rsidR="00542E75" w:rsidRPr="00954785" w:rsidRDefault="00542E7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E" w14:textId="77777777" w:rsidR="00542E75" w:rsidRPr="00954785" w:rsidRDefault="00542E7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DEA58" w14:textId="77A22B95" w:rsidR="00B90DEE" w:rsidRDefault="00B90DEE" w:rsidP="00B90DEE">
    <w:pPr>
      <w:pStyle w:val="Footer"/>
    </w:pPr>
    <w:r w:rsidRPr="0027112F">
      <w:rPr>
        <w:noProof/>
        <w:lang w:val="en-US"/>
      </w:rPr>
      <w:drawing>
        <wp:anchor distT="0" distB="0" distL="114300" distR="114300" simplePos="0" relativeHeight="251659264" behindDoc="0" locked="1" layoutInCell="1" allowOverlap="1" wp14:anchorId="2C433FE9" wp14:editId="2AF79880">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36EDF1A" w14:textId="609E4D21" w:rsidR="00B90DEE" w:rsidRPr="00B90DEE" w:rsidRDefault="00B90DEE" w:rsidP="00B90DEE">
    <w:pPr>
      <w:pStyle w:val="Footer"/>
      <w:ind w:right="1134"/>
      <w:rPr>
        <w:sz w:val="20"/>
      </w:rPr>
    </w:pPr>
    <w:r>
      <w:rPr>
        <w:sz w:val="20"/>
      </w:rPr>
      <w:t>GE.21-18376(E)</w:t>
    </w:r>
    <w:r>
      <w:rPr>
        <w:noProof/>
        <w:sz w:val="20"/>
      </w:rPr>
      <w:drawing>
        <wp:anchor distT="0" distB="0" distL="114300" distR="114300" simplePos="0" relativeHeight="251660288" behindDoc="0" locked="0" layoutInCell="1" allowOverlap="1" wp14:anchorId="4C1E1D86" wp14:editId="03C64DA9">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0E28B" w14:textId="77777777" w:rsidR="00237084" w:rsidRPr="000B175B" w:rsidRDefault="00237084" w:rsidP="000B175B">
      <w:pPr>
        <w:tabs>
          <w:tab w:val="right" w:pos="2155"/>
        </w:tabs>
        <w:spacing w:after="80"/>
        <w:ind w:left="680"/>
        <w:rPr>
          <w:u w:val="single"/>
        </w:rPr>
      </w:pPr>
      <w:r>
        <w:rPr>
          <w:u w:val="single"/>
        </w:rPr>
        <w:tab/>
      </w:r>
    </w:p>
  </w:footnote>
  <w:footnote w:type="continuationSeparator" w:id="0">
    <w:p w14:paraId="58DC5DC7" w14:textId="77777777" w:rsidR="00237084" w:rsidRPr="00FC68B7" w:rsidRDefault="00237084" w:rsidP="00FC68B7">
      <w:pPr>
        <w:tabs>
          <w:tab w:val="left" w:pos="2155"/>
        </w:tabs>
        <w:spacing w:after="80"/>
        <w:ind w:left="680"/>
        <w:rPr>
          <w:u w:val="single"/>
        </w:rPr>
      </w:pPr>
      <w:r>
        <w:rPr>
          <w:u w:val="single"/>
        </w:rPr>
        <w:tab/>
      </w:r>
    </w:p>
  </w:footnote>
  <w:footnote w:type="continuationNotice" w:id="1">
    <w:p w14:paraId="2C18395D" w14:textId="77777777" w:rsidR="00237084" w:rsidRDefault="00237084"/>
  </w:footnote>
  <w:footnote w:id="2">
    <w:p w14:paraId="7967EB3B" w14:textId="60B36A0A" w:rsidR="00C972CF" w:rsidRPr="000F6A86" w:rsidRDefault="00C972CF" w:rsidP="008F5CEF">
      <w:pPr>
        <w:pStyle w:val="FootnoteText"/>
      </w:pPr>
      <w:r>
        <w:rPr>
          <w:rStyle w:val="FootnoteReference"/>
        </w:rPr>
        <w:tab/>
      </w:r>
      <w:r w:rsidRPr="00C972CF">
        <w:rPr>
          <w:rStyle w:val="FootnoteReference"/>
          <w:sz w:val="20"/>
          <w:vertAlign w:val="baseline"/>
        </w:rPr>
        <w:t>*</w:t>
      </w:r>
      <w:r>
        <w:rPr>
          <w:rStyle w:val="FootnoteReference"/>
          <w:sz w:val="20"/>
          <w:vertAlign w:val="baseline"/>
        </w:rPr>
        <w:tab/>
      </w:r>
      <w:r w:rsidR="008F5CEF" w:rsidRPr="008F5CEF">
        <w:rPr>
          <w:sz w:val="20"/>
        </w:rPr>
        <w:t xml:space="preserve">For reasons of economy, delegates are requested to bring copies of all relevant documents to the session. There will be no documentation available in the conference room. Before the session, documents may be downloaded from the website of the </w:t>
      </w:r>
      <w:r w:rsidR="008F5CEF" w:rsidRPr="008F5CEF">
        <w:rPr>
          <w:sz w:val="20"/>
          <w:lang w:val="en-US"/>
        </w:rPr>
        <w:t xml:space="preserve">UNECE Sustainable Transport Division </w:t>
      </w:r>
      <w:hyperlink r:id="rId1" w:history="1">
        <w:r w:rsidR="008F5CEF" w:rsidRPr="008F5CEF">
          <w:rPr>
            <w:rStyle w:val="Hyperlink"/>
            <w:sz w:val="20"/>
          </w:rPr>
          <w:t>(</w:t>
        </w:r>
      </w:hyperlink>
      <w:hyperlink r:id="rId2" w:history="1">
        <w:r w:rsidR="008F5CEF" w:rsidRPr="008F5CEF">
          <w:rPr>
            <w:rStyle w:val="Hyperlink"/>
            <w:sz w:val="20"/>
          </w:rPr>
          <w:t>https://unece.org/info/Transport/Inland-Transport-Committee/events/362658</w:t>
        </w:r>
      </w:hyperlink>
      <w:r w:rsidR="008F5CEF" w:rsidRPr="008F5CEF">
        <w:rPr>
          <w:sz w:val="20"/>
        </w:rPr>
        <w:t>) or from the website of the public United Nations Official Document Systems (http://documents.un.org/).</w:t>
      </w:r>
      <w:r w:rsidR="008F5CEF" w:rsidRPr="008F5CEF">
        <w:rPr>
          <w:sz w:val="20"/>
          <w:lang w:val="en-US"/>
        </w:rPr>
        <w:t xml:space="preserve"> During the session, official documents may be obtained from the UNOG Documents Distribution Section (Door 40, second floor, E building, Palais des Nations).</w:t>
      </w:r>
    </w:p>
  </w:footnote>
  <w:footnote w:id="3">
    <w:p w14:paraId="58648265" w14:textId="50C70DA9" w:rsidR="008F5CEF" w:rsidRPr="000F6A86" w:rsidRDefault="008F5CEF" w:rsidP="00295C4B">
      <w:pPr>
        <w:pStyle w:val="FootnoteText"/>
      </w:pPr>
      <w:r>
        <w:rPr>
          <w:rStyle w:val="FootnoteReference"/>
        </w:rPr>
        <w:tab/>
      </w:r>
      <w:r w:rsidRPr="008F5CEF">
        <w:rPr>
          <w:rStyle w:val="FootnoteReference"/>
          <w:sz w:val="20"/>
          <w:vertAlign w:val="baseline"/>
        </w:rPr>
        <w:t>**</w:t>
      </w:r>
      <w:r>
        <w:rPr>
          <w:rStyle w:val="FootnoteReference"/>
          <w:sz w:val="20"/>
          <w:vertAlign w:val="baseline"/>
        </w:rPr>
        <w:tab/>
      </w:r>
      <w:r w:rsidR="00295C4B" w:rsidRPr="00295C4B">
        <w:rPr>
          <w:sz w:val="20"/>
          <w:lang w:val="en-US"/>
        </w:rPr>
        <w:t>Delegates are requested to register online using the registration system Indico (</w:t>
      </w:r>
      <w:hyperlink r:id="rId3" w:history="1">
        <w:r w:rsidR="00295C4B" w:rsidRPr="00295C4B">
          <w:rPr>
            <w:rStyle w:val="Hyperlink"/>
            <w:sz w:val="20"/>
          </w:rPr>
          <w:t>https://indico.un.org/event/36756/</w:t>
        </w:r>
      </w:hyperlink>
      <w:r w:rsidR="00295C4B" w:rsidRPr="00295C4B">
        <w:rPr>
          <w:sz w:val="20"/>
          <w:lang w:val="en-US"/>
        </w:rPr>
        <w:t>)</w:t>
      </w:r>
      <w:r w:rsidR="00295C4B" w:rsidRPr="00295C4B">
        <w:rPr>
          <w:sz w:val="20"/>
        </w:rPr>
        <w:t>. Upon arrival at the Palais des Nations, delegates should obtain an identification badge at the UNOG Security and Safety Section, located at the Pregny Gate (14 Avenue de la Paix). In case of difficulty, please contact the secretariat by telephone (+41 22 917 14 69) or by e-mail (</w:t>
      </w:r>
      <w:bookmarkStart w:id="0" w:name="_Hlk511304823"/>
      <w:r w:rsidR="00295C4B" w:rsidRPr="00295C4B">
        <w:rPr>
          <w:sz w:val="20"/>
        </w:rPr>
        <w:t>lucille.caillot@un.org</w:t>
      </w:r>
      <w:bookmarkEnd w:id="0"/>
      <w:r w:rsidR="00295C4B" w:rsidRPr="00295C4B">
        <w:rPr>
          <w:sz w:val="20"/>
        </w:rPr>
        <w:t>). For a map of the Palais des Nations and other useful information, see the website (</w:t>
      </w:r>
      <w:hyperlink r:id="rId4" w:history="1">
        <w:r w:rsidR="00295C4B" w:rsidRPr="00295C4B">
          <w:rPr>
            <w:rStyle w:val="Hyperlink"/>
            <w:sz w:val="20"/>
          </w:rPr>
          <w:t>www.unece.org/practical-information-delegates</w:t>
        </w:r>
      </w:hyperlink>
      <w:r w:rsidR="00295C4B" w:rsidRPr="00295C4B">
        <w:rPr>
          <w:sz w:val="20"/>
        </w:rPr>
        <w:t>).</w:t>
      </w:r>
    </w:p>
  </w:footnote>
  <w:footnote w:id="4">
    <w:p w14:paraId="18D1C4EB" w14:textId="77777777" w:rsidR="00542E75" w:rsidRPr="001170F2" w:rsidRDefault="00542E75" w:rsidP="00FE535F">
      <w:pPr>
        <w:pStyle w:val="FootnoteText"/>
        <w:widowControl w:val="0"/>
        <w:tabs>
          <w:tab w:val="clear" w:pos="1021"/>
          <w:tab w:val="right" w:pos="1020"/>
        </w:tabs>
        <w:rPr>
          <w:lang w:val="en-US"/>
        </w:rPr>
      </w:pPr>
      <w:r>
        <w:tab/>
      </w:r>
      <w:r>
        <w:rPr>
          <w:rStyle w:val="FootnoteReference"/>
        </w:rPr>
        <w:footnoteRef/>
      </w:r>
      <w:r>
        <w:tab/>
      </w:r>
      <w:r>
        <w:rPr>
          <w:lang w:val="en-US"/>
        </w:rPr>
        <w:t>More details on automated vehicles and traffic regulations are also addressed under agenda item 7 (i); elements on the use of automated vehicles are addressed under agenda item 7 (h).</w:t>
      </w:r>
    </w:p>
  </w:footnote>
  <w:footnote w:id="5">
    <w:p w14:paraId="754EB174" w14:textId="77777777" w:rsidR="00542E75" w:rsidRPr="001170F2" w:rsidRDefault="00542E75" w:rsidP="006C4666">
      <w:pPr>
        <w:pStyle w:val="FootnoteText"/>
        <w:widowControl w:val="0"/>
        <w:tabs>
          <w:tab w:val="clear" w:pos="1021"/>
          <w:tab w:val="right" w:pos="1020"/>
        </w:tabs>
        <w:rPr>
          <w:lang w:val="en-US"/>
        </w:rPr>
      </w:pPr>
      <w:r>
        <w:tab/>
      </w:r>
      <w:r>
        <w:rPr>
          <w:rStyle w:val="FootnoteReference"/>
        </w:rPr>
        <w:footnoteRef/>
      </w:r>
      <w:r>
        <w:tab/>
      </w:r>
      <w:r w:rsidRPr="00D13786">
        <w:t>Originally developed by ECE with funding from the United Nations Development Account.</w:t>
      </w:r>
      <w:r>
        <w:t xml:space="preserve"> </w:t>
      </w:r>
    </w:p>
  </w:footnote>
  <w:footnote w:id="6">
    <w:p w14:paraId="01FF2E5D" w14:textId="74334191" w:rsidR="00542E75" w:rsidRPr="00783737" w:rsidRDefault="00542E75" w:rsidP="004D6B96">
      <w:pPr>
        <w:pStyle w:val="FootnoteText"/>
        <w:rPr>
          <w:lang w:val="en-US"/>
        </w:rPr>
      </w:pPr>
      <w:r>
        <w:tab/>
      </w:r>
      <w:r>
        <w:rPr>
          <w:rStyle w:val="FootnoteReference"/>
        </w:rPr>
        <w:footnoteRef/>
      </w:r>
      <w:r>
        <w:tab/>
      </w:r>
      <w:r w:rsidRPr="00D13786">
        <w:t xml:space="preserve">Database for the Exchange </w:t>
      </w:r>
      <w:r w:rsidR="004B56C8" w:rsidRPr="00D13786">
        <w:t>of ve</w:t>
      </w:r>
      <w:r w:rsidRPr="00D13786">
        <w:t>hicle Type Approvals</w:t>
      </w:r>
      <w:r>
        <w:t xml:space="preserve"> (</w:t>
      </w:r>
      <w:r w:rsidRPr="004D6B96">
        <w:t>DETA</w:t>
      </w:r>
      <w:r>
        <w:t xml:space="preserve">). </w:t>
      </w:r>
    </w:p>
  </w:footnote>
  <w:footnote w:id="7">
    <w:p w14:paraId="1954773F" w14:textId="77777777" w:rsidR="00542E75" w:rsidRPr="00A71F96" w:rsidRDefault="00542E75" w:rsidP="004D6B96">
      <w:pPr>
        <w:pStyle w:val="FootnoteText"/>
        <w:rPr>
          <w:lang w:val="en-US"/>
        </w:rPr>
      </w:pPr>
      <w:r w:rsidRPr="003D2C97">
        <w:tab/>
      </w:r>
      <w:r>
        <w:rPr>
          <w:rStyle w:val="FootnoteReference"/>
        </w:rPr>
        <w:footnoteRef/>
      </w:r>
      <w:r w:rsidRPr="00546609">
        <w:tab/>
        <w:t xml:space="preserve">Regulations </w:t>
      </w:r>
      <w:r w:rsidRPr="004D6B96">
        <w:t>concerning</w:t>
      </w:r>
      <w:r w:rsidRPr="00546609">
        <w:t xml:space="preserve"> the International Carriage of Dangerous Goods by Rail (RID), European Agreement concerning the International Carriage of Dangerous Goods by Road (ADR), European Agreement concerning the International Carriage of Dangerous Goods by Inland Waterways (ADN).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B" w14:textId="63C3102F" w:rsidR="00542E75" w:rsidRPr="00954785" w:rsidRDefault="00542E75">
    <w:pPr>
      <w:pStyle w:val="Header"/>
    </w:pPr>
    <w:r>
      <w:t>ECE/TRANS/315/Add.1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C" w14:textId="2F05067B" w:rsidR="00542E75" w:rsidRPr="00954785" w:rsidRDefault="00542E75" w:rsidP="00954785">
    <w:pPr>
      <w:pStyle w:val="Header"/>
      <w:jc w:val="right"/>
    </w:pPr>
    <w:r>
      <w:t>ECE/TRANS/315/Add.1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D26E64"/>
    <w:multiLevelType w:val="multilevel"/>
    <w:tmpl w:val="9764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14336A"/>
    <w:multiLevelType w:val="multilevel"/>
    <w:tmpl w:val="42B8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5A3115"/>
    <w:multiLevelType w:val="multilevel"/>
    <w:tmpl w:val="6756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6806ACB"/>
    <w:multiLevelType w:val="multilevel"/>
    <w:tmpl w:val="6864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3B4B7E"/>
    <w:multiLevelType w:val="multilevel"/>
    <w:tmpl w:val="CA0C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2F498E"/>
    <w:multiLevelType w:val="multilevel"/>
    <w:tmpl w:val="4546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3923FC"/>
    <w:multiLevelType w:val="multilevel"/>
    <w:tmpl w:val="50E6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084B11"/>
    <w:multiLevelType w:val="multilevel"/>
    <w:tmpl w:val="1CCA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5B76CE"/>
    <w:multiLevelType w:val="multilevel"/>
    <w:tmpl w:val="2902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FF2900"/>
    <w:multiLevelType w:val="multilevel"/>
    <w:tmpl w:val="4218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6C0CCF"/>
    <w:multiLevelType w:val="multilevel"/>
    <w:tmpl w:val="3282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96643B"/>
    <w:multiLevelType w:val="multilevel"/>
    <w:tmpl w:val="FFA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623349"/>
    <w:multiLevelType w:val="multilevel"/>
    <w:tmpl w:val="8E1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005E56"/>
    <w:multiLevelType w:val="multilevel"/>
    <w:tmpl w:val="C2EE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D40849"/>
    <w:multiLevelType w:val="multilevel"/>
    <w:tmpl w:val="13CE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9437D6"/>
    <w:multiLevelType w:val="multilevel"/>
    <w:tmpl w:val="86EE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2E10EE"/>
    <w:multiLevelType w:val="multilevel"/>
    <w:tmpl w:val="6CA6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421652"/>
    <w:multiLevelType w:val="multilevel"/>
    <w:tmpl w:val="1DCC9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822ACE"/>
    <w:multiLevelType w:val="multilevel"/>
    <w:tmpl w:val="9E26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463A76"/>
    <w:multiLevelType w:val="multilevel"/>
    <w:tmpl w:val="FC86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2D0417"/>
    <w:multiLevelType w:val="hybridMultilevel"/>
    <w:tmpl w:val="12AA58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036EDE"/>
    <w:multiLevelType w:val="multilevel"/>
    <w:tmpl w:val="F320C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3C63B1"/>
    <w:multiLevelType w:val="hybridMultilevel"/>
    <w:tmpl w:val="A0E88EF4"/>
    <w:lvl w:ilvl="0" w:tplc="CD3634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20"/>
  </w:num>
  <w:num w:numId="13">
    <w:abstractNumId w:val="10"/>
  </w:num>
  <w:num w:numId="14">
    <w:abstractNumId w:val="17"/>
  </w:num>
  <w:num w:numId="15">
    <w:abstractNumId w:val="26"/>
  </w:num>
  <w:num w:numId="16">
    <w:abstractNumId w:val="19"/>
  </w:num>
  <w:num w:numId="17">
    <w:abstractNumId w:val="37"/>
  </w:num>
  <w:num w:numId="18">
    <w:abstractNumId w:val="39"/>
  </w:num>
  <w:num w:numId="19">
    <w:abstractNumId w:val="14"/>
  </w:num>
  <w:num w:numId="20">
    <w:abstractNumId w:val="41"/>
  </w:num>
  <w:num w:numId="21">
    <w:abstractNumId w:val="38"/>
  </w:num>
  <w:num w:numId="22">
    <w:abstractNumId w:val="28"/>
  </w:num>
  <w:num w:numId="23">
    <w:abstractNumId w:val="40"/>
  </w:num>
  <w:num w:numId="24">
    <w:abstractNumId w:val="12"/>
  </w:num>
  <w:num w:numId="25">
    <w:abstractNumId w:val="24"/>
  </w:num>
  <w:num w:numId="26">
    <w:abstractNumId w:val="31"/>
  </w:num>
  <w:num w:numId="27">
    <w:abstractNumId w:val="35"/>
  </w:num>
  <w:num w:numId="28">
    <w:abstractNumId w:val="33"/>
  </w:num>
  <w:num w:numId="29">
    <w:abstractNumId w:val="27"/>
  </w:num>
  <w:num w:numId="30">
    <w:abstractNumId w:val="32"/>
  </w:num>
  <w:num w:numId="31">
    <w:abstractNumId w:val="23"/>
  </w:num>
  <w:num w:numId="32">
    <w:abstractNumId w:val="30"/>
  </w:num>
  <w:num w:numId="33">
    <w:abstractNumId w:val="18"/>
  </w:num>
  <w:num w:numId="34">
    <w:abstractNumId w:val="34"/>
  </w:num>
  <w:num w:numId="35">
    <w:abstractNumId w:val="29"/>
  </w:num>
  <w:num w:numId="36">
    <w:abstractNumId w:val="15"/>
  </w:num>
  <w:num w:numId="37">
    <w:abstractNumId w:val="13"/>
  </w:num>
  <w:num w:numId="38">
    <w:abstractNumId w:val="16"/>
  </w:num>
  <w:num w:numId="39">
    <w:abstractNumId w:val="22"/>
  </w:num>
  <w:num w:numId="40">
    <w:abstractNumId w:val="11"/>
  </w:num>
  <w:num w:numId="41">
    <w:abstractNumId w:val="36"/>
  </w:num>
  <w:num w:numId="4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100E"/>
    <w:rsid w:val="00002A7D"/>
    <w:rsid w:val="000038A8"/>
    <w:rsid w:val="00005C47"/>
    <w:rsid w:val="00006790"/>
    <w:rsid w:val="000151DE"/>
    <w:rsid w:val="00027624"/>
    <w:rsid w:val="00030D1E"/>
    <w:rsid w:val="00030FC4"/>
    <w:rsid w:val="0003293C"/>
    <w:rsid w:val="00042032"/>
    <w:rsid w:val="000424B1"/>
    <w:rsid w:val="00044F01"/>
    <w:rsid w:val="0005040C"/>
    <w:rsid w:val="00050F6B"/>
    <w:rsid w:val="00055FCC"/>
    <w:rsid w:val="00056FAD"/>
    <w:rsid w:val="00060BB3"/>
    <w:rsid w:val="000616C5"/>
    <w:rsid w:val="00064912"/>
    <w:rsid w:val="00064E1E"/>
    <w:rsid w:val="000678CD"/>
    <w:rsid w:val="00070847"/>
    <w:rsid w:val="00072C8C"/>
    <w:rsid w:val="000738E0"/>
    <w:rsid w:val="00074B33"/>
    <w:rsid w:val="000771F6"/>
    <w:rsid w:val="00081CE0"/>
    <w:rsid w:val="00084D30"/>
    <w:rsid w:val="00090320"/>
    <w:rsid w:val="000931C0"/>
    <w:rsid w:val="00094FBC"/>
    <w:rsid w:val="00095517"/>
    <w:rsid w:val="000A2E09"/>
    <w:rsid w:val="000B039E"/>
    <w:rsid w:val="000B050C"/>
    <w:rsid w:val="000B175B"/>
    <w:rsid w:val="000B3A0F"/>
    <w:rsid w:val="000C04E5"/>
    <w:rsid w:val="000C2FF7"/>
    <w:rsid w:val="000C4480"/>
    <w:rsid w:val="000D0A4F"/>
    <w:rsid w:val="000D0BF4"/>
    <w:rsid w:val="000D21CD"/>
    <w:rsid w:val="000D46AF"/>
    <w:rsid w:val="000D524D"/>
    <w:rsid w:val="000E0415"/>
    <w:rsid w:val="000F22D7"/>
    <w:rsid w:val="000F6A86"/>
    <w:rsid w:val="000F7715"/>
    <w:rsid w:val="00101D8A"/>
    <w:rsid w:val="0010493A"/>
    <w:rsid w:val="00113804"/>
    <w:rsid w:val="00117CA4"/>
    <w:rsid w:val="001319B6"/>
    <w:rsid w:val="00132AD0"/>
    <w:rsid w:val="00135716"/>
    <w:rsid w:val="00141F77"/>
    <w:rsid w:val="00144A69"/>
    <w:rsid w:val="00145252"/>
    <w:rsid w:val="001459B6"/>
    <w:rsid w:val="00145AFE"/>
    <w:rsid w:val="00146027"/>
    <w:rsid w:val="0015199D"/>
    <w:rsid w:val="00156B99"/>
    <w:rsid w:val="00161194"/>
    <w:rsid w:val="001638AD"/>
    <w:rsid w:val="00164F3E"/>
    <w:rsid w:val="00166124"/>
    <w:rsid w:val="00166B55"/>
    <w:rsid w:val="001701DF"/>
    <w:rsid w:val="00172951"/>
    <w:rsid w:val="001751EC"/>
    <w:rsid w:val="00175940"/>
    <w:rsid w:val="0017727B"/>
    <w:rsid w:val="0018281A"/>
    <w:rsid w:val="00184DDA"/>
    <w:rsid w:val="00185F7F"/>
    <w:rsid w:val="00187391"/>
    <w:rsid w:val="001900CD"/>
    <w:rsid w:val="00192B80"/>
    <w:rsid w:val="001932C8"/>
    <w:rsid w:val="001A0452"/>
    <w:rsid w:val="001A158E"/>
    <w:rsid w:val="001B015C"/>
    <w:rsid w:val="001B02D3"/>
    <w:rsid w:val="001B109E"/>
    <w:rsid w:val="001B1F03"/>
    <w:rsid w:val="001B2624"/>
    <w:rsid w:val="001B2C0A"/>
    <w:rsid w:val="001B4B04"/>
    <w:rsid w:val="001B5875"/>
    <w:rsid w:val="001B7F86"/>
    <w:rsid w:val="001C3ACB"/>
    <w:rsid w:val="001C3FAC"/>
    <w:rsid w:val="001C4950"/>
    <w:rsid w:val="001C4B9C"/>
    <w:rsid w:val="001C5097"/>
    <w:rsid w:val="001C6663"/>
    <w:rsid w:val="001C6C78"/>
    <w:rsid w:val="001C7895"/>
    <w:rsid w:val="001D26DF"/>
    <w:rsid w:val="001D4EC8"/>
    <w:rsid w:val="001D5D79"/>
    <w:rsid w:val="001D7BA7"/>
    <w:rsid w:val="001D7F47"/>
    <w:rsid w:val="001E005B"/>
    <w:rsid w:val="001E1BB0"/>
    <w:rsid w:val="001E42FC"/>
    <w:rsid w:val="001F1599"/>
    <w:rsid w:val="001F19C4"/>
    <w:rsid w:val="001F4649"/>
    <w:rsid w:val="00203CAF"/>
    <w:rsid w:val="00203FF4"/>
    <w:rsid w:val="002043F0"/>
    <w:rsid w:val="00211E0B"/>
    <w:rsid w:val="00213B83"/>
    <w:rsid w:val="0021766F"/>
    <w:rsid w:val="00220DA6"/>
    <w:rsid w:val="0022137B"/>
    <w:rsid w:val="002240A7"/>
    <w:rsid w:val="00227A90"/>
    <w:rsid w:val="00231177"/>
    <w:rsid w:val="00231E20"/>
    <w:rsid w:val="00232575"/>
    <w:rsid w:val="00234519"/>
    <w:rsid w:val="00237084"/>
    <w:rsid w:val="00247258"/>
    <w:rsid w:val="00247FD3"/>
    <w:rsid w:val="00250503"/>
    <w:rsid w:val="002555A1"/>
    <w:rsid w:val="00257A72"/>
    <w:rsid w:val="00257CAC"/>
    <w:rsid w:val="00260427"/>
    <w:rsid w:val="0026582A"/>
    <w:rsid w:val="00266A2F"/>
    <w:rsid w:val="00267F48"/>
    <w:rsid w:val="0027237A"/>
    <w:rsid w:val="00282111"/>
    <w:rsid w:val="00287EAA"/>
    <w:rsid w:val="00290C37"/>
    <w:rsid w:val="00295C4B"/>
    <w:rsid w:val="002974E9"/>
    <w:rsid w:val="00297676"/>
    <w:rsid w:val="002A7F94"/>
    <w:rsid w:val="002B109A"/>
    <w:rsid w:val="002B18ED"/>
    <w:rsid w:val="002B2A39"/>
    <w:rsid w:val="002B66D2"/>
    <w:rsid w:val="002B6DF2"/>
    <w:rsid w:val="002C3151"/>
    <w:rsid w:val="002C45B9"/>
    <w:rsid w:val="002C5136"/>
    <w:rsid w:val="002C6D45"/>
    <w:rsid w:val="002D2791"/>
    <w:rsid w:val="002D3D0D"/>
    <w:rsid w:val="002D6E53"/>
    <w:rsid w:val="002E4997"/>
    <w:rsid w:val="002E618E"/>
    <w:rsid w:val="002E792F"/>
    <w:rsid w:val="002F046D"/>
    <w:rsid w:val="002F3023"/>
    <w:rsid w:val="002F3BB1"/>
    <w:rsid w:val="002F42E6"/>
    <w:rsid w:val="002F64AC"/>
    <w:rsid w:val="002F69D0"/>
    <w:rsid w:val="00301764"/>
    <w:rsid w:val="00306D57"/>
    <w:rsid w:val="003120AA"/>
    <w:rsid w:val="0031396B"/>
    <w:rsid w:val="00314768"/>
    <w:rsid w:val="00315BD6"/>
    <w:rsid w:val="003229D8"/>
    <w:rsid w:val="00334F40"/>
    <w:rsid w:val="00336C97"/>
    <w:rsid w:val="0033752A"/>
    <w:rsid w:val="00337F88"/>
    <w:rsid w:val="00342432"/>
    <w:rsid w:val="0034298C"/>
    <w:rsid w:val="003454D8"/>
    <w:rsid w:val="00346D06"/>
    <w:rsid w:val="0035223F"/>
    <w:rsid w:val="00352D4B"/>
    <w:rsid w:val="003534E2"/>
    <w:rsid w:val="0035638C"/>
    <w:rsid w:val="00360C99"/>
    <w:rsid w:val="00365276"/>
    <w:rsid w:val="0037418A"/>
    <w:rsid w:val="003749B0"/>
    <w:rsid w:val="00376EF4"/>
    <w:rsid w:val="00386BDF"/>
    <w:rsid w:val="0039451F"/>
    <w:rsid w:val="003A06B2"/>
    <w:rsid w:val="003A46BB"/>
    <w:rsid w:val="003A4EC7"/>
    <w:rsid w:val="003A7295"/>
    <w:rsid w:val="003A7697"/>
    <w:rsid w:val="003B0D00"/>
    <w:rsid w:val="003B1F60"/>
    <w:rsid w:val="003B25FE"/>
    <w:rsid w:val="003B2687"/>
    <w:rsid w:val="003C2CC4"/>
    <w:rsid w:val="003C359D"/>
    <w:rsid w:val="003C4568"/>
    <w:rsid w:val="003C7872"/>
    <w:rsid w:val="003D002D"/>
    <w:rsid w:val="003D09A7"/>
    <w:rsid w:val="003D2D99"/>
    <w:rsid w:val="003D4B23"/>
    <w:rsid w:val="003D5D27"/>
    <w:rsid w:val="003E2582"/>
    <w:rsid w:val="003E278A"/>
    <w:rsid w:val="003F2F7C"/>
    <w:rsid w:val="003F620F"/>
    <w:rsid w:val="003F65FB"/>
    <w:rsid w:val="003F6732"/>
    <w:rsid w:val="0040185F"/>
    <w:rsid w:val="00402985"/>
    <w:rsid w:val="00402F7D"/>
    <w:rsid w:val="00403764"/>
    <w:rsid w:val="00404193"/>
    <w:rsid w:val="00405778"/>
    <w:rsid w:val="00406918"/>
    <w:rsid w:val="00406E9A"/>
    <w:rsid w:val="00410057"/>
    <w:rsid w:val="00413520"/>
    <w:rsid w:val="00415D59"/>
    <w:rsid w:val="00420173"/>
    <w:rsid w:val="004325CB"/>
    <w:rsid w:val="004332B2"/>
    <w:rsid w:val="00435C79"/>
    <w:rsid w:val="00440A07"/>
    <w:rsid w:val="00442007"/>
    <w:rsid w:val="00443093"/>
    <w:rsid w:val="00443481"/>
    <w:rsid w:val="004442CC"/>
    <w:rsid w:val="004446CD"/>
    <w:rsid w:val="00444E59"/>
    <w:rsid w:val="00446B6C"/>
    <w:rsid w:val="004578CB"/>
    <w:rsid w:val="00462880"/>
    <w:rsid w:val="00466AE5"/>
    <w:rsid w:val="004678FB"/>
    <w:rsid w:val="004707A7"/>
    <w:rsid w:val="00476F24"/>
    <w:rsid w:val="004858DB"/>
    <w:rsid w:val="00485C72"/>
    <w:rsid w:val="004923A8"/>
    <w:rsid w:val="004932E8"/>
    <w:rsid w:val="004A1C59"/>
    <w:rsid w:val="004A5423"/>
    <w:rsid w:val="004A6B2D"/>
    <w:rsid w:val="004B1FD1"/>
    <w:rsid w:val="004B56C8"/>
    <w:rsid w:val="004B56C9"/>
    <w:rsid w:val="004C2EBF"/>
    <w:rsid w:val="004C47C2"/>
    <w:rsid w:val="004C55B0"/>
    <w:rsid w:val="004C5916"/>
    <w:rsid w:val="004D2755"/>
    <w:rsid w:val="004D3F1E"/>
    <w:rsid w:val="004D6B96"/>
    <w:rsid w:val="004E3802"/>
    <w:rsid w:val="004F5BA6"/>
    <w:rsid w:val="004F6A05"/>
    <w:rsid w:val="004F6BA0"/>
    <w:rsid w:val="00503BEA"/>
    <w:rsid w:val="0050429D"/>
    <w:rsid w:val="00506526"/>
    <w:rsid w:val="00507415"/>
    <w:rsid w:val="0051374A"/>
    <w:rsid w:val="00515557"/>
    <w:rsid w:val="00515BAA"/>
    <w:rsid w:val="005173CA"/>
    <w:rsid w:val="0052113A"/>
    <w:rsid w:val="00523AD0"/>
    <w:rsid w:val="00523E51"/>
    <w:rsid w:val="00530102"/>
    <w:rsid w:val="005303CE"/>
    <w:rsid w:val="00531817"/>
    <w:rsid w:val="00533616"/>
    <w:rsid w:val="00535ABA"/>
    <w:rsid w:val="00536F80"/>
    <w:rsid w:val="0053768B"/>
    <w:rsid w:val="00537915"/>
    <w:rsid w:val="005404F2"/>
    <w:rsid w:val="005420F2"/>
    <w:rsid w:val="0054285C"/>
    <w:rsid w:val="00542E75"/>
    <w:rsid w:val="00550C39"/>
    <w:rsid w:val="005528CA"/>
    <w:rsid w:val="005600DA"/>
    <w:rsid w:val="00560A92"/>
    <w:rsid w:val="005657D3"/>
    <w:rsid w:val="00571174"/>
    <w:rsid w:val="00580B38"/>
    <w:rsid w:val="00583EE0"/>
    <w:rsid w:val="00584173"/>
    <w:rsid w:val="0058469A"/>
    <w:rsid w:val="0058470D"/>
    <w:rsid w:val="00586DC6"/>
    <w:rsid w:val="0058752C"/>
    <w:rsid w:val="00590FA0"/>
    <w:rsid w:val="0059183F"/>
    <w:rsid w:val="00595520"/>
    <w:rsid w:val="005A1086"/>
    <w:rsid w:val="005A44B9"/>
    <w:rsid w:val="005B1BA0"/>
    <w:rsid w:val="005B3DB3"/>
    <w:rsid w:val="005C1959"/>
    <w:rsid w:val="005C2EA7"/>
    <w:rsid w:val="005C3B11"/>
    <w:rsid w:val="005D15CA"/>
    <w:rsid w:val="005D1689"/>
    <w:rsid w:val="005D21B5"/>
    <w:rsid w:val="005D2A2E"/>
    <w:rsid w:val="005D2EDD"/>
    <w:rsid w:val="005E09A2"/>
    <w:rsid w:val="005E65F9"/>
    <w:rsid w:val="005F08DF"/>
    <w:rsid w:val="005F3066"/>
    <w:rsid w:val="005F3E61"/>
    <w:rsid w:val="005F41B0"/>
    <w:rsid w:val="006019ED"/>
    <w:rsid w:val="00604DDD"/>
    <w:rsid w:val="00610F41"/>
    <w:rsid w:val="006115CC"/>
    <w:rsid w:val="00611FC4"/>
    <w:rsid w:val="006176FB"/>
    <w:rsid w:val="00620F69"/>
    <w:rsid w:val="00630FCB"/>
    <w:rsid w:val="00631818"/>
    <w:rsid w:val="0063310D"/>
    <w:rsid w:val="0063337C"/>
    <w:rsid w:val="00640824"/>
    <w:rsid w:val="00640B26"/>
    <w:rsid w:val="00640B4F"/>
    <w:rsid w:val="00644962"/>
    <w:rsid w:val="00645329"/>
    <w:rsid w:val="006543BB"/>
    <w:rsid w:val="00655385"/>
    <w:rsid w:val="006563A8"/>
    <w:rsid w:val="00657649"/>
    <w:rsid w:val="0065766B"/>
    <w:rsid w:val="00664BE8"/>
    <w:rsid w:val="006770B2"/>
    <w:rsid w:val="006855F5"/>
    <w:rsid w:val="00686A48"/>
    <w:rsid w:val="006940E1"/>
    <w:rsid w:val="00695E8D"/>
    <w:rsid w:val="006A3C72"/>
    <w:rsid w:val="006A7392"/>
    <w:rsid w:val="006A74B1"/>
    <w:rsid w:val="006B03A1"/>
    <w:rsid w:val="006B232A"/>
    <w:rsid w:val="006B3497"/>
    <w:rsid w:val="006B3ABA"/>
    <w:rsid w:val="006B59A1"/>
    <w:rsid w:val="006B611F"/>
    <w:rsid w:val="006B67D9"/>
    <w:rsid w:val="006B707B"/>
    <w:rsid w:val="006C3CB0"/>
    <w:rsid w:val="006C4666"/>
    <w:rsid w:val="006C5535"/>
    <w:rsid w:val="006D0589"/>
    <w:rsid w:val="006D2ABD"/>
    <w:rsid w:val="006D4870"/>
    <w:rsid w:val="006D6297"/>
    <w:rsid w:val="006E0F18"/>
    <w:rsid w:val="006E15D3"/>
    <w:rsid w:val="006E256B"/>
    <w:rsid w:val="006E4D09"/>
    <w:rsid w:val="006E564B"/>
    <w:rsid w:val="006E6CAF"/>
    <w:rsid w:val="006E7154"/>
    <w:rsid w:val="006F0E36"/>
    <w:rsid w:val="006F1DCD"/>
    <w:rsid w:val="006F1DD2"/>
    <w:rsid w:val="006F2D59"/>
    <w:rsid w:val="006F774F"/>
    <w:rsid w:val="006F7DA1"/>
    <w:rsid w:val="007003CD"/>
    <w:rsid w:val="00700739"/>
    <w:rsid w:val="00701131"/>
    <w:rsid w:val="007013B2"/>
    <w:rsid w:val="00701B70"/>
    <w:rsid w:val="00704401"/>
    <w:rsid w:val="0070701E"/>
    <w:rsid w:val="00707E4D"/>
    <w:rsid w:val="00710E2D"/>
    <w:rsid w:val="00714BDF"/>
    <w:rsid w:val="007166BE"/>
    <w:rsid w:val="007170CC"/>
    <w:rsid w:val="0072299B"/>
    <w:rsid w:val="00723880"/>
    <w:rsid w:val="00725057"/>
    <w:rsid w:val="0072632A"/>
    <w:rsid w:val="00726F7C"/>
    <w:rsid w:val="00731209"/>
    <w:rsid w:val="007358E8"/>
    <w:rsid w:val="00736ECE"/>
    <w:rsid w:val="00745006"/>
    <w:rsid w:val="0074533B"/>
    <w:rsid w:val="007643BC"/>
    <w:rsid w:val="007656E1"/>
    <w:rsid w:val="00766555"/>
    <w:rsid w:val="00770630"/>
    <w:rsid w:val="00775A45"/>
    <w:rsid w:val="00780C68"/>
    <w:rsid w:val="00781934"/>
    <w:rsid w:val="0078321E"/>
    <w:rsid w:val="0078620D"/>
    <w:rsid w:val="0079061D"/>
    <w:rsid w:val="00793EC3"/>
    <w:rsid w:val="00795386"/>
    <w:rsid w:val="007959FE"/>
    <w:rsid w:val="00797A31"/>
    <w:rsid w:val="007A0CF1"/>
    <w:rsid w:val="007A23C9"/>
    <w:rsid w:val="007A2C8E"/>
    <w:rsid w:val="007A42AA"/>
    <w:rsid w:val="007A51E1"/>
    <w:rsid w:val="007B5793"/>
    <w:rsid w:val="007B6584"/>
    <w:rsid w:val="007B6BA5"/>
    <w:rsid w:val="007C0379"/>
    <w:rsid w:val="007C3390"/>
    <w:rsid w:val="007C357A"/>
    <w:rsid w:val="007C42D8"/>
    <w:rsid w:val="007C4F4B"/>
    <w:rsid w:val="007C671D"/>
    <w:rsid w:val="007D0455"/>
    <w:rsid w:val="007D5009"/>
    <w:rsid w:val="007D7362"/>
    <w:rsid w:val="007E4C03"/>
    <w:rsid w:val="007E5426"/>
    <w:rsid w:val="007F0788"/>
    <w:rsid w:val="007F5CE2"/>
    <w:rsid w:val="007F6611"/>
    <w:rsid w:val="008021AC"/>
    <w:rsid w:val="00802365"/>
    <w:rsid w:val="008066D0"/>
    <w:rsid w:val="00810BAC"/>
    <w:rsid w:val="008128DA"/>
    <w:rsid w:val="00815316"/>
    <w:rsid w:val="0081716F"/>
    <w:rsid w:val="008173DF"/>
    <w:rsid w:val="008175E9"/>
    <w:rsid w:val="00822A4C"/>
    <w:rsid w:val="008242D7"/>
    <w:rsid w:val="0082577B"/>
    <w:rsid w:val="00825D92"/>
    <w:rsid w:val="0082755D"/>
    <w:rsid w:val="008304E1"/>
    <w:rsid w:val="0083179C"/>
    <w:rsid w:val="00831A1F"/>
    <w:rsid w:val="008329C6"/>
    <w:rsid w:val="008339A2"/>
    <w:rsid w:val="0083410A"/>
    <w:rsid w:val="008423DE"/>
    <w:rsid w:val="008531AE"/>
    <w:rsid w:val="0086261E"/>
    <w:rsid w:val="0086320D"/>
    <w:rsid w:val="00863966"/>
    <w:rsid w:val="00866893"/>
    <w:rsid w:val="00866F02"/>
    <w:rsid w:val="00867D18"/>
    <w:rsid w:val="00871848"/>
    <w:rsid w:val="00871F9A"/>
    <w:rsid w:val="00871FD5"/>
    <w:rsid w:val="00872B9B"/>
    <w:rsid w:val="0087341D"/>
    <w:rsid w:val="008735D0"/>
    <w:rsid w:val="00873EF7"/>
    <w:rsid w:val="00875C9C"/>
    <w:rsid w:val="0087763E"/>
    <w:rsid w:val="0088172E"/>
    <w:rsid w:val="00881EFA"/>
    <w:rsid w:val="008828B9"/>
    <w:rsid w:val="008828FE"/>
    <w:rsid w:val="008853FE"/>
    <w:rsid w:val="008879CB"/>
    <w:rsid w:val="00892822"/>
    <w:rsid w:val="00897594"/>
    <w:rsid w:val="008979B1"/>
    <w:rsid w:val="008A1F83"/>
    <w:rsid w:val="008A6B25"/>
    <w:rsid w:val="008A6C4F"/>
    <w:rsid w:val="008B389E"/>
    <w:rsid w:val="008B594B"/>
    <w:rsid w:val="008C01F3"/>
    <w:rsid w:val="008C2544"/>
    <w:rsid w:val="008C6230"/>
    <w:rsid w:val="008C6303"/>
    <w:rsid w:val="008C6AD0"/>
    <w:rsid w:val="008C79ED"/>
    <w:rsid w:val="008D045E"/>
    <w:rsid w:val="008D3F25"/>
    <w:rsid w:val="008D4D82"/>
    <w:rsid w:val="008D5FD1"/>
    <w:rsid w:val="008E0E46"/>
    <w:rsid w:val="008E2521"/>
    <w:rsid w:val="008E3F64"/>
    <w:rsid w:val="008E7116"/>
    <w:rsid w:val="008F143B"/>
    <w:rsid w:val="008F1C16"/>
    <w:rsid w:val="008F20FB"/>
    <w:rsid w:val="008F30A8"/>
    <w:rsid w:val="008F3882"/>
    <w:rsid w:val="008F4B7C"/>
    <w:rsid w:val="008F5CEF"/>
    <w:rsid w:val="008F7832"/>
    <w:rsid w:val="0090345D"/>
    <w:rsid w:val="00906777"/>
    <w:rsid w:val="00910CB0"/>
    <w:rsid w:val="00913244"/>
    <w:rsid w:val="00913A09"/>
    <w:rsid w:val="00915375"/>
    <w:rsid w:val="00923218"/>
    <w:rsid w:val="00926E47"/>
    <w:rsid w:val="00930806"/>
    <w:rsid w:val="00931052"/>
    <w:rsid w:val="009351F7"/>
    <w:rsid w:val="00943748"/>
    <w:rsid w:val="00947162"/>
    <w:rsid w:val="009521FB"/>
    <w:rsid w:val="00954785"/>
    <w:rsid w:val="00960976"/>
    <w:rsid w:val="009610D0"/>
    <w:rsid w:val="00962D5A"/>
    <w:rsid w:val="0096375C"/>
    <w:rsid w:val="009662E6"/>
    <w:rsid w:val="0097006F"/>
    <w:rsid w:val="0097095E"/>
    <w:rsid w:val="00970A8A"/>
    <w:rsid w:val="00971967"/>
    <w:rsid w:val="00973BB8"/>
    <w:rsid w:val="00976BA9"/>
    <w:rsid w:val="00983446"/>
    <w:rsid w:val="0098592B"/>
    <w:rsid w:val="00985FC4"/>
    <w:rsid w:val="00990766"/>
    <w:rsid w:val="00991261"/>
    <w:rsid w:val="0099334E"/>
    <w:rsid w:val="0099636E"/>
    <w:rsid w:val="009964C4"/>
    <w:rsid w:val="009A6C9F"/>
    <w:rsid w:val="009A7B81"/>
    <w:rsid w:val="009B0062"/>
    <w:rsid w:val="009B1A65"/>
    <w:rsid w:val="009C30E9"/>
    <w:rsid w:val="009D01C0"/>
    <w:rsid w:val="009D3E66"/>
    <w:rsid w:val="009D4E3B"/>
    <w:rsid w:val="009D6A08"/>
    <w:rsid w:val="009E0747"/>
    <w:rsid w:val="009E0A16"/>
    <w:rsid w:val="009E1A2C"/>
    <w:rsid w:val="009E68A5"/>
    <w:rsid w:val="009E6CB7"/>
    <w:rsid w:val="009E7970"/>
    <w:rsid w:val="009F2EAC"/>
    <w:rsid w:val="009F4C0C"/>
    <w:rsid w:val="009F5681"/>
    <w:rsid w:val="009F57E3"/>
    <w:rsid w:val="00A03F41"/>
    <w:rsid w:val="00A06F27"/>
    <w:rsid w:val="00A100C4"/>
    <w:rsid w:val="00A10F4F"/>
    <w:rsid w:val="00A1102B"/>
    <w:rsid w:val="00A11067"/>
    <w:rsid w:val="00A12AAE"/>
    <w:rsid w:val="00A15AE1"/>
    <w:rsid w:val="00A1704A"/>
    <w:rsid w:val="00A215AC"/>
    <w:rsid w:val="00A22CD5"/>
    <w:rsid w:val="00A41E53"/>
    <w:rsid w:val="00A425EB"/>
    <w:rsid w:val="00A455F8"/>
    <w:rsid w:val="00A470E9"/>
    <w:rsid w:val="00A55579"/>
    <w:rsid w:val="00A57FD7"/>
    <w:rsid w:val="00A610AF"/>
    <w:rsid w:val="00A67095"/>
    <w:rsid w:val="00A70757"/>
    <w:rsid w:val="00A72F22"/>
    <w:rsid w:val="00A733BC"/>
    <w:rsid w:val="00A73485"/>
    <w:rsid w:val="00A748A6"/>
    <w:rsid w:val="00A76A69"/>
    <w:rsid w:val="00A879A4"/>
    <w:rsid w:val="00A937CA"/>
    <w:rsid w:val="00A95D30"/>
    <w:rsid w:val="00A960B8"/>
    <w:rsid w:val="00A963AD"/>
    <w:rsid w:val="00A977E7"/>
    <w:rsid w:val="00AA0CEF"/>
    <w:rsid w:val="00AA0FF8"/>
    <w:rsid w:val="00AB32A4"/>
    <w:rsid w:val="00AB596E"/>
    <w:rsid w:val="00AB5A0E"/>
    <w:rsid w:val="00AB5E11"/>
    <w:rsid w:val="00AC0F2C"/>
    <w:rsid w:val="00AC1255"/>
    <w:rsid w:val="00AC4323"/>
    <w:rsid w:val="00AC502A"/>
    <w:rsid w:val="00AC73DE"/>
    <w:rsid w:val="00AE3583"/>
    <w:rsid w:val="00AE60E4"/>
    <w:rsid w:val="00AE631D"/>
    <w:rsid w:val="00AE781B"/>
    <w:rsid w:val="00AF25C2"/>
    <w:rsid w:val="00AF560F"/>
    <w:rsid w:val="00AF58C1"/>
    <w:rsid w:val="00AF66CD"/>
    <w:rsid w:val="00B04A3F"/>
    <w:rsid w:val="00B05A51"/>
    <w:rsid w:val="00B06643"/>
    <w:rsid w:val="00B07A7B"/>
    <w:rsid w:val="00B100ED"/>
    <w:rsid w:val="00B12ABE"/>
    <w:rsid w:val="00B15055"/>
    <w:rsid w:val="00B17591"/>
    <w:rsid w:val="00B20551"/>
    <w:rsid w:val="00B23BFE"/>
    <w:rsid w:val="00B24DD4"/>
    <w:rsid w:val="00B30179"/>
    <w:rsid w:val="00B3073B"/>
    <w:rsid w:val="00B30BE3"/>
    <w:rsid w:val="00B31834"/>
    <w:rsid w:val="00B336C7"/>
    <w:rsid w:val="00B33FC7"/>
    <w:rsid w:val="00B362E8"/>
    <w:rsid w:val="00B37B15"/>
    <w:rsid w:val="00B41D81"/>
    <w:rsid w:val="00B43F31"/>
    <w:rsid w:val="00B45064"/>
    <w:rsid w:val="00B45C02"/>
    <w:rsid w:val="00B477C8"/>
    <w:rsid w:val="00B51265"/>
    <w:rsid w:val="00B51E74"/>
    <w:rsid w:val="00B56754"/>
    <w:rsid w:val="00B63801"/>
    <w:rsid w:val="00B659D9"/>
    <w:rsid w:val="00B664B7"/>
    <w:rsid w:val="00B70B63"/>
    <w:rsid w:val="00B70F3F"/>
    <w:rsid w:val="00B72A1E"/>
    <w:rsid w:val="00B734DB"/>
    <w:rsid w:val="00B76760"/>
    <w:rsid w:val="00B81E12"/>
    <w:rsid w:val="00B87409"/>
    <w:rsid w:val="00B87662"/>
    <w:rsid w:val="00B90DEE"/>
    <w:rsid w:val="00B93367"/>
    <w:rsid w:val="00B95075"/>
    <w:rsid w:val="00B96AFD"/>
    <w:rsid w:val="00B97BE0"/>
    <w:rsid w:val="00BA339B"/>
    <w:rsid w:val="00BA52A1"/>
    <w:rsid w:val="00BA66AE"/>
    <w:rsid w:val="00BB1E20"/>
    <w:rsid w:val="00BB23CC"/>
    <w:rsid w:val="00BB3815"/>
    <w:rsid w:val="00BB57C0"/>
    <w:rsid w:val="00BC1E7E"/>
    <w:rsid w:val="00BC546C"/>
    <w:rsid w:val="00BC746B"/>
    <w:rsid w:val="00BC74E9"/>
    <w:rsid w:val="00BD09A0"/>
    <w:rsid w:val="00BD3249"/>
    <w:rsid w:val="00BD4F07"/>
    <w:rsid w:val="00BE0AA0"/>
    <w:rsid w:val="00BE0BB6"/>
    <w:rsid w:val="00BE138E"/>
    <w:rsid w:val="00BE36A9"/>
    <w:rsid w:val="00BE618E"/>
    <w:rsid w:val="00BE69FA"/>
    <w:rsid w:val="00BE7A2E"/>
    <w:rsid w:val="00BE7BEC"/>
    <w:rsid w:val="00BF0A5A"/>
    <w:rsid w:val="00BF0E63"/>
    <w:rsid w:val="00BF12A3"/>
    <w:rsid w:val="00BF16D7"/>
    <w:rsid w:val="00BF2373"/>
    <w:rsid w:val="00BF7B41"/>
    <w:rsid w:val="00C01E23"/>
    <w:rsid w:val="00C02F94"/>
    <w:rsid w:val="00C044E2"/>
    <w:rsid w:val="00C048CB"/>
    <w:rsid w:val="00C04E19"/>
    <w:rsid w:val="00C066F3"/>
    <w:rsid w:val="00C070AE"/>
    <w:rsid w:val="00C074D8"/>
    <w:rsid w:val="00C2642F"/>
    <w:rsid w:val="00C32FAE"/>
    <w:rsid w:val="00C355B4"/>
    <w:rsid w:val="00C37925"/>
    <w:rsid w:val="00C463DD"/>
    <w:rsid w:val="00C466E1"/>
    <w:rsid w:val="00C504D3"/>
    <w:rsid w:val="00C51CE0"/>
    <w:rsid w:val="00C52BE9"/>
    <w:rsid w:val="00C53FF0"/>
    <w:rsid w:val="00C54376"/>
    <w:rsid w:val="00C60C55"/>
    <w:rsid w:val="00C61C78"/>
    <w:rsid w:val="00C704C0"/>
    <w:rsid w:val="00C71DB7"/>
    <w:rsid w:val="00C745C3"/>
    <w:rsid w:val="00C85C2B"/>
    <w:rsid w:val="00C8724F"/>
    <w:rsid w:val="00C879D3"/>
    <w:rsid w:val="00C90483"/>
    <w:rsid w:val="00C9511D"/>
    <w:rsid w:val="00C972CF"/>
    <w:rsid w:val="00C978F5"/>
    <w:rsid w:val="00CA24A4"/>
    <w:rsid w:val="00CA4A0A"/>
    <w:rsid w:val="00CA6D1E"/>
    <w:rsid w:val="00CB0EAD"/>
    <w:rsid w:val="00CB348D"/>
    <w:rsid w:val="00CB42AE"/>
    <w:rsid w:val="00CC0025"/>
    <w:rsid w:val="00CC1594"/>
    <w:rsid w:val="00CC25B3"/>
    <w:rsid w:val="00CC2D24"/>
    <w:rsid w:val="00CC3B2C"/>
    <w:rsid w:val="00CC43A9"/>
    <w:rsid w:val="00CC4B12"/>
    <w:rsid w:val="00CC7AF9"/>
    <w:rsid w:val="00CD3488"/>
    <w:rsid w:val="00CD3D7E"/>
    <w:rsid w:val="00CD46F5"/>
    <w:rsid w:val="00CD76D3"/>
    <w:rsid w:val="00CE4A8F"/>
    <w:rsid w:val="00CE7247"/>
    <w:rsid w:val="00CF071D"/>
    <w:rsid w:val="00CF0C98"/>
    <w:rsid w:val="00CF0FF2"/>
    <w:rsid w:val="00CF1F99"/>
    <w:rsid w:val="00CF331B"/>
    <w:rsid w:val="00CF38A3"/>
    <w:rsid w:val="00D0123D"/>
    <w:rsid w:val="00D0461B"/>
    <w:rsid w:val="00D05109"/>
    <w:rsid w:val="00D11DF1"/>
    <w:rsid w:val="00D11F85"/>
    <w:rsid w:val="00D13E97"/>
    <w:rsid w:val="00D14BDA"/>
    <w:rsid w:val="00D15B04"/>
    <w:rsid w:val="00D2031B"/>
    <w:rsid w:val="00D20773"/>
    <w:rsid w:val="00D25FE2"/>
    <w:rsid w:val="00D26A7F"/>
    <w:rsid w:val="00D277C9"/>
    <w:rsid w:val="00D37DA9"/>
    <w:rsid w:val="00D406A7"/>
    <w:rsid w:val="00D43252"/>
    <w:rsid w:val="00D44D86"/>
    <w:rsid w:val="00D50B7D"/>
    <w:rsid w:val="00D50FA6"/>
    <w:rsid w:val="00D52012"/>
    <w:rsid w:val="00D53F6B"/>
    <w:rsid w:val="00D63F8E"/>
    <w:rsid w:val="00D704E5"/>
    <w:rsid w:val="00D707DC"/>
    <w:rsid w:val="00D72727"/>
    <w:rsid w:val="00D7434B"/>
    <w:rsid w:val="00D74E7E"/>
    <w:rsid w:val="00D75367"/>
    <w:rsid w:val="00D75668"/>
    <w:rsid w:val="00D76DA1"/>
    <w:rsid w:val="00D833EE"/>
    <w:rsid w:val="00D83C37"/>
    <w:rsid w:val="00D844B0"/>
    <w:rsid w:val="00D9014D"/>
    <w:rsid w:val="00D91D66"/>
    <w:rsid w:val="00D96376"/>
    <w:rsid w:val="00D978C6"/>
    <w:rsid w:val="00DA0956"/>
    <w:rsid w:val="00DA357F"/>
    <w:rsid w:val="00DA3E12"/>
    <w:rsid w:val="00DB5A9D"/>
    <w:rsid w:val="00DC04FF"/>
    <w:rsid w:val="00DC123A"/>
    <w:rsid w:val="00DC18AD"/>
    <w:rsid w:val="00DC1909"/>
    <w:rsid w:val="00DD36B8"/>
    <w:rsid w:val="00DF2F11"/>
    <w:rsid w:val="00DF3650"/>
    <w:rsid w:val="00DF3A2E"/>
    <w:rsid w:val="00DF7CAE"/>
    <w:rsid w:val="00E011F7"/>
    <w:rsid w:val="00E018FC"/>
    <w:rsid w:val="00E0279C"/>
    <w:rsid w:val="00E102D4"/>
    <w:rsid w:val="00E11BD6"/>
    <w:rsid w:val="00E165F4"/>
    <w:rsid w:val="00E22335"/>
    <w:rsid w:val="00E244C2"/>
    <w:rsid w:val="00E312D6"/>
    <w:rsid w:val="00E423C0"/>
    <w:rsid w:val="00E45B73"/>
    <w:rsid w:val="00E47D82"/>
    <w:rsid w:val="00E543F0"/>
    <w:rsid w:val="00E55B24"/>
    <w:rsid w:val="00E62D9C"/>
    <w:rsid w:val="00E6414C"/>
    <w:rsid w:val="00E7260F"/>
    <w:rsid w:val="00E746E4"/>
    <w:rsid w:val="00E80A44"/>
    <w:rsid w:val="00E80D3A"/>
    <w:rsid w:val="00E8231D"/>
    <w:rsid w:val="00E83F0A"/>
    <w:rsid w:val="00E84D58"/>
    <w:rsid w:val="00E8702D"/>
    <w:rsid w:val="00E905F4"/>
    <w:rsid w:val="00E916A9"/>
    <w:rsid w:val="00E916DE"/>
    <w:rsid w:val="00E925AD"/>
    <w:rsid w:val="00E96630"/>
    <w:rsid w:val="00EA05E2"/>
    <w:rsid w:val="00EA1BDE"/>
    <w:rsid w:val="00EA295D"/>
    <w:rsid w:val="00EA2C4C"/>
    <w:rsid w:val="00EA46DF"/>
    <w:rsid w:val="00EB4B9A"/>
    <w:rsid w:val="00EB5BA2"/>
    <w:rsid w:val="00EC12F7"/>
    <w:rsid w:val="00EC2918"/>
    <w:rsid w:val="00EC4C8F"/>
    <w:rsid w:val="00EC7210"/>
    <w:rsid w:val="00ED18DC"/>
    <w:rsid w:val="00ED4E85"/>
    <w:rsid w:val="00ED6201"/>
    <w:rsid w:val="00ED7A2A"/>
    <w:rsid w:val="00EE191F"/>
    <w:rsid w:val="00EE27AE"/>
    <w:rsid w:val="00EE3DBE"/>
    <w:rsid w:val="00EE5728"/>
    <w:rsid w:val="00EF1D7F"/>
    <w:rsid w:val="00EF33DF"/>
    <w:rsid w:val="00F0137E"/>
    <w:rsid w:val="00F02FC6"/>
    <w:rsid w:val="00F060D1"/>
    <w:rsid w:val="00F105C9"/>
    <w:rsid w:val="00F14FCA"/>
    <w:rsid w:val="00F21786"/>
    <w:rsid w:val="00F221EC"/>
    <w:rsid w:val="00F3742B"/>
    <w:rsid w:val="00F40F14"/>
    <w:rsid w:val="00F41FDB"/>
    <w:rsid w:val="00F505FB"/>
    <w:rsid w:val="00F50A49"/>
    <w:rsid w:val="00F565AB"/>
    <w:rsid w:val="00F56D63"/>
    <w:rsid w:val="00F609A9"/>
    <w:rsid w:val="00F65422"/>
    <w:rsid w:val="00F656CE"/>
    <w:rsid w:val="00F67963"/>
    <w:rsid w:val="00F722BF"/>
    <w:rsid w:val="00F74E43"/>
    <w:rsid w:val="00F7695C"/>
    <w:rsid w:val="00F80C99"/>
    <w:rsid w:val="00F8105D"/>
    <w:rsid w:val="00F820DF"/>
    <w:rsid w:val="00F84467"/>
    <w:rsid w:val="00F86503"/>
    <w:rsid w:val="00F867EC"/>
    <w:rsid w:val="00F90885"/>
    <w:rsid w:val="00F91B2B"/>
    <w:rsid w:val="00F91EF2"/>
    <w:rsid w:val="00F93BC6"/>
    <w:rsid w:val="00FA3355"/>
    <w:rsid w:val="00FA3B78"/>
    <w:rsid w:val="00FA3E91"/>
    <w:rsid w:val="00FA5C5E"/>
    <w:rsid w:val="00FB105E"/>
    <w:rsid w:val="00FB4EE1"/>
    <w:rsid w:val="00FB5014"/>
    <w:rsid w:val="00FB6205"/>
    <w:rsid w:val="00FC03CD"/>
    <w:rsid w:val="00FC0595"/>
    <w:rsid w:val="00FC0646"/>
    <w:rsid w:val="00FC406C"/>
    <w:rsid w:val="00FC68B7"/>
    <w:rsid w:val="00FC7475"/>
    <w:rsid w:val="00FC7DFF"/>
    <w:rsid w:val="00FD6688"/>
    <w:rsid w:val="00FD78EB"/>
    <w:rsid w:val="00FE04B0"/>
    <w:rsid w:val="00FE16E6"/>
    <w:rsid w:val="00FE535F"/>
    <w:rsid w:val="00FE55B6"/>
    <w:rsid w:val="00FE6985"/>
    <w:rsid w:val="00FE69F4"/>
    <w:rsid w:val="00FE7DC6"/>
    <w:rsid w:val="00FF02F5"/>
    <w:rsid w:val="00FF344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qFormat/>
    <w:rsid w:val="00AC73DE"/>
    <w:rPr>
      <w:lang w:val="en-GB"/>
    </w:rPr>
  </w:style>
  <w:style w:type="paragraph" w:styleId="ListParagraph">
    <w:name w:val="List Paragraph"/>
    <w:basedOn w:val="Normal"/>
    <w:uiPriority w:val="34"/>
    <w:semiHidden/>
    <w:qFormat/>
    <w:rsid w:val="000D46AF"/>
    <w:pPr>
      <w:ind w:left="720"/>
      <w:contextualSpacing/>
    </w:pPr>
  </w:style>
  <w:style w:type="character" w:customStyle="1" w:styleId="normaltextrun">
    <w:name w:val="normaltextrun"/>
    <w:basedOn w:val="DefaultParagraphFont"/>
    <w:rsid w:val="00700739"/>
  </w:style>
  <w:style w:type="paragraph" w:styleId="CommentText">
    <w:name w:val="annotation text"/>
    <w:basedOn w:val="Normal"/>
    <w:link w:val="CommentTextChar"/>
    <w:unhideWhenUsed/>
    <w:rsid w:val="00BE138E"/>
    <w:pPr>
      <w:spacing w:line="240" w:lineRule="auto"/>
    </w:pPr>
  </w:style>
  <w:style w:type="character" w:customStyle="1" w:styleId="CommentTextChar">
    <w:name w:val="Comment Text Char"/>
    <w:basedOn w:val="DefaultParagraphFont"/>
    <w:link w:val="CommentText"/>
    <w:rsid w:val="00BE138E"/>
    <w:rPr>
      <w:lang w:val="en-GB"/>
    </w:rPr>
  </w:style>
  <w:style w:type="character" w:styleId="CommentReference">
    <w:name w:val="annotation reference"/>
    <w:basedOn w:val="DefaultParagraphFont"/>
    <w:semiHidden/>
    <w:unhideWhenUsed/>
    <w:rsid w:val="00BE138E"/>
    <w:rPr>
      <w:sz w:val="16"/>
      <w:szCs w:val="16"/>
    </w:rPr>
  </w:style>
  <w:style w:type="paragraph" w:styleId="CommentSubject">
    <w:name w:val="annotation subject"/>
    <w:basedOn w:val="CommentText"/>
    <w:next w:val="CommentText"/>
    <w:link w:val="CommentSubjectChar"/>
    <w:semiHidden/>
    <w:unhideWhenUsed/>
    <w:rsid w:val="009521FB"/>
    <w:rPr>
      <w:b/>
      <w:bCs/>
    </w:rPr>
  </w:style>
  <w:style w:type="character" w:customStyle="1" w:styleId="CommentSubjectChar">
    <w:name w:val="Comment Subject Char"/>
    <w:basedOn w:val="CommentTextChar"/>
    <w:link w:val="CommentSubject"/>
    <w:semiHidden/>
    <w:rsid w:val="009521FB"/>
    <w:rPr>
      <w:b/>
      <w:bCs/>
      <w:lang w:val="en-GB"/>
    </w:rPr>
  </w:style>
  <w:style w:type="paragraph" w:styleId="NormalWeb">
    <w:name w:val="Normal (Web)"/>
    <w:basedOn w:val="Normal"/>
    <w:uiPriority w:val="99"/>
    <w:unhideWhenUsed/>
    <w:rsid w:val="00871848"/>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871848"/>
    <w:rPr>
      <w:b/>
      <w:bCs/>
    </w:rPr>
  </w:style>
  <w:style w:type="paragraph" w:customStyle="1" w:styleId="english">
    <w:name w:val="english"/>
    <w:basedOn w:val="Normal"/>
    <w:rsid w:val="00871848"/>
    <w:pPr>
      <w:suppressAutoHyphens w:val="0"/>
      <w:spacing w:before="100" w:beforeAutospacing="1" w:after="100" w:afterAutospacing="1" w:line="240" w:lineRule="auto"/>
    </w:pPr>
    <w:rPr>
      <w:rFonts w:ascii="Calibri" w:hAnsi="Calibri" w:cs="Calibri"/>
      <w:sz w:val="22"/>
      <w:szCs w:val="22"/>
      <w:lang w:eastAsia="zh-CN"/>
    </w:rPr>
  </w:style>
  <w:style w:type="character" w:customStyle="1" w:styleId="lhead">
    <w:name w:val="lhead"/>
    <w:basedOn w:val="DefaultParagraphFont"/>
    <w:rsid w:val="00871848"/>
  </w:style>
  <w:style w:type="character" w:customStyle="1" w:styleId="span10">
    <w:name w:val="span10"/>
    <w:basedOn w:val="DefaultParagraphFont"/>
    <w:rsid w:val="00871848"/>
  </w:style>
  <w:style w:type="character" w:customStyle="1" w:styleId="en">
    <w:name w:val="en"/>
    <w:basedOn w:val="DefaultParagraphFont"/>
    <w:rsid w:val="00871848"/>
  </w:style>
  <w:style w:type="character" w:customStyle="1" w:styleId="termsource">
    <w:name w:val="termsource"/>
    <w:basedOn w:val="DefaultParagraphFont"/>
    <w:rsid w:val="00871848"/>
  </w:style>
  <w:style w:type="character" w:customStyle="1" w:styleId="label">
    <w:name w:val="label"/>
    <w:basedOn w:val="DefaultParagraphFont"/>
    <w:rsid w:val="00871848"/>
  </w:style>
  <w:style w:type="character" w:customStyle="1" w:styleId="termnote">
    <w:name w:val="termnote"/>
    <w:basedOn w:val="DefaultParagraphFont"/>
    <w:rsid w:val="00871848"/>
  </w:style>
  <w:style w:type="character" w:styleId="Emphasis">
    <w:name w:val="Emphasis"/>
    <w:basedOn w:val="DefaultParagraphFont"/>
    <w:uiPriority w:val="20"/>
    <w:qFormat/>
    <w:rsid w:val="00871848"/>
    <w:rPr>
      <w:i/>
      <w:iCs/>
    </w:rPr>
  </w:style>
  <w:style w:type="character" w:customStyle="1" w:styleId="Heading2Char">
    <w:name w:val="Heading 2 Char"/>
    <w:basedOn w:val="DefaultParagraphFont"/>
    <w:link w:val="Heading2"/>
    <w:uiPriority w:val="9"/>
    <w:rsid w:val="00871848"/>
    <w:rPr>
      <w:lang w:val="en-GB"/>
    </w:rPr>
  </w:style>
  <w:style w:type="paragraph" w:styleId="Revision">
    <w:name w:val="Revision"/>
    <w:hidden/>
    <w:uiPriority w:val="99"/>
    <w:semiHidden/>
    <w:rsid w:val="00871848"/>
    <w:rPr>
      <w:lang w:val="en-GB"/>
    </w:rPr>
  </w:style>
  <w:style w:type="character" w:customStyle="1" w:styleId="hwsect">
    <w:name w:val="hwsect"/>
    <w:basedOn w:val="DefaultParagraphFont"/>
    <w:rsid w:val="00863966"/>
  </w:style>
  <w:style w:type="character" w:customStyle="1" w:styleId="hw">
    <w:name w:val="hw"/>
    <w:basedOn w:val="DefaultParagraphFont"/>
    <w:rsid w:val="00863966"/>
  </w:style>
  <w:style w:type="character" w:customStyle="1" w:styleId="ps">
    <w:name w:val="ps"/>
    <w:basedOn w:val="DefaultParagraphFont"/>
    <w:rsid w:val="00863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9661">
      <w:bodyDiv w:val="1"/>
      <w:marLeft w:val="0"/>
      <w:marRight w:val="0"/>
      <w:marTop w:val="0"/>
      <w:marBottom w:val="0"/>
      <w:divBdr>
        <w:top w:val="none" w:sz="0" w:space="0" w:color="auto"/>
        <w:left w:val="none" w:sz="0" w:space="0" w:color="auto"/>
        <w:bottom w:val="none" w:sz="0" w:space="0" w:color="auto"/>
        <w:right w:val="none" w:sz="0" w:space="0" w:color="auto"/>
      </w:divBdr>
    </w:div>
    <w:div w:id="92554336">
      <w:bodyDiv w:val="1"/>
      <w:marLeft w:val="0"/>
      <w:marRight w:val="0"/>
      <w:marTop w:val="0"/>
      <w:marBottom w:val="0"/>
      <w:divBdr>
        <w:top w:val="none" w:sz="0" w:space="0" w:color="auto"/>
        <w:left w:val="none" w:sz="0" w:space="0" w:color="auto"/>
        <w:bottom w:val="none" w:sz="0" w:space="0" w:color="auto"/>
        <w:right w:val="none" w:sz="0" w:space="0" w:color="auto"/>
      </w:divBdr>
    </w:div>
    <w:div w:id="125242773">
      <w:bodyDiv w:val="1"/>
      <w:marLeft w:val="0"/>
      <w:marRight w:val="0"/>
      <w:marTop w:val="0"/>
      <w:marBottom w:val="0"/>
      <w:divBdr>
        <w:top w:val="none" w:sz="0" w:space="0" w:color="auto"/>
        <w:left w:val="none" w:sz="0" w:space="0" w:color="auto"/>
        <w:bottom w:val="none" w:sz="0" w:space="0" w:color="auto"/>
        <w:right w:val="none" w:sz="0" w:space="0" w:color="auto"/>
      </w:divBdr>
    </w:div>
    <w:div w:id="158470947">
      <w:bodyDiv w:val="1"/>
      <w:marLeft w:val="0"/>
      <w:marRight w:val="0"/>
      <w:marTop w:val="0"/>
      <w:marBottom w:val="0"/>
      <w:divBdr>
        <w:top w:val="none" w:sz="0" w:space="0" w:color="auto"/>
        <w:left w:val="none" w:sz="0" w:space="0" w:color="auto"/>
        <w:bottom w:val="none" w:sz="0" w:space="0" w:color="auto"/>
        <w:right w:val="none" w:sz="0" w:space="0" w:color="auto"/>
      </w:divBdr>
    </w:div>
    <w:div w:id="184446081">
      <w:bodyDiv w:val="1"/>
      <w:marLeft w:val="0"/>
      <w:marRight w:val="0"/>
      <w:marTop w:val="0"/>
      <w:marBottom w:val="0"/>
      <w:divBdr>
        <w:top w:val="none" w:sz="0" w:space="0" w:color="auto"/>
        <w:left w:val="none" w:sz="0" w:space="0" w:color="auto"/>
        <w:bottom w:val="none" w:sz="0" w:space="0" w:color="auto"/>
        <w:right w:val="none" w:sz="0" w:space="0" w:color="auto"/>
      </w:divBdr>
    </w:div>
    <w:div w:id="205606654">
      <w:bodyDiv w:val="1"/>
      <w:marLeft w:val="0"/>
      <w:marRight w:val="0"/>
      <w:marTop w:val="0"/>
      <w:marBottom w:val="0"/>
      <w:divBdr>
        <w:top w:val="none" w:sz="0" w:space="0" w:color="auto"/>
        <w:left w:val="none" w:sz="0" w:space="0" w:color="auto"/>
        <w:bottom w:val="none" w:sz="0" w:space="0" w:color="auto"/>
        <w:right w:val="none" w:sz="0" w:space="0" w:color="auto"/>
      </w:divBdr>
    </w:div>
    <w:div w:id="260795318">
      <w:bodyDiv w:val="1"/>
      <w:marLeft w:val="0"/>
      <w:marRight w:val="0"/>
      <w:marTop w:val="0"/>
      <w:marBottom w:val="0"/>
      <w:divBdr>
        <w:top w:val="none" w:sz="0" w:space="0" w:color="auto"/>
        <w:left w:val="none" w:sz="0" w:space="0" w:color="auto"/>
        <w:bottom w:val="none" w:sz="0" w:space="0" w:color="auto"/>
        <w:right w:val="none" w:sz="0" w:space="0" w:color="auto"/>
      </w:divBdr>
    </w:div>
    <w:div w:id="291523423">
      <w:bodyDiv w:val="1"/>
      <w:marLeft w:val="0"/>
      <w:marRight w:val="0"/>
      <w:marTop w:val="0"/>
      <w:marBottom w:val="0"/>
      <w:divBdr>
        <w:top w:val="none" w:sz="0" w:space="0" w:color="auto"/>
        <w:left w:val="none" w:sz="0" w:space="0" w:color="auto"/>
        <w:bottom w:val="none" w:sz="0" w:space="0" w:color="auto"/>
        <w:right w:val="none" w:sz="0" w:space="0" w:color="auto"/>
      </w:divBdr>
    </w:div>
    <w:div w:id="427429281">
      <w:bodyDiv w:val="1"/>
      <w:marLeft w:val="0"/>
      <w:marRight w:val="0"/>
      <w:marTop w:val="0"/>
      <w:marBottom w:val="0"/>
      <w:divBdr>
        <w:top w:val="none" w:sz="0" w:space="0" w:color="auto"/>
        <w:left w:val="none" w:sz="0" w:space="0" w:color="auto"/>
        <w:bottom w:val="none" w:sz="0" w:space="0" w:color="auto"/>
        <w:right w:val="none" w:sz="0" w:space="0" w:color="auto"/>
      </w:divBdr>
    </w:div>
    <w:div w:id="519591409">
      <w:bodyDiv w:val="1"/>
      <w:marLeft w:val="0"/>
      <w:marRight w:val="0"/>
      <w:marTop w:val="0"/>
      <w:marBottom w:val="0"/>
      <w:divBdr>
        <w:top w:val="none" w:sz="0" w:space="0" w:color="auto"/>
        <w:left w:val="none" w:sz="0" w:space="0" w:color="auto"/>
        <w:bottom w:val="none" w:sz="0" w:space="0" w:color="auto"/>
        <w:right w:val="none" w:sz="0" w:space="0" w:color="auto"/>
      </w:divBdr>
    </w:div>
    <w:div w:id="627668909">
      <w:bodyDiv w:val="1"/>
      <w:marLeft w:val="0"/>
      <w:marRight w:val="0"/>
      <w:marTop w:val="0"/>
      <w:marBottom w:val="0"/>
      <w:divBdr>
        <w:top w:val="none" w:sz="0" w:space="0" w:color="auto"/>
        <w:left w:val="none" w:sz="0" w:space="0" w:color="auto"/>
        <w:bottom w:val="none" w:sz="0" w:space="0" w:color="auto"/>
        <w:right w:val="none" w:sz="0" w:space="0" w:color="auto"/>
      </w:divBdr>
    </w:div>
    <w:div w:id="677316098">
      <w:bodyDiv w:val="1"/>
      <w:marLeft w:val="0"/>
      <w:marRight w:val="0"/>
      <w:marTop w:val="0"/>
      <w:marBottom w:val="0"/>
      <w:divBdr>
        <w:top w:val="none" w:sz="0" w:space="0" w:color="auto"/>
        <w:left w:val="none" w:sz="0" w:space="0" w:color="auto"/>
        <w:bottom w:val="none" w:sz="0" w:space="0" w:color="auto"/>
        <w:right w:val="none" w:sz="0" w:space="0" w:color="auto"/>
      </w:divBdr>
    </w:div>
    <w:div w:id="770124372">
      <w:bodyDiv w:val="1"/>
      <w:marLeft w:val="0"/>
      <w:marRight w:val="0"/>
      <w:marTop w:val="0"/>
      <w:marBottom w:val="0"/>
      <w:divBdr>
        <w:top w:val="none" w:sz="0" w:space="0" w:color="auto"/>
        <w:left w:val="none" w:sz="0" w:space="0" w:color="auto"/>
        <w:bottom w:val="none" w:sz="0" w:space="0" w:color="auto"/>
        <w:right w:val="none" w:sz="0" w:space="0" w:color="auto"/>
      </w:divBdr>
    </w:div>
    <w:div w:id="772751997">
      <w:bodyDiv w:val="1"/>
      <w:marLeft w:val="0"/>
      <w:marRight w:val="0"/>
      <w:marTop w:val="0"/>
      <w:marBottom w:val="0"/>
      <w:divBdr>
        <w:top w:val="none" w:sz="0" w:space="0" w:color="auto"/>
        <w:left w:val="none" w:sz="0" w:space="0" w:color="auto"/>
        <w:bottom w:val="none" w:sz="0" w:space="0" w:color="auto"/>
        <w:right w:val="none" w:sz="0" w:space="0" w:color="auto"/>
      </w:divBdr>
    </w:div>
    <w:div w:id="828790678">
      <w:bodyDiv w:val="1"/>
      <w:marLeft w:val="0"/>
      <w:marRight w:val="0"/>
      <w:marTop w:val="0"/>
      <w:marBottom w:val="0"/>
      <w:divBdr>
        <w:top w:val="none" w:sz="0" w:space="0" w:color="auto"/>
        <w:left w:val="none" w:sz="0" w:space="0" w:color="auto"/>
        <w:bottom w:val="none" w:sz="0" w:space="0" w:color="auto"/>
        <w:right w:val="none" w:sz="0" w:space="0" w:color="auto"/>
      </w:divBdr>
    </w:div>
    <w:div w:id="861241180">
      <w:bodyDiv w:val="1"/>
      <w:marLeft w:val="0"/>
      <w:marRight w:val="0"/>
      <w:marTop w:val="0"/>
      <w:marBottom w:val="0"/>
      <w:divBdr>
        <w:top w:val="none" w:sz="0" w:space="0" w:color="auto"/>
        <w:left w:val="none" w:sz="0" w:space="0" w:color="auto"/>
        <w:bottom w:val="none" w:sz="0" w:space="0" w:color="auto"/>
        <w:right w:val="none" w:sz="0" w:space="0" w:color="auto"/>
      </w:divBdr>
    </w:div>
    <w:div w:id="917910109">
      <w:bodyDiv w:val="1"/>
      <w:marLeft w:val="0"/>
      <w:marRight w:val="0"/>
      <w:marTop w:val="0"/>
      <w:marBottom w:val="0"/>
      <w:divBdr>
        <w:top w:val="none" w:sz="0" w:space="0" w:color="auto"/>
        <w:left w:val="none" w:sz="0" w:space="0" w:color="auto"/>
        <w:bottom w:val="none" w:sz="0" w:space="0" w:color="auto"/>
        <w:right w:val="none" w:sz="0" w:space="0" w:color="auto"/>
      </w:divBdr>
    </w:div>
    <w:div w:id="936910155">
      <w:bodyDiv w:val="1"/>
      <w:marLeft w:val="0"/>
      <w:marRight w:val="0"/>
      <w:marTop w:val="0"/>
      <w:marBottom w:val="0"/>
      <w:divBdr>
        <w:top w:val="none" w:sz="0" w:space="0" w:color="auto"/>
        <w:left w:val="none" w:sz="0" w:space="0" w:color="auto"/>
        <w:bottom w:val="none" w:sz="0" w:space="0" w:color="auto"/>
        <w:right w:val="none" w:sz="0" w:space="0" w:color="auto"/>
      </w:divBdr>
    </w:div>
    <w:div w:id="951132436">
      <w:bodyDiv w:val="1"/>
      <w:marLeft w:val="0"/>
      <w:marRight w:val="0"/>
      <w:marTop w:val="0"/>
      <w:marBottom w:val="0"/>
      <w:divBdr>
        <w:top w:val="none" w:sz="0" w:space="0" w:color="auto"/>
        <w:left w:val="none" w:sz="0" w:space="0" w:color="auto"/>
        <w:bottom w:val="none" w:sz="0" w:space="0" w:color="auto"/>
        <w:right w:val="none" w:sz="0" w:space="0" w:color="auto"/>
      </w:divBdr>
    </w:div>
    <w:div w:id="972640168">
      <w:bodyDiv w:val="1"/>
      <w:marLeft w:val="0"/>
      <w:marRight w:val="0"/>
      <w:marTop w:val="0"/>
      <w:marBottom w:val="0"/>
      <w:divBdr>
        <w:top w:val="none" w:sz="0" w:space="0" w:color="auto"/>
        <w:left w:val="none" w:sz="0" w:space="0" w:color="auto"/>
        <w:bottom w:val="none" w:sz="0" w:space="0" w:color="auto"/>
        <w:right w:val="none" w:sz="0" w:space="0" w:color="auto"/>
      </w:divBdr>
    </w:div>
    <w:div w:id="1170826847">
      <w:bodyDiv w:val="1"/>
      <w:marLeft w:val="0"/>
      <w:marRight w:val="0"/>
      <w:marTop w:val="0"/>
      <w:marBottom w:val="0"/>
      <w:divBdr>
        <w:top w:val="none" w:sz="0" w:space="0" w:color="auto"/>
        <w:left w:val="none" w:sz="0" w:space="0" w:color="auto"/>
        <w:bottom w:val="none" w:sz="0" w:space="0" w:color="auto"/>
        <w:right w:val="none" w:sz="0" w:space="0" w:color="auto"/>
      </w:divBdr>
    </w:div>
    <w:div w:id="1244071482">
      <w:bodyDiv w:val="1"/>
      <w:marLeft w:val="0"/>
      <w:marRight w:val="0"/>
      <w:marTop w:val="0"/>
      <w:marBottom w:val="0"/>
      <w:divBdr>
        <w:top w:val="none" w:sz="0" w:space="0" w:color="auto"/>
        <w:left w:val="none" w:sz="0" w:space="0" w:color="auto"/>
        <w:bottom w:val="none" w:sz="0" w:space="0" w:color="auto"/>
        <w:right w:val="none" w:sz="0" w:space="0" w:color="auto"/>
      </w:divBdr>
    </w:div>
    <w:div w:id="1350524297">
      <w:bodyDiv w:val="1"/>
      <w:marLeft w:val="0"/>
      <w:marRight w:val="0"/>
      <w:marTop w:val="0"/>
      <w:marBottom w:val="0"/>
      <w:divBdr>
        <w:top w:val="none" w:sz="0" w:space="0" w:color="auto"/>
        <w:left w:val="none" w:sz="0" w:space="0" w:color="auto"/>
        <w:bottom w:val="none" w:sz="0" w:space="0" w:color="auto"/>
        <w:right w:val="none" w:sz="0" w:space="0" w:color="auto"/>
      </w:divBdr>
    </w:div>
    <w:div w:id="1352416913">
      <w:bodyDiv w:val="1"/>
      <w:marLeft w:val="0"/>
      <w:marRight w:val="0"/>
      <w:marTop w:val="0"/>
      <w:marBottom w:val="0"/>
      <w:divBdr>
        <w:top w:val="none" w:sz="0" w:space="0" w:color="auto"/>
        <w:left w:val="none" w:sz="0" w:space="0" w:color="auto"/>
        <w:bottom w:val="none" w:sz="0" w:space="0" w:color="auto"/>
        <w:right w:val="none" w:sz="0" w:space="0" w:color="auto"/>
      </w:divBdr>
    </w:div>
    <w:div w:id="1420326206">
      <w:bodyDiv w:val="1"/>
      <w:marLeft w:val="0"/>
      <w:marRight w:val="0"/>
      <w:marTop w:val="0"/>
      <w:marBottom w:val="0"/>
      <w:divBdr>
        <w:top w:val="none" w:sz="0" w:space="0" w:color="auto"/>
        <w:left w:val="none" w:sz="0" w:space="0" w:color="auto"/>
        <w:bottom w:val="none" w:sz="0" w:space="0" w:color="auto"/>
        <w:right w:val="none" w:sz="0" w:space="0" w:color="auto"/>
      </w:divBdr>
    </w:div>
    <w:div w:id="1485656348">
      <w:bodyDiv w:val="1"/>
      <w:marLeft w:val="0"/>
      <w:marRight w:val="0"/>
      <w:marTop w:val="0"/>
      <w:marBottom w:val="0"/>
      <w:divBdr>
        <w:top w:val="none" w:sz="0" w:space="0" w:color="auto"/>
        <w:left w:val="none" w:sz="0" w:space="0" w:color="auto"/>
        <w:bottom w:val="none" w:sz="0" w:space="0" w:color="auto"/>
        <w:right w:val="none" w:sz="0" w:space="0" w:color="auto"/>
      </w:divBdr>
    </w:div>
    <w:div w:id="1668750021">
      <w:bodyDiv w:val="1"/>
      <w:marLeft w:val="0"/>
      <w:marRight w:val="0"/>
      <w:marTop w:val="0"/>
      <w:marBottom w:val="0"/>
      <w:divBdr>
        <w:top w:val="none" w:sz="0" w:space="0" w:color="auto"/>
        <w:left w:val="none" w:sz="0" w:space="0" w:color="auto"/>
        <w:bottom w:val="none" w:sz="0" w:space="0" w:color="auto"/>
        <w:right w:val="none" w:sz="0" w:space="0" w:color="auto"/>
      </w:divBdr>
    </w:div>
    <w:div w:id="19322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ce.org/trans/doc/2006/ac10c3/ST-SG-AC10-C3-58e.doc"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36756/" TargetMode="External"/><Relationship Id="rId2" Type="http://schemas.openxmlformats.org/officeDocument/2006/relationships/hyperlink" Target="https://unece.org/info/Transport/Inland-Transport-Committee/events/362658" TargetMode="External"/><Relationship Id="rId1" Type="http://schemas.openxmlformats.org/officeDocument/2006/relationships/hyperlink" Target="https://unece.org/info/Transport/Transport-of-Perishable-Foodstuffs/events/357984" TargetMode="External"/><Relationship Id="rId4" Type="http://schemas.openxmlformats.org/officeDocument/2006/relationships/hyperlink" Target="http://www.unece.org/practical-information-delega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90291-C4C6-4F1D-9FED-A277290AA64F}">
  <ds:schemaRefs>
    <ds:schemaRef ds:uri="http://schemas.openxmlformats.org/officeDocument/2006/bibliography"/>
  </ds:schemaRefs>
</ds:datastoreItem>
</file>

<file path=customXml/itemProps2.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4.xml><?xml version="1.0" encoding="utf-8"?>
<ds:datastoreItem xmlns:ds="http://schemas.openxmlformats.org/officeDocument/2006/customXml" ds:itemID="{8884AA40-CF27-4C5F-AD5D-75D429EED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7983</Words>
  <Characters>45450</Characters>
  <Application>Microsoft Office Word</Application>
  <DocSecurity>0</DocSecurity>
  <Lines>807</Lines>
  <Paragraphs>301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ECE/TRANS/315</vt:lpstr>
      <vt:lpstr/>
    </vt:vector>
  </TitlesOfParts>
  <Company>CSD</Company>
  <LinksUpToDate>false</LinksUpToDate>
  <CharactersWithSpaces>53262</CharactersWithSpaces>
  <SharedDoc>false</SharedDoc>
  <HLinks>
    <vt:vector size="6" baseType="variant">
      <vt:variant>
        <vt:i4>5898249</vt:i4>
      </vt:variant>
      <vt:variant>
        <vt:i4>0</vt:i4>
      </vt:variant>
      <vt:variant>
        <vt:i4>0</vt:i4>
      </vt:variant>
      <vt:variant>
        <vt:i4>5</vt:i4>
      </vt:variant>
      <vt:variant>
        <vt:lpwstr>http://www.unece.org/trans/doc/2006/ac10c3/ST-SG-AC10-C3-58e.doc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ECE/TRANS/315/Add.1</dc:title>
  <dc:subject>2118376</dc:subject>
  <dc:creator>Anastasia Barinova</dc:creator>
  <cp:keywords/>
  <dc:description/>
  <cp:lastModifiedBy>Don MARTIN</cp:lastModifiedBy>
  <cp:revision>2</cp:revision>
  <cp:lastPrinted>2021-09-22T09:34:00Z</cp:lastPrinted>
  <dcterms:created xsi:type="dcterms:W3CDTF">2021-12-08T15:29:00Z</dcterms:created>
  <dcterms:modified xsi:type="dcterms:W3CDTF">2021-12-08T15:29:00Z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