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4FEF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856B02" w14:textId="77777777" w:rsidR="002D5AAC" w:rsidRDefault="002D5AAC" w:rsidP="002D77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67067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6FDBCB" w14:textId="77777777" w:rsidR="002D5AAC" w:rsidRDefault="002D7774" w:rsidP="002D7774">
            <w:pPr>
              <w:jc w:val="right"/>
            </w:pPr>
            <w:r w:rsidRPr="002D7774">
              <w:rPr>
                <w:sz w:val="40"/>
              </w:rPr>
              <w:t>ECE</w:t>
            </w:r>
            <w:r>
              <w:t>/TRANS/2022/6</w:t>
            </w:r>
          </w:p>
        </w:tc>
      </w:tr>
      <w:tr w:rsidR="002D5AAC" w:rsidRPr="003C5984" w14:paraId="35E1C4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A061D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E083A9" wp14:editId="0627F0D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D749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2BBB1E" w14:textId="77777777" w:rsidR="002D5AAC" w:rsidRDefault="002D77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B66568" w14:textId="77777777" w:rsidR="002D7774" w:rsidRDefault="002D7774" w:rsidP="002D77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675D3C31" w14:textId="77777777" w:rsidR="002D7774" w:rsidRDefault="002D7774" w:rsidP="002D77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DB15D7" w14:textId="77777777" w:rsidR="002D7774" w:rsidRPr="008D53B6" w:rsidRDefault="002D7774" w:rsidP="002D77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3B61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44614F" w14:textId="77777777" w:rsidR="002D7774" w:rsidRPr="002D7774" w:rsidRDefault="002D7774" w:rsidP="002D7774">
      <w:pPr>
        <w:spacing w:before="120"/>
        <w:rPr>
          <w:sz w:val="28"/>
          <w:szCs w:val="28"/>
        </w:rPr>
      </w:pPr>
      <w:r w:rsidRPr="002D7774">
        <w:rPr>
          <w:sz w:val="28"/>
          <w:szCs w:val="28"/>
        </w:rPr>
        <w:t>Комитет по внутреннему транспорту</w:t>
      </w:r>
    </w:p>
    <w:p w14:paraId="1C55D2CB" w14:textId="77777777" w:rsidR="002D7774" w:rsidRPr="003C5FA5" w:rsidRDefault="002D7774" w:rsidP="002D7774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238466FA" w14:textId="77777777" w:rsidR="002D7774" w:rsidRDefault="002D7774" w:rsidP="002D7774">
      <w:r>
        <w:t xml:space="preserve">Женева, 22–25 февраля 2022 года </w:t>
      </w:r>
    </w:p>
    <w:p w14:paraId="296F4543" w14:textId="77777777" w:rsidR="002D7774" w:rsidRPr="005E0F79" w:rsidRDefault="002D7774" w:rsidP="002D7774">
      <w:r>
        <w:t>Пункт 5 a) предварительной повестки дня</w:t>
      </w:r>
    </w:p>
    <w:p w14:paraId="2CC0D6E9" w14:textId="47C8CEE6" w:rsidR="002D7774" w:rsidRDefault="002D7774" w:rsidP="002D7774">
      <w:pPr>
        <w:ind w:right="4239"/>
        <w:rPr>
          <w:b/>
          <w:bCs/>
        </w:rPr>
      </w:pPr>
      <w:r w:rsidRPr="00C02C9F">
        <w:rPr>
          <w:b/>
          <w:bCs/>
        </w:rPr>
        <w:t xml:space="preserve">Вопросы управления и </w:t>
      </w:r>
      <w:r>
        <w:rPr>
          <w:b/>
          <w:bCs/>
        </w:rPr>
        <w:t xml:space="preserve">важнейшие </w:t>
      </w:r>
      <w:r w:rsidRPr="00C02C9F">
        <w:rPr>
          <w:b/>
          <w:bCs/>
        </w:rPr>
        <w:t xml:space="preserve">решения, </w:t>
      </w:r>
      <w:r>
        <w:rPr>
          <w:b/>
          <w:bCs/>
        </w:rPr>
        <w:br/>
        <w:t>касающиеся ведения</w:t>
      </w:r>
      <w:r w:rsidRPr="00C02C9F">
        <w:rPr>
          <w:b/>
          <w:bCs/>
        </w:rPr>
        <w:t xml:space="preserve"> деятельности </w:t>
      </w:r>
      <w:r>
        <w:rPr>
          <w:b/>
          <w:bCs/>
        </w:rPr>
        <w:br/>
      </w:r>
      <w:r w:rsidRPr="00C02C9F">
        <w:rPr>
          <w:b/>
          <w:bCs/>
        </w:rPr>
        <w:t xml:space="preserve">Комитета по внутреннему транспорту </w:t>
      </w:r>
      <w:r>
        <w:rPr>
          <w:b/>
          <w:bCs/>
        </w:rPr>
        <w:br/>
      </w:r>
      <w:r w:rsidRPr="00C02C9F">
        <w:rPr>
          <w:b/>
          <w:bCs/>
        </w:rPr>
        <w:t xml:space="preserve">и его вспомогательных органов: </w:t>
      </w:r>
    </w:p>
    <w:p w14:paraId="7D016BA1" w14:textId="52230791" w:rsidR="002D7774" w:rsidRPr="00C02C9F" w:rsidRDefault="002D7774" w:rsidP="002D7774">
      <w:pPr>
        <w:ind w:right="4239"/>
        <w:rPr>
          <w:b/>
          <w:bCs/>
        </w:rPr>
      </w:pPr>
      <w:r w:rsidRPr="00C02C9F">
        <w:rPr>
          <w:b/>
          <w:bCs/>
        </w:rPr>
        <w:t>Решения, касающиеся вспомогательных органов</w:t>
      </w:r>
      <w:r>
        <w:rPr>
          <w:b/>
          <w:bCs/>
        </w:rPr>
        <w:br/>
      </w:r>
      <w:r w:rsidRPr="00C02C9F">
        <w:rPr>
          <w:b/>
          <w:bCs/>
        </w:rPr>
        <w:t xml:space="preserve">и структуры Комитета </w:t>
      </w:r>
      <w:bookmarkStart w:id="0" w:name="_Hlk89790130"/>
      <w:bookmarkEnd w:id="0"/>
    </w:p>
    <w:p w14:paraId="3A8AE82A" w14:textId="0B76741E" w:rsidR="002D7774" w:rsidRPr="005E0F79" w:rsidRDefault="002D7774" w:rsidP="002D7774">
      <w:pPr>
        <w:pStyle w:val="HChG"/>
      </w:pPr>
      <w:r>
        <w:tab/>
      </w:r>
      <w:r>
        <w:tab/>
        <w:t>Решения, касающиеся вспомогательных органов и</w:t>
      </w:r>
      <w:r>
        <w:rPr>
          <w:lang w:val="fr-CH"/>
        </w:rPr>
        <w:t> </w:t>
      </w:r>
      <w:r>
        <w:t xml:space="preserve">структуры Комитета </w:t>
      </w:r>
    </w:p>
    <w:p w14:paraId="7DF963A7" w14:textId="77777777" w:rsidR="002D7774" w:rsidRPr="005E0F79" w:rsidRDefault="002D7774" w:rsidP="002D7774">
      <w:pPr>
        <w:pStyle w:val="H1G"/>
      </w:pPr>
      <w:r>
        <w:tab/>
      </w:r>
      <w:r>
        <w:tab/>
        <w:t>Записка секретариата</w:t>
      </w:r>
    </w:p>
    <w:p w14:paraId="6370FA0C" w14:textId="77777777" w:rsidR="002D7774" w:rsidRPr="005E0F79" w:rsidRDefault="002D7774" w:rsidP="002D777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Решения, касающиеся рабочих групп</w:t>
      </w:r>
    </w:p>
    <w:p w14:paraId="00358C49" w14:textId="77777777" w:rsidR="002D7774" w:rsidRPr="005E0F79" w:rsidRDefault="002D7774" w:rsidP="002D7774">
      <w:pPr>
        <w:pStyle w:val="SingleTxtG"/>
      </w:pPr>
      <w:r>
        <w:t>1.</w:t>
      </w:r>
      <w:r>
        <w:tab/>
        <w:t xml:space="preserve">Комитету </w:t>
      </w:r>
      <w:r>
        <w:rPr>
          <w:b/>
          <w:bCs/>
        </w:rPr>
        <w:t>предлагается утвердить</w:t>
      </w:r>
      <w:r>
        <w:t xml:space="preserve"> пересмотренный круг ведения Рабочей группы по статистике транспорта (WP.6) в соответствии с просьбой WP.6 (ECE/TRANS/WP.6/181). Пересмотренный круг ведения, содержащийся в </w:t>
      </w:r>
      <w:r>
        <w:rPr>
          <w:b/>
          <w:bCs/>
        </w:rPr>
        <w:t>приложении I</w:t>
      </w:r>
      <w:r>
        <w:t xml:space="preserve"> к настоящему документу, был подготовлен в соответствии со Стратегией Комитета по внутреннему транспорту (КВТ) до 2030 года и согласован WP.6 на его семьдесят второй сессии (9–11 июня 2021 года).</w:t>
      </w:r>
      <w:bookmarkStart w:id="1" w:name="_Hlk89773356"/>
      <w:bookmarkEnd w:id="1"/>
    </w:p>
    <w:p w14:paraId="21536B8B" w14:textId="025E625A" w:rsidR="002D7774" w:rsidRPr="005E0F79" w:rsidRDefault="002D7774" w:rsidP="002D7774">
      <w:pPr>
        <w:pStyle w:val="SingleTxtG"/>
      </w:pPr>
      <w:r>
        <w:t>2.</w:t>
      </w:r>
      <w:r>
        <w:tab/>
        <w:t xml:space="preserve">Комитету также </w:t>
      </w:r>
      <w:r>
        <w:rPr>
          <w:b/>
          <w:bCs/>
        </w:rPr>
        <w:t>предлагается утверждать</w:t>
      </w:r>
      <w:r>
        <w:t xml:space="preserve"> обновленный круг ведения Рабочей группы по интермодальным перевозкам и логистике (WP.24) в соответствии с просьбой WP.24 (ECE/TRANS/WP.24/149, п</w:t>
      </w:r>
      <w:r w:rsidR="007D6494" w:rsidRPr="007D6494">
        <w:t>.</w:t>
      </w:r>
      <w:r>
        <w:t xml:space="preserve"> 82). Пересмотренный круг ведения, содержащийся в </w:t>
      </w:r>
      <w:r>
        <w:rPr>
          <w:b/>
          <w:bCs/>
        </w:rPr>
        <w:t xml:space="preserve">приложении II </w:t>
      </w:r>
      <w:r>
        <w:t>к настоящему документу, был обновлен в соответствии со Стратегией КВТ до 2030 года и согласован WP.24 на ее шестьдесят четвертой сессии (20–22 октября 2021 года).</w:t>
      </w:r>
    </w:p>
    <w:p w14:paraId="18516E9E" w14:textId="380FE1D1" w:rsidR="002D7774" w:rsidRPr="005E0F79" w:rsidRDefault="002D7774" w:rsidP="002D7774">
      <w:pPr>
        <w:pStyle w:val="SingleTxtG"/>
      </w:pPr>
      <w:r>
        <w:t>3.</w:t>
      </w:r>
      <w:r>
        <w:tab/>
        <w:t xml:space="preserve">Кроме того, Комитету </w:t>
      </w:r>
      <w:r>
        <w:rPr>
          <w:b/>
          <w:bCs/>
        </w:rPr>
        <w:t>предлагается утвердить</w:t>
      </w:r>
      <w:r>
        <w:t xml:space="preserve"> пересмотренный круг ведения Рабочей группы по внутреннему водному транспорту (SC.3) в соответствии с просьбой SC.3 (ECE/TRANS/SC.3/215). Пересмотренный круг ведения, содержащийся в </w:t>
      </w:r>
      <w:r>
        <w:rPr>
          <w:b/>
          <w:bCs/>
        </w:rPr>
        <w:t>приложении III</w:t>
      </w:r>
      <w:r>
        <w:t xml:space="preserve"> к настоящему документу, был подготовлен в соответствии со Стратегией КВТ до 2030 года и согласован SC.3 на ее шестьдесят пятой сессии </w:t>
      </w:r>
      <w:r>
        <w:br/>
        <w:t>(3–5 ноября 2021 года).</w:t>
      </w:r>
    </w:p>
    <w:p w14:paraId="070D7154" w14:textId="26742A22" w:rsidR="002D7774" w:rsidRPr="005E0F79" w:rsidRDefault="002D7774" w:rsidP="002D7774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Решения, касающиеся групп экспертов: решения об</w:t>
      </w:r>
      <w:r>
        <w:rPr>
          <w:bCs/>
          <w:lang w:val="fr-CH"/>
        </w:rPr>
        <w:t> </w:t>
      </w:r>
      <w:r>
        <w:rPr>
          <w:bCs/>
        </w:rPr>
        <w:t>учреждении новых групп экспертов</w:t>
      </w:r>
      <w:r>
        <w:t xml:space="preserve"> </w:t>
      </w:r>
    </w:p>
    <w:p w14:paraId="29C15366" w14:textId="77777777" w:rsidR="002D7774" w:rsidRPr="005E0F79" w:rsidRDefault="002D7774" w:rsidP="002D7774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Новая группа экспертов по внедрению процедуры e-CMR</w:t>
      </w:r>
    </w:p>
    <w:p w14:paraId="78A92626" w14:textId="77777777" w:rsidR="002D7774" w:rsidRPr="005E0F79" w:rsidRDefault="002D7774" w:rsidP="002D7774">
      <w:pPr>
        <w:pStyle w:val="SingleTxtG"/>
      </w:pPr>
      <w:r>
        <w:t>4.</w:t>
      </w:r>
      <w:r>
        <w:tab/>
        <w:t xml:space="preserve">Комитет, возможно, пожелает </w:t>
      </w:r>
      <w:r>
        <w:rPr>
          <w:b/>
          <w:bCs/>
        </w:rPr>
        <w:t>одобрить учреждение</w:t>
      </w:r>
      <w:r>
        <w:t xml:space="preserve"> новой группы экспертов по внедрению процедуры e-CMR с мандатом на два года в соответствии с просьбой SC.1 (ECE/TRANS/SC.1/416). Круг ведения новой Группы экспертов, согласованный SC.1 на его сто шестнадцатой сессии (13–15 октября 2021 года), содержится в </w:t>
      </w:r>
      <w:r>
        <w:rPr>
          <w:b/>
          <w:bCs/>
        </w:rPr>
        <w:t>приложении IV</w:t>
      </w:r>
      <w:r>
        <w:t xml:space="preserve"> к настоящему документу. </w:t>
      </w:r>
      <w:bookmarkStart w:id="2" w:name="_Hlk89436016"/>
      <w:bookmarkEnd w:id="2"/>
    </w:p>
    <w:p w14:paraId="0C29858E" w14:textId="77777777" w:rsidR="002D7774" w:rsidRPr="005E0F79" w:rsidRDefault="002D7774" w:rsidP="002D7774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Новая группа экспертов по велосипедной инфраструктуре</w:t>
      </w:r>
    </w:p>
    <w:p w14:paraId="2FF554E8" w14:textId="6E651977" w:rsidR="002D7774" w:rsidRPr="005E0F79" w:rsidRDefault="002D7774" w:rsidP="002D7774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 xml:space="preserve">Комитет, возможно, пожелает </w:t>
      </w:r>
      <w:r>
        <w:rPr>
          <w:b/>
          <w:bCs/>
        </w:rPr>
        <w:t>одобрить учреждение</w:t>
      </w:r>
      <w:r>
        <w:t xml:space="preserve"> новой группы экспертов по велосипедной инфраструктуре в соответствии с просьбой WP.5 (ECE/TRANS/WP.5/70, п</w:t>
      </w:r>
      <w:r w:rsidR="007D6494">
        <w:t>.</w:t>
      </w:r>
      <w:r>
        <w:t xml:space="preserve"> 50). Круг ведения новой группы экспертов, согласованный WP.5 на ее тридцать четвертой сессии (15–17 сентября 2021 года), содержится в </w:t>
      </w:r>
      <w:r>
        <w:rPr>
          <w:b/>
          <w:bCs/>
        </w:rPr>
        <w:t>приложении V</w:t>
      </w:r>
      <w:r>
        <w:t xml:space="preserve"> к настоящему документу.</w:t>
      </w:r>
    </w:p>
    <w:p w14:paraId="71C70439" w14:textId="77777777" w:rsidR="002D7774" w:rsidRPr="005E0F79" w:rsidRDefault="002D7774" w:rsidP="002D7774">
      <w:pPr>
        <w:suppressAutoHyphens w:val="0"/>
        <w:spacing w:line="240" w:lineRule="auto"/>
      </w:pPr>
      <w:r w:rsidRPr="005E0F79">
        <w:br w:type="page"/>
      </w:r>
    </w:p>
    <w:p w14:paraId="7AF9E488" w14:textId="77777777" w:rsidR="002D7774" w:rsidRPr="005E0F79" w:rsidRDefault="002D7774" w:rsidP="002D7774">
      <w:pPr>
        <w:pStyle w:val="HChG"/>
      </w:pPr>
      <w:r>
        <w:lastRenderedPageBreak/>
        <w:t>Приложение I</w:t>
      </w:r>
    </w:p>
    <w:p w14:paraId="5FC12FEA" w14:textId="63409E8B" w:rsidR="002D7774" w:rsidRPr="005E0F79" w:rsidRDefault="002D7774" w:rsidP="002D7774">
      <w:pPr>
        <w:pStyle w:val="HChG"/>
      </w:pPr>
      <w:r>
        <w:tab/>
      </w:r>
      <w:r>
        <w:tab/>
        <w:t>Пересмотренный круг ведения Рабочей группы по</w:t>
      </w:r>
      <w:r>
        <w:rPr>
          <w:lang w:val="fr-CH"/>
        </w:rPr>
        <w:t> </w:t>
      </w:r>
      <w:r>
        <w:t>статистике транспорта (WP.6)</w:t>
      </w:r>
      <w:r w:rsidRPr="002D7774">
        <w:rPr>
          <w:rStyle w:val="aa"/>
          <w:b w:val="0"/>
          <w:bCs/>
          <w:szCs w:val="18"/>
        </w:rPr>
        <w:footnoteReference w:id="1"/>
      </w:r>
    </w:p>
    <w:p w14:paraId="1157FD40" w14:textId="774F740E" w:rsidR="002D7774" w:rsidRPr="005E0F79" w:rsidRDefault="002D7774" w:rsidP="002D7774">
      <w:pPr>
        <w:pStyle w:val="SingleTxtG"/>
      </w:pPr>
      <w:r>
        <w:t>1.</w:t>
      </w:r>
      <w:r>
        <w:tab/>
        <w:t>Рабочая группа по статистике транспорта (далее — WP.6) будет действовать в соответствии с Руководящими принципами Европейской экономической комиссии (далее — ЕЭК ООН) создания и функционирования рабочих групп в рамках ЕЭК ООН, одобренными Исполнительным комитетом ЕЭК ООН на его четвертом совещании 14</w:t>
      </w:r>
      <w:r>
        <w:rPr>
          <w:lang w:val="fr-CH"/>
        </w:rPr>
        <w:t> </w:t>
      </w:r>
      <w:r>
        <w:t xml:space="preserve">июля 2006 года (ECE/EX/1). Эти Руководящие принципы касаются ее статуса и характеристик, включая рассмотрение мандата и вопроса о его продлении каждые </w:t>
      </w:r>
      <w:r>
        <w:br/>
        <w:t xml:space="preserve">пять лет, членского состава и должностных лиц, методов работы и </w:t>
      </w:r>
      <w:proofErr w:type="spellStart"/>
      <w:r>
        <w:t>секретариатского</w:t>
      </w:r>
      <w:proofErr w:type="spellEnd"/>
      <w:r>
        <w:t xml:space="preserve"> обслуживания, обеспечиваемого Отделом устойчивого транспорта ЕЭК ООН. </w:t>
      </w:r>
    </w:p>
    <w:p w14:paraId="779B4089" w14:textId="77777777" w:rsidR="002D7774" w:rsidRPr="005E0F79" w:rsidRDefault="002D7774" w:rsidP="002D7774">
      <w:pPr>
        <w:pStyle w:val="SingleTxtG"/>
      </w:pPr>
      <w:r>
        <w:t>2.</w:t>
      </w:r>
      <w:r>
        <w:tab/>
        <w:t xml:space="preserve">WP.6 будет действовать в рамках общего курса Организации Объединенных Наций и Европейской экономической комиссии (далее — ЕЭК ООН) под общим наблюдением Комитета по внутреннему транспорту (далее — КВТ) и в соответствии с кругом ведения ЕЭК ООН (Е/ЕСЕ/778/Rev.5). </w:t>
      </w:r>
    </w:p>
    <w:p w14:paraId="1A07C221" w14:textId="7EB66DA9" w:rsidR="002D7774" w:rsidRPr="005E0F79" w:rsidRDefault="002D7774" w:rsidP="002D7774">
      <w:pPr>
        <w:pStyle w:val="SingleTxtG"/>
      </w:pPr>
      <w:r>
        <w:t>3.</w:t>
      </w:r>
      <w:r>
        <w:tab/>
        <w:t xml:space="preserve">Указанные ниже виды деятельности соответствуют цели подпрограммы </w:t>
      </w:r>
      <w:r>
        <w:br/>
        <w:t>ЕЭК</w:t>
      </w:r>
      <w:r w:rsidR="007D6494">
        <w:t> </w:t>
      </w:r>
      <w:r>
        <w:t>ООН по устойчивому транспорту, которая заключается в облегчении международных пассажирских и грузовых перевозок разными видами внутреннего транспорта и повышении защищенности, экологичности, энергоэффективности и безопасности транспортного сектора до уровней, которые действительно способствуют обеспечению устойчивости транспорта. Они также согласуются со Стратегией КВТ на период до 2030 года, в которой определены нижеследующие четыре основных направления деятельности, связанные с укреплением в дальнейшем его роли в соответствующем качестве.</w:t>
      </w:r>
    </w:p>
    <w:p w14:paraId="36AF374B" w14:textId="5D593100" w:rsidR="002D7774" w:rsidRPr="005E0F79" w:rsidRDefault="002D7774" w:rsidP="002D7774">
      <w:pPr>
        <w:pStyle w:val="Bullet1G"/>
      </w:pPr>
      <w:r w:rsidRPr="00447834">
        <w:rPr>
          <w:b/>
          <w:bCs/>
        </w:rPr>
        <w:t>Направление А: платформа ООН для региональных и глобальных конвенций по внутреннему транспорту</w:t>
      </w:r>
      <w:r w:rsidRPr="007D6494">
        <w:t>.</w:t>
      </w:r>
      <w:r>
        <w:t xml:space="preserve"> Комитет будет укреплять свою роль в качестве платформы конвенций ООН по внутреннему транспорту для всех государств — членов ООН и сохранять ведущую роль в глобальных усилиях по преодолению кризиса в сфере безопасности дорожного движения благодаря комплексному подходу к этим вопросам, по снижению уровня выбросов путем введения и продвижения стандартов для транспортных средств, а также по устранению трансграничных препятствий с помощью целого ряда конвенций по упрощению процедур пересечения границ.</w:t>
      </w:r>
    </w:p>
    <w:p w14:paraId="7AE900C6" w14:textId="3799DF09" w:rsidR="002D7774" w:rsidRPr="005E0F79" w:rsidRDefault="002D7774" w:rsidP="002D7774">
      <w:pPr>
        <w:pStyle w:val="Bullet1G"/>
      </w:pPr>
      <w:r>
        <w:tab/>
      </w:r>
      <w:r w:rsidRPr="00447834">
        <w:rPr>
          <w:b/>
          <w:bCs/>
        </w:rPr>
        <w:t>Направление В: платформа ООН по поддержке новых технологий и инноваций во внутреннем транспорте</w:t>
      </w:r>
      <w:r w:rsidRPr="007D6494">
        <w:t>.</w:t>
      </w:r>
      <w:r>
        <w:t xml:space="preserve"> Комитет будет следить за тем, чтобы</w:t>
      </w:r>
      <w:r w:rsidR="007D6494">
        <w:t>:</w:t>
      </w:r>
      <w:r>
        <w:t xml:space="preserve"> i) при выполнении регулирующих функций он не отставал от передовых технологий, лежащих в основе транспортных инноваций, особенно в области интеллектуальных транспортных систем, автономных транспортных средств и цифровизации, что позволит повысить безопасность дорожного движения, экологические показатели, энергоэффективность, безопасность внутреннего транспорта и эффективность предоставления услуг в транспортном секторе; </w:t>
      </w:r>
      <w:r>
        <w:br/>
      </w:r>
      <w:proofErr w:type="spellStart"/>
      <w:r>
        <w:t>ii</w:t>
      </w:r>
      <w:proofErr w:type="spellEnd"/>
      <w:r>
        <w:t xml:space="preserve">) разнообразные процессы внесения поправок в различные конвенции не приводили к раздробленности; и </w:t>
      </w:r>
      <w:proofErr w:type="spellStart"/>
      <w:r>
        <w:t>iii</w:t>
      </w:r>
      <w:proofErr w:type="spellEnd"/>
      <w:r>
        <w:t>) слишком раннее регулирование не сдерживало прогресс.</w:t>
      </w:r>
    </w:p>
    <w:p w14:paraId="57CFA58A" w14:textId="7174BF0A" w:rsidR="002D7774" w:rsidRPr="005E0F79" w:rsidRDefault="002D7774" w:rsidP="002D7774">
      <w:pPr>
        <w:pStyle w:val="Bullet1G"/>
      </w:pPr>
      <w:r w:rsidRPr="007D6494">
        <w:rPr>
          <w:b/>
          <w:bCs/>
        </w:rPr>
        <w:t>Направление С: платформа ООН для регионального, межрегионального и глобального диалога по вопросам политики в области внутреннего транспорта</w:t>
      </w:r>
      <w:r>
        <w:t>. Комитет будет служить платформой для диалога по вопросам политики в целях рассмотрения возникающих проблем в сфере внутреннего транспорта, а также предложений по совершенствованию инфраструктуры и функционирования</w:t>
      </w:r>
      <w:r w:rsidRPr="000C49B5">
        <w:t xml:space="preserve"> </w:t>
      </w:r>
      <w:r>
        <w:t xml:space="preserve">в ходе своей ежегодной сессии. </w:t>
      </w:r>
    </w:p>
    <w:p w14:paraId="540E717A" w14:textId="26D1D81F" w:rsidR="002D7774" w:rsidRPr="005E0F79" w:rsidRDefault="002D7774" w:rsidP="002D7774">
      <w:pPr>
        <w:pStyle w:val="Bullet1G"/>
      </w:pPr>
      <w:r>
        <w:lastRenderedPageBreak/>
        <w:tab/>
      </w:r>
      <w:r w:rsidRPr="007D6494">
        <w:rPr>
          <w:b/>
          <w:bCs/>
        </w:rPr>
        <w:t>Направление D: платформа ООН по поддержке устойчивой региональной и межрегиональной связанности и мобильности на внутреннем транспорте</w:t>
      </w:r>
      <w:r>
        <w:t>. Комитет будет обеспечивать соответствующим образом всеобъемлющую и согласованную нормативно-правовую основу и по мере необходимости служить институциональным ориентиром для поддержки международной транспортной связанности и разработки новых или развития существующих инициатив, соглашений и коридоров.</w:t>
      </w:r>
    </w:p>
    <w:p w14:paraId="49244710" w14:textId="77777777" w:rsidR="002D7774" w:rsidRPr="005E0F79" w:rsidRDefault="002D7774" w:rsidP="002D7774">
      <w:pPr>
        <w:pStyle w:val="SingleTxtG"/>
      </w:pPr>
      <w:r>
        <w:t>4.</w:t>
      </w:r>
      <w:r>
        <w:tab/>
        <w:t>В соответствии с вышеупомянутыми целями, а также целями подпрограммы ЕЭК ООН по транспорту, призванной обеспечить всеобъемлющую региональную и глобальную платформу для рассмотрения всех аспектов развития внутреннего транспорта и сотрудничества в этой области, были определены следующие перспективные основные направления деятельности WP.6:</w:t>
      </w:r>
    </w:p>
    <w:p w14:paraId="0FC70051" w14:textId="282D7308" w:rsidR="002D7774" w:rsidRPr="005909A4" w:rsidRDefault="002D7774" w:rsidP="002D7774">
      <w:pPr>
        <w:pStyle w:val="SingleTxtG"/>
      </w:pPr>
      <w:r>
        <w:tab/>
        <w:t>a)</w:t>
      </w:r>
      <w:r>
        <w:tab/>
        <w:t xml:space="preserve">разрабатывать надлежащие общие методологии и терминологию для согласования статистических данных о наземном транспорте в целях повышения международной сопоставимости, с тем чтобы определить также показатели устойчивого транспорта (направление С); </w:t>
      </w:r>
    </w:p>
    <w:p w14:paraId="6063CC2F" w14:textId="72A2B639" w:rsidR="002D7774" w:rsidRPr="005909A4" w:rsidRDefault="002D7774" w:rsidP="002D7774">
      <w:pPr>
        <w:pStyle w:val="SingleTxtG"/>
      </w:pPr>
      <w:r>
        <w:tab/>
        <w:t>b)</w:t>
      </w:r>
      <w:r>
        <w:tab/>
        <w:t xml:space="preserve">вести сбор, составление и распространение статистических данных о наземном транспорте, отражающих воздействие существующих правовых документов ЕЭК, включая данные об автомобильном движении, дорожно-транспортных происшествиях, железнодорожном движении, внутреннем водном транспорте и транспортировке по трубопроводам (направление А); </w:t>
      </w:r>
    </w:p>
    <w:p w14:paraId="6F9D2015" w14:textId="67358B03" w:rsidR="002D7774" w:rsidRPr="005909A4" w:rsidRDefault="002D7774" w:rsidP="002D7774">
      <w:pPr>
        <w:pStyle w:val="SingleTxtG"/>
      </w:pPr>
      <w:r>
        <w:tab/>
        <w:t>c)</w:t>
      </w:r>
      <w:r>
        <w:tab/>
        <w:t xml:space="preserve">разрабатывать, поддерживать и совершенствовать онлайновую базу статистических данных о транспорте ЕЭК ООН в целях обеспечения хорошего качества, актуальности, удобства для использования и своевременности статистики транспорта (направление С); </w:t>
      </w:r>
    </w:p>
    <w:p w14:paraId="79E4ACE0" w14:textId="0C22D7EC" w:rsidR="002D7774" w:rsidRPr="005909A4" w:rsidRDefault="002D7774" w:rsidP="002D7774">
      <w:pPr>
        <w:pStyle w:val="SingleTxtG"/>
      </w:pPr>
      <w:r>
        <w:tab/>
        <w:t>d)</w:t>
      </w:r>
      <w:r>
        <w:tab/>
        <w:t xml:space="preserve">вносить вклад в координацию статистической деятельности международных организаций в области транспорта в целях поощрения надлежащей статистической практики и согласованности распространяемых данных, сведения к минимуму дублирования работы и сокращения бремени отчетности и проведения совещаний для стран — членов ЕЭК ООН, в частности путем сохранения и совершенствования системы Общего вопросника в партнерстве с Евростатом и Международным транспортным форумом (направление С); </w:t>
      </w:r>
    </w:p>
    <w:p w14:paraId="54C91944" w14:textId="2FC22671" w:rsidR="002D7774" w:rsidRPr="005909A4" w:rsidRDefault="002D7774" w:rsidP="002D7774">
      <w:pPr>
        <w:pStyle w:val="SingleTxtG"/>
      </w:pPr>
      <w:r>
        <w:tab/>
        <w:t>e)</w:t>
      </w:r>
      <w:r>
        <w:tab/>
        <w:t xml:space="preserve">служить форумом для обмена опытом и передовой практикой и рекомендовать методы решения статистических проблем, включая проблемы наличия, качества данных и обмена данными в области наземного транспорта (направление С); </w:t>
      </w:r>
    </w:p>
    <w:p w14:paraId="41DB2456" w14:textId="46498F3F" w:rsidR="002D7774" w:rsidRPr="005909A4" w:rsidRDefault="002D7774" w:rsidP="002D7774">
      <w:pPr>
        <w:pStyle w:val="SingleTxtG"/>
      </w:pPr>
      <w:r>
        <w:tab/>
        <w:t>f)</w:t>
      </w:r>
      <w:r>
        <w:tab/>
        <w:t xml:space="preserve">поощрять и обеспечивать техническое сотрудничество и создание потенциала в области транспортной статистики (направление D); </w:t>
      </w:r>
    </w:p>
    <w:p w14:paraId="0F0DE0E5" w14:textId="0F0947B2" w:rsidR="002D7774" w:rsidRPr="005909A4" w:rsidRDefault="002D7774" w:rsidP="002D7774">
      <w:pPr>
        <w:pStyle w:val="SingleTxtG"/>
      </w:pPr>
      <w:r>
        <w:tab/>
        <w:t>g)</w:t>
      </w:r>
      <w:r>
        <w:tab/>
        <w:t>вносить вклад в разработку связанных с транспортом показателей достижения целей в области устойчивого развития на основе обмена методологией и диалога между государствами-членами и соответствующими курирующими учреждениями (направление С);</w:t>
      </w:r>
    </w:p>
    <w:p w14:paraId="22796904" w14:textId="7210290A" w:rsidR="002D7774" w:rsidRDefault="002D7774" w:rsidP="002D7774">
      <w:pPr>
        <w:pStyle w:val="SingleTxtG"/>
      </w:pPr>
      <w:r>
        <w:tab/>
        <w:t>h)</w:t>
      </w:r>
      <w:r>
        <w:tab/>
        <w:t xml:space="preserve">изучать взаимосвязь между связанными с транспортом показателями достижения целей устойчивого развития и другими сферами устойчивого развития, например взаимодействие между транспортом и окружающей средой, энергетикой, здравоохранением, гендерными вопросами и т. д. (направление С); </w:t>
      </w:r>
    </w:p>
    <w:p w14:paraId="26BE7E4B" w14:textId="2CC02789" w:rsidR="002D7774" w:rsidRPr="005E0F79" w:rsidRDefault="002D7774" w:rsidP="002D7774">
      <w:pPr>
        <w:pStyle w:val="SingleTxtG"/>
      </w:pPr>
      <w:r>
        <w:tab/>
        <w:t>i)</w:t>
      </w:r>
      <w:r w:rsidR="007D6494">
        <w:tab/>
      </w:r>
      <w:r>
        <w:t xml:space="preserve">стать центральным связующим звеном по вопросам статистики транспорта путем укрепления сотрудничества и совместной работы с Европейской комиссией, межправительственными и неправительственными организациями и другими региональными комиссиями и организациями или органами системы Организации Объединенных Наций (направление С); </w:t>
      </w:r>
    </w:p>
    <w:p w14:paraId="156CF6B4" w14:textId="148B2D72" w:rsidR="002D7774" w:rsidRPr="005E0F79" w:rsidRDefault="002D7774" w:rsidP="002D7774">
      <w:pPr>
        <w:pStyle w:val="SingleTxtG"/>
      </w:pPr>
      <w:r>
        <w:tab/>
      </w:r>
      <w:r w:rsidRPr="00155C64">
        <w:t>j</w:t>
      </w:r>
      <w:r>
        <w:t>)</w:t>
      </w:r>
      <w:r>
        <w:tab/>
        <w:t>тесно сотрудничать с другими вспомогательными органами КВТ и другими органами ЕЭК ООН по вопросам, представляющим общий интерес (направления A и B).</w:t>
      </w:r>
      <w:r w:rsidRPr="005E0F79">
        <w:br w:type="page"/>
      </w:r>
    </w:p>
    <w:p w14:paraId="104116DC" w14:textId="77777777" w:rsidR="002D7774" w:rsidRPr="005E0F79" w:rsidRDefault="002D7774" w:rsidP="002D7774">
      <w:pPr>
        <w:pStyle w:val="HChG"/>
      </w:pPr>
      <w:r>
        <w:rPr>
          <w:bCs/>
        </w:rPr>
        <w:lastRenderedPageBreak/>
        <w:t>Приложение II</w:t>
      </w:r>
    </w:p>
    <w:p w14:paraId="2C16A3A1" w14:textId="562A0E3F" w:rsidR="002D7774" w:rsidRPr="005E0F79" w:rsidRDefault="002D7774" w:rsidP="002D7774">
      <w:pPr>
        <w:pStyle w:val="HChG"/>
      </w:pPr>
      <w:r>
        <w:tab/>
      </w:r>
      <w:r>
        <w:tab/>
      </w:r>
      <w:r>
        <w:rPr>
          <w:bCs/>
        </w:rPr>
        <w:t>Пересмотренный круг ведения Рабочей группы по интермодальным перевозкам и логистике</w:t>
      </w:r>
      <w:r w:rsidRPr="002D7774">
        <w:rPr>
          <w:rStyle w:val="aa"/>
          <w:b w:val="0"/>
          <w:bCs/>
          <w:szCs w:val="18"/>
        </w:rPr>
        <w:footnoteReference w:id="2"/>
      </w:r>
    </w:p>
    <w:p w14:paraId="7B9029AE" w14:textId="77777777" w:rsidR="002D7774" w:rsidRPr="007D6494" w:rsidRDefault="002D7774" w:rsidP="002D7774">
      <w:pPr>
        <w:pStyle w:val="SingleTxtG"/>
        <w:jc w:val="right"/>
        <w:rPr>
          <w:i/>
          <w:iCs/>
        </w:rPr>
      </w:pPr>
      <w:r w:rsidRPr="007D6494">
        <w:rPr>
          <w:i/>
          <w:iCs/>
        </w:rPr>
        <w:t>(С поправками, внесенными WP.24 на ее шестьдесят четвертой сессии)</w:t>
      </w:r>
    </w:p>
    <w:p w14:paraId="649C0260" w14:textId="77777777" w:rsidR="002D7774" w:rsidRPr="005E0F79" w:rsidRDefault="002D7774" w:rsidP="002D7774">
      <w:pPr>
        <w:pStyle w:val="SingleTxtG"/>
      </w:pPr>
      <w:r>
        <w:t>1.</w:t>
      </w:r>
      <w:r>
        <w:tab/>
        <w:t xml:space="preserve">Рабочая группа по интермодальным перевозкам и логистике (WP.24) действует в рамках общего курса Организации Объединенных Наций и Европейской экономической комиссии (далее — ЕЭК) под общим наблюдением Комитета по внутреннему транспорту (далее — КВТ) и в соответствии с кругом ведения ЕЭК (Е/ЕСЕ/778/Rev.5). </w:t>
      </w:r>
    </w:p>
    <w:p w14:paraId="50141AFB" w14:textId="768BACEC" w:rsidR="002D7774" w:rsidRPr="005E0F79" w:rsidRDefault="002D7774" w:rsidP="002D7774">
      <w:pPr>
        <w:pStyle w:val="SingleTxtG"/>
      </w:pPr>
      <w:r>
        <w:t>2.</w:t>
      </w:r>
      <w:r>
        <w:tab/>
        <w:t xml:space="preserve">WP.24 действует в соответствии с Руководящими принципами создания и функционирования рабочих групп в рамках ЕЭК, одобренными Исполнительным комитетом ЕЭК на его четвертом совещании 14 июля 2006 года (ECE/EX/1). Эти Руководящие принципы касаются ее статуса и характеристик, включая рассмотрение мандата и вопроса о его продлении каждые </w:t>
      </w:r>
      <w:r w:rsidR="007D6494">
        <w:t>пять</w:t>
      </w:r>
      <w:r>
        <w:t xml:space="preserve"> лет, членского состава и должностных лиц, методов работы и </w:t>
      </w:r>
      <w:proofErr w:type="spellStart"/>
      <w:r>
        <w:t>секретариатского</w:t>
      </w:r>
      <w:proofErr w:type="spellEnd"/>
      <w:r>
        <w:t xml:space="preserve"> обслуживания, обеспечиваемого Отделом устойчивого транспорта ЕЭК. </w:t>
      </w:r>
    </w:p>
    <w:p w14:paraId="2E5BDD8F" w14:textId="4437F732" w:rsidR="002D7774" w:rsidRPr="005909A4" w:rsidRDefault="002D7774" w:rsidP="002D7774">
      <w:pPr>
        <w:pStyle w:val="SingleTxtG"/>
      </w:pPr>
      <w:r>
        <w:t>3.</w:t>
      </w:r>
      <w:r>
        <w:tab/>
        <w:t xml:space="preserve">WP.24 осуществляет деятельность в поддержку цели подпрограммы ЕЭК по устойчивому транспорту, которая заключается в облегчении международных пассажирских и грузовых перевозок разными видами внутреннего транспорта и повышении защищенности, экологичности, энергоэффективности и безопасности транспортного сектора до уровней, которые действительно способствуют обеспечению устойчивости транспорта. В этом контексте WP.24 руководит деятельностью, направленной на повышение устойчивости и климатической нейтральности грузовых перевозок, в частности путем увеличения доли интермодальных перевозок в секторе грузового транспорта, когда грузы перевозятся в одной и той же грузовой единице или автотранспортном средстве с последовательным использованием двух или более видов транспорта без перегрузки самого груза при смене вида транспорта. Деятельность WP.24 также направлена на поддержку реализации Стратегии КВТ до 2030 года, в частности на решение таких задач, </w:t>
      </w:r>
      <w:r>
        <w:br/>
        <w:t>как</w:t>
      </w:r>
      <w:r w:rsidR="007D6494">
        <w:t>:</w:t>
      </w:r>
      <w:r>
        <w:t xml:space="preserve"> i) обслуживание и администрирование правовых документов, связанных с интермодальными перевозками</w:t>
      </w:r>
      <w:r w:rsidR="007D6494">
        <w:t>;</w:t>
      </w:r>
      <w:r>
        <w:t xml:space="preserve"> </w:t>
      </w:r>
      <w:proofErr w:type="spellStart"/>
      <w:r>
        <w:t>ii</w:t>
      </w:r>
      <w:proofErr w:type="spellEnd"/>
      <w:r>
        <w:t>) разработка учебных материалов, стандартов и критериев компетентности для интермодальных перевозок</w:t>
      </w:r>
      <w:r w:rsidR="007D6494">
        <w:t>;</w:t>
      </w:r>
      <w:r>
        <w:t xml:space="preserve"> </w:t>
      </w:r>
      <w:proofErr w:type="spellStart"/>
      <w:r>
        <w:t>iii</w:t>
      </w:r>
      <w:proofErr w:type="spellEnd"/>
      <w:r>
        <w:t xml:space="preserve">) выявление, стимулирование и содействие внедрению новых интермодальных технологий </w:t>
      </w:r>
      <w:r>
        <w:br/>
        <w:t xml:space="preserve">и </w:t>
      </w:r>
      <w:proofErr w:type="spellStart"/>
      <w:r>
        <w:t>iv</w:t>
      </w:r>
      <w:proofErr w:type="spellEnd"/>
      <w:r>
        <w:t xml:space="preserve">) поддержка интегрированной региональной и межрегиональной интермодальной связанности. </w:t>
      </w:r>
    </w:p>
    <w:p w14:paraId="154F90A4" w14:textId="77777777" w:rsidR="002D7774" w:rsidRPr="005E0F79" w:rsidRDefault="002D7774" w:rsidP="002D7774">
      <w:pPr>
        <w:pStyle w:val="SingleTxtG"/>
      </w:pPr>
      <w:r>
        <w:t>4.</w:t>
      </w:r>
      <w:r>
        <w:tab/>
        <w:t>С учетом этого общего контекста, в частности, WP.24:</w:t>
      </w:r>
    </w:p>
    <w:p w14:paraId="286CA751" w14:textId="77777777" w:rsidR="002D7774" w:rsidRPr="005E0F79" w:rsidRDefault="002D7774" w:rsidP="002D7774">
      <w:pPr>
        <w:pStyle w:val="SingleTxtG"/>
        <w:ind w:firstLine="567"/>
      </w:pPr>
      <w:r>
        <w:t>a)</w:t>
      </w:r>
      <w:r>
        <w:tab/>
        <w:t xml:space="preserve">осуществляет мониторинг, обзор и обновление Европейского соглашения о важнейших линиях международных комбинированных перевозок и соответствующих объектах (СЛКП) и Протокола о комбинированных перевозках по внутренним водным путям к Соглашению СЛКП, содействует присоединению к обоим документам и следит за их выполнением; </w:t>
      </w:r>
    </w:p>
    <w:p w14:paraId="6B5B89B1" w14:textId="77777777" w:rsidR="002D7774" w:rsidRPr="005E0F79" w:rsidRDefault="002D7774" w:rsidP="002D7774">
      <w:pPr>
        <w:pStyle w:val="SingleTxtG"/>
        <w:ind w:firstLine="567"/>
      </w:pPr>
      <w:r>
        <w:t>b)</w:t>
      </w:r>
      <w:r>
        <w:tab/>
        <w:t xml:space="preserve">разрабатывает меры по повышению эффективности интермодальных перевозок, выявляет и устраняет узкие места в секторе интермодальных транспортных услуг; </w:t>
      </w:r>
    </w:p>
    <w:p w14:paraId="31BE3F24" w14:textId="77777777" w:rsidR="002D7774" w:rsidRPr="005E0F79" w:rsidRDefault="002D7774" w:rsidP="002D7774">
      <w:pPr>
        <w:pStyle w:val="SingleTxtG"/>
        <w:ind w:firstLine="567"/>
      </w:pPr>
      <w:r>
        <w:t>c)</w:t>
      </w:r>
      <w:r>
        <w:tab/>
        <w:t>осуществляет мониторинг выполнения и обзор Сводной резолюции о комбинированных перевозках Европейской конференции министров транспорта (ЕКМТ), принятой ЕКМТ в Бухаресте в 2002 году (CEMT/CM (2002)3/</w:t>
      </w:r>
      <w:proofErr w:type="spellStart"/>
      <w:r>
        <w:t>Final</w:t>
      </w:r>
      <w:proofErr w:type="spellEnd"/>
      <w:r>
        <w:t xml:space="preserve">), и обеспечивает форум для обмена передовым опытом и моделями партнерства для интермодальных транспортных операций (автомобильный, железнодорожный, внутренний водный транспорт и каботажное судоходство); </w:t>
      </w:r>
    </w:p>
    <w:p w14:paraId="6A891B05" w14:textId="77777777" w:rsidR="002D7774" w:rsidRPr="005E0F79" w:rsidRDefault="002D7774" w:rsidP="002D7774">
      <w:pPr>
        <w:pStyle w:val="SingleTxtG"/>
        <w:ind w:firstLine="567"/>
      </w:pPr>
      <w:r>
        <w:lastRenderedPageBreak/>
        <w:t>d)</w:t>
      </w:r>
      <w:r>
        <w:tab/>
        <w:t xml:space="preserve">обсуждает и анализирует технические, институциональные и стратегические аспекты и возникающие проблемы в области эффективных интермодальных перевозок; </w:t>
      </w:r>
    </w:p>
    <w:p w14:paraId="28DE91F1" w14:textId="77777777" w:rsidR="002D7774" w:rsidRPr="005E0F79" w:rsidRDefault="002D7774" w:rsidP="002D7774">
      <w:pPr>
        <w:pStyle w:val="SingleTxtG"/>
        <w:ind w:firstLine="567"/>
      </w:pPr>
      <w:r>
        <w:t>e)</w:t>
      </w:r>
      <w:r>
        <w:tab/>
        <w:t xml:space="preserve">продолжает анализ организации интермодальных транспортных услуг на межрегиональных железнодорожных линиях между Европой и Азией; </w:t>
      </w:r>
    </w:p>
    <w:p w14:paraId="7D919F71" w14:textId="78610173" w:rsidR="002D7774" w:rsidRPr="005909A4" w:rsidRDefault="002D7774" w:rsidP="002D7774">
      <w:pPr>
        <w:pStyle w:val="SingleTxtG"/>
        <w:ind w:firstLine="567"/>
      </w:pPr>
      <w:r>
        <w:t>f)</w:t>
      </w:r>
      <w:r>
        <w:tab/>
        <w:t xml:space="preserve">осуществляет мониторинг и обмен передовой практикой в области новых концепций, конструкции, веса и габаритов грузовых единиц, используемых в интермодальных перевозках, в соответствии с резолюцией № 241, принятой Комитетом по внутреннему транспорту 5 февраля 1993 года, и изучает возможности стандартизации грузовых единиц и их соответствие требованиям безопасности; </w:t>
      </w:r>
    </w:p>
    <w:p w14:paraId="569EAA89" w14:textId="77777777" w:rsidR="002D7774" w:rsidRPr="005E0F79" w:rsidRDefault="002D7774" w:rsidP="002D7774">
      <w:pPr>
        <w:pStyle w:val="SingleTxtG"/>
        <w:ind w:firstLine="567"/>
      </w:pPr>
      <w:r>
        <w:t>g)</w:t>
      </w:r>
      <w:r>
        <w:tab/>
        <w:t xml:space="preserve">анализирует технические и организационные меры по оптимизации работы терминалов, погрузочно-разгрузочных операций и логистических процедур, обеспечивающих эффективность затрат, связанных с обработкой грузовых единиц; </w:t>
      </w:r>
    </w:p>
    <w:p w14:paraId="2001269C" w14:textId="77777777" w:rsidR="002D7774" w:rsidRPr="005E0F79" w:rsidRDefault="002D7774" w:rsidP="002D7774">
      <w:pPr>
        <w:pStyle w:val="SingleTxtG"/>
        <w:ind w:firstLine="567"/>
      </w:pPr>
      <w:r>
        <w:t>h)</w:t>
      </w:r>
      <w:r>
        <w:tab/>
        <w:t xml:space="preserve">рассматривает возможности для увязки и согласования между собой режимов ответственности, регулирующих интермодальные транспортные операции, в общеевропейском контексте; </w:t>
      </w:r>
    </w:p>
    <w:p w14:paraId="6732E42B" w14:textId="77777777" w:rsidR="002D7774" w:rsidRPr="005909A4" w:rsidRDefault="002D7774" w:rsidP="002D7774">
      <w:pPr>
        <w:pStyle w:val="SingleTxtG"/>
        <w:ind w:firstLine="567"/>
      </w:pPr>
      <w:r>
        <w:t>i)</w:t>
      </w:r>
      <w:r>
        <w:tab/>
        <w:t xml:space="preserve">анализирует современные цепочки поставок для лучшего понимания моделей производства и распределения, для того чтобы обеспечить хорошую основу для лиц, принимающих решения в странах, касающиеся транспортного спроса, выбора вида транспорта, а также эффективных правил и инфраструктуры интермодальных перевозок с учетом требований безопасности и защищенности транспорта; </w:t>
      </w:r>
    </w:p>
    <w:p w14:paraId="266839FD" w14:textId="77777777" w:rsidR="002D7774" w:rsidRPr="005E0F79" w:rsidRDefault="002D7774" w:rsidP="002D7774">
      <w:pPr>
        <w:pStyle w:val="SingleTxtG"/>
        <w:ind w:firstLine="567"/>
      </w:pPr>
      <w:r>
        <w:t>j)</w:t>
      </w:r>
      <w:r>
        <w:tab/>
        <w:t xml:space="preserve">пересматривает и обновляет Руководство ИМО/МОТ/ЕЭК ООН по укладке грузов в интермодальные транспортные единицы. </w:t>
      </w:r>
    </w:p>
    <w:p w14:paraId="078555C3" w14:textId="77777777" w:rsidR="002D7774" w:rsidRPr="005E0F79" w:rsidRDefault="002D7774" w:rsidP="002D7774">
      <w:pPr>
        <w:pStyle w:val="SingleTxtG"/>
      </w:pPr>
      <w:r>
        <w:t>5.</w:t>
      </w:r>
      <w:r>
        <w:tab/>
        <w:t xml:space="preserve">При осуществлении своей деятельности WP.24 предлагает представителям региональных организаций экономической интеграции, межправительственных и неправительственных организаций участвовать в ее совещаниях в консультативном качестве при рассмотрении любого вопроса, представляющего для них особый интерес. </w:t>
      </w:r>
    </w:p>
    <w:p w14:paraId="2137CBD2" w14:textId="77777777" w:rsidR="002D7774" w:rsidRPr="005909A4" w:rsidRDefault="002D7774" w:rsidP="002D7774">
      <w:pPr>
        <w:pStyle w:val="SingleTxtG"/>
      </w:pPr>
      <w:r>
        <w:t>6.</w:t>
      </w:r>
      <w:r>
        <w:tab/>
        <w:t xml:space="preserve">WP.24 может также организовывать рабочие совещания, семинары или круглые столы в области своей компетенции и в поддержку своей конкретной деятельности. </w:t>
      </w:r>
    </w:p>
    <w:p w14:paraId="7492F0AE" w14:textId="60A717C4" w:rsidR="002D7774" w:rsidRPr="005909A4" w:rsidRDefault="002D7774" w:rsidP="002D7774">
      <w:pPr>
        <w:pStyle w:val="SingleTxtG"/>
      </w:pPr>
      <w:r>
        <w:t>7.</w:t>
      </w:r>
      <w:r>
        <w:tab/>
        <w:t xml:space="preserve">Наконец, WP.24 примет меры для обеспечения необходимого взаимодействия с другими органами Организации Объединенных Наций, в частности с родственными региональными комиссиями и специализированными учреждениями. Ей следует также тесно сотрудничать с родственными рабочими группами, т. е. с другими вспомогательными органами КВТ и другими органами ЕЭК по вопросам, представляющим общий интерес. </w:t>
      </w:r>
    </w:p>
    <w:p w14:paraId="442848A9" w14:textId="77777777" w:rsidR="002D7774" w:rsidRPr="005909A4" w:rsidRDefault="002D7774" w:rsidP="002D7774">
      <w:pPr>
        <w:suppressAutoHyphens w:val="0"/>
        <w:spacing w:line="240" w:lineRule="auto"/>
      </w:pPr>
      <w:r w:rsidRPr="005909A4">
        <w:br w:type="page"/>
      </w:r>
    </w:p>
    <w:p w14:paraId="58784233" w14:textId="77777777" w:rsidR="002D7774" w:rsidRPr="005E0F79" w:rsidRDefault="002D7774" w:rsidP="002D7774">
      <w:pPr>
        <w:pStyle w:val="HChG"/>
      </w:pPr>
      <w:r>
        <w:lastRenderedPageBreak/>
        <w:t>Приложение III</w:t>
      </w:r>
    </w:p>
    <w:p w14:paraId="18909152" w14:textId="70CCBB09" w:rsidR="002D7774" w:rsidRPr="005E0F79" w:rsidRDefault="002D7774" w:rsidP="002D7774">
      <w:pPr>
        <w:pStyle w:val="HChG"/>
      </w:pPr>
      <w:r>
        <w:tab/>
      </w:r>
      <w:r>
        <w:tab/>
        <w:t>Пересмотренный круг полномочий Рабочей группы</w:t>
      </w:r>
      <w:r>
        <w:br/>
        <w:t>по внутреннему водному транспорту</w:t>
      </w:r>
      <w:r w:rsidRPr="002D7774">
        <w:rPr>
          <w:rStyle w:val="aa"/>
          <w:b w:val="0"/>
          <w:bCs/>
          <w:szCs w:val="18"/>
        </w:rPr>
        <w:footnoteReference w:id="3"/>
      </w:r>
    </w:p>
    <w:p w14:paraId="7D23B4C0" w14:textId="77777777" w:rsidR="002D7774" w:rsidRPr="005E0F79" w:rsidRDefault="002D7774" w:rsidP="002D7774">
      <w:pPr>
        <w:pStyle w:val="SingleTxtG"/>
      </w:pPr>
      <w:r>
        <w:t>1.</w:t>
      </w:r>
      <w:r>
        <w:tab/>
        <w:t xml:space="preserve">Рабочая группа по внутреннему водному транспорту (SC.3) и ее вспомогательный орган, т. е. Рабочая группа по унификации технических предписаний и правил безопасности на внутренних водных путях (SC.3/WP.3), функционируют в рамках общего курса Организации Объединенных Наций и Европейской экономической комиссии (далее — ЕЭК), а также под общим наблюдением КВТ и в соответствии с Положением о круге ведения (КВ) ЕЭК (E/ECE/778/Rev.5). </w:t>
      </w:r>
    </w:p>
    <w:p w14:paraId="5DDA3245" w14:textId="77777777" w:rsidR="002D7774" w:rsidRPr="005E0F79" w:rsidRDefault="002D7774" w:rsidP="002D7774">
      <w:pPr>
        <w:pStyle w:val="SingleTxtG"/>
      </w:pPr>
      <w:r>
        <w:t>2.</w:t>
      </w:r>
      <w:r>
        <w:tab/>
        <w:t xml:space="preserve">SC.3 будет действовать в соответствии с Руководящими принципами создания и функционирования рабочих групп в рамках ЕЭК ООН, одобренными Исполнительным комитетом ЕЭК на его четвертом совещании 14 июля 2006 года (ECE/EX/1). Эти Руководящие принципы касаются ее статуса и характеристик, включая рассмотрение мандата и вопроса о его продлении каждые пять лет, членского состава и должностных лиц, методов работы и </w:t>
      </w:r>
      <w:proofErr w:type="spellStart"/>
      <w:r>
        <w:t>секретариатского</w:t>
      </w:r>
      <w:proofErr w:type="spellEnd"/>
      <w:r>
        <w:t xml:space="preserve"> обслуживания, обеспечиваемого Отделом устойчивого транспорта ЕЭК.</w:t>
      </w:r>
    </w:p>
    <w:p w14:paraId="16C7591C" w14:textId="6B34B8E1" w:rsidR="002D7774" w:rsidRPr="005909A4" w:rsidRDefault="002D7774" w:rsidP="002D7774">
      <w:pPr>
        <w:pStyle w:val="SingleTxtG"/>
      </w:pPr>
      <w:r>
        <w:t>3.</w:t>
      </w:r>
      <w:r>
        <w:tab/>
        <w:t>Поддерживая цель подпрограммы ЕЭК по устойчивому транспорту, которая заключается в облегчении международных пассажирских и грузовых перевозок разными видами внутреннего транспорта и повышении защищенности, экологичности, энергоэффективности и безопасности транспортного сектора до уровней, которые действительно способствуют обеспечению устойчивости транспорта, SC.3, при необходимости</w:t>
      </w:r>
      <w:r w:rsidR="006F3D91">
        <w:t>,</w:t>
      </w:r>
      <w:r>
        <w:t xml:space="preserve"> при содействии SC.3/WP.3 будет осуществлять деятельность, направленную на повышение устойчивости, экологичности и стойкости внутреннего водного транспорта к изменению климата. Эти мероприятия также направлены на поддержку реализации Стратегии КВТ до 2030 года, в частности в связи с такими задачами, как: a) обслуживание и администрирование правовых документов, относящихся к внутреннему водному транспорту, b) стимулирование и поддержка внедрения новых технологий и инноваций на внутреннем водном транспорте, c) содействие устойчивой региональной и межрегиональной внутренней транспортной связанности и мобильности, и d) поддержка мероприятий по наращиванию потенциала в отношении правовых документов, относящихся к компетенции КВТ, и резолюций, касающихся внутреннего водного транспорта (ВВТ).</w:t>
      </w:r>
    </w:p>
    <w:p w14:paraId="78B24B0E" w14:textId="77777777" w:rsidR="002D7774" w:rsidRPr="005E0F79" w:rsidRDefault="002D7774" w:rsidP="002D7774">
      <w:pPr>
        <w:pStyle w:val="SingleTxtG"/>
      </w:pPr>
      <w:bookmarkStart w:id="4" w:name="_Hlk89774017"/>
      <w:r>
        <w:t>4.</w:t>
      </w:r>
      <w:r>
        <w:tab/>
        <w:t>Учитывая этот общий контекст, SC.3, в частности, будет осуществлять следующую деятельность:</w:t>
      </w:r>
      <w:bookmarkEnd w:id="4"/>
    </w:p>
    <w:p w14:paraId="6AF647A7" w14:textId="77777777" w:rsidR="002D7774" w:rsidRPr="005E0F79" w:rsidRDefault="002D7774" w:rsidP="002D7774">
      <w:pPr>
        <w:pStyle w:val="H23G"/>
        <w:rPr>
          <w:i/>
        </w:rPr>
      </w:pPr>
      <w:r>
        <w:rPr>
          <w:bCs/>
        </w:rPr>
        <w:tab/>
        <w:t>1.</w:t>
      </w:r>
      <w:r>
        <w:tab/>
      </w:r>
      <w:r>
        <w:rPr>
          <w:bCs/>
        </w:rPr>
        <w:t>Организация общеевропейского стратегического диалога по проблемам внутреннего водного транспорта</w:t>
      </w:r>
    </w:p>
    <w:p w14:paraId="0527BD58" w14:textId="12DA93E2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О</w:t>
      </w:r>
      <w:r>
        <w:t>беспечивать всеобщий и репрезентативный форум для обмена опытом и примерами оптимальной практики и разработки руководящих принципов решения проблем, связанных с развитием внутреннего водного транспорта (ВВТ);</w:t>
      </w:r>
    </w:p>
    <w:p w14:paraId="60978D31" w14:textId="288115D1" w:rsidR="002D7774" w:rsidRPr="005909A4" w:rsidRDefault="002D7774" w:rsidP="002D7774">
      <w:pPr>
        <w:pStyle w:val="SingleTxtG"/>
      </w:pPr>
      <w:r>
        <w:tab/>
        <w:t>b)</w:t>
      </w:r>
      <w:r>
        <w:tab/>
        <w:t>подготавливать исследования о положении и тенденциях во внутреннем судоходстве в целях ознакомления правительств с основной новейшей информацией и данными о внутреннем водном транспорте;</w:t>
      </w:r>
    </w:p>
    <w:p w14:paraId="311081CB" w14:textId="7B2EAD4B" w:rsidR="002D7774" w:rsidRPr="005E0F79" w:rsidRDefault="002D7774" w:rsidP="002D7774">
      <w:pPr>
        <w:pStyle w:val="SingleTxtG"/>
      </w:pPr>
      <w:r>
        <w:tab/>
        <w:t>c)</w:t>
      </w:r>
      <w:r>
        <w:tab/>
        <w:t>регулярно обновлять стратегию и публиковать стратегические документы (белые книги, перечни препятствий и т. д.) по ВВТ с целью обеспечения устойчивости ВВТ и его скоординированного развития, повышения наглядности и доступности документов ЕЭК по ВВТ.</w:t>
      </w:r>
    </w:p>
    <w:p w14:paraId="61501F49" w14:textId="77777777" w:rsidR="002D7774" w:rsidRPr="005909A4" w:rsidRDefault="002D7774" w:rsidP="002D7774">
      <w:pPr>
        <w:pStyle w:val="H23G"/>
        <w:rPr>
          <w:i/>
        </w:rPr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Содействие скоординированным усилиям по развитию современной, надежной и стабильной инфраструктуры сети водных путей категории Е</w:t>
      </w:r>
    </w:p>
    <w:p w14:paraId="59CD2BDA" w14:textId="3E44F11A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О</w:t>
      </w:r>
      <w:r>
        <w:t>существлять мониторинг, обзор и обновление Европейского соглашения о важнейших внутренних водных путях международного значения (СМВП), принимать поправки к перечням внутренних водных путей и портов, содержащимся в приложениях к СМВП, и содействовать присоединению к Соглашению;</w:t>
      </w:r>
    </w:p>
    <w:p w14:paraId="2F183F76" w14:textId="49764CD6" w:rsidR="002D7774" w:rsidRPr="005E0F79" w:rsidRDefault="002D7774" w:rsidP="002D7774">
      <w:pPr>
        <w:pStyle w:val="SingleTxtG"/>
      </w:pPr>
      <w:r>
        <w:tab/>
        <w:t>b)</w:t>
      </w:r>
      <w:r>
        <w:tab/>
        <w:t>продолжать укреплять механизм мониторинга для обзора и обновления развития сети водных путей E, в частности путем ведения и обновления Перечня основных стандартов и параметров сети водных путей категории Е («Синяя книга»), базы данных ГИС по сети внутренних водных путей категории Е (база данных «Синей книги»), классификации водных путей (резолюция № 30) и других соответствующих резолюций SC.3, карт и баз данных, содержащих регулярно обновляемую информацию о стандартах и параметрах водных путей и портов категории Е, на основе соответствующей существующей работы;</w:t>
      </w:r>
    </w:p>
    <w:p w14:paraId="50474F9C" w14:textId="66EDA0BC" w:rsidR="002D7774" w:rsidRPr="005909A4" w:rsidRDefault="002D7774" w:rsidP="002D7774">
      <w:pPr>
        <w:pStyle w:val="SingleTxtG"/>
      </w:pPr>
      <w:r>
        <w:tab/>
        <w:t>c)</w:t>
      </w:r>
      <w:r>
        <w:tab/>
        <w:t>вести перечень наиболее важных узких мест и недостающих звеньев на отдельных водных путях категории Е, пересекающих территорию более одного государства, являющегося договаривающейся стороной СМВП, на основе соответствующей существующей работы;</w:t>
      </w:r>
    </w:p>
    <w:p w14:paraId="5AC5E0EC" w14:textId="5A6E8602" w:rsidR="002D7774" w:rsidRPr="005E0F79" w:rsidRDefault="002D7774" w:rsidP="002D7774">
      <w:pPr>
        <w:pStyle w:val="SingleTxtG"/>
      </w:pPr>
      <w:r>
        <w:tab/>
        <w:t>d)</w:t>
      </w:r>
      <w:r>
        <w:tab/>
        <w:t>осуществлять мониторинг и поддержку текущих инфраструктурных проектов на европейских водных путях международного значения и обеспечивать форум для специальных комитетов и групп экспертов в целях дальнейшей координации и мониторинга развития сети водных путей категории Е.</w:t>
      </w:r>
    </w:p>
    <w:p w14:paraId="7452A1FC" w14:textId="761A5228" w:rsidR="002D7774" w:rsidRPr="005E0F79" w:rsidRDefault="002D7774" w:rsidP="002D7774">
      <w:pPr>
        <w:pStyle w:val="H23G"/>
        <w:rPr>
          <w:i/>
        </w:rPr>
      </w:pPr>
      <w:r>
        <w:rPr>
          <w:bCs/>
        </w:rPr>
        <w:tab/>
        <w:t>3.</w:t>
      </w:r>
      <w:r>
        <w:tab/>
      </w:r>
      <w:r>
        <w:rPr>
          <w:bCs/>
        </w:rPr>
        <w:t>Рассмотрение требований относительно безопасности и эксплуатационных предписаний во внутреннем судоходстве, стимулирование модернизации и экологизации флота и инфраструктуры</w:t>
      </w:r>
    </w:p>
    <w:p w14:paraId="211D421A" w14:textId="0400106E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О</w:t>
      </w:r>
      <w:r>
        <w:t>рганизовывать обмен мнениями по отдельным аспектам новых и усовершенствованных методов на ВВТ для их согласования в целях облегчения и стимулирования международных водных перевозок в Европе;</w:t>
      </w:r>
    </w:p>
    <w:p w14:paraId="7A7D952A" w14:textId="170C47AC" w:rsidR="002D7774" w:rsidRPr="005909A4" w:rsidRDefault="002D7774" w:rsidP="002D7774">
      <w:pPr>
        <w:pStyle w:val="SingleTxtG"/>
      </w:pPr>
      <w:r>
        <w:tab/>
        <w:t>b)</w:t>
      </w:r>
      <w:r>
        <w:tab/>
        <w:t xml:space="preserve">согласовывать и поддерживать правила внутреннего судоходства в Европе в целях обеспечения единообразных и </w:t>
      </w:r>
      <w:proofErr w:type="spellStart"/>
      <w:r>
        <w:t>международно</w:t>
      </w:r>
      <w:proofErr w:type="spellEnd"/>
      <w:r>
        <w:t xml:space="preserve"> признанных стандартов безопасности судоходства в рамках всей европейской сети внутренних водных путей с учетом стандартов других международных организаций;</w:t>
      </w:r>
    </w:p>
    <w:p w14:paraId="3ED07587" w14:textId="15C7CE53" w:rsidR="002D7774" w:rsidRPr="005909A4" w:rsidRDefault="002D7774" w:rsidP="002D7774">
      <w:pPr>
        <w:pStyle w:val="SingleTxtG"/>
      </w:pPr>
      <w:r>
        <w:tab/>
        <w:t>c)</w:t>
      </w:r>
      <w:r>
        <w:tab/>
        <w:t>согласовывать технические требования к судам внутреннего плавания и судам «река</w:t>
      </w:r>
      <w:r w:rsidR="00D3399B" w:rsidRPr="00D3399B">
        <w:t xml:space="preserve"> — </w:t>
      </w:r>
      <w:r>
        <w:t>море» в целях обеспечения высокого уровня безопасности плавания и практической пользы в рамках всей европейской сети внутренних водных путей;</w:t>
      </w:r>
    </w:p>
    <w:p w14:paraId="5E398CE4" w14:textId="50C5DC50" w:rsidR="002D7774" w:rsidRPr="005909A4" w:rsidRDefault="002D7774" w:rsidP="002D7774">
      <w:pPr>
        <w:pStyle w:val="SingleTxtG"/>
      </w:pPr>
      <w:r>
        <w:tab/>
        <w:t>d)</w:t>
      </w:r>
      <w:r>
        <w:tab/>
        <w:t>координировать и поддерживать меры, направленные на модернизацию и экологизацию судов внутреннего плавания на общеевропейском уровне;</w:t>
      </w:r>
    </w:p>
    <w:p w14:paraId="60DEE04A" w14:textId="51A1D256" w:rsidR="002D7774" w:rsidRPr="005909A4" w:rsidRDefault="002D7774" w:rsidP="002D7774">
      <w:pPr>
        <w:pStyle w:val="SingleTxtG"/>
      </w:pPr>
      <w:r>
        <w:tab/>
        <w:t>e)</w:t>
      </w:r>
      <w:r>
        <w:tab/>
        <w:t>информировать государства — члены ЕЭК ООН о достижениях по вопросам взаимного признания удостоверений судоводителей, а также по другим вопросам, связанным с профессиональной квалификацией в области внутреннего судоходства;</w:t>
      </w:r>
    </w:p>
    <w:p w14:paraId="614F7270" w14:textId="480F0EF3" w:rsidR="002D7774" w:rsidRPr="005909A4" w:rsidRDefault="002D7774" w:rsidP="002D7774">
      <w:pPr>
        <w:pStyle w:val="SingleTxtG"/>
      </w:pPr>
      <w:r>
        <w:tab/>
        <w:t>f)</w:t>
      </w:r>
      <w:r>
        <w:tab/>
        <w:t>содействовать использованию интеллектуальных коммуникационных и транспортных систем во внутреннем судоходстве, включая речные информационные службы (РИС), и обеспечивать форум для обмена информацией об изменениях и передовой практике, облегчать и поощрять гармонизацию и сотрудничество в этой области на общеевропейском уровне;</w:t>
      </w:r>
    </w:p>
    <w:p w14:paraId="3FE620AF" w14:textId="04BD54BA" w:rsidR="002D7774" w:rsidRPr="005E0F79" w:rsidRDefault="002D7774" w:rsidP="002D7774">
      <w:pPr>
        <w:pStyle w:val="SingleTxtG"/>
      </w:pPr>
      <w:r>
        <w:tab/>
        <w:t>g)</w:t>
      </w:r>
      <w:r>
        <w:tab/>
        <w:t>содействовать развитию и обеспечению безопасности прогулочного судоходства, водного туризма и связанных с этим вопросов, вести базу данных образцов Международного удостоверения на право управления прогулочным судном.</w:t>
      </w:r>
    </w:p>
    <w:p w14:paraId="7A80A5EC" w14:textId="77777777" w:rsidR="002D7774" w:rsidRPr="005909A4" w:rsidRDefault="002D7774" w:rsidP="002D7774">
      <w:pPr>
        <w:pStyle w:val="H23G"/>
        <w:rPr>
          <w:i/>
        </w:rPr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Содействие интеграции ВВТ в мультимодальные транспортные цепи, автоматизация, цифровизация и другие инновации</w:t>
      </w:r>
    </w:p>
    <w:p w14:paraId="346A5276" w14:textId="6A57744E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П</w:t>
      </w:r>
      <w:r>
        <w:t xml:space="preserve">оддерживать деятельность по развитию конкретных маршрутов </w:t>
      </w:r>
      <w:r>
        <w:br/>
        <w:t>«река — море» в контексте СМВП;</w:t>
      </w:r>
    </w:p>
    <w:p w14:paraId="6DEA38EE" w14:textId="289CAC4D" w:rsidR="002D7774" w:rsidRPr="005909A4" w:rsidRDefault="002D7774" w:rsidP="002D7774">
      <w:pPr>
        <w:pStyle w:val="SingleTxtG"/>
      </w:pPr>
      <w:r>
        <w:tab/>
        <w:t>b)</w:t>
      </w:r>
      <w:r>
        <w:tab/>
        <w:t>продолжать работу по согласованию приложений к Протоколу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 c приложениями к СМВП и способствовать развитию евро-азиатских транспортных связей;</w:t>
      </w:r>
    </w:p>
    <w:p w14:paraId="4D96E7EA" w14:textId="49EA16DD" w:rsidR="002D7774" w:rsidRPr="005909A4" w:rsidRDefault="002D7774" w:rsidP="002D7774">
      <w:pPr>
        <w:pStyle w:val="SingleTxtG"/>
      </w:pPr>
      <w:r>
        <w:tab/>
        <w:t>c)</w:t>
      </w:r>
      <w:r>
        <w:tab/>
        <w:t>обеспечить представительный форум для обмена опытом и передовой практикой содействия интеграции ВВТ в мультимодальные транспортные цепи;</w:t>
      </w:r>
    </w:p>
    <w:p w14:paraId="314BD3C0" w14:textId="347BF5D3" w:rsidR="002D7774" w:rsidRPr="005909A4" w:rsidRDefault="002D7774" w:rsidP="002D7774">
      <w:pPr>
        <w:pStyle w:val="SingleTxtG"/>
      </w:pPr>
      <w:r>
        <w:tab/>
        <w:t>d)</w:t>
      </w:r>
      <w:r>
        <w:tab/>
        <w:t>укреплять международное сотрудничество в целях создания международной законодательной основы для внедрения автоматизации во внутреннем судоходстве;</w:t>
      </w:r>
    </w:p>
    <w:p w14:paraId="45073B20" w14:textId="3579A6FB" w:rsidR="002D7774" w:rsidRPr="00955495" w:rsidRDefault="002D7774" w:rsidP="002D7774">
      <w:pPr>
        <w:pStyle w:val="SingleTxtG"/>
      </w:pPr>
      <w:r>
        <w:tab/>
        <w:t>e)</w:t>
      </w:r>
      <w:r>
        <w:tab/>
        <w:t>обеспечить представительный форум для обмена передовым опытом по последним разработкам в области автоматизации, цифровизации и других инноваций на ВВТ</w:t>
      </w:r>
      <w:r w:rsidR="00955495">
        <w:t>.</w:t>
      </w:r>
    </w:p>
    <w:p w14:paraId="41741450" w14:textId="3C819AC7" w:rsidR="002D7774" w:rsidRPr="005E0F79" w:rsidRDefault="002D7774" w:rsidP="002D7774">
      <w:pPr>
        <w:pStyle w:val="H23G"/>
        <w:rPr>
          <w:i/>
        </w:rPr>
      </w:pPr>
      <w:r>
        <w:rPr>
          <w:bCs/>
        </w:rPr>
        <w:tab/>
        <w:t>5.</w:t>
      </w:r>
      <w:r>
        <w:tab/>
      </w:r>
      <w:r>
        <w:rPr>
          <w:bCs/>
        </w:rPr>
        <w:t>Содействие предотвращению загрязнения с судов и устойчивость сектора к изменениям климата</w:t>
      </w:r>
    </w:p>
    <w:p w14:paraId="1D3C2B2A" w14:textId="214EFB25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С</w:t>
      </w:r>
      <w:r>
        <w:t>пособствовать развитию гармонизированной общеевропейской правовой основы для управления отходами, образующимися в результате эксплуатации судов, обновлять технические предписания по предотвращению загрязнения судами внутреннего плавания с учетом стандартов других международных организаций и перечень приемных сооружений для сбора отходов, образующихся на борту судов, имеющихся на сети водных путей категории E;</w:t>
      </w:r>
    </w:p>
    <w:p w14:paraId="2850A587" w14:textId="45054501" w:rsidR="002D7774" w:rsidRPr="005909A4" w:rsidRDefault="002D7774" w:rsidP="002D7774">
      <w:pPr>
        <w:pStyle w:val="SingleTxtG"/>
      </w:pPr>
      <w:r>
        <w:tab/>
        <w:t>b)</w:t>
      </w:r>
      <w:r>
        <w:tab/>
        <w:t>обмениваться передовым опытом и поддерживать программы, экспериментальные разработки и меры, направленные на модернизацию и экологизацию флота, использование новых и усовершенствованных типов судов, движительных комплексов с низким и нулевым уровнем выбросов, а также осуществлять мониторинг их реализации;</w:t>
      </w:r>
    </w:p>
    <w:p w14:paraId="38EAF985" w14:textId="763510C0" w:rsidR="002D7774" w:rsidRPr="005909A4" w:rsidRDefault="002D7774" w:rsidP="002D7774">
      <w:pPr>
        <w:pStyle w:val="SingleTxtG"/>
      </w:pPr>
      <w:r>
        <w:tab/>
        <w:t>c)</w:t>
      </w:r>
      <w:r>
        <w:tab/>
        <w:t>обеспечить представительный форум для обмена информацией и передовой практикой по последствиям изменения климата для ВВТ и оказания помощи государствам-участникам в их деятельности по повышению устойчивости ВВТ к изменениям климата;</w:t>
      </w:r>
    </w:p>
    <w:p w14:paraId="2973361D" w14:textId="6CD08A56" w:rsidR="002D7774" w:rsidRPr="005E0F79" w:rsidRDefault="002D7774" w:rsidP="002D7774">
      <w:pPr>
        <w:pStyle w:val="SingleTxtG"/>
      </w:pPr>
      <w:r>
        <w:tab/>
        <w:t>d)</w:t>
      </w:r>
      <w:r>
        <w:tab/>
        <w:t>содействовать внедрению принципов циклической экономики на внутренних водных путях и обеспечить представительный форум для обмена опытом и передовой практикой в этой области.</w:t>
      </w:r>
    </w:p>
    <w:p w14:paraId="43EFC55C" w14:textId="77777777" w:rsidR="002D7774" w:rsidRPr="005E0F79" w:rsidRDefault="002D7774" w:rsidP="002D7774">
      <w:pPr>
        <w:pStyle w:val="H23G"/>
        <w:rPr>
          <w:i/>
        </w:rPr>
      </w:pPr>
      <w:r>
        <w:rPr>
          <w:bCs/>
        </w:rPr>
        <w:tab/>
        <w:t>6.</w:t>
      </w:r>
      <w:r>
        <w:tab/>
      </w:r>
      <w:r>
        <w:rPr>
          <w:bCs/>
        </w:rPr>
        <w:t>Содействие гармонизации международной правовой основы для перевозок ВВТ</w:t>
      </w:r>
    </w:p>
    <w:p w14:paraId="6073378E" w14:textId="64CBFA35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С</w:t>
      </w:r>
      <w:r>
        <w:t>одействовать применению существующих конвенций ЕЭК ООН по внутреннему судоходству, следить за их реализацией и обсуждать меры повышения их эффективности и привлекательности для других государств — членов ЕЭК, а также государств — членов Организации Объединенных Наций;</w:t>
      </w:r>
    </w:p>
    <w:p w14:paraId="3F273A52" w14:textId="24B9507A" w:rsidR="002D7774" w:rsidRPr="005E0F79" w:rsidRDefault="002D7774" w:rsidP="002D7774">
      <w:pPr>
        <w:pStyle w:val="SingleTxtG"/>
      </w:pPr>
      <w:r>
        <w:tab/>
        <w:t>b)</w:t>
      </w:r>
      <w:r>
        <w:tab/>
        <w:t>проводить другие мероприятия, направленные на дальнейшее согласование и упрощение международной правовой основы, регулирующей функционирование ВВТ.</w:t>
      </w:r>
    </w:p>
    <w:p w14:paraId="5EF53FAB" w14:textId="6657EA98" w:rsidR="002D7774" w:rsidRPr="005E0F79" w:rsidRDefault="002D7774" w:rsidP="002D7774">
      <w:pPr>
        <w:pStyle w:val="H23G"/>
        <w:rPr>
          <w:i/>
        </w:rPr>
      </w:pPr>
      <w:r>
        <w:rPr>
          <w:bCs/>
        </w:rPr>
        <w:tab/>
        <w:t>7.</w:t>
      </w:r>
      <w:r>
        <w:tab/>
      </w:r>
      <w:r>
        <w:rPr>
          <w:bCs/>
        </w:rPr>
        <w:t>Осуществление другой деятельности, которая связана с региональным и международным сотрудничеством либо которую просит предпринять Комитет по внутреннему транспорту ЕЭК</w:t>
      </w:r>
    </w:p>
    <w:p w14:paraId="019861D6" w14:textId="4EAF3762" w:rsidR="002D7774" w:rsidRPr="005909A4" w:rsidRDefault="002D7774" w:rsidP="002D7774">
      <w:pPr>
        <w:pStyle w:val="SingleTxtG"/>
      </w:pPr>
      <w:r>
        <w:tab/>
        <w:t>a)</w:t>
      </w:r>
      <w:r>
        <w:tab/>
      </w:r>
      <w:r w:rsidR="00955495">
        <w:t>С</w:t>
      </w:r>
      <w:r>
        <w:t xml:space="preserve">отрудничать с региональными организациями экономической интеграции, межправительственными и неправительственными организациями и </w:t>
      </w:r>
      <w:r>
        <w:lastRenderedPageBreak/>
        <w:t>другими региональными комиссиями и приглашать их представителей для участия в ее совещаниях с консультативным статусом при рассмотрении любого вопроса, представляющего для них особый интерес;</w:t>
      </w:r>
    </w:p>
    <w:p w14:paraId="4DEDF2A2" w14:textId="1EDF4C60" w:rsidR="002D7774" w:rsidRPr="005909A4" w:rsidRDefault="002D7774" w:rsidP="002D7774">
      <w:pPr>
        <w:pStyle w:val="SingleTxtG"/>
      </w:pPr>
      <w:r>
        <w:tab/>
        <w:t>b)</w:t>
      </w:r>
      <w:r>
        <w:tab/>
        <w:t>предпринимать другие действия, направленные на облегчение использования ВВТ, в соответствии с рекомендациями, изложенными в Белой книге ЕЭК по развитию, достижениям и будущему устойчивого внутреннего водного транспорта (ECE/TRANS/279);</w:t>
      </w:r>
    </w:p>
    <w:p w14:paraId="3C820AEB" w14:textId="7781C022" w:rsidR="002D7774" w:rsidRPr="005E0F79" w:rsidRDefault="002D7774" w:rsidP="002D7774">
      <w:pPr>
        <w:pStyle w:val="SingleTxtG"/>
      </w:pPr>
      <w:r>
        <w:tab/>
        <w:t>c)</w:t>
      </w:r>
      <w:r>
        <w:tab/>
        <w:t>устанавливать рабочие контакты с речными комиссиями и администрациями речных бассейнов и по их запросу способствовать пониманию международных конвенций и соглашений, входящих в компетенцию КВТ, которые имеют отношение к ВВТ;</w:t>
      </w:r>
    </w:p>
    <w:p w14:paraId="63E9A50C" w14:textId="3776798A" w:rsidR="002D7774" w:rsidRPr="005909A4" w:rsidRDefault="002D7774" w:rsidP="002D7774">
      <w:pPr>
        <w:pStyle w:val="SingleTxtG"/>
      </w:pPr>
      <w:r>
        <w:tab/>
        <w:t>d)</w:t>
      </w:r>
      <w:r>
        <w:tab/>
        <w:t>принимать меры для обеспечения необходимого взаимодействия с другими органами Организации Объединенных Наций, в частности с родственными региональными комиссиями и специализированными учреждениями</w:t>
      </w:r>
      <w:r w:rsidR="00955495">
        <w:t>;</w:t>
      </w:r>
    </w:p>
    <w:p w14:paraId="156DA8BC" w14:textId="01182393" w:rsidR="002D7774" w:rsidRPr="005909A4" w:rsidRDefault="002D7774" w:rsidP="002D7774">
      <w:pPr>
        <w:pStyle w:val="SingleTxtG"/>
      </w:pPr>
      <w:r>
        <w:tab/>
        <w:t>e)</w:t>
      </w:r>
      <w:r>
        <w:tab/>
        <w:t>тесно сотрудничать с другими вспомогательными органами КВТ и другими органами ЕЭК по вопросам, представляющим общий интерес;</w:t>
      </w:r>
    </w:p>
    <w:p w14:paraId="2AEEF2F0" w14:textId="16196C69" w:rsidR="002D7774" w:rsidRPr="005909A4" w:rsidRDefault="002D7774" w:rsidP="002D7774">
      <w:pPr>
        <w:pStyle w:val="SingleTxtG"/>
      </w:pPr>
      <w:r>
        <w:tab/>
        <w:t>f)</w:t>
      </w:r>
      <w:r>
        <w:tab/>
        <w:t>организовывать рабочие совещания, круглые столы и другие мероприятия по наращиванию потенциала в области своей компетенции и в поддержку своей конкретной деятельности;</w:t>
      </w:r>
    </w:p>
    <w:p w14:paraId="2BEAB555" w14:textId="6860BFDA" w:rsidR="002D7774" w:rsidRPr="005E0F79" w:rsidRDefault="002D7774" w:rsidP="002D7774">
      <w:pPr>
        <w:pStyle w:val="SingleTxtG"/>
      </w:pPr>
      <w:r>
        <w:tab/>
        <w:t>g)</w:t>
      </w:r>
      <w:r>
        <w:tab/>
        <w:t xml:space="preserve">оказывать поддержку КВТ в решении таких </w:t>
      </w:r>
      <w:proofErr w:type="spellStart"/>
      <w:r>
        <w:t>межсекторальных</w:t>
      </w:r>
      <w:proofErr w:type="spellEnd"/>
      <w:r>
        <w:t xml:space="preserve"> проблем, как внутренний транспорт и безопасность, а также охрана окружающей среды, автоматизация, цифровизация и т. д.</w:t>
      </w:r>
    </w:p>
    <w:p w14:paraId="663B570B" w14:textId="77777777" w:rsidR="002D7774" w:rsidRPr="005E0F79" w:rsidRDefault="002D7774" w:rsidP="002D7774">
      <w:pPr>
        <w:suppressAutoHyphens w:val="0"/>
        <w:spacing w:line="240" w:lineRule="auto"/>
      </w:pPr>
      <w:r w:rsidRPr="005E0F79">
        <w:br w:type="page"/>
      </w:r>
    </w:p>
    <w:p w14:paraId="0D8720AF" w14:textId="77777777" w:rsidR="002D7774" w:rsidRPr="005E0F79" w:rsidRDefault="002D7774" w:rsidP="002D7774">
      <w:pPr>
        <w:pStyle w:val="HChG"/>
      </w:pPr>
      <w:r>
        <w:lastRenderedPageBreak/>
        <w:t>Приложение IV</w:t>
      </w:r>
    </w:p>
    <w:p w14:paraId="13FD8B54" w14:textId="1F0D9A4E" w:rsidR="002D7774" w:rsidRPr="005E0F79" w:rsidRDefault="002D7774" w:rsidP="002D7774">
      <w:pPr>
        <w:pStyle w:val="HChG"/>
      </w:pPr>
      <w:r>
        <w:tab/>
      </w:r>
      <w:r>
        <w:tab/>
      </w:r>
      <w:r>
        <w:tab/>
        <w:t xml:space="preserve">Круг ведения для Группы экспертов по введению в действие </w:t>
      </w:r>
      <w:proofErr w:type="spellStart"/>
      <w:r>
        <w:t>eCMR</w:t>
      </w:r>
      <w:proofErr w:type="spellEnd"/>
      <w:r w:rsidRPr="002D7774">
        <w:rPr>
          <w:rStyle w:val="aa"/>
          <w:b w:val="0"/>
          <w:bCs/>
          <w:szCs w:val="18"/>
        </w:rPr>
        <w:footnoteReference w:id="4"/>
      </w:r>
    </w:p>
    <w:p w14:paraId="00D6E060" w14:textId="77777777" w:rsidR="002D7774" w:rsidRPr="005E0F79" w:rsidRDefault="002D7774" w:rsidP="002D7774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14:paraId="4E6A6198" w14:textId="77777777" w:rsidR="002D7774" w:rsidRPr="005E0F79" w:rsidRDefault="002D7774" w:rsidP="002D777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622EF031" w14:textId="3A45B3D2" w:rsidR="002D7774" w:rsidRPr="005E0F79" w:rsidRDefault="002D7774" w:rsidP="002D7774">
      <w:pPr>
        <w:pStyle w:val="SingleTxtG"/>
      </w:pPr>
      <w:r>
        <w:t>1.</w:t>
      </w:r>
      <w:r>
        <w:tab/>
        <w:t xml:space="preserve">Данный документ содержит мандат и круг ведения новой Группы экспертов по введению в действие </w:t>
      </w:r>
      <w:proofErr w:type="spellStart"/>
      <w:r>
        <w:t>eCMR</w:t>
      </w:r>
      <w:proofErr w:type="spellEnd"/>
      <w:r>
        <w:t>. Рабочая группа по автомобильному транспорту (SC.1) на своей сто шестнадцатой сессии (Женева, 13</w:t>
      </w:r>
      <w:r w:rsidR="00955495">
        <w:t>–</w:t>
      </w:r>
      <w:r>
        <w:t>15 октября 2021 года) рекомендовала учредить новую Группу экспертов и приняла круг ведения, приведенный ниже. SC.1 поручила также секретариату представить круг ведения Комитету по внутреннему транспорту (КВТ) для утверждения на его следующей сессии в феврале 2022 года.</w:t>
      </w:r>
    </w:p>
    <w:p w14:paraId="3DC1634A" w14:textId="77777777" w:rsidR="002D7774" w:rsidRPr="005E0F79" w:rsidRDefault="002D7774" w:rsidP="002D777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Мандат</w:t>
      </w:r>
    </w:p>
    <w:p w14:paraId="3F0ADF68" w14:textId="77777777" w:rsidR="002D7774" w:rsidRPr="005909A4" w:rsidRDefault="002D7774" w:rsidP="002D7774">
      <w:pPr>
        <w:pStyle w:val="SingleTxtG"/>
      </w:pPr>
      <w:r>
        <w:t>2.</w:t>
      </w:r>
      <w:r>
        <w:tab/>
        <w:t xml:space="preserve">Группа экспертов по введению в действие </w:t>
      </w:r>
      <w:proofErr w:type="spellStart"/>
      <w:r>
        <w:t>eCMR</w:t>
      </w:r>
      <w:proofErr w:type="spellEnd"/>
      <w:r>
        <w:t xml:space="preserve"> обсудит и по возможности согласует требования статьи 5 Дополнительного протокола к КДПГ, включая цель/область применения, архитектуру высокого уровня и концептуальные спецификации для будущей среды, которая будет поддерживать заключение и обмен электронными накладными в соответствии с положениями КДПГ и Дополнительного протокола к ней. Такая работа должна также включать оценку влияния возможных сценариев реализации будущей среды </w:t>
      </w:r>
      <w:proofErr w:type="spellStart"/>
      <w:r>
        <w:t>eCMR</w:t>
      </w:r>
      <w:proofErr w:type="spellEnd"/>
      <w:r>
        <w:t xml:space="preserve">. </w:t>
      </w:r>
    </w:p>
    <w:p w14:paraId="1F29643D" w14:textId="1EF68275" w:rsidR="002D7774" w:rsidRPr="005E0F79" w:rsidRDefault="002D7774" w:rsidP="002D7774">
      <w:pPr>
        <w:pStyle w:val="SingleTxtG"/>
      </w:pPr>
      <w:r>
        <w:t>3.</w:t>
      </w:r>
      <w:r>
        <w:tab/>
        <w:t>С учетом сложности поставленных задач Группа экспертов учреждается на два года</w:t>
      </w:r>
      <w:r w:rsidR="000C2A0E">
        <w:t>:</w:t>
      </w:r>
      <w:r w:rsidR="00955495">
        <w:t xml:space="preserve"> </w:t>
      </w:r>
      <w:r>
        <w:t>2022–2023 годы.</w:t>
      </w:r>
    </w:p>
    <w:p w14:paraId="11F72844" w14:textId="77777777" w:rsidR="002D7774" w:rsidRPr="005E0F79" w:rsidRDefault="002D7774" w:rsidP="002D7774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Круг ведения</w:t>
      </w:r>
    </w:p>
    <w:p w14:paraId="51D083B5" w14:textId="77777777" w:rsidR="002D7774" w:rsidRPr="005E0F79" w:rsidRDefault="002D7774" w:rsidP="002D7774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Задачи</w:t>
      </w:r>
    </w:p>
    <w:p w14:paraId="475989C6" w14:textId="77777777" w:rsidR="002D7774" w:rsidRPr="005909A4" w:rsidRDefault="002D7774" w:rsidP="002D7774">
      <w:pPr>
        <w:pStyle w:val="SingleTxtG"/>
      </w:pPr>
      <w:r>
        <w:t>4.</w:t>
      </w:r>
      <w:r>
        <w:tab/>
        <w:t>Группе экспертов следует определить/описать, в частности (неисчерпывающий перечень):</w:t>
      </w:r>
    </w:p>
    <w:p w14:paraId="510754A9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 xml:space="preserve">область применения/цели будущей среды </w:t>
      </w:r>
      <w:proofErr w:type="spellStart"/>
      <w:r>
        <w:t>eCMR</w:t>
      </w:r>
      <w:proofErr w:type="spellEnd"/>
      <w:r>
        <w:t>;</w:t>
      </w:r>
    </w:p>
    <w:p w14:paraId="2147A82B" w14:textId="77777777" w:rsidR="002D7774" w:rsidRPr="00DA189F" w:rsidRDefault="002D7774" w:rsidP="002D7774">
      <w:pPr>
        <w:pStyle w:val="Bullet1G"/>
        <w:numPr>
          <w:ilvl w:val="0"/>
          <w:numId w:val="22"/>
        </w:numPr>
      </w:pPr>
      <w:r>
        <w:t xml:space="preserve">заинтересованные стороны среды </w:t>
      </w:r>
      <w:proofErr w:type="spellStart"/>
      <w:r>
        <w:t>eCMR</w:t>
      </w:r>
      <w:proofErr w:type="spellEnd"/>
      <w:r>
        <w:t xml:space="preserve">; </w:t>
      </w:r>
    </w:p>
    <w:p w14:paraId="550B4C1E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высокоуровневая архитектура будущей среды e-CMR;</w:t>
      </w:r>
    </w:p>
    <w:p w14:paraId="2D73F437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метод выдачи и передачи электронной накладной управомоченной стороне;</w:t>
      </w:r>
    </w:p>
    <w:p w14:paraId="546CA93D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подтверждение сохранения целостности электронной накладной;</w:t>
      </w:r>
    </w:p>
    <w:p w14:paraId="67A55908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способ, посредством которого сторона, обладающая правами, возникающими на основании электронной накладной, в состоянии продемонстрировать наличие такого права;</w:t>
      </w:r>
    </w:p>
    <w:p w14:paraId="4D5579DF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порядок направления подтверждения факта сдачи груза получателю;</w:t>
      </w:r>
    </w:p>
    <w:p w14:paraId="6331446A" w14:textId="77777777" w:rsidR="002D7774" w:rsidRPr="005909A4" w:rsidRDefault="002D7774" w:rsidP="002D7774">
      <w:pPr>
        <w:pStyle w:val="Bullet1G"/>
        <w:numPr>
          <w:ilvl w:val="0"/>
          <w:numId w:val="22"/>
        </w:numPr>
      </w:pPr>
      <w:r>
        <w:t>процедуры дополнения или изменения электронной накладной;</w:t>
      </w:r>
    </w:p>
    <w:p w14:paraId="741A7FA1" w14:textId="77777777" w:rsidR="002D7774" w:rsidRPr="005E0F79" w:rsidRDefault="002D7774" w:rsidP="002D7774">
      <w:pPr>
        <w:pStyle w:val="Bullet1G"/>
        <w:numPr>
          <w:ilvl w:val="0"/>
          <w:numId w:val="22"/>
        </w:numPr>
      </w:pPr>
      <w:r>
        <w:t>процедуры возможной замены электронной накладной, выданной с помощью других средств;</w:t>
      </w:r>
    </w:p>
    <w:p w14:paraId="379F3D9F" w14:textId="77777777" w:rsidR="002D7774" w:rsidRPr="00DA189F" w:rsidRDefault="002D7774" w:rsidP="002D7774">
      <w:pPr>
        <w:pStyle w:val="Bullet1G"/>
        <w:numPr>
          <w:ilvl w:val="0"/>
          <w:numId w:val="22"/>
        </w:numPr>
      </w:pPr>
      <w:r>
        <w:lastRenderedPageBreak/>
        <w:t xml:space="preserve">концептуальные спецификации; </w:t>
      </w:r>
    </w:p>
    <w:p w14:paraId="730BD998" w14:textId="77777777" w:rsidR="002D7774" w:rsidRPr="00DA189F" w:rsidRDefault="002D7774" w:rsidP="002D7774">
      <w:pPr>
        <w:pStyle w:val="Bullet1G"/>
        <w:numPr>
          <w:ilvl w:val="0"/>
          <w:numId w:val="22"/>
        </w:numPr>
      </w:pPr>
      <w:r>
        <w:t>оценка воздействия.</w:t>
      </w:r>
    </w:p>
    <w:p w14:paraId="28A79E72" w14:textId="77777777" w:rsidR="002D7774" w:rsidRPr="00DA189F" w:rsidRDefault="002D7774" w:rsidP="002D7774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Методы работы</w:t>
      </w:r>
      <w:r>
        <w:t xml:space="preserve"> </w:t>
      </w:r>
    </w:p>
    <w:p w14:paraId="41764991" w14:textId="77777777" w:rsidR="002D7774" w:rsidRPr="005E0F79" w:rsidRDefault="002D7774" w:rsidP="002D7774">
      <w:pPr>
        <w:pStyle w:val="SingleTxtG"/>
      </w:pPr>
      <w:r>
        <w:t>5.</w:t>
      </w:r>
      <w:r>
        <w:tab/>
        <w:t xml:space="preserve">Группа экспертов учреждается и будет функционировать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 года (ECE/EX/2/Rev.1). На своем первом совещании Группа экспертов утвердит план работы, в котором будут определены конкретные направления деятельности, а также график работы по каждому из них. </w:t>
      </w:r>
    </w:p>
    <w:p w14:paraId="71F10475" w14:textId="77777777" w:rsidR="002D7774" w:rsidRPr="005E0F79" w:rsidRDefault="002D7774" w:rsidP="002D7774">
      <w:pPr>
        <w:pStyle w:val="SingleTxtG"/>
      </w:pPr>
      <w:r>
        <w:t>6.</w:t>
      </w:r>
      <w:r>
        <w:tab/>
        <w:t xml:space="preserve">Ожидается, что Группа экспертов проведет не менее трех совещаний в течение 2022 года и трех совещаний в течение 2023 года до представления своего окончательного доклада на сто восемнадцатой сессии Рабочей группы по автомобильному транспорту в 2023 году. Эти совещания следует проводить во Дворце Наций в Женеве, за исключением совещаний, которые страны или партнерские организации будут принимать у себя. </w:t>
      </w:r>
    </w:p>
    <w:p w14:paraId="4644F2F7" w14:textId="77777777" w:rsidR="002D7774" w:rsidRPr="005E0F79" w:rsidRDefault="002D7774" w:rsidP="002D7774">
      <w:pPr>
        <w:pStyle w:val="SingleTxtG"/>
      </w:pPr>
      <w:r>
        <w:t>7.</w:t>
      </w:r>
      <w:r>
        <w:tab/>
        <w:t>Председатель Группы экспертов должен отчитываться о текущей работе на ежегодной сессии Рабочей группы по автомобильному транспорту.</w:t>
      </w:r>
    </w:p>
    <w:p w14:paraId="5E29CE50" w14:textId="77777777" w:rsidR="002D7774" w:rsidRPr="005E0F79" w:rsidRDefault="002D7774" w:rsidP="002D7774">
      <w:pPr>
        <w:pStyle w:val="SingleTxtG"/>
      </w:pPr>
      <w:r>
        <w:t>8.</w:t>
      </w:r>
      <w:r>
        <w:tab/>
        <w:t xml:space="preserve">Перевод документов и синхронный перевод для всех сессий Группы, проводимых во Дворце Наций в Женеве, на английский, русский и французский языки будут осуществляться силами ЕЭК.  </w:t>
      </w:r>
    </w:p>
    <w:p w14:paraId="04DCB213" w14:textId="4C0E8C37" w:rsidR="002D7774" w:rsidRPr="005E0F79" w:rsidRDefault="002D7774" w:rsidP="002D7774">
      <w:pPr>
        <w:pStyle w:val="SingleTxtG"/>
      </w:pPr>
      <w:r>
        <w:t>9.</w:t>
      </w:r>
      <w:r>
        <w:tab/>
        <w:t xml:space="preserve">Участие в работе Группы экспертов открыто для всех заинтересованных </w:t>
      </w:r>
      <w:r w:rsidR="00955495">
        <w:br/>
      </w:r>
      <w:r>
        <w:t>стран — членов Организации Объединенных Наций и экспертов. В ее работе предлагается принять участие заинтересованным межправительственным и неправительственным организациям, а также заинтересованным грузовым и транспортно-экспедиторским/транспортно-логистическим компаниям, которые могут высказывать свои экспертные мнения в соответствии с правилами и существующей практикой Организации Объединенных Наций.</w:t>
      </w:r>
    </w:p>
    <w:p w14:paraId="21A842AB" w14:textId="77777777" w:rsidR="002D7774" w:rsidRPr="005E0F79" w:rsidRDefault="002D7774" w:rsidP="002D7774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Секретариат</w:t>
      </w:r>
    </w:p>
    <w:p w14:paraId="0F87B21B" w14:textId="02D340F1" w:rsidR="002D7774" w:rsidRPr="005E0F79" w:rsidRDefault="002D7774" w:rsidP="002D7774">
      <w:pPr>
        <w:pStyle w:val="SingleTxtG"/>
      </w:pPr>
      <w:r>
        <w:t>10.</w:t>
      </w:r>
      <w:r>
        <w:tab/>
        <w:t xml:space="preserve">ЕЭК будет оказывать </w:t>
      </w:r>
      <w:proofErr w:type="spellStart"/>
      <w:r>
        <w:t>секретариатские</w:t>
      </w:r>
      <w:proofErr w:type="spellEnd"/>
      <w:r>
        <w:t xml:space="preserve"> услуги Группе экспертов и обеспечит тесное сотрудничество со всеми заинтересованными сторонами, включая секретариаты Рабочей группы по таможенным вопросам, связанным с транспортом (WP.30), и Международного союза автомобильного транспорта (МСАТ).</w:t>
      </w:r>
    </w:p>
    <w:p w14:paraId="63C874BF" w14:textId="77777777" w:rsidR="002D7774" w:rsidRPr="005E0F79" w:rsidRDefault="002D7774" w:rsidP="002D7774">
      <w:pPr>
        <w:suppressAutoHyphens w:val="0"/>
        <w:spacing w:line="240" w:lineRule="auto"/>
      </w:pPr>
      <w:r w:rsidRPr="005E0F79">
        <w:br w:type="page"/>
      </w:r>
    </w:p>
    <w:p w14:paraId="1C33B368" w14:textId="77777777" w:rsidR="002D7774" w:rsidRPr="005E0F79" w:rsidRDefault="002D7774" w:rsidP="002D7774">
      <w:pPr>
        <w:pStyle w:val="HChG"/>
      </w:pPr>
      <w:r>
        <w:lastRenderedPageBreak/>
        <w:t>Приложение V</w:t>
      </w:r>
    </w:p>
    <w:p w14:paraId="06766577" w14:textId="77777777" w:rsidR="002D7774" w:rsidRPr="002D7774" w:rsidRDefault="002D7774" w:rsidP="002D7774">
      <w:pPr>
        <w:pStyle w:val="HChG"/>
        <w:rPr>
          <w:b w:val="0"/>
          <w:bCs/>
          <w:sz w:val="18"/>
          <w:szCs w:val="18"/>
        </w:rPr>
      </w:pPr>
      <w:r>
        <w:tab/>
      </w:r>
      <w:r>
        <w:tab/>
        <w:t>Мандат и круг ведения Группы экспертов по модулю велосипедной инфраструктуры</w:t>
      </w:r>
      <w:r w:rsidRPr="002D7774">
        <w:rPr>
          <w:rStyle w:val="aa"/>
          <w:b w:val="0"/>
          <w:bCs/>
          <w:szCs w:val="18"/>
        </w:rPr>
        <w:footnoteReference w:id="5"/>
      </w:r>
    </w:p>
    <w:p w14:paraId="071F410E" w14:textId="77777777" w:rsidR="002D7774" w:rsidRPr="005E0F79" w:rsidRDefault="002D7774" w:rsidP="002D777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Мандат</w:t>
      </w:r>
    </w:p>
    <w:p w14:paraId="550F59C0" w14:textId="77777777" w:rsidR="002D7774" w:rsidRPr="005E0F79" w:rsidRDefault="002D7774" w:rsidP="002D7774">
      <w:pPr>
        <w:pStyle w:val="SingleTxtG"/>
      </w:pPr>
      <w:r>
        <w:t>1.</w:t>
      </w:r>
      <w:r>
        <w:tab/>
        <w:t>Группе экспертов по модулю велосипедной инфраструктуры (Группа экспертов) поручено содействовать разработке инфраструктурного модуля в тесном взаимодействии с Партнерством ОПТОСОЗ по поощрению велосипедного движения/активной мобильности в качестве вклада в реализацию Общеевропейского генерального плана стимулирования велосипедного движения, принятого на пятом совещании высокого уровня ОПТОСОЗ в Вене в мае 2021 года.</w:t>
      </w:r>
    </w:p>
    <w:p w14:paraId="48F30646" w14:textId="77777777" w:rsidR="002D7774" w:rsidRPr="005E0F79" w:rsidRDefault="002D7774" w:rsidP="002D7774">
      <w:pPr>
        <w:pStyle w:val="SingleTxtG"/>
      </w:pPr>
      <w:r>
        <w:t>2.</w:t>
      </w:r>
      <w:r>
        <w:tab/>
        <w:t>В рамках этих задач основной упор делается на:</w:t>
      </w:r>
    </w:p>
    <w:p w14:paraId="2E447802" w14:textId="77777777" w:rsidR="002D7774" w:rsidRPr="005E0F79" w:rsidRDefault="002D7774" w:rsidP="002D7774">
      <w:pPr>
        <w:pStyle w:val="SingleTxtG"/>
        <w:ind w:firstLine="567"/>
      </w:pPr>
      <w:r>
        <w:t>a)</w:t>
      </w:r>
      <w:r>
        <w:tab/>
        <w:t>сборе данных о национальных велосипедных сетях, анализе данных и предложении маршрутов ЕЭК на основе национальных маршрутов, входящих в велосипедную сеть Европейской экономической комиссии Организации Объединенных Наций; и</w:t>
      </w:r>
    </w:p>
    <w:p w14:paraId="13BCB0A2" w14:textId="77777777" w:rsidR="002D7774" w:rsidRPr="005E0F79" w:rsidRDefault="002D7774" w:rsidP="002D7774">
      <w:pPr>
        <w:pStyle w:val="SingleTxtG"/>
        <w:ind w:firstLine="567"/>
      </w:pPr>
      <w:r>
        <w:t>b)</w:t>
      </w:r>
      <w:r>
        <w:tab/>
        <w:t>разработке надлежащих определений для различных видов велосипедной инфраструктуры, а также новых дорожных знаков, которые — в дополнение к существующим знакам, предусмотренным Конвенцией о дорожных знаках и сигналах 1968 года, — должны использоваться для обозначения маршрутов.</w:t>
      </w:r>
    </w:p>
    <w:p w14:paraId="48D0EA67" w14:textId="77777777" w:rsidR="002D7774" w:rsidRPr="005E0F79" w:rsidRDefault="002D7774" w:rsidP="002D7774">
      <w:pPr>
        <w:pStyle w:val="SingleTxtG"/>
      </w:pPr>
      <w:r>
        <w:t>3.</w:t>
      </w:r>
      <w:r>
        <w:tab/>
        <w:t>Мандат предлагается на период 2022–2024 годов.</w:t>
      </w:r>
    </w:p>
    <w:p w14:paraId="11BD4A10" w14:textId="77777777" w:rsidR="002D7774" w:rsidRPr="005E0F79" w:rsidRDefault="002D7774" w:rsidP="002D777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Круг ведения</w:t>
      </w:r>
    </w:p>
    <w:p w14:paraId="25CEF6B8" w14:textId="77777777" w:rsidR="002D7774" w:rsidRPr="005E0F79" w:rsidRDefault="002D7774" w:rsidP="002D7774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Задачи</w:t>
      </w:r>
    </w:p>
    <w:p w14:paraId="0FDBBF72" w14:textId="77777777" w:rsidR="002D7774" w:rsidRPr="005E0F79" w:rsidRDefault="002D7774" w:rsidP="002D7774">
      <w:pPr>
        <w:pStyle w:val="SingleTxtG"/>
      </w:pPr>
      <w:r>
        <w:t>4.</w:t>
      </w:r>
      <w:r>
        <w:tab/>
        <w:t>В соответствии с принятым Генеральным планом стимулирования велосипедного движения Группа экспертов будет:</w:t>
      </w:r>
    </w:p>
    <w:p w14:paraId="7C4C40A4" w14:textId="77777777" w:rsidR="002D7774" w:rsidRPr="005E0F79" w:rsidRDefault="002D7774" w:rsidP="002D7774">
      <w:pPr>
        <w:pStyle w:val="SingleTxtG"/>
        <w:ind w:firstLine="567"/>
      </w:pPr>
      <w:r>
        <w:t>a)</w:t>
      </w:r>
      <w:r>
        <w:tab/>
        <w:t>служить платформой для сбора, интеграции и анализа поступающих от государств — членов ЕЭК данных о национальных велосипедных сетях;</w:t>
      </w:r>
    </w:p>
    <w:p w14:paraId="1458D7AE" w14:textId="77777777" w:rsidR="002D7774" w:rsidRPr="005E0F79" w:rsidRDefault="002D7774" w:rsidP="002D7774">
      <w:pPr>
        <w:pStyle w:val="SingleTxtG"/>
        <w:ind w:firstLine="567"/>
      </w:pPr>
      <w:r>
        <w:t>b)</w:t>
      </w:r>
      <w:r>
        <w:tab/>
        <w:t xml:space="preserve">предлагать международные велосипедные маршруты, которые войдут в велосипедную сеть ЕЭК; маршруты будут предлагаться исходя из данных о национальных сетях и результатов проведенного анализа, а также с учетом сети </w:t>
      </w:r>
      <w:proofErr w:type="spellStart"/>
      <w:r>
        <w:t>ЕвроВело</w:t>
      </w:r>
      <w:proofErr w:type="spellEnd"/>
      <w:r>
        <w:t>;</w:t>
      </w:r>
    </w:p>
    <w:p w14:paraId="2F56EAAE" w14:textId="77777777" w:rsidR="002D7774" w:rsidRPr="005E0F79" w:rsidRDefault="002D7774" w:rsidP="002D7774">
      <w:pPr>
        <w:pStyle w:val="SingleTxtG"/>
        <w:ind w:firstLine="567"/>
      </w:pPr>
      <w:r>
        <w:t>c)</w:t>
      </w:r>
      <w:r>
        <w:tab/>
        <w:t>работать на базе подготовленных к настоящему времени проектов определений, представленных в документе ECE/TRANS/WP.5/2021/6, и по мере необходимости совершенствовать их;</w:t>
      </w:r>
    </w:p>
    <w:p w14:paraId="3475DF17" w14:textId="77777777" w:rsidR="002D7774" w:rsidRPr="005E0F79" w:rsidRDefault="002D7774" w:rsidP="002D7774">
      <w:pPr>
        <w:pStyle w:val="SingleTxtG"/>
        <w:ind w:firstLine="567"/>
      </w:pPr>
      <w:r>
        <w:t>d)</w:t>
      </w:r>
      <w:r>
        <w:tab/>
        <w:t>обсуждать дорожные знаки, введенные недавно в некоторых странах ЕЭК для облегчения велосипедного движения, и предложить дорожные знаки, которые следует рассмотреть на предмет включения в Конвенцию о дорожных знаках и сигналах 1968 года; и</w:t>
      </w:r>
    </w:p>
    <w:p w14:paraId="28FC52F1" w14:textId="77777777" w:rsidR="002D7774" w:rsidRPr="005E0F79" w:rsidRDefault="002D7774" w:rsidP="002D7774">
      <w:pPr>
        <w:pStyle w:val="SingleTxtG"/>
        <w:ind w:firstLine="567"/>
      </w:pPr>
      <w:r>
        <w:t>e)</w:t>
      </w:r>
      <w:r>
        <w:tab/>
        <w:t>должна подготовить заключительный доклад о достигнутых результатах.</w:t>
      </w:r>
    </w:p>
    <w:p w14:paraId="7306BC5E" w14:textId="77777777" w:rsidR="002D7774" w:rsidRPr="005E0F79" w:rsidRDefault="002D7774" w:rsidP="002D7774">
      <w:pPr>
        <w:pStyle w:val="H1G"/>
      </w:pPr>
      <w:r>
        <w:rPr>
          <w:bCs/>
        </w:rPr>
        <w:lastRenderedPageBreak/>
        <w:tab/>
        <w:t>B.</w:t>
      </w:r>
      <w:r>
        <w:tab/>
      </w:r>
      <w:r>
        <w:rPr>
          <w:bCs/>
        </w:rPr>
        <w:t>Методы работы</w:t>
      </w:r>
    </w:p>
    <w:p w14:paraId="647553AA" w14:textId="77777777" w:rsidR="002D7774" w:rsidRPr="005E0F79" w:rsidRDefault="002D7774" w:rsidP="002D7774">
      <w:pPr>
        <w:pStyle w:val="SingleTxtG"/>
      </w:pPr>
      <w:r>
        <w:t>5.</w:t>
      </w:r>
      <w:r>
        <w:tab/>
        <w:t>Группа экспертов учреждается и будет функционировать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 года (ECE/EX/2/Rev.1).</w:t>
      </w:r>
    </w:p>
    <w:p w14:paraId="041781CB" w14:textId="77777777" w:rsidR="002D7774" w:rsidRPr="005E0F79" w:rsidRDefault="002D7774" w:rsidP="002D7774">
      <w:pPr>
        <w:pStyle w:val="SingleTxtG"/>
      </w:pPr>
      <w:r>
        <w:t>6.</w:t>
      </w:r>
      <w:r>
        <w:tab/>
        <w:t>Ожидается, что Группа экспертов будет проводить свои совещания не реже одного раза в четыре–пять месяцев. Эти совещания следует проводить во Дворце Наций в Женеве, за исключением совещаний, которые страны или партнерские организации будут принимать у себя.</w:t>
      </w:r>
    </w:p>
    <w:p w14:paraId="14DB04D7" w14:textId="77777777" w:rsidR="002D7774" w:rsidRPr="005E0F79" w:rsidRDefault="002D7774" w:rsidP="002D7774">
      <w:pPr>
        <w:pStyle w:val="SingleTxtG"/>
      </w:pPr>
      <w:r>
        <w:t>7.</w:t>
      </w:r>
      <w:r>
        <w:tab/>
        <w:t>Председателю Группы экспертов следует представлять доклад о текущей работе на ежегодной сессии WP.5, а на сессии, запланированной на сентябрь 2024 года, должен быть представлен заключительный доклад. Надлежит подготовить дополнительный доклад для Глобального форума по безопасности дорожного движения (WP.1) о проделанной работе, касающейся определений различных видов велосипедной инфраструктуры, а также дорожных знаков.</w:t>
      </w:r>
    </w:p>
    <w:p w14:paraId="31557982" w14:textId="77777777" w:rsidR="002D7774" w:rsidRPr="005E0F79" w:rsidRDefault="002D7774" w:rsidP="002D7774">
      <w:pPr>
        <w:pStyle w:val="SingleTxtG"/>
      </w:pPr>
      <w:r>
        <w:t>8.</w:t>
      </w:r>
      <w:r>
        <w:tab/>
        <w:t>Группа экспертов будет выполнять свои задачи в тесном сотрудничестве с Партнерством ОПТОСОЗ по стимулированию велосипедного движения/активной мобильности, внося свой вклад в реализацию Общеевропейского генерального плана стимулирования велосипедного движения. Председатель Группы экспертов будет участвовать в совещаниях Партнерства ОПТОСОЗ по стимулированию велосипедного движения/активной мобильности и отчитываться о проделанной работе, а также по запросу отчитываться о проделанной работе перед Руководящим комитетом ОПТОСОЗ, а представитель Партнерства ОПТОСОЗ по стимулированию велосипедного движения/активной мобильности, в свою очередь, будет участвовать в работе Группы экспертов.</w:t>
      </w:r>
    </w:p>
    <w:p w14:paraId="37233C0E" w14:textId="77777777" w:rsidR="002D7774" w:rsidRPr="005E0F79" w:rsidRDefault="002D7774" w:rsidP="002D7774">
      <w:pPr>
        <w:pStyle w:val="SingleTxtG"/>
      </w:pPr>
      <w:r>
        <w:t>9.</w:t>
      </w:r>
      <w:r>
        <w:tab/>
        <w:t>Совещания следует проводить на официальных языках ЕЭК.</w:t>
      </w:r>
    </w:p>
    <w:p w14:paraId="5DC3B808" w14:textId="77777777" w:rsidR="002D7774" w:rsidRPr="005E0F79" w:rsidRDefault="002D7774" w:rsidP="002D7774">
      <w:pPr>
        <w:pStyle w:val="SingleTxtG"/>
      </w:pPr>
      <w:r>
        <w:t>10.</w:t>
      </w:r>
      <w:r>
        <w:tab/>
        <w:t>Участие в работе Группы экспертов открыто для всех стран — членов ЕЭК и экспертов. Участвовать в ее работе и высказывать свои экспертные мнения предлагается заинтересованным межправительственным и неправительственным организациям в соответствии с правилами и существующей практикой Организации Объединенных Наций.</w:t>
      </w:r>
    </w:p>
    <w:p w14:paraId="3877E7AB" w14:textId="77777777" w:rsidR="002D7774" w:rsidRPr="005909A4" w:rsidRDefault="002D7774" w:rsidP="002D7774">
      <w:pPr>
        <w:pStyle w:val="SingleTxtG"/>
      </w:pPr>
      <w:r>
        <w:t>11.</w:t>
      </w:r>
      <w:r>
        <w:tab/>
        <w:t xml:space="preserve">Группе экспертов следует обеспечить </w:t>
      </w:r>
      <w:proofErr w:type="spellStart"/>
      <w:r>
        <w:t>инклюзивность</w:t>
      </w:r>
      <w:proofErr w:type="spellEnd"/>
      <w:r>
        <w:t xml:space="preserve"> и активное участие в своей работе экспертов из всех стран — членов ЕЭК, и в частности из стран Восточной Европы, Кавказа и Центральной Азии.</w:t>
      </w:r>
    </w:p>
    <w:p w14:paraId="6AFF6003" w14:textId="77777777" w:rsidR="002D7774" w:rsidRPr="005E0F79" w:rsidRDefault="002D7774" w:rsidP="002D7774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Секретариат</w:t>
      </w:r>
    </w:p>
    <w:p w14:paraId="62134B93" w14:textId="46444958" w:rsidR="002D7774" w:rsidRPr="005E0F79" w:rsidRDefault="002D7774" w:rsidP="002D7774">
      <w:pPr>
        <w:pStyle w:val="SingleTxtG"/>
      </w:pPr>
      <w:r>
        <w:t>12.</w:t>
      </w:r>
      <w:r>
        <w:tab/>
        <w:t xml:space="preserve">ЕЭК будет обеспечивать </w:t>
      </w:r>
      <w:proofErr w:type="spellStart"/>
      <w:r>
        <w:t>секретариатское</w:t>
      </w:r>
      <w:proofErr w:type="spellEnd"/>
      <w:r>
        <w:t xml:space="preserve"> обслуживание Группы экспертов и тесное сотрудничество с обслуживающим ОПТОСОЗ совместным секретариатом </w:t>
      </w:r>
      <w:r w:rsidR="00955495">
        <w:br/>
      </w:r>
      <w:r>
        <w:t>ЕЭК</w:t>
      </w:r>
      <w:r w:rsidR="00955495">
        <w:t xml:space="preserve"> — </w:t>
      </w:r>
      <w:r>
        <w:t>ВОЗ/Европа.</w:t>
      </w:r>
    </w:p>
    <w:p w14:paraId="1947233E" w14:textId="77777777" w:rsidR="002D7774" w:rsidRPr="005E0F79" w:rsidRDefault="002D7774" w:rsidP="002D7774">
      <w:pPr>
        <w:spacing w:before="240"/>
        <w:jc w:val="center"/>
        <w:rPr>
          <w:u w:val="single"/>
        </w:rPr>
      </w:pPr>
      <w:r w:rsidRPr="005E0F79">
        <w:rPr>
          <w:u w:val="single"/>
        </w:rPr>
        <w:tab/>
      </w:r>
      <w:r w:rsidRPr="005E0F79">
        <w:rPr>
          <w:u w:val="single"/>
        </w:rPr>
        <w:tab/>
      </w:r>
      <w:r w:rsidRPr="005E0F79">
        <w:rPr>
          <w:u w:val="single"/>
        </w:rPr>
        <w:tab/>
      </w:r>
    </w:p>
    <w:p w14:paraId="4E14612B" w14:textId="77777777" w:rsidR="00E12C5F" w:rsidRPr="008D53B6" w:rsidRDefault="00E12C5F" w:rsidP="00D9145B"/>
    <w:sectPr w:rsidR="00E12C5F" w:rsidRPr="008D53B6" w:rsidSect="002D77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CCFB" w14:textId="77777777" w:rsidR="00070C01" w:rsidRPr="00A312BC" w:rsidRDefault="00070C01" w:rsidP="00A312BC"/>
  </w:endnote>
  <w:endnote w:type="continuationSeparator" w:id="0">
    <w:p w14:paraId="4997D578" w14:textId="77777777" w:rsidR="00070C01" w:rsidRPr="00A312BC" w:rsidRDefault="00070C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633E" w14:textId="77777777" w:rsidR="002D7774" w:rsidRPr="002D7774" w:rsidRDefault="002D7774">
    <w:pPr>
      <w:pStyle w:val="a8"/>
    </w:pPr>
    <w:r w:rsidRPr="002D7774">
      <w:rPr>
        <w:b/>
        <w:sz w:val="18"/>
      </w:rPr>
      <w:fldChar w:fldCharType="begin"/>
    </w:r>
    <w:r w:rsidRPr="002D7774">
      <w:rPr>
        <w:b/>
        <w:sz w:val="18"/>
      </w:rPr>
      <w:instrText xml:space="preserve"> PAGE  \* MERGEFORMAT </w:instrText>
    </w:r>
    <w:r w:rsidRPr="002D7774">
      <w:rPr>
        <w:b/>
        <w:sz w:val="18"/>
      </w:rPr>
      <w:fldChar w:fldCharType="separate"/>
    </w:r>
    <w:r w:rsidRPr="002D7774">
      <w:rPr>
        <w:b/>
        <w:noProof/>
        <w:sz w:val="18"/>
      </w:rPr>
      <w:t>2</w:t>
    </w:r>
    <w:r w:rsidRPr="002D7774">
      <w:rPr>
        <w:b/>
        <w:sz w:val="18"/>
      </w:rPr>
      <w:fldChar w:fldCharType="end"/>
    </w:r>
    <w:r>
      <w:rPr>
        <w:b/>
        <w:sz w:val="18"/>
      </w:rPr>
      <w:tab/>
    </w:r>
    <w:r>
      <w:t>GE.21-18486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5275" w14:textId="77777777" w:rsidR="002D7774" w:rsidRPr="002D7774" w:rsidRDefault="002D7774" w:rsidP="002D7774">
    <w:pPr>
      <w:pStyle w:val="a8"/>
      <w:tabs>
        <w:tab w:val="clear" w:pos="9639"/>
        <w:tab w:val="right" w:pos="9638"/>
      </w:tabs>
      <w:rPr>
        <w:b/>
        <w:sz w:val="18"/>
      </w:rPr>
    </w:pPr>
    <w:r>
      <w:t>GE.21-18486</w:t>
    </w:r>
    <w:r>
      <w:tab/>
    </w:r>
    <w:r w:rsidRPr="002D7774">
      <w:rPr>
        <w:b/>
        <w:sz w:val="18"/>
      </w:rPr>
      <w:fldChar w:fldCharType="begin"/>
    </w:r>
    <w:r w:rsidRPr="002D7774">
      <w:rPr>
        <w:b/>
        <w:sz w:val="18"/>
      </w:rPr>
      <w:instrText xml:space="preserve"> PAGE  \* MERGEFORMAT </w:instrText>
    </w:r>
    <w:r w:rsidRPr="002D7774">
      <w:rPr>
        <w:b/>
        <w:sz w:val="18"/>
      </w:rPr>
      <w:fldChar w:fldCharType="separate"/>
    </w:r>
    <w:r w:rsidRPr="002D7774">
      <w:rPr>
        <w:b/>
        <w:noProof/>
        <w:sz w:val="18"/>
      </w:rPr>
      <w:t>3</w:t>
    </w:r>
    <w:r w:rsidRPr="002D77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37A3" w14:textId="660CB909" w:rsidR="00042B72" w:rsidRPr="002D7774" w:rsidRDefault="002D7774" w:rsidP="002D777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3635AA" wp14:editId="41B580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21-18486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D467B0" wp14:editId="169A9A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291221  301221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C54B1" w14:textId="77777777" w:rsidR="00070C01" w:rsidRPr="001075E9" w:rsidRDefault="00070C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77B5B1" w14:textId="77777777" w:rsidR="00070C01" w:rsidRDefault="00070C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1FB705" w14:textId="10A7485B" w:rsidR="002D7774" w:rsidRPr="005E0F79" w:rsidRDefault="002D7774" w:rsidP="002D777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Воспроизведен на основе документа ECE/TRANS/</w:t>
      </w:r>
      <w:r w:rsidR="00F54D19">
        <w:rPr>
          <w:lang w:val="fr-CH"/>
        </w:rPr>
        <w:t>WP</w:t>
      </w:r>
      <w:r w:rsidR="00F54D19" w:rsidRPr="00F54D19">
        <w:t>.</w:t>
      </w:r>
      <w:r w:rsidR="00F54D19" w:rsidRPr="003C5984">
        <w:t>6</w:t>
      </w:r>
      <w:r>
        <w:t>/2021/3.</w:t>
      </w:r>
    </w:p>
  </w:footnote>
  <w:footnote w:id="2">
    <w:p w14:paraId="30BD2F2E" w14:textId="77777777" w:rsidR="002D7774" w:rsidRPr="005E0F79" w:rsidRDefault="002D7774" w:rsidP="002D7774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Воспроизведен с измененной нумерацией на основе документа ECE/TRANS/WP.24/149. </w:t>
      </w:r>
    </w:p>
  </w:footnote>
  <w:footnote w:id="3">
    <w:p w14:paraId="64C7D4EB" w14:textId="77777777" w:rsidR="002D7774" w:rsidRPr="005E0F79" w:rsidRDefault="002D7774" w:rsidP="002D777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Воспроизведен с измененной нумерацией на основе документа ECE/TRANS/SC.3/2021/13.</w:t>
      </w:r>
      <w:bookmarkStart w:id="3" w:name="_Hlk89773825"/>
    </w:p>
    <w:bookmarkEnd w:id="3"/>
  </w:footnote>
  <w:footnote w:id="4">
    <w:p w14:paraId="61403A13" w14:textId="77777777" w:rsidR="002D7774" w:rsidRPr="005E0F79" w:rsidRDefault="002D7774" w:rsidP="002D777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Воспроизведен на основе документа ECE/TRANS/SC.1/416.</w:t>
      </w:r>
      <w:bookmarkStart w:id="5" w:name="_Hlk89773878"/>
      <w:bookmarkEnd w:id="5"/>
    </w:p>
  </w:footnote>
  <w:footnote w:id="5">
    <w:p w14:paraId="7800CAA8" w14:textId="77777777" w:rsidR="002D7774" w:rsidRPr="005E0F79" w:rsidRDefault="002D7774" w:rsidP="002D777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Воспроизведен с измененной нумерацией на основе документа ECE/TRANS/WP.5/70.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27C7" w14:textId="65D45094" w:rsidR="002D7774" w:rsidRPr="002D7774" w:rsidRDefault="003C598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C3C9" w14:textId="10D7B6E0" w:rsidR="002D7774" w:rsidRPr="002D7774" w:rsidRDefault="003C5984" w:rsidP="002D77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3241"/>
    <w:multiLevelType w:val="hybridMultilevel"/>
    <w:tmpl w:val="EBB65B8A"/>
    <w:lvl w:ilvl="0" w:tplc="5DBA284A">
      <w:start w:val="2"/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4D5467"/>
    <w:multiLevelType w:val="hybridMultilevel"/>
    <w:tmpl w:val="745A2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01"/>
    <w:rsid w:val="00026745"/>
    <w:rsid w:val="00033EE1"/>
    <w:rsid w:val="00042B72"/>
    <w:rsid w:val="000558BD"/>
    <w:rsid w:val="00070C01"/>
    <w:rsid w:val="000B57E7"/>
    <w:rsid w:val="000B6373"/>
    <w:rsid w:val="000C2A0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77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98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3D91"/>
    <w:rsid w:val="007021FF"/>
    <w:rsid w:val="00712895"/>
    <w:rsid w:val="00734ACB"/>
    <w:rsid w:val="00757357"/>
    <w:rsid w:val="00792497"/>
    <w:rsid w:val="007D649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495"/>
    <w:rsid w:val="009608F3"/>
    <w:rsid w:val="009A24AC"/>
    <w:rsid w:val="009C59D7"/>
    <w:rsid w:val="009C6FE6"/>
    <w:rsid w:val="009D7E7D"/>
    <w:rsid w:val="00A14DA8"/>
    <w:rsid w:val="00A23533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2534"/>
    <w:rsid w:val="00CE5A1A"/>
    <w:rsid w:val="00CF55F6"/>
    <w:rsid w:val="00D3399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707A"/>
    <w:rsid w:val="00EA2C9F"/>
    <w:rsid w:val="00EA420E"/>
    <w:rsid w:val="00ED0BDA"/>
    <w:rsid w:val="00EE142A"/>
    <w:rsid w:val="00EF1360"/>
    <w:rsid w:val="00EF3220"/>
    <w:rsid w:val="00F2523A"/>
    <w:rsid w:val="00F43903"/>
    <w:rsid w:val="00F54D1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5E5A7"/>
  <w15:docId w15:val="{529440DB-2919-4F93-BFDC-BFA63F2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D777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D7774"/>
    <w:rPr>
      <w:lang w:val="ru-RU" w:eastAsia="en-US"/>
    </w:rPr>
  </w:style>
  <w:style w:type="character" w:customStyle="1" w:styleId="H1GChar">
    <w:name w:val="_ H_1_G Char"/>
    <w:link w:val="H1G"/>
    <w:rsid w:val="002D777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94970-E2C1-42D1-A603-89CCB6916E6C}"/>
</file>

<file path=customXml/itemProps2.xml><?xml version="1.0" encoding="utf-8"?>
<ds:datastoreItem xmlns:ds="http://schemas.openxmlformats.org/officeDocument/2006/customXml" ds:itemID="{E48C8F6C-5323-4BE5-A2BE-B01A7659A33F}"/>
</file>

<file path=customXml/itemProps3.xml><?xml version="1.0" encoding="utf-8"?>
<ds:datastoreItem xmlns:ds="http://schemas.openxmlformats.org/officeDocument/2006/customXml" ds:itemID="{89CE73A0-97CE-4A76-90CF-A0F6CCFC1A8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14</Pages>
  <Words>5127</Words>
  <Characters>29225</Characters>
  <Application>Microsoft Office Word</Application>
  <DocSecurity>0</DocSecurity>
  <Lines>243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ECE/TRANS/2022/6</vt:lpstr>
      <vt:lpstr>A/</vt:lpstr>
      <vt:lpstr>A/</vt:lpstr>
    </vt:vector>
  </TitlesOfParts>
  <Company>DCM</Company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ECE/TRANS/2022/6</dc:title>
  <dc:subject/>
  <dc:creator>Elena IZOTOVA</dc:creator>
  <cp:keywords/>
  <cp:lastModifiedBy>Elena IZOTOVA</cp:lastModifiedBy>
  <cp:revision>3</cp:revision>
  <cp:lastPrinted>2021-12-30T10:36:00Z</cp:lastPrinted>
  <dcterms:created xsi:type="dcterms:W3CDTF">2021-12-30T10:36:00Z</dcterms:created>
  <dcterms:modified xsi:type="dcterms:W3CDTF">2021-12-30T10:37:00Z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