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6D652C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1BA0E4" w14:textId="77777777" w:rsidR="002D5AAC" w:rsidRDefault="002D5AAC" w:rsidP="00F34D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3F7FDD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D288C8" w14:textId="24FE1AE5" w:rsidR="002D5AAC" w:rsidRDefault="00F34DC9" w:rsidP="00F34DC9">
            <w:pPr>
              <w:jc w:val="right"/>
            </w:pPr>
            <w:r w:rsidRPr="00F34DC9">
              <w:rPr>
                <w:sz w:val="40"/>
              </w:rPr>
              <w:t>ECE</w:t>
            </w:r>
            <w:r>
              <w:t>/TRANS/2022/4</w:t>
            </w:r>
          </w:p>
        </w:tc>
      </w:tr>
      <w:tr w:rsidR="002D5AAC" w:rsidRPr="00786AF8" w14:paraId="45000D2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3241F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FBC611" wp14:editId="53EA39B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1A220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9EC22E" w14:textId="77777777" w:rsidR="002D5AAC" w:rsidRDefault="00F34DC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F2115F" w14:textId="77777777" w:rsidR="00F34DC9" w:rsidRDefault="00F34DC9" w:rsidP="00F34D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December 2021</w:t>
            </w:r>
          </w:p>
          <w:p w14:paraId="52708B8F" w14:textId="77777777" w:rsidR="00F34DC9" w:rsidRDefault="00F34DC9" w:rsidP="00F34D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9883AC" w14:textId="1358C2BB" w:rsidR="00F34DC9" w:rsidRPr="008D53B6" w:rsidRDefault="00F34DC9" w:rsidP="00F34D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E04E5A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E1B7FF" w14:textId="77777777" w:rsidR="00F34DC9" w:rsidRPr="00F34DC9" w:rsidRDefault="00F34DC9" w:rsidP="00F34DC9">
      <w:pPr>
        <w:spacing w:before="120"/>
        <w:rPr>
          <w:sz w:val="28"/>
          <w:szCs w:val="28"/>
        </w:rPr>
      </w:pPr>
      <w:r w:rsidRPr="00F34DC9">
        <w:rPr>
          <w:sz w:val="28"/>
          <w:szCs w:val="28"/>
        </w:rPr>
        <w:t>Комитет по внутреннему транспорту</w:t>
      </w:r>
    </w:p>
    <w:p w14:paraId="465C7F56" w14:textId="77777777" w:rsidR="00F34DC9" w:rsidRPr="00115504" w:rsidRDefault="00F34DC9" w:rsidP="00F34DC9">
      <w:pPr>
        <w:spacing w:before="120"/>
        <w:rPr>
          <w:b/>
          <w:bCs/>
        </w:rPr>
      </w:pPr>
      <w:r>
        <w:rPr>
          <w:b/>
          <w:bCs/>
        </w:rPr>
        <w:t>Восемьдесят четвертая сессия</w:t>
      </w:r>
    </w:p>
    <w:p w14:paraId="658DEDF1" w14:textId="798C4DD0" w:rsidR="00F34DC9" w:rsidRDefault="00F34DC9" w:rsidP="00F34DC9">
      <w:r>
        <w:t>Женева, 22</w:t>
      </w:r>
      <w:r w:rsidRPr="00132EB7">
        <w:t>–</w:t>
      </w:r>
      <w:r>
        <w:t xml:space="preserve">25 февраля 2022 года </w:t>
      </w:r>
    </w:p>
    <w:p w14:paraId="10EE1F61" w14:textId="77777777" w:rsidR="00F34DC9" w:rsidRDefault="00F34DC9" w:rsidP="00F34DC9">
      <w:r>
        <w:t xml:space="preserve">Пункт 4 предварительной повестки дня </w:t>
      </w:r>
    </w:p>
    <w:p w14:paraId="61C80F25" w14:textId="0E55DD43" w:rsidR="00E12C5F" w:rsidRDefault="00F34DC9" w:rsidP="00F34DC9">
      <w:r w:rsidRPr="00A418DC">
        <w:rPr>
          <w:b/>
          <w:bCs/>
        </w:rPr>
        <w:t xml:space="preserve">Вопросы управления и прочие вопросы, вытекающие </w:t>
      </w:r>
      <w:r>
        <w:rPr>
          <w:b/>
          <w:bCs/>
        </w:rPr>
        <w:br/>
      </w:r>
      <w:r w:rsidRPr="00A418DC">
        <w:rPr>
          <w:b/>
          <w:bCs/>
        </w:rPr>
        <w:t xml:space="preserve">из решений Европейской экономической комиссии </w:t>
      </w:r>
      <w:r>
        <w:rPr>
          <w:b/>
          <w:bCs/>
        </w:rPr>
        <w:br/>
      </w:r>
      <w:r w:rsidRPr="00A418DC">
        <w:rPr>
          <w:b/>
          <w:bCs/>
        </w:rPr>
        <w:t xml:space="preserve">Организации Объединенных Наций, Экономического </w:t>
      </w:r>
      <w:r>
        <w:rPr>
          <w:b/>
          <w:bCs/>
        </w:rPr>
        <w:br/>
      </w:r>
      <w:r w:rsidRPr="00A418DC">
        <w:rPr>
          <w:b/>
          <w:bCs/>
        </w:rPr>
        <w:t xml:space="preserve">и Социального Совета и других органов </w:t>
      </w:r>
      <w:r>
        <w:rPr>
          <w:b/>
          <w:bCs/>
        </w:rPr>
        <w:br/>
      </w:r>
      <w:r w:rsidRPr="00A418DC">
        <w:rPr>
          <w:b/>
          <w:bCs/>
        </w:rPr>
        <w:t>и конференций Организации Объединенных Наций</w:t>
      </w:r>
    </w:p>
    <w:p w14:paraId="7DD3AEB6" w14:textId="43DDBDFA" w:rsidR="00F34DC9" w:rsidRPr="0001292F" w:rsidRDefault="00F34DC9" w:rsidP="00F34DC9">
      <w:pPr>
        <w:pStyle w:val="HChG"/>
      </w:pPr>
      <w:r>
        <w:tab/>
      </w:r>
      <w:r>
        <w:tab/>
        <w:t>Воздействие COVID-19 и кризиса ликвидности на</w:t>
      </w:r>
      <w:r>
        <w:rPr>
          <w:lang w:val="en-US"/>
        </w:rPr>
        <w:t> </w:t>
      </w:r>
      <w:r>
        <w:t xml:space="preserve">транспортную программу работы </w:t>
      </w:r>
      <w:r w:rsidRPr="00F34DC9">
        <w:t>—</w:t>
      </w:r>
      <w:r>
        <w:t xml:space="preserve"> обновленный обзор за 2021 год</w:t>
      </w:r>
    </w:p>
    <w:p w14:paraId="3CE279EC" w14:textId="77777777" w:rsidR="00F34DC9" w:rsidRPr="0001292F" w:rsidRDefault="00F34DC9" w:rsidP="00F34DC9">
      <w:pPr>
        <w:pStyle w:val="H1G"/>
      </w:pPr>
      <w:r>
        <w:tab/>
      </w:r>
      <w:r>
        <w:tab/>
        <w:t>Записка секретариата</w:t>
      </w:r>
      <w:r w:rsidRPr="00F34DC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76C2BAC" w14:textId="2DBF8385" w:rsidR="00F34DC9" w:rsidRPr="0001292F" w:rsidRDefault="00F34DC9" w:rsidP="00F34DC9">
      <w:pPr>
        <w:pStyle w:val="HChG"/>
      </w:pPr>
      <w:r>
        <w:tab/>
        <w:t>I.</w:t>
      </w:r>
      <w:r>
        <w:tab/>
        <w:t>Справочная информация</w:t>
      </w:r>
    </w:p>
    <w:p w14:paraId="6BD456A0" w14:textId="52620028" w:rsidR="00F34DC9" w:rsidRPr="0001292F" w:rsidRDefault="00F34DC9" w:rsidP="00F34DC9">
      <w:pPr>
        <w:pStyle w:val="SingleTxtG"/>
      </w:pPr>
      <w:r>
        <w:t>1.</w:t>
      </w:r>
      <w:r>
        <w:tab/>
        <w:t>После того как 16 марта 2020 года швейцарские власти объявили о</w:t>
      </w:r>
      <w:r w:rsidR="00132EB7">
        <w:rPr>
          <w:lang w:val="en-US"/>
        </w:rPr>
        <w:t> </w:t>
      </w:r>
      <w:r>
        <w:t>«чрезвычайной ситуации» в Швейцарии в связи с увеличением числа случаев коронавируса в стране, секретариат проинформировал Комитет и его Бюро о</w:t>
      </w:r>
      <w:r w:rsidR="00132EB7">
        <w:rPr>
          <w:lang w:val="en-US"/>
        </w:rPr>
        <w:t> </w:t>
      </w:r>
      <w:r>
        <w:t>совокупном воздействии COVID-19 и кризиса ликвидности на Программу работы на 2020 год транспортной подпрограммы программы (см. ECE/TRANS/2021/5).</w:t>
      </w:r>
    </w:p>
    <w:p w14:paraId="4C0C1C9A" w14:textId="77777777" w:rsidR="00F34DC9" w:rsidRPr="0001292F" w:rsidRDefault="00F34DC9" w:rsidP="00F34DC9">
      <w:pPr>
        <w:pStyle w:val="SingleTxtG"/>
      </w:pPr>
      <w:r>
        <w:t>2.</w:t>
      </w:r>
      <w:r>
        <w:tab/>
        <w:t>Настоящая записка призвана ознакомить Комитет с текущей ситуацией по выполнению Программы работы на 2021 год.</w:t>
      </w:r>
    </w:p>
    <w:p w14:paraId="07B2301E" w14:textId="27255A49" w:rsidR="00F34DC9" w:rsidRPr="0001292F" w:rsidRDefault="00F34DC9" w:rsidP="00F34DC9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Корректировочные меры</w:t>
      </w:r>
      <w:r>
        <w:t xml:space="preserve"> </w:t>
      </w:r>
    </w:p>
    <w:p w14:paraId="59EC9F27" w14:textId="7063E862" w:rsidR="00F34DC9" w:rsidRPr="0001292F" w:rsidRDefault="00F34DC9" w:rsidP="00F34DC9">
      <w:pPr>
        <w:pStyle w:val="H1G"/>
      </w:pPr>
      <w:r>
        <w:tab/>
        <w:t>A.</w:t>
      </w:r>
      <w:r>
        <w:tab/>
        <w:t>Специальные процедуры на период COVID-19</w:t>
      </w:r>
    </w:p>
    <w:p w14:paraId="65A2741B" w14:textId="48DB24D1" w:rsidR="00F34DC9" w:rsidRPr="0001292F" w:rsidRDefault="00F34DC9" w:rsidP="00F34DC9">
      <w:pPr>
        <w:pStyle w:val="SingleTxtG"/>
      </w:pPr>
      <w:r>
        <w:t>3.</w:t>
      </w:r>
      <w:r>
        <w:tab/>
        <w:t>Никаких изменений в специальных процедурах, которые были установлены в</w:t>
      </w:r>
      <w:r w:rsidR="00132EB7">
        <w:rPr>
          <w:lang w:val="en-US"/>
        </w:rPr>
        <w:t> </w:t>
      </w:r>
      <w:r>
        <w:t>2020 году, не произошло.</w:t>
      </w:r>
    </w:p>
    <w:p w14:paraId="244D20F4" w14:textId="43D6FA34" w:rsidR="00F34DC9" w:rsidRPr="0001292F" w:rsidRDefault="00F34DC9" w:rsidP="00F34DC9">
      <w:pPr>
        <w:pStyle w:val="H1G"/>
      </w:pPr>
      <w:r>
        <w:lastRenderedPageBreak/>
        <w:tab/>
        <w:t>B.</w:t>
      </w:r>
      <w:r>
        <w:tab/>
        <w:t>Изменения в политике, связанные с конференционным управлением</w:t>
      </w:r>
    </w:p>
    <w:p w14:paraId="3DF5EEC2" w14:textId="7FDB3CA1" w:rsidR="00F34DC9" w:rsidRPr="0001292F" w:rsidRDefault="00F34DC9" w:rsidP="00F34DC9">
      <w:pPr>
        <w:pStyle w:val="SingleTxtG"/>
      </w:pPr>
      <w:r>
        <w:t>4.</w:t>
      </w:r>
      <w:r>
        <w:tab/>
        <w:t xml:space="preserve">В ответ на меры по смягчению последствий COVID, кризиса ликвидности и вызванных СПН ограничений Службы конференционного управления Отделения Организации Объединенных Наций в Женеве ввели в действие в 2020 году, помимо прочих мер, два важнейших изменения, влияющих на конференционное и обслуживание и услуги по устному переводу для совещаний Европейской экономической комиссии Организации Объединенных Наций (ЕЭК): </w:t>
      </w:r>
    </w:p>
    <w:p w14:paraId="1ED55235" w14:textId="693058D2" w:rsidR="00F34DC9" w:rsidRPr="0001292F" w:rsidRDefault="005F1E30" w:rsidP="00F34DC9">
      <w:pPr>
        <w:pStyle w:val="Bullet1G"/>
        <w:numPr>
          <w:ilvl w:val="0"/>
          <w:numId w:val="22"/>
        </w:numPr>
      </w:pPr>
      <w:r>
        <w:t xml:space="preserve">Квоты </w:t>
      </w:r>
      <w:r w:rsidR="00F34DC9">
        <w:t>на обслуживание для ЕЭК были снижены с трех заседаний в день до одного заседания в день</w:t>
      </w:r>
      <w:r>
        <w:t>.</w:t>
      </w:r>
      <w:r w:rsidR="00F34DC9">
        <w:t xml:space="preserve"> </w:t>
      </w:r>
    </w:p>
    <w:p w14:paraId="78BF8AE6" w14:textId="746ABA9F" w:rsidR="00F34DC9" w:rsidRPr="0001292F" w:rsidRDefault="005F1E30" w:rsidP="00F34DC9">
      <w:pPr>
        <w:pStyle w:val="Bullet1G"/>
        <w:numPr>
          <w:ilvl w:val="0"/>
          <w:numId w:val="22"/>
        </w:numPr>
      </w:pPr>
      <w:r>
        <w:t xml:space="preserve">Продолжительность </w:t>
      </w:r>
      <w:r w:rsidR="00F34DC9">
        <w:t>времени устного перевода была сокращена с трех часов в течение заседания до двух часов в течение заседания для любого гибридного заседания</w:t>
      </w:r>
      <w:r>
        <w:t>.</w:t>
      </w:r>
    </w:p>
    <w:p w14:paraId="67409CFA" w14:textId="77777777" w:rsidR="00F34DC9" w:rsidRPr="00FA377A" w:rsidRDefault="00F34DC9" w:rsidP="00F34DC9">
      <w:pPr>
        <w:pStyle w:val="SingleTxtG"/>
      </w:pPr>
      <w:r>
        <w:t>5.</w:t>
      </w:r>
      <w:r>
        <w:tab/>
        <w:t xml:space="preserve">Эти изменения привели к нескольким отменам, переносам отсрочиванию, повторному планированию, сокращению продолжительности и понижению до неофициального статуса заседаний в 2020 году и частично в 2021 году. </w:t>
      </w:r>
    </w:p>
    <w:p w14:paraId="34D313BD" w14:textId="77777777" w:rsidR="00F34DC9" w:rsidRPr="00FA377A" w:rsidRDefault="00F34DC9" w:rsidP="00F34DC9">
      <w:pPr>
        <w:pStyle w:val="SingleTxtG"/>
      </w:pPr>
      <w:r>
        <w:t>6.</w:t>
      </w:r>
      <w:r>
        <w:tab/>
        <w:t xml:space="preserve">В 2021 году произошли три основных изменения в отношении вышеуказанных ограничений: </w:t>
      </w:r>
    </w:p>
    <w:p w14:paraId="20A9093C" w14:textId="4ACA8659" w:rsidR="00F34DC9" w:rsidRPr="0001292F" w:rsidRDefault="005F1E30" w:rsidP="00F34DC9">
      <w:pPr>
        <w:pStyle w:val="Bullet1G"/>
        <w:numPr>
          <w:ilvl w:val="0"/>
          <w:numId w:val="22"/>
        </w:numPr>
      </w:pPr>
      <w:r>
        <w:t>С</w:t>
      </w:r>
      <w:r w:rsidR="00F34DC9">
        <w:t xml:space="preserve"> 5 июля 2021 года продолжительность гибридных сессий была восстановлена с двух до трех часов</w:t>
      </w:r>
      <w:r>
        <w:t>.</w:t>
      </w:r>
    </w:p>
    <w:p w14:paraId="0FD418E5" w14:textId="1D635EAA" w:rsidR="00F34DC9" w:rsidRPr="0001292F" w:rsidRDefault="005F1E30" w:rsidP="00F34DC9">
      <w:pPr>
        <w:pStyle w:val="Bullet1G"/>
        <w:numPr>
          <w:ilvl w:val="0"/>
          <w:numId w:val="22"/>
        </w:numPr>
      </w:pPr>
      <w:r>
        <w:t xml:space="preserve">Начиная </w:t>
      </w:r>
      <w:r w:rsidR="00F34DC9">
        <w:t>с последней трети (сентябрь</w:t>
      </w:r>
      <w:r w:rsidR="00C853F4">
        <w:t xml:space="preserve"> — </w:t>
      </w:r>
      <w:r w:rsidR="00F34DC9">
        <w:t xml:space="preserve">декабрь) 2021 года квоты на обслуживание ЕЭК были восстановлены до трех заседаний в день, при условии, что </w:t>
      </w:r>
      <w:r w:rsidR="00F34DC9" w:rsidRPr="003267C0">
        <w:rPr>
          <w:b/>
          <w:bCs/>
        </w:rPr>
        <w:t>ЮНОГ будет модерировать только один зал заседаний в день с устным переводом/гибридной платформой</w:t>
      </w:r>
      <w:r w:rsidR="00F34DC9">
        <w:t>. Будет обеспечено наличие еще двух залов заседаний в день с устным переводом/гибридной платформой, но только при условии технического модерирования со стороны ЕЭК.</w:t>
      </w:r>
    </w:p>
    <w:p w14:paraId="56CBB15A" w14:textId="5773239F" w:rsidR="00F34DC9" w:rsidRPr="0001292F" w:rsidRDefault="00F34DC9" w:rsidP="00F34DC9">
      <w:pPr>
        <w:pStyle w:val="Bullet1G"/>
        <w:numPr>
          <w:ilvl w:val="0"/>
          <w:numId w:val="22"/>
        </w:numPr>
      </w:pPr>
      <w:r>
        <w:t xml:space="preserve">Возврат к трехчасовым заседаниям был частично отменен с 1 ноября 2021 года. В соответствующей вербальной ноте секретариат был проинформирован о том, что </w:t>
      </w:r>
      <w:r w:rsidR="005F1E30">
        <w:t>«</w:t>
      </w:r>
      <w:r>
        <w:t>эта исключительная возможность больше не может быть продлена на срок после 30 октября вследствие истощения глобального рынка внештатных устных переводчиков. С 1 ноября продолжительность гибридных и виртуальных совещаний с устным переводом будет составлять два (2) часа во всех случаях, когда активное дистанционное участие превышает 30 минут. Ситуация будет пересмотрена в середине декабря, и об изменениях, если таковые произойдут, будет сообщено</w:t>
      </w:r>
      <w:r w:rsidR="005F1E30">
        <w:t>»</w:t>
      </w:r>
      <w:r>
        <w:t>.</w:t>
      </w:r>
    </w:p>
    <w:p w14:paraId="5F5FB152" w14:textId="2FE0DF70" w:rsidR="00F34DC9" w:rsidRPr="0001292F" w:rsidRDefault="00F34DC9" w:rsidP="00F34DC9">
      <w:pPr>
        <w:pStyle w:val="SingleTxtG"/>
      </w:pPr>
      <w:r>
        <w:t>7.</w:t>
      </w:r>
      <w:r>
        <w:tab/>
        <w:t>В результате этих сдвигов в политике секретариату пришлось провести общеорганизационную работу по изменению приоритетов запланированных заседаний, при непосредственном участии и широких переговорах между сотрудниками/секретарями и старшим руководством на уровне директоров в качестве последней инстанции.</w:t>
      </w:r>
    </w:p>
    <w:p w14:paraId="752278A4" w14:textId="60E89EC8" w:rsidR="00F34DC9" w:rsidRPr="0017743B" w:rsidRDefault="005F1E30" w:rsidP="005F1E30">
      <w:pPr>
        <w:pStyle w:val="H1G"/>
      </w:pPr>
      <w:r>
        <w:tab/>
      </w:r>
      <w:r w:rsidR="00F34DC9">
        <w:t>C.</w:t>
      </w:r>
      <w:r w:rsidR="00F34DC9">
        <w:tab/>
        <w:t>Воздействие на расстановку кадров</w:t>
      </w:r>
    </w:p>
    <w:p w14:paraId="467B3452" w14:textId="77777777" w:rsidR="00F34DC9" w:rsidRPr="00FA377A" w:rsidRDefault="00F34DC9" w:rsidP="00F34DC9">
      <w:pPr>
        <w:pStyle w:val="SingleTxtG"/>
      </w:pPr>
      <w:r>
        <w:t>8.</w:t>
      </w:r>
      <w:r>
        <w:tab/>
        <w:t xml:space="preserve">В связи с чрезвычайными обстоятельствами, изложенными выше, и в ответ на потребности по восстановлению квоты обслуживания ЕЭК до трех заседаний в день сотрудники Отдела устойчивого транспорта были мобилизованы для выполнения функций технического модерирования, чтобы иметь возможность обеспечить проведение официальных заседаний с устным переводом для государств-членов и Договаривающихся сторон. </w:t>
      </w:r>
    </w:p>
    <w:p w14:paraId="7F931AA8" w14:textId="5720495A" w:rsidR="00F34DC9" w:rsidRPr="0001292F" w:rsidRDefault="005F1E30" w:rsidP="005F1E30">
      <w:pPr>
        <w:pStyle w:val="H1G"/>
      </w:pPr>
      <w:r>
        <w:lastRenderedPageBreak/>
        <w:tab/>
      </w:r>
      <w:r w:rsidR="00F34DC9">
        <w:t>D.</w:t>
      </w:r>
      <w:r w:rsidR="00F34DC9">
        <w:tab/>
        <w:t>Отмена, отсрочивание, неофициальные/удаленные (виртуальные) совещания и комбинированные неофициальные/официальные мероприятия</w:t>
      </w:r>
    </w:p>
    <w:p w14:paraId="49729C50" w14:textId="77777777" w:rsidR="00F34DC9" w:rsidRPr="0001292F" w:rsidRDefault="00F34DC9" w:rsidP="00F34DC9">
      <w:pPr>
        <w:pStyle w:val="SingleTxtG"/>
      </w:pPr>
      <w:r>
        <w:t>9.</w:t>
      </w:r>
      <w:r>
        <w:tab/>
        <w:t>В связи с чрезвычайными обстоятельствами и коррективами политики, указанными выше, несколько запланированных совещаний секторальных комитетов ЕЭК и их вспомогательных органов были перенесены или отменены. Другие пришлось обслуживать в рамках ограниченных двухчасовых заседаний с устным переводом, что повлияло на их повестку дня.</w:t>
      </w:r>
    </w:p>
    <w:p w14:paraId="4CE37783" w14:textId="77777777" w:rsidR="00F34DC9" w:rsidRPr="0001292F" w:rsidRDefault="00F34DC9" w:rsidP="00F34DC9">
      <w:pPr>
        <w:pStyle w:val="SingleTxtG"/>
      </w:pPr>
      <w:r>
        <w:t>10.</w:t>
      </w:r>
      <w:r>
        <w:tab/>
        <w:t>Кроме того, с учетом вышеизложенной ситуации и в полном соответствии с решением Исполкома о специальных процедурах для вспомогательных органов КВТ несколько совещаний было проведено виртуально в рамках специальных процедур для обеспечения бесперебойного функционирования.</w:t>
      </w:r>
    </w:p>
    <w:p w14:paraId="4D6CBD3F" w14:textId="77777777" w:rsidR="00F34DC9" w:rsidRPr="00FA377A" w:rsidRDefault="00F34DC9" w:rsidP="00F34DC9">
      <w:pPr>
        <w:pStyle w:val="SingleTxtG"/>
      </w:pPr>
      <w:r>
        <w:t>11.</w:t>
      </w:r>
      <w:r>
        <w:tab/>
        <w:t>В дополнение к этому продолжительность нескольких заседаний была сокращена из-за ограниченного времени, отведенного на них в контексте гибридного статуса. Более того, некоторые запланированные совещания были проведены как «комбинированные» мероприятия, частично в неофициальном порядке и частично в качестве официальных совещаний, в результате переговоров внутри ЕЭК между ее отделами, с тем чтобы охватить как можно больше подпрограмм в рамках ограничительной квоты ЮНОГ на обслуживание.</w:t>
      </w:r>
    </w:p>
    <w:p w14:paraId="5FA4FFDD" w14:textId="577A7FF5" w:rsidR="00F34DC9" w:rsidRPr="0001292F" w:rsidRDefault="000A7FFA" w:rsidP="000A7FFA">
      <w:pPr>
        <w:pStyle w:val="HChG"/>
      </w:pPr>
      <w:r>
        <w:tab/>
      </w:r>
      <w:r w:rsidR="00F34DC9">
        <w:t>III.</w:t>
      </w:r>
      <w:r w:rsidR="00F34DC9">
        <w:tab/>
        <w:t xml:space="preserve">Воздействие на работу подпрограммы по транспорту </w:t>
      </w:r>
    </w:p>
    <w:p w14:paraId="57F8A34A" w14:textId="77777777" w:rsidR="00F34DC9" w:rsidRPr="0001292F" w:rsidRDefault="00F34DC9" w:rsidP="000A7FFA">
      <w:pPr>
        <w:pStyle w:val="SingleTxtG"/>
      </w:pPr>
      <w:r>
        <w:t>12.</w:t>
      </w:r>
      <w:r>
        <w:tab/>
        <w:t xml:space="preserve">В настоящем разделе отражено предполагаемое воздействие на подпрограмму по транспорту совокупного влияния пандемии COVID-19 и кризиса ликвидности. </w:t>
      </w:r>
    </w:p>
    <w:p w14:paraId="789D3E32" w14:textId="77777777" w:rsidR="00F34DC9" w:rsidRPr="00FA377A" w:rsidRDefault="00F34DC9" w:rsidP="000A7FFA">
      <w:pPr>
        <w:pStyle w:val="SingleTxtG"/>
      </w:pPr>
      <w:r>
        <w:t>13.</w:t>
      </w:r>
      <w:r>
        <w:tab/>
        <w:t>В целом на основании информации, доступной на момент подготовки данного документа, можно с уверенностью сказать, что ситуация в 2021 году выглядит значительно лучше, чем в 2020 году. Ожидается, что уровень выполнения количественных показателей Программы работы на 2021 год транспортной подпрограммы достигнет 93 процента. Однако существует несколько проблем, связанных с качеством, которые обсуждаются в настоящем разделе</w:t>
      </w:r>
      <w:r w:rsidRPr="00AA4EF0">
        <w:rPr>
          <w:rStyle w:val="aa"/>
        </w:rPr>
        <w:footnoteReference w:id="2"/>
      </w:r>
      <w:r>
        <w:t xml:space="preserve">. В этой записке основное внимание уделяется воздействию: </w:t>
      </w:r>
    </w:p>
    <w:p w14:paraId="43680F15" w14:textId="77777777" w:rsidR="00F34DC9" w:rsidRPr="00FA377A" w:rsidRDefault="00F34DC9" w:rsidP="00F34DC9">
      <w:pPr>
        <w:pStyle w:val="SingleTxtG"/>
        <w:ind w:firstLine="567"/>
      </w:pPr>
      <w:r>
        <w:t>a)</w:t>
      </w:r>
      <w:r>
        <w:tab/>
        <w:t xml:space="preserve">на совещания вспомогательных органов КВТ, поскольку их организационный потенциал является краеугольным камнем нормативной работы Комитета при выполнении им роли платформы Организации Объединенных Наций для внутреннего транспорта; </w:t>
      </w:r>
    </w:p>
    <w:p w14:paraId="0A17697B" w14:textId="77777777" w:rsidR="00F34DC9" w:rsidRPr="0001292F" w:rsidRDefault="00F34DC9" w:rsidP="00F34DC9">
      <w:pPr>
        <w:pStyle w:val="SingleTxtG"/>
        <w:ind w:firstLine="567"/>
      </w:pPr>
      <w:r>
        <w:t>b)</w:t>
      </w:r>
      <w:r>
        <w:tab/>
        <w:t>на документацию, являющуюся важнейшим компонентом обновления правовых документов.</w:t>
      </w:r>
    </w:p>
    <w:p w14:paraId="3F3646C9" w14:textId="23424EA8" w:rsidR="00F34DC9" w:rsidRPr="0001292F" w:rsidRDefault="0055757A" w:rsidP="0055757A">
      <w:pPr>
        <w:pStyle w:val="H1G"/>
      </w:pPr>
      <w:r>
        <w:tab/>
      </w:r>
      <w:r w:rsidR="00F34DC9">
        <w:t>A.</w:t>
      </w:r>
      <w:r w:rsidR="00F34DC9">
        <w:tab/>
        <w:t xml:space="preserve">Воздействие на совещания </w:t>
      </w:r>
    </w:p>
    <w:p w14:paraId="20466237" w14:textId="41D048CA" w:rsidR="00F34DC9" w:rsidRPr="0001292F" w:rsidRDefault="0055757A" w:rsidP="0055757A">
      <w:pPr>
        <w:pStyle w:val="H23G"/>
      </w:pPr>
      <w:r>
        <w:tab/>
      </w:r>
      <w:r w:rsidR="00F34DC9">
        <w:t>1.</w:t>
      </w:r>
      <w:r w:rsidR="00F34DC9">
        <w:tab/>
        <w:t>Воздействие на совещания постоянных органов (рабочих групп)</w:t>
      </w:r>
    </w:p>
    <w:p w14:paraId="47329F9D" w14:textId="6E854B57" w:rsidR="00F34DC9" w:rsidRPr="0001292F" w:rsidRDefault="00F34DC9" w:rsidP="00F34DC9">
      <w:pPr>
        <w:pStyle w:val="SingleTxtG"/>
      </w:pPr>
      <w:r>
        <w:t>14.</w:t>
      </w:r>
      <w:r>
        <w:tab/>
        <w:t>На момент подготовки настоящей записки совокупное влияние COVID-19 и кризиса ликвидности на запланированные совещания нескольких рабочих групп КВТ в 2021 году все еще проявляется, но можно с уверенностью сделать вывод о том, что оно будет значительно менее серьезным,</w:t>
      </w:r>
      <w:r w:rsidR="0055757A">
        <w:t xml:space="preserve"> </w:t>
      </w:r>
      <w:r>
        <w:t xml:space="preserve">чем в 2020 году. </w:t>
      </w:r>
    </w:p>
    <w:p w14:paraId="7C221662" w14:textId="73B64DB0" w:rsidR="00F34DC9" w:rsidRPr="0001292F" w:rsidRDefault="00F34DC9" w:rsidP="00F34DC9">
      <w:pPr>
        <w:pStyle w:val="SingleTxtG"/>
        <w:rPr>
          <w:spacing w:val="-4"/>
        </w:rPr>
      </w:pPr>
      <w:r>
        <w:t>15.</w:t>
      </w:r>
      <w:r>
        <w:tab/>
        <w:t xml:space="preserve">Что касается комбинированных официальных (очные и гибридные с устным переводом) и неофициальных совещаний в рамках специальных процедур (без устного перевода), то проведение запланированных совещаний в 2021 году не падало ниже </w:t>
      </w:r>
      <w:r>
        <w:lastRenderedPageBreak/>
        <w:t>76</w:t>
      </w:r>
      <w:r w:rsidR="0055757A">
        <w:t> </w:t>
      </w:r>
      <w:r>
        <w:t>процентов среди различных рабочих групп (см. таблицу 1). Напротив, в 2020 году коэффициент проведения находился на низком уровне в 35 процентов.</w:t>
      </w:r>
    </w:p>
    <w:p w14:paraId="42C1B153" w14:textId="77777777" w:rsidR="00F34DC9" w:rsidRPr="00FA377A" w:rsidRDefault="00F34DC9" w:rsidP="00F34DC9">
      <w:pPr>
        <w:pStyle w:val="SingleTxtG"/>
        <w:spacing w:before="240"/>
      </w:pPr>
      <w:r>
        <w:t>16.</w:t>
      </w:r>
      <w:r>
        <w:tab/>
        <w:t>В общем ожидается, что по линии подпрограммы в целом будут полностью выполнены запланированные показатели заседаний для рабочих групп, если считать заседания с устным переводом и без устного перевода (см. таблицу 1, колонка e)).</w:t>
      </w:r>
    </w:p>
    <w:p w14:paraId="1BBCA395" w14:textId="77777777" w:rsidR="00F34DC9" w:rsidRPr="00FA377A" w:rsidRDefault="00F34DC9" w:rsidP="00F34DC9">
      <w:pPr>
        <w:pStyle w:val="SingleTxtG"/>
      </w:pPr>
      <w:r>
        <w:t>17.</w:t>
      </w:r>
      <w:r>
        <w:tab/>
        <w:t xml:space="preserve">Однако одним из ключевых компонентов для успешного выполнения обязанностей Комитета и его вспомогательных органов является многоязычие и способность проводить заседания с полным устным переводом. Учитывая эту перспективу, </w:t>
      </w:r>
      <w:r w:rsidRPr="00E8164E">
        <w:rPr>
          <w:b/>
          <w:bCs/>
        </w:rPr>
        <w:t>только 69 процентов заседаний будут проводиться с устным переводом</w:t>
      </w:r>
      <w:r>
        <w:t xml:space="preserve">. Кроме того, несколько секретарей отметили качественные последствия, связанные с проблематичным достижением консенсуса в результате ограничений при проведении виртуальных совещаний, включая разные временные зоны и сокращение продолжительности заседаний. </w:t>
      </w:r>
    </w:p>
    <w:p w14:paraId="2EDC4A38" w14:textId="3140126B" w:rsidR="00F34DC9" w:rsidRPr="00FA377A" w:rsidRDefault="00F34DC9" w:rsidP="00F34DC9">
      <w:pPr>
        <w:pStyle w:val="SingleTxtG"/>
        <w:rPr>
          <w:spacing w:val="-4"/>
        </w:rPr>
      </w:pPr>
      <w:r>
        <w:t>18.</w:t>
      </w:r>
      <w:r>
        <w:tab/>
        <w:t xml:space="preserve">Кроме того, для обеспечения такого уровня обслуживаемых заседаний с устным переводом на сотрудников Отдела были возложены новые обязанности, касающиеся поддержки технического модерирования заседаний со стороны ЮНОГ. </w:t>
      </w:r>
      <w:r w:rsidRPr="00B21260">
        <w:rPr>
          <w:b/>
          <w:bCs/>
        </w:rPr>
        <w:t xml:space="preserve">В целом ожидается, что в 2021 году 28 процентов заседаний с устным переводом будут технически модерироваться сотрудниками Отдела несмотря на то, что это требование было введено в действие только в последней трети (сентябрь </w:t>
      </w:r>
      <w:r w:rsidR="0055757A">
        <w:rPr>
          <w:b/>
          <w:bCs/>
        </w:rPr>
        <w:t>—</w:t>
      </w:r>
      <w:r w:rsidRPr="00B21260">
        <w:rPr>
          <w:b/>
          <w:bCs/>
        </w:rPr>
        <w:t xml:space="preserve"> декабрь) 2021 года</w:t>
      </w:r>
      <w:r w:rsidRPr="0055757A">
        <w:rPr>
          <w:b/>
          <w:bCs/>
        </w:rPr>
        <w:t>.</w:t>
      </w:r>
      <w:r>
        <w:t xml:space="preserve"> На момент подготовки настоящей записки неясно, сохранится ли это требование на протяжении 2022 года, однако оно является обязательным для проведения заседаний в первом квартале 2022 года.</w:t>
      </w:r>
    </w:p>
    <w:p w14:paraId="3C4140A0" w14:textId="6164C2D8" w:rsidR="00F34DC9" w:rsidRPr="0055757A" w:rsidRDefault="00F34DC9" w:rsidP="0055757A">
      <w:pPr>
        <w:pStyle w:val="H23G"/>
        <w:ind w:left="0" w:firstLine="0"/>
        <w:rPr>
          <w:spacing w:val="-4"/>
        </w:rPr>
      </w:pPr>
      <w:r w:rsidRPr="0055757A">
        <w:rPr>
          <w:b w:val="0"/>
          <w:bCs/>
        </w:rPr>
        <w:t>Таблица 1</w:t>
      </w:r>
      <w:r>
        <w:t xml:space="preserve"> </w:t>
      </w:r>
      <w:r w:rsidR="0055757A">
        <w:br/>
      </w:r>
      <w:r w:rsidRPr="0055757A">
        <w:t>Воздействие COVID-19 и кризиса ликвидности на совещания рабочих групп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616"/>
        <w:gridCol w:w="854"/>
        <w:gridCol w:w="1106"/>
        <w:gridCol w:w="1108"/>
        <w:gridCol w:w="949"/>
        <w:gridCol w:w="938"/>
        <w:gridCol w:w="924"/>
        <w:gridCol w:w="1014"/>
      </w:tblGrid>
      <w:tr w:rsidR="00F34DC9" w:rsidRPr="0055757A" w14:paraId="280EFFA1" w14:textId="77777777" w:rsidTr="00132EB7">
        <w:trPr>
          <w:tblHeader/>
        </w:trPr>
        <w:tc>
          <w:tcPr>
            <w:tcW w:w="212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E591C0F" w14:textId="2CE54F41" w:rsidR="00F34DC9" w:rsidRPr="0055757A" w:rsidRDefault="00F34DC9" w:rsidP="0055757A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55757A">
              <w:rPr>
                <w:i/>
                <w:iCs/>
                <w:sz w:val="16"/>
                <w:szCs w:val="16"/>
              </w:rPr>
              <w:t>Межправительственный орган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B962E70" w14:textId="01BAB217" w:rsidR="00F34DC9" w:rsidRPr="0055757A" w:rsidRDefault="00F34DC9" w:rsidP="0055757A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16"/>
              </w:rPr>
            </w:pPr>
            <w:r w:rsidRPr="0055757A">
              <w:rPr>
                <w:i/>
                <w:iCs/>
                <w:sz w:val="16"/>
                <w:szCs w:val="16"/>
              </w:rPr>
              <w:t xml:space="preserve">2021 год </w:t>
            </w:r>
            <w:proofErr w:type="spellStart"/>
            <w:r w:rsidRPr="0055757A">
              <w:rPr>
                <w:i/>
                <w:iCs/>
                <w:sz w:val="16"/>
                <w:szCs w:val="16"/>
              </w:rPr>
              <w:t>запла</w:t>
            </w:r>
            <w:r w:rsidR="0055757A">
              <w:rPr>
                <w:i/>
                <w:iCs/>
                <w:sz w:val="16"/>
                <w:szCs w:val="16"/>
              </w:rPr>
              <w:t>-</w:t>
            </w:r>
            <w:r w:rsidRPr="0055757A">
              <w:rPr>
                <w:i/>
                <w:iCs/>
                <w:sz w:val="16"/>
                <w:szCs w:val="16"/>
              </w:rPr>
              <w:t>нирован</w:t>
            </w:r>
            <w:r w:rsidR="003872B7">
              <w:rPr>
                <w:i/>
                <w:iCs/>
                <w:sz w:val="16"/>
                <w:szCs w:val="16"/>
              </w:rPr>
              <w:t>-</w:t>
            </w:r>
            <w:r w:rsidRPr="0055757A">
              <w:rPr>
                <w:i/>
                <w:iCs/>
                <w:sz w:val="16"/>
                <w:szCs w:val="16"/>
              </w:rPr>
              <w:t>ные</w:t>
            </w:r>
            <w:proofErr w:type="spellEnd"/>
            <w:r w:rsidRPr="0055757A">
              <w:rPr>
                <w:i/>
                <w:iCs/>
                <w:sz w:val="16"/>
                <w:szCs w:val="16"/>
              </w:rPr>
              <w:t xml:space="preserve"> (a)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B804100" w14:textId="79F4C449" w:rsidR="00F34DC9" w:rsidRPr="00132EB7" w:rsidRDefault="00F34DC9" w:rsidP="0055757A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16"/>
              </w:rPr>
            </w:pPr>
            <w:r w:rsidRPr="0055757A">
              <w:rPr>
                <w:i/>
                <w:iCs/>
                <w:sz w:val="16"/>
                <w:szCs w:val="16"/>
              </w:rPr>
              <w:t xml:space="preserve">2021 год </w:t>
            </w:r>
            <w:proofErr w:type="spellStart"/>
            <w:r w:rsidRPr="0055757A">
              <w:rPr>
                <w:i/>
                <w:iCs/>
                <w:sz w:val="16"/>
                <w:szCs w:val="16"/>
              </w:rPr>
              <w:t>факти</w:t>
            </w:r>
            <w:r w:rsidR="0055757A">
              <w:rPr>
                <w:i/>
                <w:iCs/>
                <w:sz w:val="16"/>
                <w:szCs w:val="16"/>
              </w:rPr>
              <w:t>-</w:t>
            </w:r>
            <w:r w:rsidRPr="0055757A">
              <w:rPr>
                <w:i/>
                <w:iCs/>
                <w:sz w:val="16"/>
                <w:szCs w:val="16"/>
              </w:rPr>
              <w:t>ческие</w:t>
            </w:r>
            <w:proofErr w:type="spellEnd"/>
            <w:r w:rsidRPr="0055757A">
              <w:rPr>
                <w:i/>
                <w:iCs/>
                <w:sz w:val="16"/>
                <w:szCs w:val="16"/>
              </w:rPr>
              <w:t xml:space="preserve">  (оценка)</w:t>
            </w:r>
            <w:r w:rsidR="00132EB7" w:rsidRPr="00132EB7">
              <w:rPr>
                <w:i/>
                <w:iCs/>
                <w:sz w:val="16"/>
                <w:szCs w:val="16"/>
              </w:rPr>
              <w:t xml:space="preserve"> </w:t>
            </w:r>
            <w:r w:rsidR="00132EB7" w:rsidRPr="0055757A">
              <w:rPr>
                <w:i/>
                <w:iCs/>
                <w:sz w:val="16"/>
                <w:szCs w:val="16"/>
              </w:rPr>
              <w:t>(b)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24A6D53" w14:textId="1AA6D51D" w:rsidR="00F34DC9" w:rsidRPr="0055757A" w:rsidRDefault="00F34DC9" w:rsidP="0055757A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16"/>
              </w:rPr>
            </w:pPr>
            <w:r w:rsidRPr="0055757A">
              <w:rPr>
                <w:i/>
                <w:iCs/>
                <w:sz w:val="16"/>
                <w:szCs w:val="16"/>
              </w:rPr>
              <w:t xml:space="preserve">2021 год </w:t>
            </w:r>
            <w:proofErr w:type="spellStart"/>
            <w:r w:rsidRPr="0055757A">
              <w:rPr>
                <w:i/>
                <w:iCs/>
                <w:sz w:val="16"/>
                <w:szCs w:val="16"/>
              </w:rPr>
              <w:t>фактиче</w:t>
            </w:r>
            <w:proofErr w:type="spellEnd"/>
            <w:r w:rsidR="0055757A">
              <w:rPr>
                <w:i/>
                <w:iCs/>
                <w:sz w:val="16"/>
                <w:szCs w:val="16"/>
              </w:rPr>
              <w:t>-</w:t>
            </w:r>
            <w:r w:rsidR="0055757A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55757A">
              <w:rPr>
                <w:i/>
                <w:iCs/>
                <w:sz w:val="16"/>
                <w:szCs w:val="16"/>
              </w:rPr>
              <w:t>ские</w:t>
            </w:r>
            <w:proofErr w:type="spellEnd"/>
            <w:r w:rsidRPr="0055757A">
              <w:rPr>
                <w:i/>
                <w:iCs/>
                <w:sz w:val="16"/>
                <w:szCs w:val="16"/>
              </w:rPr>
              <w:t xml:space="preserve"> с устным переводом (c)*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C50D834" w14:textId="741E4EDF" w:rsidR="00F34DC9" w:rsidRPr="0055757A" w:rsidRDefault="00F34DC9" w:rsidP="0055757A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16"/>
              </w:rPr>
            </w:pPr>
            <w:r w:rsidRPr="0055757A">
              <w:rPr>
                <w:i/>
                <w:iCs/>
                <w:sz w:val="16"/>
                <w:szCs w:val="16"/>
              </w:rPr>
              <w:t>2021 год фактические без устного перевода (d)*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4830E92" w14:textId="1A347916" w:rsidR="00F34DC9" w:rsidRPr="0055757A" w:rsidRDefault="00F34DC9" w:rsidP="0055757A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16"/>
              </w:rPr>
            </w:pPr>
            <w:r w:rsidRPr="0055757A">
              <w:rPr>
                <w:i/>
                <w:iCs/>
                <w:sz w:val="16"/>
                <w:szCs w:val="16"/>
              </w:rPr>
              <w:t xml:space="preserve">% </w:t>
            </w:r>
            <w:r w:rsidR="008C7198">
              <w:rPr>
                <w:i/>
                <w:iCs/>
                <w:sz w:val="16"/>
                <w:szCs w:val="16"/>
              </w:rPr>
              <w:br/>
            </w:r>
            <w:r w:rsidRPr="0055757A">
              <w:rPr>
                <w:i/>
                <w:iCs/>
                <w:sz w:val="16"/>
                <w:szCs w:val="16"/>
              </w:rPr>
              <w:t>Проведение (e)=(b)/(a)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32D2BC0D" w14:textId="66C7CDF1" w:rsidR="00F34DC9" w:rsidRPr="0055757A" w:rsidRDefault="00F34DC9" w:rsidP="0055757A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16"/>
              </w:rPr>
            </w:pPr>
            <w:r w:rsidRPr="0055757A">
              <w:rPr>
                <w:i/>
                <w:iCs/>
                <w:sz w:val="16"/>
                <w:szCs w:val="16"/>
              </w:rPr>
              <w:t xml:space="preserve">% </w:t>
            </w:r>
            <w:r w:rsidR="008C7198">
              <w:rPr>
                <w:i/>
                <w:iCs/>
                <w:sz w:val="16"/>
                <w:szCs w:val="16"/>
              </w:rPr>
              <w:br/>
            </w:r>
            <w:r w:rsidRPr="0055757A">
              <w:rPr>
                <w:i/>
                <w:iCs/>
                <w:sz w:val="16"/>
                <w:szCs w:val="16"/>
              </w:rPr>
              <w:t>Проведение с</w:t>
            </w:r>
            <w:r w:rsidR="008C7198">
              <w:rPr>
                <w:i/>
                <w:iCs/>
                <w:sz w:val="16"/>
                <w:szCs w:val="16"/>
              </w:rPr>
              <w:t> </w:t>
            </w:r>
            <w:r w:rsidRPr="0055757A">
              <w:rPr>
                <w:i/>
                <w:iCs/>
                <w:sz w:val="16"/>
                <w:szCs w:val="16"/>
              </w:rPr>
              <w:t>устным переводом (f)=(c)/(a)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984FD5D" w14:textId="3560F6CB" w:rsidR="00F34DC9" w:rsidRPr="0055757A" w:rsidRDefault="00F34DC9" w:rsidP="0055757A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16"/>
              </w:rPr>
            </w:pPr>
            <w:r w:rsidRPr="0055757A">
              <w:rPr>
                <w:i/>
                <w:iCs/>
                <w:sz w:val="16"/>
                <w:szCs w:val="16"/>
              </w:rPr>
              <w:t>Заседания с</w:t>
            </w:r>
            <w:r w:rsidR="0055757A">
              <w:rPr>
                <w:i/>
                <w:iCs/>
                <w:sz w:val="16"/>
                <w:szCs w:val="16"/>
              </w:rPr>
              <w:t> </w:t>
            </w:r>
            <w:r w:rsidRPr="0055757A">
              <w:rPr>
                <w:i/>
                <w:iCs/>
                <w:sz w:val="16"/>
                <w:szCs w:val="16"/>
              </w:rPr>
              <w:t>устным переводом с модерато</w:t>
            </w:r>
            <w:r w:rsidR="0055757A">
              <w:rPr>
                <w:i/>
                <w:iCs/>
                <w:sz w:val="16"/>
                <w:szCs w:val="16"/>
              </w:rPr>
              <w:t>-</w:t>
            </w:r>
            <w:r w:rsidR="0055757A">
              <w:rPr>
                <w:i/>
                <w:iCs/>
                <w:sz w:val="16"/>
                <w:szCs w:val="16"/>
              </w:rPr>
              <w:br/>
            </w:r>
            <w:r w:rsidRPr="0055757A">
              <w:rPr>
                <w:i/>
                <w:iCs/>
                <w:sz w:val="16"/>
                <w:szCs w:val="16"/>
              </w:rPr>
              <w:t xml:space="preserve">рами </w:t>
            </w:r>
            <w:r w:rsidR="008C7198">
              <w:rPr>
                <w:i/>
                <w:iCs/>
                <w:sz w:val="16"/>
                <w:szCs w:val="16"/>
              </w:rPr>
              <w:br/>
            </w:r>
            <w:r w:rsidRPr="0055757A">
              <w:rPr>
                <w:i/>
                <w:iCs/>
                <w:sz w:val="16"/>
                <w:szCs w:val="16"/>
              </w:rPr>
              <w:t>ОУТ (g)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DF8ACEE" w14:textId="64E80DA9" w:rsidR="00F34DC9" w:rsidRPr="0055757A" w:rsidRDefault="00F34DC9" w:rsidP="0055757A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16"/>
              </w:rPr>
            </w:pPr>
            <w:r w:rsidRPr="0055757A">
              <w:rPr>
                <w:i/>
                <w:iCs/>
                <w:sz w:val="16"/>
                <w:szCs w:val="16"/>
              </w:rPr>
              <w:t xml:space="preserve">Доля заседаний, проведенных при </w:t>
            </w:r>
            <w:proofErr w:type="spellStart"/>
            <w:r w:rsidRPr="0055757A">
              <w:rPr>
                <w:i/>
                <w:iCs/>
                <w:sz w:val="16"/>
                <w:szCs w:val="16"/>
              </w:rPr>
              <w:t>модери</w:t>
            </w:r>
            <w:r w:rsidR="008C7198">
              <w:rPr>
                <w:i/>
                <w:iCs/>
                <w:sz w:val="16"/>
                <w:szCs w:val="16"/>
              </w:rPr>
              <w:t>-</w:t>
            </w:r>
            <w:r w:rsidRPr="0055757A">
              <w:rPr>
                <w:i/>
                <w:iCs/>
                <w:sz w:val="16"/>
                <w:szCs w:val="16"/>
              </w:rPr>
              <w:t>ровании</w:t>
            </w:r>
            <w:proofErr w:type="spellEnd"/>
            <w:r w:rsidRPr="0055757A">
              <w:rPr>
                <w:i/>
                <w:iCs/>
                <w:sz w:val="16"/>
                <w:szCs w:val="16"/>
              </w:rPr>
              <w:t xml:space="preserve"> ОУТ (h)=(g)/(c)</w:t>
            </w:r>
          </w:p>
        </w:tc>
      </w:tr>
      <w:tr w:rsidR="00F34DC9" w:rsidRPr="0055757A" w14:paraId="4E43CA41" w14:textId="77777777" w:rsidTr="00132EB7">
        <w:tc>
          <w:tcPr>
            <w:tcW w:w="212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hideMark/>
          </w:tcPr>
          <w:p w14:paraId="62717CCF" w14:textId="49C4AE2F" w:rsidR="00F34DC9" w:rsidRPr="0055757A" w:rsidRDefault="00F34DC9" w:rsidP="0055757A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Основное обслуживание заседаний</w:t>
            </w:r>
            <w:r w:rsidRPr="0055757A">
              <w:rPr>
                <w:sz w:val="18"/>
                <w:szCs w:val="18"/>
              </w:rPr>
              <w:t xml:space="preserve"> (число трехчасовых заседаний, по</w:t>
            </w:r>
            <w:r w:rsidR="0055757A">
              <w:rPr>
                <w:sz w:val="18"/>
                <w:szCs w:val="18"/>
              </w:rPr>
              <w:t> </w:t>
            </w:r>
            <w:r w:rsidRPr="0055757A">
              <w:rPr>
                <w:sz w:val="18"/>
                <w:szCs w:val="18"/>
              </w:rPr>
              <w:t>подразделению/теме)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6CDE951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85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47C9348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110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A2AF63E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10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D356E22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94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5CEDE5F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105 %</w:t>
            </w:r>
          </w:p>
        </w:tc>
        <w:tc>
          <w:tcPr>
            <w:tcW w:w="93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C35E26B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69 %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A3BD8BE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4F6E1DE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28 %</w:t>
            </w:r>
          </w:p>
        </w:tc>
      </w:tr>
      <w:tr w:rsidR="00F34DC9" w:rsidRPr="0055757A" w14:paraId="27883CF9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9B2F9D4" w14:textId="188F87AB" w:rsidR="00F34DC9" w:rsidRPr="0055757A" w:rsidRDefault="00F34DC9" w:rsidP="003872B7">
            <w:pPr>
              <w:tabs>
                <w:tab w:val="left" w:pos="289"/>
              </w:tabs>
              <w:spacing w:before="40" w:after="40" w:line="220" w:lineRule="exact"/>
              <w:ind w:left="227" w:hanging="227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4.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b/>
                <w:bCs/>
                <w:sz w:val="18"/>
                <w:szCs w:val="18"/>
              </w:rPr>
              <w:t>Комитет по внутреннему транспорту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227082C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E711E68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4A84BE2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773EE41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587DC3A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106 %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81861C8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65 %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A6BFEC9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C1A49A6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28 %</w:t>
            </w:r>
          </w:p>
        </w:tc>
      </w:tr>
      <w:tr w:rsidR="00F34DC9" w:rsidRPr="0055757A" w14:paraId="7868C0B8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097E3DD" w14:textId="1305CE19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a.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Комитет по внутреннему транспорту и Бюро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E0D7318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5054971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6DF593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16E0220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4543E20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106 %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EE00373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69 %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2F14AF6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DD5A6B2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36 %</w:t>
            </w:r>
          </w:p>
        </w:tc>
      </w:tr>
      <w:tr w:rsidR="00F34DC9" w:rsidRPr="0055757A" w14:paraId="4543BCA7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5B64CAD" w14:textId="543323DE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b.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Всемирный форум для согласования правил в области транспортных средств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DA8702D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1E4345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115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AB86D62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39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0490D89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76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D991ECD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104 %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63F9D1A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35 %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17AC762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E3FEBBF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21 %</w:t>
            </w:r>
          </w:p>
        </w:tc>
      </w:tr>
      <w:tr w:rsidR="00F34DC9" w:rsidRPr="0055757A" w14:paraId="2DA26692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2A92A55" w14:textId="4ECD5D03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c.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Рабочая группа по перевозкам скоропортящихся пищевых продуктов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EC9ECA6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3887A1D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5C19443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E618D21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F700D12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100 %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8B23C89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88 %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8C93B2B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AEFD3F0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100 %</w:t>
            </w:r>
          </w:p>
        </w:tc>
      </w:tr>
      <w:tr w:rsidR="00F34DC9" w:rsidRPr="0055757A" w14:paraId="5EB5E86E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A45B459" w14:textId="471A69CE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d.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Рабочая группа по перевозкам опасных грузов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F2494D8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96F0C7D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52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43F1882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34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39C3227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18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A3CF6D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76 %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FD61C1A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50 %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400D94E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F9D403B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21 %</w:t>
            </w:r>
          </w:p>
        </w:tc>
      </w:tr>
      <w:tr w:rsidR="00F34DC9" w:rsidRPr="0055757A" w14:paraId="7237A5F7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03A2AB5E" w14:textId="2490E561" w:rsidR="00F34DC9" w:rsidRPr="0055757A" w:rsidRDefault="00F34DC9" w:rsidP="003872B7">
            <w:pPr>
              <w:keepNext/>
              <w:keepLines/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lastRenderedPageBreak/>
              <w:t>e.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Рабочая группа по тенденциям и экономике транспорта и вспомогательные группы экспертов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294DBBD" w14:textId="77777777" w:rsidR="00F34DC9" w:rsidRPr="0055757A" w:rsidRDefault="00F34DC9" w:rsidP="003872B7">
            <w:pPr>
              <w:keepNext/>
              <w:keepLines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3BEAA0A" w14:textId="77777777" w:rsidR="00F34DC9" w:rsidRPr="0055757A" w:rsidRDefault="00F34DC9" w:rsidP="003872B7">
            <w:pPr>
              <w:keepNext/>
              <w:keepLines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48E2D4D" w14:textId="77777777" w:rsidR="00F34DC9" w:rsidRPr="0055757A" w:rsidRDefault="00F34DC9" w:rsidP="003872B7">
            <w:pPr>
              <w:keepNext/>
              <w:keepLines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14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D6CE3ED" w14:textId="77777777" w:rsidR="00F34DC9" w:rsidRPr="0055757A" w:rsidRDefault="00F34DC9" w:rsidP="003872B7">
            <w:pPr>
              <w:keepNext/>
              <w:keepLines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570C5CE" w14:textId="77777777" w:rsidR="00F34DC9" w:rsidRPr="0055757A" w:rsidRDefault="00F34DC9" w:rsidP="003872B7">
            <w:pPr>
              <w:keepNext/>
              <w:keepLines/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91 %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26126FB" w14:textId="77777777" w:rsidR="00F34DC9" w:rsidRPr="0055757A" w:rsidRDefault="00F34DC9" w:rsidP="003872B7">
            <w:pPr>
              <w:keepNext/>
              <w:keepLines/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64 %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4215F66" w14:textId="77777777" w:rsidR="00F34DC9" w:rsidRPr="0055757A" w:rsidRDefault="00F34DC9" w:rsidP="003872B7">
            <w:pPr>
              <w:keepNext/>
              <w:keepLines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F559B67" w14:textId="77777777" w:rsidR="00F34DC9" w:rsidRPr="0055757A" w:rsidRDefault="00F34DC9" w:rsidP="003872B7">
            <w:pPr>
              <w:keepNext/>
              <w:keepLines/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43 %</w:t>
            </w:r>
          </w:p>
        </w:tc>
      </w:tr>
      <w:tr w:rsidR="00F34DC9" w:rsidRPr="0055757A" w14:paraId="7D3D8CE1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BE6F5FB" w14:textId="0767D30B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f.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Рабочая группа по статистике транспорта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67784C3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22CF9DD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27A88FF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1E68643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3B99A33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100 %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25D52B1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33 %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13A4B0A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45D6020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0 %</w:t>
            </w:r>
          </w:p>
        </w:tc>
      </w:tr>
      <w:tr w:rsidR="00F34DC9" w:rsidRPr="0055757A" w14:paraId="7DE8DCEC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D52969A" w14:textId="7310C80F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g.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Рабочая группа по автомобильному транспорту и вспомогательные группы экспертов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46861BF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37AA105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2802558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925635B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A61715A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200 %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74654A0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183 %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0294A2D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B0F8832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36 %</w:t>
            </w:r>
          </w:p>
        </w:tc>
      </w:tr>
      <w:tr w:rsidR="00F34DC9" w:rsidRPr="0055757A" w14:paraId="425F329E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970461D" w14:textId="26A54601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h.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Глобальный форум по безопасности дорожного движения и вспомогательные группы экспертов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33EB475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79DB1E3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7BE32F3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17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6B553D1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55D53F7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171 %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86AF8CE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121 %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AD7DB05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5F9FCAC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12 %</w:t>
            </w:r>
          </w:p>
        </w:tc>
      </w:tr>
      <w:tr w:rsidR="00F34DC9" w:rsidRPr="0055757A" w14:paraId="3846B961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925B2F6" w14:textId="6F545FB2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i.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Рабочая группа по железнодорожному транспорту и вспомогательные группы экспертов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64F5FDC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E1D4240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26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3838E75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26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8FCE610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912B933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433 %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E5794A6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433 %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0EE63D7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4793083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38 %</w:t>
            </w:r>
          </w:p>
        </w:tc>
      </w:tr>
      <w:tr w:rsidR="00F34DC9" w:rsidRPr="0055757A" w14:paraId="2CED47C2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0C428307" w14:textId="6D81ABD9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j.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Рабочая группа по интермодальным перевозкам и логистике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EA94D47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0067D4C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401CB03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3D61C6B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80CDEAF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233 %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0C7A0B0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100 %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56C53DB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7D9E32E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100 %</w:t>
            </w:r>
          </w:p>
        </w:tc>
      </w:tr>
      <w:tr w:rsidR="00F34DC9" w:rsidRPr="0055757A" w14:paraId="40389529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5E6B478" w14:textId="057DF4F4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k.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Рабочая группа по внутреннему водному транспорту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EA6350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94C90A0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955307A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14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43196CF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D73388C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78 %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84D3949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78 %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59B8AF9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B2F4A0C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43 %</w:t>
            </w:r>
          </w:p>
        </w:tc>
      </w:tr>
      <w:tr w:rsidR="00F34DC9" w:rsidRPr="0055757A" w14:paraId="1C5D20B6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5BF27D3" w14:textId="2240594B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l.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Рабочая группа по таможенным вопросам, связанным с транспортом, и вспомогательные группы экспертов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167B301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46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24AEFAD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38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FD9902C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32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87CB709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3869FF2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83 %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EB2F24A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70 %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205BF9A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1942BB2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0 %</w:t>
            </w:r>
          </w:p>
        </w:tc>
      </w:tr>
      <w:tr w:rsidR="00F34DC9" w:rsidRPr="0055757A" w14:paraId="070F7F59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BBCB6D1" w14:textId="4EA9F0E3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5.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b/>
                <w:bCs/>
                <w:sz w:val="18"/>
                <w:szCs w:val="18"/>
              </w:rPr>
              <w:t>Экономический и Социальный Совет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1BE3B7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9FBAE9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7652AA7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F21F5B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4DBB43B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100 %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B9E445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100 %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1B01EF5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CA0920C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26 %</w:t>
            </w:r>
          </w:p>
        </w:tc>
      </w:tr>
      <w:tr w:rsidR="00F34DC9" w:rsidRPr="0055757A" w14:paraId="2DE3F5AD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8953A84" w14:textId="6765EBC9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a.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Комитет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FF2DB35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2D04077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A46089F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BC58B1D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47698B9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4CDCC18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61B9B38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C1E9FC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</w:tr>
      <w:tr w:rsidR="00F34DC9" w:rsidRPr="0055757A" w14:paraId="4EAA89DD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D54AEAA" w14:textId="1FE74486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b.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Подкомитет экспертов по перевозке опасных грузов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4BD67CE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1441E96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25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D55FE51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25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70A282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BB2D3B1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100 %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67010F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100 %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44750CF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EF3EBD1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36 %</w:t>
            </w:r>
          </w:p>
        </w:tc>
      </w:tr>
      <w:tr w:rsidR="00F34DC9" w:rsidRPr="0055757A" w14:paraId="659C2BF7" w14:textId="77777777" w:rsidTr="00132EB7"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F77D46C" w14:textId="5B73852F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c.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sz w:val="18"/>
                <w:szCs w:val="18"/>
              </w:rPr>
              <w:t>Подкомитет экспертов по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31D3E1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3E34F13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25D3C28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55757A"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DD9A379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16123BC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100 %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6A4C7C7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100 %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A90E718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3FE80B3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0 %</w:t>
            </w:r>
          </w:p>
        </w:tc>
      </w:tr>
      <w:tr w:rsidR="00F34DC9" w:rsidRPr="0055757A" w14:paraId="317EC257" w14:textId="77777777" w:rsidTr="00132EB7">
        <w:tc>
          <w:tcPr>
            <w:tcW w:w="212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hideMark/>
          </w:tcPr>
          <w:p w14:paraId="334F93E0" w14:textId="7897FDEF" w:rsidR="00F34DC9" w:rsidRPr="0055757A" w:rsidRDefault="00F34DC9" w:rsidP="003872B7">
            <w:pPr>
              <w:spacing w:before="40" w:after="40" w:line="220" w:lineRule="exact"/>
              <w:ind w:left="227" w:hanging="227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lastRenderedPageBreak/>
              <w:t>6.</w:t>
            </w:r>
            <w:r w:rsidR="003872B7">
              <w:rPr>
                <w:sz w:val="18"/>
                <w:szCs w:val="18"/>
              </w:rPr>
              <w:tab/>
            </w:r>
            <w:r w:rsidRPr="0055757A">
              <w:rPr>
                <w:b/>
                <w:bCs/>
                <w:sz w:val="18"/>
                <w:szCs w:val="18"/>
              </w:rPr>
              <w:t>Совещание высокого уровня по транспорту, окружающей среде и охране здоровья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EE8B67E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0ADC982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6182982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7FD63A7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EE4C838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100 %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9E20248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E7E5A66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605ED784" w14:textId="77777777" w:rsidR="00F34DC9" w:rsidRPr="0055757A" w:rsidRDefault="00F34DC9" w:rsidP="0055757A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55757A">
              <w:rPr>
                <w:b/>
                <w:bCs/>
                <w:sz w:val="18"/>
                <w:szCs w:val="18"/>
              </w:rPr>
              <w:t>0 %</w:t>
            </w:r>
          </w:p>
        </w:tc>
      </w:tr>
    </w:tbl>
    <w:p w14:paraId="66F23FD9" w14:textId="21F3AE35" w:rsidR="00F34DC9" w:rsidRPr="00A418DC" w:rsidRDefault="008C7198" w:rsidP="008C7198">
      <w:pPr>
        <w:pStyle w:val="H23G"/>
      </w:pPr>
      <w:r>
        <w:tab/>
      </w:r>
      <w:r w:rsidR="00F34DC9">
        <w:t>2.</w:t>
      </w:r>
      <w:r w:rsidR="00F34DC9">
        <w:tab/>
        <w:t>Воздействие на совещания групп специалистов (групп экспертов)</w:t>
      </w:r>
    </w:p>
    <w:p w14:paraId="7688432B" w14:textId="3C3A619D" w:rsidR="00F34DC9" w:rsidRPr="00A418DC" w:rsidRDefault="00F34DC9" w:rsidP="008C7198">
      <w:pPr>
        <w:pStyle w:val="SingleTxtG"/>
      </w:pPr>
      <w:r>
        <w:t>19.</w:t>
      </w:r>
      <w:r>
        <w:tab/>
        <w:t xml:space="preserve">Вопрос о созыве совещаний групп экспертов рассматривается в настоящем </w:t>
      </w:r>
      <w:r w:rsidRPr="008C7198">
        <w:rPr>
          <w:spacing w:val="-2"/>
        </w:rPr>
        <w:t>документе отдельно ввиду ограниченных по срокам мандатов этих органов. В таблице 2</w:t>
      </w:r>
      <w:r>
        <w:t xml:space="preserve"> обобщена известная информация о проведении их запланированных совещаний в 2021</w:t>
      </w:r>
      <w:r w:rsidR="008C7198">
        <w:t> </w:t>
      </w:r>
      <w:r>
        <w:t>году, указанных в Приложении III Программы работы на 2021 год  транспортной подпрограммы. Согласно таблице 2, не менее 85 процентов запланированных совещаний, как ожидается, будут проведены в 2021 году с полным устным переводом. Напротив, в 2020 году было проведено менее 30 процентов совещаний, запланированных в соответствии с планами работы групп экспертов.</w:t>
      </w:r>
    </w:p>
    <w:p w14:paraId="6485B291" w14:textId="54041298" w:rsidR="00F34DC9" w:rsidRPr="00FA377A" w:rsidRDefault="00F34DC9" w:rsidP="00F34DC9">
      <w:pPr>
        <w:pStyle w:val="SingleTxtG"/>
        <w:rPr>
          <w:b/>
          <w:bCs/>
          <w:sz w:val="24"/>
          <w:szCs w:val="24"/>
        </w:rPr>
      </w:pPr>
      <w:r>
        <w:t>20.</w:t>
      </w:r>
      <w:r>
        <w:tab/>
        <w:t>Однако для обеспечения такого коэффициент</w:t>
      </w:r>
      <w:r w:rsidR="008C7198">
        <w:t>а</w:t>
      </w:r>
      <w:r>
        <w:t xml:space="preserve"> проведения на сотрудников Отдела были возложены новые обязанности с целью поддержки технического модерирования заседаний со стороны ЮНОГ. В целом ожидается, что 30 процентов заседаний групп экспертов с устным переводом будут технически модерироваться сотрудниками Отдела несмотря на то, что это требование было введено в действие только в последней трети (сентябрь </w:t>
      </w:r>
      <w:r w:rsidR="008C7198">
        <w:t>—</w:t>
      </w:r>
      <w:r>
        <w:t xml:space="preserve"> декабрь) 2021 года. </w:t>
      </w:r>
    </w:p>
    <w:p w14:paraId="0CE4E7C2" w14:textId="347402E0" w:rsidR="00F34DC9" w:rsidRPr="00A418DC" w:rsidRDefault="00F34DC9" w:rsidP="008C7198">
      <w:pPr>
        <w:pStyle w:val="H23G"/>
        <w:ind w:left="0" w:firstLine="0"/>
      </w:pPr>
      <w:r w:rsidRPr="008C7198">
        <w:rPr>
          <w:b w:val="0"/>
          <w:bCs/>
        </w:rPr>
        <w:t>Таблица 2</w:t>
      </w:r>
      <w:r w:rsidR="008C7198">
        <w:br/>
      </w:r>
      <w:r w:rsidRPr="008C7198">
        <w:t>Воздействие COVID-19 и кризиса ликвидности на совещания групп экспертов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56"/>
        <w:gridCol w:w="630"/>
        <w:gridCol w:w="812"/>
        <w:gridCol w:w="909"/>
        <w:gridCol w:w="992"/>
        <w:gridCol w:w="992"/>
        <w:gridCol w:w="992"/>
        <w:gridCol w:w="1132"/>
      </w:tblGrid>
      <w:tr w:rsidR="00A64BF7" w:rsidRPr="008C7198" w14:paraId="50E7F1C1" w14:textId="77777777" w:rsidTr="003872B7">
        <w:trPr>
          <w:tblHeader/>
        </w:trPr>
        <w:tc>
          <w:tcPr>
            <w:tcW w:w="242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49BC76E" w14:textId="77777777" w:rsidR="00F34DC9" w:rsidRPr="008C7198" w:rsidRDefault="00F34DC9" w:rsidP="00F34DC9">
            <w:pPr>
              <w:suppressAutoHyphens w:val="0"/>
              <w:spacing w:before="80" w:after="80" w:line="200" w:lineRule="exact"/>
              <w:rPr>
                <w:bCs/>
                <w:i/>
                <w:iCs/>
                <w:sz w:val="16"/>
                <w:szCs w:val="16"/>
              </w:rPr>
            </w:pPr>
            <w:r w:rsidRPr="008C7198">
              <w:rPr>
                <w:i/>
                <w:iCs/>
                <w:sz w:val="16"/>
                <w:szCs w:val="16"/>
              </w:rPr>
              <w:t>Совещания Группы экспертов (ECE/TRANS/2021/8)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73EAB84" w14:textId="717BE1AD" w:rsidR="00F34DC9" w:rsidRPr="008C7198" w:rsidRDefault="00F34DC9" w:rsidP="00F34DC9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C7198">
              <w:rPr>
                <w:i/>
                <w:iCs/>
                <w:sz w:val="16"/>
                <w:szCs w:val="16"/>
              </w:rPr>
              <w:t xml:space="preserve">2021 год </w:t>
            </w:r>
            <w:r w:rsidR="00A64BF7">
              <w:rPr>
                <w:i/>
                <w:iCs/>
                <w:sz w:val="16"/>
                <w:szCs w:val="16"/>
              </w:rPr>
              <w:br/>
            </w:r>
            <w:r w:rsidRPr="008C7198">
              <w:rPr>
                <w:i/>
                <w:iCs/>
                <w:sz w:val="16"/>
                <w:szCs w:val="16"/>
              </w:rPr>
              <w:t xml:space="preserve">запланированные </w:t>
            </w:r>
            <w:r w:rsidR="00A64BF7">
              <w:rPr>
                <w:i/>
                <w:iCs/>
                <w:sz w:val="16"/>
                <w:szCs w:val="16"/>
              </w:rPr>
              <w:br/>
            </w:r>
            <w:r w:rsidRPr="008C7198">
              <w:rPr>
                <w:i/>
                <w:iCs/>
                <w:sz w:val="16"/>
                <w:szCs w:val="16"/>
              </w:rPr>
              <w:t>(a)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2A46B7A7" w14:textId="664B4AA7" w:rsidR="00F34DC9" w:rsidRPr="008C7198" w:rsidRDefault="00F34DC9" w:rsidP="00F34DC9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C7198">
              <w:rPr>
                <w:i/>
                <w:iCs/>
                <w:sz w:val="16"/>
                <w:szCs w:val="16"/>
              </w:rPr>
              <w:t xml:space="preserve">2021 год </w:t>
            </w:r>
            <w:r w:rsidR="00A64BF7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8C7198">
              <w:rPr>
                <w:i/>
                <w:iCs/>
                <w:sz w:val="16"/>
                <w:szCs w:val="16"/>
              </w:rPr>
              <w:t>факти</w:t>
            </w:r>
            <w:r w:rsidR="00A64BF7">
              <w:rPr>
                <w:i/>
                <w:iCs/>
                <w:sz w:val="16"/>
                <w:szCs w:val="16"/>
              </w:rPr>
              <w:t>-</w:t>
            </w:r>
            <w:r w:rsidRPr="008C7198">
              <w:rPr>
                <w:i/>
                <w:iCs/>
                <w:sz w:val="16"/>
                <w:szCs w:val="16"/>
              </w:rPr>
              <w:t>ческие</w:t>
            </w:r>
            <w:proofErr w:type="spellEnd"/>
            <w:r w:rsidRPr="008C7198">
              <w:rPr>
                <w:i/>
                <w:iCs/>
                <w:sz w:val="16"/>
                <w:szCs w:val="16"/>
              </w:rPr>
              <w:t xml:space="preserve"> </w:t>
            </w:r>
            <w:r w:rsidR="00A64BF7">
              <w:rPr>
                <w:i/>
                <w:iCs/>
                <w:sz w:val="16"/>
                <w:szCs w:val="16"/>
              </w:rPr>
              <w:br/>
            </w:r>
            <w:r w:rsidRPr="008C7198">
              <w:rPr>
                <w:i/>
                <w:iCs/>
                <w:sz w:val="16"/>
                <w:szCs w:val="16"/>
              </w:rPr>
              <w:t>(b)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6004D31" w14:textId="43D7AF75" w:rsidR="00F34DC9" w:rsidRPr="008C7198" w:rsidRDefault="00F34DC9" w:rsidP="00F34DC9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C7198">
              <w:rPr>
                <w:i/>
                <w:iCs/>
                <w:sz w:val="16"/>
                <w:szCs w:val="16"/>
              </w:rPr>
              <w:t xml:space="preserve">С устным </w:t>
            </w:r>
            <w:r w:rsidR="00A64BF7">
              <w:rPr>
                <w:i/>
                <w:iCs/>
                <w:sz w:val="16"/>
                <w:szCs w:val="16"/>
              </w:rPr>
              <w:br/>
            </w:r>
            <w:r w:rsidRPr="008C7198">
              <w:rPr>
                <w:i/>
                <w:iCs/>
                <w:sz w:val="16"/>
                <w:szCs w:val="16"/>
              </w:rPr>
              <w:t xml:space="preserve">переводом </w:t>
            </w:r>
            <w:r w:rsidR="00A64BF7">
              <w:rPr>
                <w:i/>
                <w:iCs/>
                <w:sz w:val="16"/>
                <w:szCs w:val="16"/>
              </w:rPr>
              <w:br/>
            </w:r>
            <w:r w:rsidRPr="008C7198">
              <w:rPr>
                <w:i/>
                <w:iCs/>
                <w:sz w:val="16"/>
                <w:szCs w:val="16"/>
              </w:rPr>
              <w:t>(c)*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E549B" w14:textId="01E14D48" w:rsidR="00F34DC9" w:rsidRPr="00A64BF7" w:rsidRDefault="00F34DC9" w:rsidP="00F34DC9">
            <w:pPr>
              <w:suppressAutoHyphens w:val="0"/>
              <w:spacing w:before="80" w:after="80" w:line="200" w:lineRule="exact"/>
              <w:ind w:right="57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64BF7">
              <w:rPr>
                <w:i/>
                <w:iCs/>
                <w:sz w:val="16"/>
                <w:szCs w:val="16"/>
              </w:rPr>
              <w:t xml:space="preserve">Без устного перевода </w:t>
            </w:r>
            <w:r w:rsidR="00A64BF7" w:rsidRPr="00A64BF7">
              <w:rPr>
                <w:i/>
                <w:iCs/>
                <w:sz w:val="16"/>
                <w:szCs w:val="16"/>
              </w:rPr>
              <w:br/>
            </w:r>
            <w:r w:rsidRPr="00A64BF7">
              <w:rPr>
                <w:i/>
                <w:iCs/>
                <w:sz w:val="16"/>
                <w:szCs w:val="16"/>
              </w:rPr>
              <w:t>(d)*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9205EE7" w14:textId="4584F602" w:rsidR="00F34DC9" w:rsidRPr="008C7198" w:rsidRDefault="00F34DC9" w:rsidP="00F34DC9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C7198">
              <w:rPr>
                <w:i/>
                <w:iCs/>
                <w:sz w:val="16"/>
                <w:szCs w:val="16"/>
              </w:rPr>
              <w:t xml:space="preserve">Процент </w:t>
            </w:r>
            <w:r w:rsidR="00A64BF7">
              <w:rPr>
                <w:i/>
                <w:iCs/>
                <w:sz w:val="16"/>
                <w:szCs w:val="16"/>
              </w:rPr>
              <w:br/>
            </w:r>
            <w:r w:rsidRPr="008C7198">
              <w:rPr>
                <w:i/>
                <w:iCs/>
                <w:sz w:val="16"/>
                <w:szCs w:val="16"/>
              </w:rPr>
              <w:t>проведенных (e)=(b)/(a)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59E47" w14:textId="4A793F97" w:rsidR="00F34DC9" w:rsidRPr="008C7198" w:rsidRDefault="00F34DC9" w:rsidP="00A64BF7">
            <w:pPr>
              <w:suppressAutoHyphens w:val="0"/>
              <w:spacing w:before="80" w:after="80" w:line="200" w:lineRule="exact"/>
              <w:ind w:right="57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C7198">
              <w:rPr>
                <w:i/>
                <w:iCs/>
                <w:sz w:val="16"/>
                <w:szCs w:val="16"/>
              </w:rPr>
              <w:t xml:space="preserve">Процент </w:t>
            </w:r>
            <w:r w:rsidR="00A64BF7">
              <w:rPr>
                <w:i/>
                <w:iCs/>
                <w:sz w:val="16"/>
                <w:szCs w:val="16"/>
              </w:rPr>
              <w:br/>
            </w:r>
            <w:r w:rsidRPr="008C7198">
              <w:rPr>
                <w:i/>
                <w:iCs/>
                <w:sz w:val="16"/>
                <w:szCs w:val="16"/>
              </w:rPr>
              <w:t xml:space="preserve">проведенных </w:t>
            </w:r>
            <w:r w:rsidR="00A64BF7">
              <w:rPr>
                <w:i/>
                <w:iCs/>
                <w:sz w:val="16"/>
                <w:szCs w:val="16"/>
              </w:rPr>
              <w:br/>
            </w:r>
            <w:r w:rsidRPr="008C7198">
              <w:rPr>
                <w:i/>
                <w:iCs/>
                <w:sz w:val="16"/>
                <w:szCs w:val="16"/>
              </w:rPr>
              <w:t xml:space="preserve">с устным </w:t>
            </w:r>
            <w:r w:rsidR="00A64BF7">
              <w:rPr>
                <w:i/>
                <w:iCs/>
                <w:sz w:val="16"/>
                <w:szCs w:val="16"/>
              </w:rPr>
              <w:br/>
            </w:r>
            <w:r w:rsidRPr="008C7198">
              <w:rPr>
                <w:i/>
                <w:iCs/>
                <w:sz w:val="16"/>
                <w:szCs w:val="16"/>
              </w:rPr>
              <w:t>переводом (f)=(c)/(a)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8F60C3D" w14:textId="6EC272F0" w:rsidR="00F34DC9" w:rsidRPr="008C7198" w:rsidRDefault="00F34DC9" w:rsidP="00F34DC9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C7198">
              <w:rPr>
                <w:i/>
                <w:iCs/>
                <w:sz w:val="16"/>
                <w:szCs w:val="16"/>
              </w:rPr>
              <w:t xml:space="preserve">Заседания </w:t>
            </w:r>
            <w:r w:rsidR="00A64BF7">
              <w:rPr>
                <w:i/>
                <w:iCs/>
                <w:sz w:val="16"/>
                <w:szCs w:val="16"/>
              </w:rPr>
              <w:br/>
            </w:r>
            <w:r w:rsidRPr="008C7198">
              <w:rPr>
                <w:i/>
                <w:iCs/>
                <w:sz w:val="16"/>
                <w:szCs w:val="16"/>
              </w:rPr>
              <w:t>с</w:t>
            </w:r>
            <w:r w:rsidR="00A64BF7">
              <w:rPr>
                <w:i/>
                <w:iCs/>
                <w:sz w:val="16"/>
                <w:szCs w:val="16"/>
              </w:rPr>
              <w:t> </w:t>
            </w:r>
            <w:r w:rsidRPr="008C7198">
              <w:rPr>
                <w:i/>
                <w:iCs/>
                <w:sz w:val="16"/>
                <w:szCs w:val="16"/>
              </w:rPr>
              <w:t xml:space="preserve">устным </w:t>
            </w:r>
            <w:r w:rsidR="00A64BF7">
              <w:rPr>
                <w:i/>
                <w:iCs/>
                <w:sz w:val="16"/>
                <w:szCs w:val="16"/>
              </w:rPr>
              <w:br/>
            </w:r>
            <w:r w:rsidRPr="008C7198">
              <w:rPr>
                <w:i/>
                <w:iCs/>
                <w:sz w:val="16"/>
                <w:szCs w:val="16"/>
              </w:rPr>
              <w:t>переводом с модераторами ОУТ (g)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2408982" w14:textId="77777777" w:rsidR="00F34DC9" w:rsidRPr="008C7198" w:rsidRDefault="00F34DC9" w:rsidP="00F34DC9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C7198">
              <w:rPr>
                <w:i/>
                <w:iCs/>
                <w:sz w:val="16"/>
                <w:szCs w:val="16"/>
              </w:rPr>
              <w:t>Доля заседаний, проведенных при модерировании ОУТ (h)=(g)/(c)</w:t>
            </w:r>
          </w:p>
        </w:tc>
      </w:tr>
      <w:tr w:rsidR="00A64BF7" w:rsidRPr="00A64BF7" w14:paraId="66D2BE6D" w14:textId="77777777" w:rsidTr="003872B7">
        <w:tc>
          <w:tcPr>
            <w:tcW w:w="242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hideMark/>
          </w:tcPr>
          <w:p w14:paraId="6D32556C" w14:textId="77777777" w:rsidR="00F34DC9" w:rsidRPr="00A64BF7" w:rsidRDefault="00F34DC9" w:rsidP="003872B7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A64BF7">
              <w:rPr>
                <w:b/>
                <w:bCs/>
                <w:sz w:val="18"/>
                <w:szCs w:val="18"/>
              </w:rPr>
              <w:t>Группа экспертов по единому железнодорожному праву</w:t>
            </w:r>
            <w:r w:rsidRPr="00A64B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F04080C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8B578EC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4ECB0EF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C60F9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830E103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100 %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FE8B" w14:textId="77777777" w:rsidR="00F34DC9" w:rsidRPr="00A64BF7" w:rsidRDefault="00F34DC9" w:rsidP="00A64BF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100 %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A15D4CA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2912F5D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0 %</w:t>
            </w:r>
          </w:p>
        </w:tc>
      </w:tr>
      <w:tr w:rsidR="00A64BF7" w:rsidRPr="00A64BF7" w14:paraId="59B68AFC" w14:textId="77777777" w:rsidTr="003872B7">
        <w:tc>
          <w:tcPr>
            <w:tcW w:w="2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DE04BEA" w14:textId="3B5E6A7F" w:rsidR="00F34DC9" w:rsidRPr="00A64BF7" w:rsidRDefault="00F34DC9" w:rsidP="003872B7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A64BF7">
              <w:rPr>
                <w:b/>
                <w:bCs/>
                <w:sz w:val="18"/>
                <w:szCs w:val="18"/>
              </w:rPr>
              <w:t>Группа экспертов по постоянной идентификации железнодорожного подвижного состава</w:t>
            </w:r>
            <w:r w:rsidRPr="00A64B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0CD348F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B664903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E0BC39E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C61D7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722159F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50 %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46E86" w14:textId="77777777" w:rsidR="00F34DC9" w:rsidRPr="00A64BF7" w:rsidRDefault="00F34DC9" w:rsidP="00A64BF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33 %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C30C486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5F02B36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100 %</w:t>
            </w:r>
          </w:p>
        </w:tc>
      </w:tr>
      <w:tr w:rsidR="00A64BF7" w:rsidRPr="00A64BF7" w14:paraId="1CBDA245" w14:textId="77777777" w:rsidTr="003872B7">
        <w:tc>
          <w:tcPr>
            <w:tcW w:w="2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AFED39E" w14:textId="77777777" w:rsidR="00F34DC9" w:rsidRPr="00A64BF7" w:rsidRDefault="00F34DC9" w:rsidP="003872B7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A64BF7">
              <w:rPr>
                <w:b/>
                <w:bCs/>
                <w:sz w:val="18"/>
                <w:szCs w:val="18"/>
              </w:rPr>
              <w:t>Группа экспертов по международным узлам железнодорожных пассажирских перевозок</w:t>
            </w:r>
            <w:r w:rsidRPr="00A64B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D0927B8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3459715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FC1E748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28927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3E46865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75 %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5D29F" w14:textId="77777777" w:rsidR="00F34DC9" w:rsidRPr="00A64BF7" w:rsidRDefault="00F34DC9" w:rsidP="00A64BF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75 %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4EDCED7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224E6F8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67 %</w:t>
            </w:r>
          </w:p>
        </w:tc>
      </w:tr>
      <w:tr w:rsidR="00A64BF7" w:rsidRPr="00A64BF7" w14:paraId="788BCE33" w14:textId="77777777" w:rsidTr="003872B7">
        <w:tc>
          <w:tcPr>
            <w:tcW w:w="2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206F34E" w14:textId="77777777" w:rsidR="00F34DC9" w:rsidRPr="00A64BF7" w:rsidRDefault="00F34DC9" w:rsidP="003872B7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A64BF7">
              <w:rPr>
                <w:b/>
                <w:bCs/>
                <w:sz w:val="18"/>
                <w:szCs w:val="18"/>
              </w:rPr>
              <w:t>Группа экспертов по ЕСТР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FB0C0B1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ADD1979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F270243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E8CDF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5BF1A43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100 %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F283F" w14:textId="77777777" w:rsidR="00F34DC9" w:rsidRPr="00A64BF7" w:rsidRDefault="00F34DC9" w:rsidP="00A64BF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100 %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097E3A8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E059E04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33 %</w:t>
            </w:r>
          </w:p>
        </w:tc>
      </w:tr>
      <w:tr w:rsidR="00A64BF7" w:rsidRPr="00A64BF7" w14:paraId="35D3F249" w14:textId="77777777" w:rsidTr="003872B7">
        <w:tc>
          <w:tcPr>
            <w:tcW w:w="2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672770F" w14:textId="77777777" w:rsidR="00F34DC9" w:rsidRPr="00A64BF7" w:rsidRDefault="00F34DC9" w:rsidP="003872B7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A64BF7">
              <w:rPr>
                <w:b/>
                <w:bCs/>
                <w:sz w:val="18"/>
                <w:szCs w:val="18"/>
              </w:rPr>
              <w:t>Группа экспертов по дорожным знакам и сигналам</w:t>
            </w:r>
            <w:r w:rsidRPr="00A64B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04E5018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76373CC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D5E331A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B25B2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F41C873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100 %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3B2C1" w14:textId="77777777" w:rsidR="00F34DC9" w:rsidRPr="00A64BF7" w:rsidRDefault="00F34DC9" w:rsidP="00A64BF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100 %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DDD5AD3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FF219C8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0 %</w:t>
            </w:r>
          </w:p>
        </w:tc>
      </w:tr>
      <w:tr w:rsidR="00A64BF7" w:rsidRPr="00A64BF7" w14:paraId="0270A85D" w14:textId="77777777" w:rsidTr="003872B7">
        <w:tc>
          <w:tcPr>
            <w:tcW w:w="2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F02B243" w14:textId="77777777" w:rsidR="00F34DC9" w:rsidRPr="00A64BF7" w:rsidRDefault="00F34DC9" w:rsidP="003872B7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A64BF7">
              <w:rPr>
                <w:b/>
                <w:bCs/>
                <w:sz w:val="18"/>
                <w:szCs w:val="18"/>
              </w:rPr>
              <w:t>Группа экспертов по новому правовому документу по автоматизированным транспортным средствам в условиях дорожного движения</w:t>
            </w:r>
            <w:r w:rsidRPr="00A64B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57D82B7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B0C802B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99DDBB9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3037A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6A92CCD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67 %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60E7" w14:textId="77777777" w:rsidR="00F34DC9" w:rsidRPr="00A64BF7" w:rsidRDefault="00F34DC9" w:rsidP="00A64BF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67 %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F1A731A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4BEAFF1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50 %</w:t>
            </w:r>
          </w:p>
        </w:tc>
      </w:tr>
      <w:tr w:rsidR="00A64BF7" w:rsidRPr="00A64BF7" w14:paraId="1B906BB4" w14:textId="77777777" w:rsidTr="003872B7">
        <w:tc>
          <w:tcPr>
            <w:tcW w:w="2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6F7BC45" w14:textId="77777777" w:rsidR="00F34DC9" w:rsidRPr="00A64BF7" w:rsidRDefault="00F34DC9" w:rsidP="003872B7">
            <w:pPr>
              <w:keepNext/>
              <w:keepLines/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A64BF7">
              <w:rPr>
                <w:b/>
                <w:bCs/>
                <w:sz w:val="18"/>
                <w:szCs w:val="18"/>
              </w:rPr>
              <w:lastRenderedPageBreak/>
              <w:t>Группа экспертов по сопоставительному анализу затрат на строительство транспортной инфраструктуры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8FE7DA8" w14:textId="77777777" w:rsidR="00F34DC9" w:rsidRPr="00A64BF7" w:rsidRDefault="00F34DC9" w:rsidP="003872B7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62777AA" w14:textId="77777777" w:rsidR="00F34DC9" w:rsidRPr="00A64BF7" w:rsidRDefault="00F34DC9" w:rsidP="003872B7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326823C" w14:textId="77777777" w:rsidR="00F34DC9" w:rsidRPr="00A64BF7" w:rsidRDefault="00F34DC9" w:rsidP="003872B7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F0A98" w14:textId="77777777" w:rsidR="00F34DC9" w:rsidRPr="00A64BF7" w:rsidRDefault="00F34DC9" w:rsidP="003872B7">
            <w:pPr>
              <w:keepNext/>
              <w:keepLines/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426380B" w14:textId="77777777" w:rsidR="00F34DC9" w:rsidRPr="00A64BF7" w:rsidRDefault="00F34DC9" w:rsidP="003872B7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75 %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0DB22" w14:textId="77777777" w:rsidR="00F34DC9" w:rsidRPr="00A64BF7" w:rsidRDefault="00F34DC9" w:rsidP="003872B7">
            <w:pPr>
              <w:keepNext/>
              <w:keepLines/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75 %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82378BA" w14:textId="77777777" w:rsidR="00F34DC9" w:rsidRPr="00A64BF7" w:rsidRDefault="00F34DC9" w:rsidP="003872B7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3DB3516" w14:textId="77777777" w:rsidR="00F34DC9" w:rsidRPr="00A64BF7" w:rsidRDefault="00F34DC9" w:rsidP="003872B7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50 %</w:t>
            </w:r>
          </w:p>
        </w:tc>
      </w:tr>
      <w:tr w:rsidR="00A64BF7" w:rsidRPr="00A64BF7" w14:paraId="7D1000C0" w14:textId="77777777" w:rsidTr="003872B7">
        <w:tc>
          <w:tcPr>
            <w:tcW w:w="2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0E80A2A6" w14:textId="025AEB68" w:rsidR="00F34DC9" w:rsidRPr="00A64BF7" w:rsidRDefault="00F34DC9" w:rsidP="003872B7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A64BF7">
              <w:rPr>
                <w:b/>
                <w:bCs/>
                <w:sz w:val="18"/>
                <w:szCs w:val="18"/>
              </w:rPr>
              <w:t>Группа экспертов по оценке последствий изменения климата для внутреннего транспорта и адаптации к</w:t>
            </w:r>
            <w:r w:rsidR="003872B7">
              <w:rPr>
                <w:b/>
                <w:bCs/>
                <w:sz w:val="18"/>
                <w:szCs w:val="18"/>
              </w:rPr>
              <w:t> </w:t>
            </w:r>
            <w:r w:rsidRPr="00A64BF7">
              <w:rPr>
                <w:b/>
                <w:bCs/>
                <w:sz w:val="18"/>
                <w:szCs w:val="18"/>
              </w:rPr>
              <w:t>ним</w:t>
            </w:r>
            <w:r w:rsidRPr="00A64B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7EC6E01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44502F1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68EA4A7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F70FC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7AE56FB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100 %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B9015" w14:textId="77777777" w:rsidR="00F34DC9" w:rsidRPr="00A64BF7" w:rsidRDefault="00F34DC9" w:rsidP="00A64BF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25 %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BE3589C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BCB307D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0 %</w:t>
            </w:r>
          </w:p>
        </w:tc>
      </w:tr>
      <w:tr w:rsidR="00A64BF7" w:rsidRPr="00A64BF7" w14:paraId="3BE22150" w14:textId="77777777" w:rsidTr="003872B7">
        <w:tc>
          <w:tcPr>
            <w:tcW w:w="24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14:paraId="69F9C1AE" w14:textId="77777777" w:rsidR="00F34DC9" w:rsidRPr="00A64BF7" w:rsidRDefault="00F34DC9" w:rsidP="003872B7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A64BF7">
              <w:rPr>
                <w:b/>
                <w:bCs/>
                <w:sz w:val="18"/>
                <w:szCs w:val="18"/>
              </w:rPr>
              <w:t>Группа экспертов по концептуальным и техническим аспектам компьютеризации процедуры МДП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881AD6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7A496D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22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5FB197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17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CC346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4C30F7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367 %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F5A15" w14:textId="77777777" w:rsidR="00F34DC9" w:rsidRPr="00A64BF7" w:rsidRDefault="00F34DC9" w:rsidP="00A64BF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283 %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2FB61C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6A523F" w14:textId="77777777" w:rsidR="00F34DC9" w:rsidRPr="00A64BF7" w:rsidRDefault="00F34DC9" w:rsidP="00F34DC9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A64BF7">
              <w:rPr>
                <w:sz w:val="18"/>
                <w:szCs w:val="18"/>
              </w:rPr>
              <w:t>0 %</w:t>
            </w:r>
          </w:p>
        </w:tc>
      </w:tr>
      <w:tr w:rsidR="00A64BF7" w:rsidRPr="003872B7" w14:paraId="3D85B8D8" w14:textId="77777777" w:rsidTr="003872B7">
        <w:tc>
          <w:tcPr>
            <w:tcW w:w="2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6D24DF83" w14:textId="4382AA15" w:rsidR="00F34DC9" w:rsidRPr="003872B7" w:rsidRDefault="003872B7" w:rsidP="003872B7">
            <w:pPr>
              <w:spacing w:before="80" w:after="80" w:line="220" w:lineRule="exact"/>
              <w:ind w:left="283"/>
              <w:rPr>
                <w:b/>
                <w:sz w:val="18"/>
                <w:szCs w:val="18"/>
              </w:rPr>
            </w:pPr>
            <w:r w:rsidRPr="003872B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9FA28C" w14:textId="77777777" w:rsidR="00F34DC9" w:rsidRPr="003872B7" w:rsidRDefault="00F34DC9" w:rsidP="003872B7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872B7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2B9560" w14:textId="77777777" w:rsidR="00F34DC9" w:rsidRPr="003872B7" w:rsidRDefault="00F34DC9" w:rsidP="003872B7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872B7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0E466A" w14:textId="77777777" w:rsidR="00F34DC9" w:rsidRPr="003872B7" w:rsidRDefault="00F34DC9" w:rsidP="003872B7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872B7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0F60" w14:textId="77777777" w:rsidR="00F34DC9" w:rsidRPr="003872B7" w:rsidRDefault="00F34DC9" w:rsidP="003872B7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872B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B4A988F" w14:textId="77777777" w:rsidR="00F34DC9" w:rsidRPr="003872B7" w:rsidRDefault="00F34DC9" w:rsidP="003872B7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872B7">
              <w:rPr>
                <w:b/>
                <w:sz w:val="18"/>
                <w:szCs w:val="18"/>
              </w:rPr>
              <w:t>104 %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B991C" w14:textId="77777777" w:rsidR="00F34DC9" w:rsidRPr="003872B7" w:rsidRDefault="00F34DC9" w:rsidP="003872B7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872B7">
              <w:rPr>
                <w:b/>
                <w:sz w:val="18"/>
                <w:szCs w:val="18"/>
              </w:rPr>
              <w:t>85 %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BDCE6B" w14:textId="77777777" w:rsidR="00F34DC9" w:rsidRPr="003872B7" w:rsidRDefault="00F34DC9" w:rsidP="003872B7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872B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4A4B378" w14:textId="77777777" w:rsidR="00F34DC9" w:rsidRPr="003872B7" w:rsidRDefault="00F34DC9" w:rsidP="003872B7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</w:rPr>
            </w:pPr>
            <w:r w:rsidRPr="003872B7">
              <w:rPr>
                <w:b/>
                <w:sz w:val="18"/>
                <w:szCs w:val="18"/>
              </w:rPr>
              <w:t>30 %</w:t>
            </w:r>
          </w:p>
        </w:tc>
      </w:tr>
    </w:tbl>
    <w:p w14:paraId="4E10FD6D" w14:textId="7505954C" w:rsidR="00F34DC9" w:rsidRDefault="003872B7" w:rsidP="003872B7">
      <w:pPr>
        <w:pStyle w:val="H1G"/>
      </w:pPr>
      <w:r>
        <w:tab/>
      </w:r>
      <w:r w:rsidR="00F34DC9">
        <w:t>B.</w:t>
      </w:r>
      <w:r w:rsidR="00F34DC9">
        <w:tab/>
        <w:t xml:space="preserve">Воздействие на документы </w:t>
      </w:r>
    </w:p>
    <w:p w14:paraId="7CD718F5" w14:textId="77777777" w:rsidR="00F34DC9" w:rsidRPr="00A418DC" w:rsidRDefault="00F34DC9" w:rsidP="00F34DC9">
      <w:pPr>
        <w:pStyle w:val="SingleTxtG"/>
      </w:pPr>
      <w:r>
        <w:t>21.</w:t>
      </w:r>
      <w:r>
        <w:tab/>
        <w:t xml:space="preserve">На момент подготовки настоящей записки ожидается, что совокупное воздействие COVID-19 и кризиса ликвидности на подготовку документов будет значительно меньше, чем в 2020 году. Ожидается, что 93 процента запланированных документов будут выпущены в 2021 году (см. таблицу 3). Напротив, коэффициент выпуска в 2020 году составил менее 70 процентов. </w:t>
      </w:r>
    </w:p>
    <w:p w14:paraId="173E5220" w14:textId="122A49F7" w:rsidR="00F34DC9" w:rsidRPr="003872B7" w:rsidRDefault="003872B7" w:rsidP="003872B7">
      <w:pPr>
        <w:pStyle w:val="H23G"/>
        <w:ind w:left="0" w:firstLine="0"/>
      </w:pPr>
      <w:r>
        <w:tab/>
      </w:r>
      <w:r w:rsidR="00F34DC9" w:rsidRPr="003872B7">
        <w:rPr>
          <w:b w:val="0"/>
          <w:bCs/>
        </w:rPr>
        <w:t xml:space="preserve">Таблица 3 </w:t>
      </w:r>
      <w:r>
        <w:br/>
      </w:r>
      <w:r w:rsidR="00F34DC9" w:rsidRPr="003872B7">
        <w:t>Воздействие COVID-19 и кризиса ликвидности на документы подпрограммы по транспорту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9"/>
        <w:gridCol w:w="1224"/>
        <w:gridCol w:w="980"/>
        <w:gridCol w:w="1224"/>
      </w:tblGrid>
      <w:tr w:rsidR="00F34DC9" w:rsidRPr="003872B7" w14:paraId="75F97BC6" w14:textId="77777777" w:rsidTr="00913079">
        <w:trPr>
          <w:tblHeader/>
        </w:trPr>
        <w:tc>
          <w:tcPr>
            <w:tcW w:w="62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4CE14714" w14:textId="77777777" w:rsidR="00F34DC9" w:rsidRPr="003872B7" w:rsidRDefault="00F34DC9" w:rsidP="00F34DC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  <w:lang w:eastAsia="zh-CN"/>
              </w:rPr>
            </w:pPr>
            <w:r w:rsidRPr="003872B7">
              <w:rPr>
                <w:i/>
                <w:i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9709F9B" w14:textId="40FC396F" w:rsidR="00F34DC9" w:rsidRPr="003872B7" w:rsidRDefault="00F34DC9" w:rsidP="00F34DC9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2B7">
              <w:rPr>
                <w:i/>
                <w:iCs/>
                <w:sz w:val="16"/>
                <w:szCs w:val="16"/>
              </w:rPr>
              <w:t xml:space="preserve">2021 год </w:t>
            </w:r>
            <w:r w:rsidR="00913079">
              <w:rPr>
                <w:i/>
                <w:iCs/>
                <w:sz w:val="16"/>
                <w:szCs w:val="16"/>
              </w:rPr>
              <w:br/>
            </w:r>
            <w:r w:rsidRPr="003872B7">
              <w:rPr>
                <w:i/>
                <w:iCs/>
                <w:sz w:val="16"/>
                <w:szCs w:val="16"/>
              </w:rPr>
              <w:t>запланированные (a)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0A7F93D" w14:textId="4288E853" w:rsidR="00F34DC9" w:rsidRPr="003872B7" w:rsidRDefault="00F34DC9" w:rsidP="00F34DC9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2B7">
              <w:rPr>
                <w:i/>
                <w:iCs/>
                <w:sz w:val="16"/>
                <w:szCs w:val="16"/>
              </w:rPr>
              <w:t xml:space="preserve">2021 год </w:t>
            </w:r>
            <w:r w:rsidR="00913079">
              <w:rPr>
                <w:i/>
                <w:iCs/>
                <w:sz w:val="16"/>
                <w:szCs w:val="16"/>
              </w:rPr>
              <w:br/>
            </w:r>
            <w:r w:rsidRPr="003872B7">
              <w:rPr>
                <w:i/>
                <w:iCs/>
                <w:sz w:val="16"/>
                <w:szCs w:val="16"/>
              </w:rPr>
              <w:t>фактические (оценка) (b)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771183C8" w14:textId="77777777" w:rsidR="00F34DC9" w:rsidRPr="003872B7" w:rsidRDefault="00F34DC9" w:rsidP="00F34DC9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2B7">
              <w:rPr>
                <w:i/>
                <w:iCs/>
                <w:sz w:val="16"/>
                <w:szCs w:val="16"/>
              </w:rPr>
              <w:t>% Выпуск (b)/(a)</w:t>
            </w:r>
          </w:p>
        </w:tc>
      </w:tr>
      <w:tr w:rsidR="00F34DC9" w:rsidRPr="00913079" w14:paraId="2BB93A5D" w14:textId="77777777" w:rsidTr="00913079">
        <w:tc>
          <w:tcPr>
            <w:tcW w:w="62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F0E5F53" w14:textId="1FCD0FF3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A.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b/>
                <w:bCs/>
                <w:sz w:val="18"/>
                <w:szCs w:val="18"/>
              </w:rPr>
              <w:t>Содействие межправительственному процессу и работе экспертных органов</w:t>
            </w:r>
          </w:p>
        </w:tc>
        <w:tc>
          <w:tcPr>
            <w:tcW w:w="122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56BF1DB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92A3E64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4A86861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</w:tr>
      <w:tr w:rsidR="00F34DC9" w:rsidRPr="00913079" w14:paraId="4EC74153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C00D58D" w14:textId="65716419" w:rsidR="00F34DC9" w:rsidRPr="00913079" w:rsidRDefault="00F34DC9" w:rsidP="00AD5DBA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Документация для заседающих органов</w:t>
            </w:r>
            <w:r w:rsidRPr="00786AF8">
              <w:rPr>
                <w:sz w:val="18"/>
                <w:szCs w:val="18"/>
              </w:rPr>
              <w:t xml:space="preserve"> (количество документов, по</w:t>
            </w:r>
            <w:r w:rsidR="00913079" w:rsidRPr="00786AF8">
              <w:rPr>
                <w:sz w:val="18"/>
                <w:szCs w:val="18"/>
              </w:rPr>
              <w:t> </w:t>
            </w:r>
            <w:r w:rsidRPr="00786AF8">
              <w:rPr>
                <w:sz w:val="18"/>
                <w:szCs w:val="18"/>
              </w:rPr>
              <w:t>подразделению/теме)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70D8546" w14:textId="48C6015F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</w:t>
            </w:r>
            <w:r w:rsidR="00132EB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13079">
              <w:rPr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CBE9C6D" w14:textId="6F2F845B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</w:t>
            </w:r>
            <w:r w:rsidR="00132EB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13079">
              <w:rPr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784052B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93 %</w:t>
            </w:r>
          </w:p>
        </w:tc>
      </w:tr>
      <w:tr w:rsidR="00F34DC9" w:rsidRPr="00132EB7" w14:paraId="77548C36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D21ECE9" w14:textId="173E2C3B" w:rsidR="00F34DC9" w:rsidRPr="00132EB7" w:rsidRDefault="00F34DC9" w:rsidP="00913079">
            <w:pPr>
              <w:spacing w:before="40" w:after="40" w:line="220" w:lineRule="exact"/>
              <w:ind w:left="227" w:hanging="227"/>
              <w:rPr>
                <w:b/>
                <w:bCs/>
                <w:sz w:val="18"/>
                <w:szCs w:val="18"/>
              </w:rPr>
            </w:pPr>
            <w:r w:rsidRPr="00132EB7">
              <w:rPr>
                <w:b/>
                <w:bCs/>
                <w:sz w:val="18"/>
                <w:szCs w:val="18"/>
              </w:rPr>
              <w:t>1.</w:t>
            </w:r>
            <w:r w:rsidR="00913079" w:rsidRPr="00132EB7">
              <w:rPr>
                <w:b/>
                <w:bCs/>
                <w:sz w:val="18"/>
                <w:szCs w:val="18"/>
              </w:rPr>
              <w:tab/>
            </w:r>
            <w:r w:rsidRPr="00132EB7">
              <w:rPr>
                <w:b/>
                <w:bCs/>
                <w:sz w:val="18"/>
                <w:szCs w:val="18"/>
              </w:rPr>
              <w:t>Комитет по внутреннему транспорту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98A85BB" w14:textId="0CF59803" w:rsidR="00F34DC9" w:rsidRPr="00132EB7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132EB7">
              <w:rPr>
                <w:b/>
                <w:bCs/>
                <w:sz w:val="18"/>
                <w:szCs w:val="18"/>
              </w:rPr>
              <w:t>1</w:t>
            </w:r>
            <w:r w:rsidR="00132EB7" w:rsidRPr="00132EB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32EB7">
              <w:rPr>
                <w:b/>
                <w:bCs/>
                <w:sz w:val="18"/>
                <w:szCs w:val="18"/>
              </w:rPr>
              <w:t>071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2391DAB" w14:textId="44D575CB" w:rsidR="00F34DC9" w:rsidRPr="00132EB7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132EB7">
              <w:rPr>
                <w:b/>
                <w:bCs/>
                <w:sz w:val="18"/>
                <w:szCs w:val="18"/>
              </w:rPr>
              <w:t>1</w:t>
            </w:r>
            <w:r w:rsidR="00132EB7" w:rsidRPr="00132EB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32EB7">
              <w:rPr>
                <w:b/>
                <w:bCs/>
                <w:sz w:val="18"/>
                <w:szCs w:val="18"/>
              </w:rPr>
              <w:t>069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433EE95" w14:textId="77777777" w:rsidR="00F34DC9" w:rsidRPr="00132EB7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132EB7">
              <w:rPr>
                <w:b/>
                <w:bCs/>
                <w:sz w:val="18"/>
                <w:szCs w:val="18"/>
              </w:rPr>
              <w:t>100 %</w:t>
            </w:r>
          </w:p>
        </w:tc>
      </w:tr>
      <w:tr w:rsidR="00F34DC9" w:rsidRPr="00913079" w14:paraId="481694B8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0193FBC4" w14:textId="6CA88620" w:rsidR="00F34DC9" w:rsidRPr="00913079" w:rsidRDefault="00132EB7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132EB7">
              <w:rPr>
                <w:sz w:val="18"/>
                <w:szCs w:val="18"/>
              </w:rPr>
              <w:t>.</w:t>
            </w:r>
            <w:r w:rsidR="00913079">
              <w:rPr>
                <w:sz w:val="18"/>
                <w:szCs w:val="18"/>
              </w:rPr>
              <w:tab/>
            </w:r>
            <w:r w:rsidR="00F34DC9" w:rsidRPr="00913079">
              <w:rPr>
                <w:sz w:val="18"/>
                <w:szCs w:val="18"/>
              </w:rPr>
              <w:t>Комитет по внутреннему транспорту и Бюро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52E4354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AD9BF09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31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E82B997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100 %</w:t>
            </w:r>
          </w:p>
        </w:tc>
      </w:tr>
      <w:tr w:rsidR="00F34DC9" w:rsidRPr="00913079" w14:paraId="10913E8E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5543FE5" w14:textId="631E61E3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b.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Всемирный форум для согласования правил в области транспортных средств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C2400FF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580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C46F114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566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89B802E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98 %</w:t>
            </w:r>
          </w:p>
        </w:tc>
      </w:tr>
      <w:tr w:rsidR="00F34DC9" w:rsidRPr="00913079" w14:paraId="2E98698B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F1978E5" w14:textId="1033E961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c.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Рабочая группа по перевозкам скоропортящихся пищевых продуктов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F3FC294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33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C189C5B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7331ACF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91 %</w:t>
            </w:r>
          </w:p>
        </w:tc>
      </w:tr>
      <w:tr w:rsidR="00F34DC9" w:rsidRPr="00913079" w14:paraId="754DC9AA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815B404" w14:textId="65793016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d.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Рабочая группа по перевозкам опасных грузов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3A7D1F8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214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82F131A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179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0FC9787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84 %</w:t>
            </w:r>
          </w:p>
        </w:tc>
      </w:tr>
      <w:tr w:rsidR="00F34DC9" w:rsidRPr="00913079" w14:paraId="6077F62C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43E84BB" w14:textId="4B5DEFB2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e.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Рабочая группа по тенденциям и экономике транспорта и вспомогательные группы экспертов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D76D69F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3145FB0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FA7B92D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125 %</w:t>
            </w:r>
          </w:p>
        </w:tc>
      </w:tr>
      <w:tr w:rsidR="00F34DC9" w:rsidRPr="00913079" w14:paraId="69E3A2C8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52BD584" w14:textId="2DF53724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f.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Рабочая группа по статистике транспорта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DAB197F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7FDF063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14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3FBB1E0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100 %</w:t>
            </w:r>
          </w:p>
        </w:tc>
      </w:tr>
      <w:tr w:rsidR="00F34DC9" w:rsidRPr="00913079" w14:paraId="6A9924AE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CE8CCA3" w14:textId="4A566A03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g.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Рабочая группа по автомобильному транспорту и вспомогательные группы экспертов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69FF7E53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99E32B0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50B3912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160 %</w:t>
            </w:r>
          </w:p>
        </w:tc>
      </w:tr>
      <w:tr w:rsidR="00F34DC9" w:rsidRPr="00913079" w14:paraId="59309EA3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0210972" w14:textId="2B597040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h.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Глобальный форум по безопасности дорожного движения и вспомогательные группы экспертов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E7412E9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6064CD6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ABE7F90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75 %</w:t>
            </w:r>
          </w:p>
        </w:tc>
      </w:tr>
      <w:tr w:rsidR="00F34DC9" w:rsidRPr="00913079" w14:paraId="11540546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942BF90" w14:textId="67004B5F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i.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Рабочая группа по железнодорожному транспорту и вспомогательные группы экспертов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0BBC3D0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26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E53EDDC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4D8EEF6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115 %</w:t>
            </w:r>
          </w:p>
        </w:tc>
      </w:tr>
      <w:tr w:rsidR="00F34DC9" w:rsidRPr="00913079" w14:paraId="2B996DF1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F5B00DB" w14:textId="0827C8D5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j.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Рабочая группа по интермодальным перевозкам и логистике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13CB4C4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0EF898F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15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07D224C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100 %</w:t>
            </w:r>
          </w:p>
        </w:tc>
      </w:tr>
      <w:tr w:rsidR="00F34DC9" w:rsidRPr="00913079" w14:paraId="7BA2D44C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81B7019" w14:textId="179892C9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lastRenderedPageBreak/>
              <w:t>k.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Рабочая группа по внутреннему водному транспорту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FA835BE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41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3227884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C76262A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122 %</w:t>
            </w:r>
          </w:p>
        </w:tc>
      </w:tr>
      <w:tr w:rsidR="00F34DC9" w:rsidRPr="00913079" w14:paraId="58DA44CE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0B76CE8" w14:textId="065DDF5C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l.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Рабочая группа по таможенным вопросам, связанным с транспортом, и</w:t>
            </w:r>
            <w:r w:rsidR="00913079">
              <w:rPr>
                <w:sz w:val="18"/>
                <w:szCs w:val="18"/>
              </w:rPr>
              <w:t> </w:t>
            </w:r>
            <w:r w:rsidRPr="00913079">
              <w:rPr>
                <w:sz w:val="18"/>
                <w:szCs w:val="18"/>
              </w:rPr>
              <w:t>вспомогательные группы экспертов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7D9DF85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C609F9F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104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1D87A58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146 %</w:t>
            </w:r>
          </w:p>
        </w:tc>
      </w:tr>
      <w:tr w:rsidR="00F34DC9" w:rsidRPr="00913079" w14:paraId="1DFEBB5E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88E6D93" w14:textId="0E3A6700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2.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b/>
                <w:bCs/>
                <w:sz w:val="18"/>
                <w:szCs w:val="18"/>
              </w:rPr>
              <w:t>Экономический и Социальный Совет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B0E78F8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5439066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C074569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53 %</w:t>
            </w:r>
          </w:p>
        </w:tc>
      </w:tr>
      <w:tr w:rsidR="00F34DC9" w:rsidRPr="00913079" w14:paraId="0CACB2DB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066C00B" w14:textId="757E911E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a.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Комитет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0E236FF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16495AC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ACEDACD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100 %</w:t>
            </w:r>
          </w:p>
        </w:tc>
      </w:tr>
      <w:tr w:rsidR="00F34DC9" w:rsidRPr="00913079" w14:paraId="52C59BB1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85640DE" w14:textId="679C0B3F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b.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Подкомитет экспертов по перевозке опасных грузов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0035F2B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157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C6691EC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78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25F8BF0A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50 %</w:t>
            </w:r>
          </w:p>
        </w:tc>
      </w:tr>
      <w:tr w:rsidR="00F34DC9" w:rsidRPr="00913079" w14:paraId="126795DC" w14:textId="77777777" w:rsidTr="00913079"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01F2A837" w14:textId="04BE8C4A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c.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sz w:val="18"/>
                <w:szCs w:val="18"/>
              </w:rPr>
              <w:t>Подкомитет экспертов по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552BE5C0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019D132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913079">
              <w:rPr>
                <w:sz w:val="18"/>
                <w:szCs w:val="18"/>
              </w:rPr>
              <w:t>22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497B187F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69 %</w:t>
            </w:r>
          </w:p>
        </w:tc>
      </w:tr>
      <w:tr w:rsidR="00F34DC9" w:rsidRPr="00913079" w14:paraId="104CB999" w14:textId="77777777" w:rsidTr="00913079">
        <w:tc>
          <w:tcPr>
            <w:tcW w:w="62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hideMark/>
          </w:tcPr>
          <w:p w14:paraId="2AECC49B" w14:textId="54121BD8" w:rsidR="00F34DC9" w:rsidRPr="00913079" w:rsidRDefault="00F34DC9" w:rsidP="00913079">
            <w:pPr>
              <w:spacing w:before="40" w:after="40" w:line="220" w:lineRule="exact"/>
              <w:ind w:left="227" w:hanging="227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3.</w:t>
            </w:r>
            <w:r w:rsidR="00913079">
              <w:rPr>
                <w:sz w:val="18"/>
                <w:szCs w:val="18"/>
              </w:rPr>
              <w:tab/>
            </w:r>
            <w:r w:rsidRPr="00913079">
              <w:rPr>
                <w:b/>
                <w:bCs/>
                <w:sz w:val="18"/>
                <w:szCs w:val="18"/>
              </w:rPr>
              <w:t>Совещание высокого уровня по транспорту, окружающей среде и охране здоровья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583F442D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0E275256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bottom"/>
            <w:hideMark/>
          </w:tcPr>
          <w:p w14:paraId="158E5482" w14:textId="77777777" w:rsidR="00F34DC9" w:rsidRPr="00913079" w:rsidRDefault="00F34DC9" w:rsidP="00913079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  <w:r w:rsidRPr="00913079">
              <w:rPr>
                <w:b/>
                <w:bCs/>
                <w:sz w:val="18"/>
                <w:szCs w:val="18"/>
              </w:rPr>
              <w:t>100 %</w:t>
            </w:r>
          </w:p>
        </w:tc>
      </w:tr>
    </w:tbl>
    <w:p w14:paraId="41F77174" w14:textId="2BBD5396" w:rsidR="00F34DC9" w:rsidRPr="00F34DC9" w:rsidRDefault="00F34DC9" w:rsidP="00F34DC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4DC9" w:rsidRPr="00F34DC9" w:rsidSect="00F34D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0F08B" w14:textId="77777777" w:rsidR="00F34DC9" w:rsidRPr="00A312BC" w:rsidRDefault="00F34DC9" w:rsidP="00A312BC"/>
  </w:endnote>
  <w:endnote w:type="continuationSeparator" w:id="0">
    <w:p w14:paraId="479835E0" w14:textId="77777777" w:rsidR="00F34DC9" w:rsidRPr="00A312BC" w:rsidRDefault="00F34D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58133" w14:textId="6FDC1E3A" w:rsidR="00F34DC9" w:rsidRPr="00F34DC9" w:rsidRDefault="00F34DC9">
    <w:pPr>
      <w:pStyle w:val="a8"/>
    </w:pPr>
    <w:r w:rsidRPr="00F34DC9">
      <w:rPr>
        <w:b/>
        <w:sz w:val="18"/>
      </w:rPr>
      <w:fldChar w:fldCharType="begin"/>
    </w:r>
    <w:r w:rsidRPr="00F34DC9">
      <w:rPr>
        <w:b/>
        <w:sz w:val="18"/>
      </w:rPr>
      <w:instrText xml:space="preserve"> PAGE  \* MERGEFORMAT </w:instrText>
    </w:r>
    <w:r w:rsidRPr="00F34DC9">
      <w:rPr>
        <w:b/>
        <w:sz w:val="18"/>
      </w:rPr>
      <w:fldChar w:fldCharType="separate"/>
    </w:r>
    <w:r w:rsidRPr="00F34DC9">
      <w:rPr>
        <w:b/>
        <w:noProof/>
        <w:sz w:val="18"/>
      </w:rPr>
      <w:t>2</w:t>
    </w:r>
    <w:r w:rsidRPr="00F34DC9">
      <w:rPr>
        <w:b/>
        <w:sz w:val="18"/>
      </w:rPr>
      <w:fldChar w:fldCharType="end"/>
    </w:r>
    <w:r>
      <w:rPr>
        <w:b/>
        <w:sz w:val="18"/>
      </w:rPr>
      <w:tab/>
    </w:r>
    <w:r>
      <w:t>GE.21-18484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B685" w14:textId="52FDD5EE" w:rsidR="00F34DC9" w:rsidRPr="00F34DC9" w:rsidRDefault="00F34DC9" w:rsidP="00F34DC9">
    <w:pPr>
      <w:pStyle w:val="a8"/>
      <w:tabs>
        <w:tab w:val="clear" w:pos="9639"/>
        <w:tab w:val="right" w:pos="9638"/>
      </w:tabs>
      <w:rPr>
        <w:b/>
        <w:sz w:val="18"/>
      </w:rPr>
    </w:pPr>
    <w:r>
      <w:t>GE.21-18484</w:t>
    </w:r>
    <w:r>
      <w:tab/>
    </w:r>
    <w:r w:rsidRPr="00F34DC9">
      <w:rPr>
        <w:b/>
        <w:sz w:val="18"/>
      </w:rPr>
      <w:fldChar w:fldCharType="begin"/>
    </w:r>
    <w:r w:rsidRPr="00F34DC9">
      <w:rPr>
        <w:b/>
        <w:sz w:val="18"/>
      </w:rPr>
      <w:instrText xml:space="preserve"> PAGE  \* MERGEFORMAT </w:instrText>
    </w:r>
    <w:r w:rsidRPr="00F34DC9">
      <w:rPr>
        <w:b/>
        <w:sz w:val="18"/>
      </w:rPr>
      <w:fldChar w:fldCharType="separate"/>
    </w:r>
    <w:r w:rsidRPr="00F34DC9">
      <w:rPr>
        <w:b/>
        <w:noProof/>
        <w:sz w:val="18"/>
      </w:rPr>
      <w:t>3</w:t>
    </w:r>
    <w:r w:rsidRPr="00F34D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338A" w14:textId="16E776D2" w:rsidR="00F34DC9" w:rsidRPr="00F34DC9" w:rsidRDefault="00F34DC9" w:rsidP="00F34DC9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3EB718" wp14:editId="315AD26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21-18484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E81B25" wp14:editId="7FC9E3C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3F4">
      <w:t xml:space="preserve">  040122 1</w:t>
    </w:r>
    <w:r w:rsidR="00132EB7">
      <w:rPr>
        <w:lang w:val="en-US"/>
      </w:rPr>
      <w:t>8</w:t>
    </w:r>
    <w:r w:rsidR="00C853F4">
      <w:t>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FC84" w14:textId="77777777" w:rsidR="00F34DC9" w:rsidRPr="001075E9" w:rsidRDefault="00F34D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0E0881" w14:textId="77777777" w:rsidR="00F34DC9" w:rsidRDefault="00F34D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A78E92A" w14:textId="77777777" w:rsidR="00F34DC9" w:rsidRPr="00A418DC" w:rsidRDefault="00F34DC9" w:rsidP="00F34DC9">
      <w:pPr>
        <w:pStyle w:val="ad"/>
      </w:pPr>
      <w:r>
        <w:tab/>
      </w:r>
      <w:r w:rsidRPr="00F34DC9">
        <w:rPr>
          <w:sz w:val="20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3B95CE25" w14:textId="77777777" w:rsidR="00F34DC9" w:rsidRPr="00A418DC" w:rsidRDefault="00F34DC9" w:rsidP="00F34DC9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Информация верна на момент подготовки данной таблицы; возможны дальнейшие изменения из-за нестабильной ситуации.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B81F" w14:textId="257A470A" w:rsidR="00F34DC9" w:rsidRPr="00F34DC9" w:rsidRDefault="004D0E3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ECE/TRANS/2022/4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A80F" w14:textId="3C3D3DAC" w:rsidR="00F34DC9" w:rsidRPr="00F34DC9" w:rsidRDefault="004D0E37" w:rsidP="00F34DC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ECE/TRANS/2022/4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B41C0"/>
    <w:multiLevelType w:val="hybridMultilevel"/>
    <w:tmpl w:val="468E359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3482AA9"/>
    <w:multiLevelType w:val="hybridMultilevel"/>
    <w:tmpl w:val="915AB906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2"/>
  </w:num>
  <w:num w:numId="18">
    <w:abstractNumId w:val="16"/>
  </w:num>
  <w:num w:numId="19">
    <w:abstractNumId w:val="18"/>
  </w:num>
  <w:num w:numId="20">
    <w:abstractNumId w:val="12"/>
  </w:num>
  <w:num w:numId="21">
    <w:abstractNumId w:val="16"/>
  </w:num>
  <w:num w:numId="22">
    <w:abstractNumId w:val="17"/>
  </w:num>
  <w:num w:numId="23">
    <w:abstractNumId w:val="14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B0"/>
    <w:rsid w:val="00033EE1"/>
    <w:rsid w:val="00042B72"/>
    <w:rsid w:val="000558BD"/>
    <w:rsid w:val="000A7FFA"/>
    <w:rsid w:val="000B57E7"/>
    <w:rsid w:val="000B6373"/>
    <w:rsid w:val="000E4E5B"/>
    <w:rsid w:val="000F09DF"/>
    <w:rsid w:val="000F61B2"/>
    <w:rsid w:val="001075E9"/>
    <w:rsid w:val="00132EB7"/>
    <w:rsid w:val="0014152F"/>
    <w:rsid w:val="001766AA"/>
    <w:rsid w:val="00180183"/>
    <w:rsid w:val="0018024D"/>
    <w:rsid w:val="0018649F"/>
    <w:rsid w:val="00196389"/>
    <w:rsid w:val="001B3EF6"/>
    <w:rsid w:val="001C7A89"/>
    <w:rsid w:val="001F01B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2B7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0E37"/>
    <w:rsid w:val="004E05B7"/>
    <w:rsid w:val="0050108D"/>
    <w:rsid w:val="00513081"/>
    <w:rsid w:val="00517901"/>
    <w:rsid w:val="00526683"/>
    <w:rsid w:val="00526DB8"/>
    <w:rsid w:val="0055757A"/>
    <w:rsid w:val="005639C1"/>
    <w:rsid w:val="005709E0"/>
    <w:rsid w:val="00572E19"/>
    <w:rsid w:val="005961C8"/>
    <w:rsid w:val="005966F1"/>
    <w:rsid w:val="005D7914"/>
    <w:rsid w:val="005E2B41"/>
    <w:rsid w:val="005F0B42"/>
    <w:rsid w:val="005F1E30"/>
    <w:rsid w:val="00607E51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6AF8"/>
    <w:rsid w:val="00792497"/>
    <w:rsid w:val="00806737"/>
    <w:rsid w:val="00825F8D"/>
    <w:rsid w:val="00834B71"/>
    <w:rsid w:val="0086445C"/>
    <w:rsid w:val="008701C2"/>
    <w:rsid w:val="00894693"/>
    <w:rsid w:val="008A08D7"/>
    <w:rsid w:val="008A37C8"/>
    <w:rsid w:val="008B6909"/>
    <w:rsid w:val="008C7198"/>
    <w:rsid w:val="008D53B6"/>
    <w:rsid w:val="008F7609"/>
    <w:rsid w:val="00906890"/>
    <w:rsid w:val="00911BE4"/>
    <w:rsid w:val="00913079"/>
    <w:rsid w:val="00951972"/>
    <w:rsid w:val="009608F3"/>
    <w:rsid w:val="009A24AC"/>
    <w:rsid w:val="009C59D7"/>
    <w:rsid w:val="009C6FE6"/>
    <w:rsid w:val="009D7E7D"/>
    <w:rsid w:val="00A14DA8"/>
    <w:rsid w:val="00A312BC"/>
    <w:rsid w:val="00A64BF7"/>
    <w:rsid w:val="00A84021"/>
    <w:rsid w:val="00A84D35"/>
    <w:rsid w:val="00A917B3"/>
    <w:rsid w:val="00AB4B51"/>
    <w:rsid w:val="00AD5DB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53F4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4DC9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0A129C"/>
  <w15:docId w15:val="{D13F94AF-B324-49D0-B2AE-5A8587DB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34DC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F34DC9"/>
    <w:rPr>
      <w:lang w:val="ru-RU" w:eastAsia="en-US"/>
    </w:rPr>
  </w:style>
  <w:style w:type="character" w:customStyle="1" w:styleId="H1GChar">
    <w:name w:val="_ H_1_G Char"/>
    <w:link w:val="H1G"/>
    <w:rsid w:val="00F34DC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2314</Words>
  <Characters>13584</Characters>
  <Application>Microsoft Office Word</Application>
  <DocSecurity>0</DocSecurity>
  <Lines>714</Lines>
  <Paragraphs>467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ECE/TRANS/2022/4</vt:lpstr>
      <vt:lpstr>A/</vt:lpstr>
      <vt:lpstr>A/</vt:lpstr>
    </vt:vector>
  </TitlesOfParts>
  <Company>DCM</Company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ECE/TRANS/2022/4</dc:title>
  <dc:subject/>
  <dc:creator>Marina KOROTKOVA</dc:creator>
  <cp:keywords/>
  <cp:lastModifiedBy>Ioulia Goussarova</cp:lastModifiedBy>
  <cp:revision>3</cp:revision>
  <cp:lastPrinted>2022-01-18T14:21:00Z</cp:lastPrinted>
  <dcterms:created xsi:type="dcterms:W3CDTF">2022-01-18T14:21:00Z</dcterms:created>
  <dcterms:modified xsi:type="dcterms:W3CDTF">2022-01-18T14:21:00Z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