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0CDE7E6C" w14:textId="77777777" w:rsidTr="00B20551">
        <w:trPr>
          <w:cantSplit/>
          <w:trHeight w:hRule="exact" w:val="851"/>
        </w:trPr>
        <w:tc>
          <w:tcPr>
            <w:tcW w:w="1276" w:type="dxa"/>
            <w:tcBorders>
              <w:bottom w:val="single" w:sz="4" w:space="0" w:color="auto"/>
            </w:tcBorders>
            <w:vAlign w:val="bottom"/>
          </w:tcPr>
          <w:p w14:paraId="3B32D461" w14:textId="77777777" w:rsidR="009E6CB7" w:rsidRPr="00FF02F5" w:rsidRDefault="009E6CB7" w:rsidP="00B20551">
            <w:pPr>
              <w:spacing w:after="80"/>
            </w:pPr>
          </w:p>
        </w:tc>
        <w:tc>
          <w:tcPr>
            <w:tcW w:w="2268" w:type="dxa"/>
            <w:tcBorders>
              <w:bottom w:val="single" w:sz="4" w:space="0" w:color="auto"/>
            </w:tcBorders>
            <w:vAlign w:val="bottom"/>
          </w:tcPr>
          <w:p w14:paraId="280A6522"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31D67F4D" w14:textId="2A4995AD" w:rsidR="009E6CB7" w:rsidRPr="00FF02F5" w:rsidRDefault="006B25E0" w:rsidP="00954785">
            <w:pPr>
              <w:jc w:val="right"/>
            </w:pPr>
            <w:r w:rsidRPr="006B25E0">
              <w:rPr>
                <w:sz w:val="40"/>
              </w:rPr>
              <w:t>ECE</w:t>
            </w:r>
            <w:r>
              <w:t>/TRANS/202</w:t>
            </w:r>
            <w:r w:rsidR="004F7088">
              <w:t>2</w:t>
            </w:r>
            <w:r>
              <w:t>/</w:t>
            </w:r>
            <w:r w:rsidR="000D6793">
              <w:t>21</w:t>
            </w:r>
          </w:p>
        </w:tc>
      </w:tr>
      <w:tr w:rsidR="00FF02F5" w:rsidRPr="00FF02F5" w14:paraId="74EFC527" w14:textId="77777777" w:rsidTr="00B20551">
        <w:trPr>
          <w:cantSplit/>
          <w:trHeight w:hRule="exact" w:val="2835"/>
        </w:trPr>
        <w:tc>
          <w:tcPr>
            <w:tcW w:w="1276" w:type="dxa"/>
            <w:tcBorders>
              <w:top w:val="single" w:sz="4" w:space="0" w:color="auto"/>
              <w:bottom w:val="single" w:sz="12" w:space="0" w:color="auto"/>
            </w:tcBorders>
          </w:tcPr>
          <w:p w14:paraId="4EA4B9B8" w14:textId="77777777" w:rsidR="009E6CB7" w:rsidRPr="00FF02F5" w:rsidRDefault="00686A48" w:rsidP="00B20551">
            <w:pPr>
              <w:spacing w:before="120"/>
            </w:pPr>
            <w:r w:rsidRPr="00FF02F5">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75A26F"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5BE546F4" w14:textId="77777777" w:rsidR="009E6CB7" w:rsidRPr="00FF02F5" w:rsidRDefault="00954785" w:rsidP="00954785">
            <w:pPr>
              <w:spacing w:before="240" w:line="240" w:lineRule="exact"/>
            </w:pPr>
            <w:r w:rsidRPr="00FF02F5">
              <w:t>Distr.: General</w:t>
            </w:r>
          </w:p>
          <w:p w14:paraId="05DFD530" w14:textId="6A7392A7" w:rsidR="00954785" w:rsidRPr="00FF02F5" w:rsidRDefault="00834182" w:rsidP="00954785">
            <w:pPr>
              <w:spacing w:line="240" w:lineRule="exact"/>
            </w:pPr>
            <w:r>
              <w:t>13</w:t>
            </w:r>
            <w:r w:rsidR="00F56FDB">
              <w:t xml:space="preserve"> December</w:t>
            </w:r>
            <w:r w:rsidR="00CD3488">
              <w:t xml:space="preserve"> </w:t>
            </w:r>
            <w:r w:rsidR="00954785" w:rsidRPr="00FF02F5">
              <w:t>20</w:t>
            </w:r>
            <w:r w:rsidR="004F7088">
              <w:t>21</w:t>
            </w:r>
          </w:p>
          <w:p w14:paraId="77023E0B" w14:textId="77777777" w:rsidR="00954785" w:rsidRPr="00FF02F5" w:rsidRDefault="00954785" w:rsidP="00954785">
            <w:pPr>
              <w:spacing w:line="240" w:lineRule="exact"/>
            </w:pPr>
          </w:p>
          <w:p w14:paraId="2C132143" w14:textId="77777777" w:rsidR="00954785" w:rsidRPr="00FF02F5" w:rsidRDefault="00954785" w:rsidP="00954785">
            <w:pPr>
              <w:spacing w:line="240" w:lineRule="exact"/>
            </w:pPr>
            <w:r w:rsidRPr="00FF02F5">
              <w:t>Original: English</w:t>
            </w:r>
          </w:p>
        </w:tc>
      </w:tr>
    </w:tbl>
    <w:p w14:paraId="2D6B63C1" w14:textId="77777777" w:rsidR="00250503" w:rsidRPr="00FF02F5" w:rsidRDefault="00250503" w:rsidP="00250503">
      <w:pPr>
        <w:spacing w:before="120"/>
        <w:rPr>
          <w:b/>
          <w:bCs/>
          <w:sz w:val="28"/>
          <w:szCs w:val="28"/>
        </w:rPr>
      </w:pPr>
      <w:r w:rsidRPr="00FF02F5">
        <w:rPr>
          <w:b/>
          <w:bCs/>
          <w:sz w:val="28"/>
          <w:szCs w:val="28"/>
        </w:rPr>
        <w:t>Economic Commission for Europe</w:t>
      </w:r>
    </w:p>
    <w:p w14:paraId="0BDE9CE3" w14:textId="77777777" w:rsidR="00250503" w:rsidRPr="00FF02F5" w:rsidRDefault="00250503" w:rsidP="00250503">
      <w:pPr>
        <w:spacing w:before="120"/>
        <w:rPr>
          <w:sz w:val="28"/>
          <w:szCs w:val="28"/>
        </w:rPr>
      </w:pPr>
      <w:r w:rsidRPr="00FF02F5">
        <w:rPr>
          <w:sz w:val="28"/>
          <w:szCs w:val="28"/>
        </w:rPr>
        <w:t>Inland Transport Committee</w:t>
      </w:r>
    </w:p>
    <w:p w14:paraId="763565A9" w14:textId="6FEFB24D" w:rsidR="00250503" w:rsidRPr="00FF02F5" w:rsidRDefault="00250503" w:rsidP="00250503">
      <w:pPr>
        <w:spacing w:before="120"/>
        <w:rPr>
          <w:b/>
          <w:bCs/>
        </w:rPr>
      </w:pPr>
      <w:r w:rsidRPr="00FF02F5">
        <w:rPr>
          <w:b/>
          <w:bCs/>
        </w:rPr>
        <w:t>Eighty-</w:t>
      </w:r>
      <w:r w:rsidR="0008450E">
        <w:rPr>
          <w:b/>
          <w:bCs/>
        </w:rPr>
        <w:t>fourth</w:t>
      </w:r>
      <w:r w:rsidRPr="00FF02F5">
        <w:rPr>
          <w:b/>
          <w:bCs/>
        </w:rPr>
        <w:t xml:space="preserve"> session</w:t>
      </w:r>
    </w:p>
    <w:p w14:paraId="2972FA3A" w14:textId="5EC21D1B" w:rsidR="00ED0C9B" w:rsidRDefault="00250503" w:rsidP="00973BC5">
      <w:pPr>
        <w:rPr>
          <w:b/>
          <w:bCs/>
        </w:rPr>
      </w:pPr>
      <w:r w:rsidRPr="00FF02F5">
        <w:t>Geneva, 2</w:t>
      </w:r>
      <w:r w:rsidR="0008450E">
        <w:t>2</w:t>
      </w:r>
      <w:r w:rsidR="00B72466">
        <w:t>–</w:t>
      </w:r>
      <w:r w:rsidRPr="00FF02F5">
        <w:t>2</w:t>
      </w:r>
      <w:r w:rsidR="0008450E">
        <w:t>5</w:t>
      </w:r>
      <w:r w:rsidRPr="00FF02F5">
        <w:t xml:space="preserve"> February 202</w:t>
      </w:r>
      <w:r w:rsidR="0031015F">
        <w:t>2</w:t>
      </w:r>
      <w:r w:rsidRPr="00FF02F5">
        <w:br/>
        <w:t xml:space="preserve">Item </w:t>
      </w:r>
      <w:r w:rsidR="0031015F">
        <w:t>9</w:t>
      </w:r>
      <w:r w:rsidR="00FF6B68">
        <w:t xml:space="preserve"> (</w:t>
      </w:r>
      <w:r w:rsidR="0031015F">
        <w:t>h</w:t>
      </w:r>
      <w:r w:rsidR="00FF6B68">
        <w:t>)</w:t>
      </w:r>
      <w:r w:rsidRPr="00FF02F5">
        <w:t xml:space="preserve"> of the provisional agenda</w:t>
      </w:r>
      <w:r w:rsidRPr="00FF02F5">
        <w:br/>
      </w:r>
      <w:r w:rsidR="00973BC5" w:rsidRPr="00973BC5">
        <w:rPr>
          <w:b/>
          <w:bCs/>
        </w:rPr>
        <w:t xml:space="preserve">Strategic questions of a horizontal and cross-sectoral </w:t>
      </w:r>
    </w:p>
    <w:p w14:paraId="22813A4C" w14:textId="3AF65C3C" w:rsidR="00973BC5" w:rsidRDefault="00973BC5" w:rsidP="00973BC5">
      <w:pPr>
        <w:rPr>
          <w:b/>
          <w:bCs/>
        </w:rPr>
      </w:pPr>
      <w:r w:rsidRPr="00973BC5">
        <w:rPr>
          <w:b/>
          <w:bCs/>
        </w:rPr>
        <w:t>policy or regulatory nature</w:t>
      </w:r>
      <w:r w:rsidR="00ED0C9B">
        <w:rPr>
          <w:b/>
          <w:bCs/>
        </w:rPr>
        <w:t>:</w:t>
      </w:r>
    </w:p>
    <w:p w14:paraId="56A5C466" w14:textId="77777777" w:rsidR="0094352E" w:rsidRDefault="00DE6379" w:rsidP="00DE6379">
      <w:pPr>
        <w:rPr>
          <w:b/>
          <w:bCs/>
        </w:rPr>
      </w:pPr>
      <w:r w:rsidRPr="00DE6379">
        <w:rPr>
          <w:b/>
          <w:bCs/>
        </w:rPr>
        <w:t xml:space="preserve">Capacity development activities in United Nations </w:t>
      </w:r>
    </w:p>
    <w:p w14:paraId="46E125C7" w14:textId="77777777" w:rsidR="0094352E" w:rsidRDefault="00DE6379" w:rsidP="00DE6379">
      <w:pPr>
        <w:rPr>
          <w:b/>
          <w:bCs/>
        </w:rPr>
      </w:pPr>
      <w:r w:rsidRPr="00DE6379">
        <w:rPr>
          <w:b/>
          <w:bCs/>
        </w:rPr>
        <w:t xml:space="preserve">programme countries in the United Nations Economic </w:t>
      </w:r>
    </w:p>
    <w:p w14:paraId="3EAB75A8" w14:textId="306C540C" w:rsidR="00250503" w:rsidRPr="00FF02F5" w:rsidRDefault="00DE6379" w:rsidP="00DE6379">
      <w:pPr>
        <w:rPr>
          <w:b/>
          <w:bCs/>
        </w:rPr>
      </w:pPr>
      <w:r w:rsidRPr="00DE6379">
        <w:rPr>
          <w:b/>
          <w:bCs/>
        </w:rPr>
        <w:t>Commission for Europe region</w:t>
      </w:r>
    </w:p>
    <w:p w14:paraId="52CD8BEA" w14:textId="77777777" w:rsidR="00472091" w:rsidRDefault="00472091" w:rsidP="000D6793">
      <w:pPr>
        <w:pStyle w:val="HChG"/>
      </w:pPr>
      <w:r>
        <w:tab/>
      </w:r>
      <w:r>
        <w:tab/>
      </w:r>
      <w:r w:rsidRPr="00DC68B9">
        <w:t xml:space="preserve">Inland Transport </w:t>
      </w:r>
      <w:r w:rsidRPr="000D6793">
        <w:t>Committee</w:t>
      </w:r>
      <w:r w:rsidRPr="00DC68B9">
        <w:t xml:space="preserve"> Capacity Development </w:t>
      </w:r>
      <w:r>
        <w:br/>
      </w:r>
      <w:r w:rsidRPr="00DC68B9">
        <w:t>Action Plan</w:t>
      </w:r>
    </w:p>
    <w:p w14:paraId="327D80B3" w14:textId="77777777" w:rsidR="00F569C1" w:rsidRDefault="00F569C1" w:rsidP="000D6793">
      <w:pPr>
        <w:pStyle w:val="H1G"/>
        <w:rPr>
          <w:rFonts w:eastAsia="SimSun"/>
          <w:lang w:eastAsia="en-US"/>
        </w:rPr>
      </w:pPr>
      <w:r>
        <w:tab/>
      </w:r>
      <w:r w:rsidRPr="00EE67EB">
        <w:tab/>
      </w:r>
      <w:r w:rsidRPr="00F569C1">
        <w:rPr>
          <w:rFonts w:eastAsia="SimSun"/>
          <w:lang w:eastAsia="en-US"/>
        </w:rPr>
        <w:t xml:space="preserve">Note by the </w:t>
      </w:r>
      <w:r w:rsidRPr="000D6793">
        <w:rPr>
          <w:rFonts w:eastAsia="SimSun"/>
        </w:rPr>
        <w:t>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8940A8" w14:paraId="293D05E8" w14:textId="77777777" w:rsidTr="00955EAA">
        <w:trPr>
          <w:jc w:val="center"/>
        </w:trPr>
        <w:tc>
          <w:tcPr>
            <w:tcW w:w="9637" w:type="dxa"/>
            <w:shd w:val="clear" w:color="auto" w:fill="auto"/>
          </w:tcPr>
          <w:p w14:paraId="13BF3410" w14:textId="77777777" w:rsidR="008940A8" w:rsidRPr="00C6263E" w:rsidRDefault="008940A8" w:rsidP="00955EAA">
            <w:pPr>
              <w:spacing w:before="240" w:after="120"/>
              <w:ind w:left="255"/>
              <w:rPr>
                <w:i/>
                <w:sz w:val="24"/>
              </w:rPr>
            </w:pPr>
            <w:r w:rsidRPr="00C6263E">
              <w:rPr>
                <w:i/>
                <w:sz w:val="24"/>
              </w:rPr>
              <w:t>Summary</w:t>
            </w:r>
          </w:p>
        </w:tc>
      </w:tr>
      <w:tr w:rsidR="008940A8" w14:paraId="338E9F67" w14:textId="77777777" w:rsidTr="00955EAA">
        <w:trPr>
          <w:jc w:val="center"/>
        </w:trPr>
        <w:tc>
          <w:tcPr>
            <w:tcW w:w="9637" w:type="dxa"/>
            <w:shd w:val="clear" w:color="auto" w:fill="auto"/>
          </w:tcPr>
          <w:p w14:paraId="251862AF" w14:textId="5DFC71F7" w:rsidR="008940A8" w:rsidRDefault="008940A8" w:rsidP="008940A8">
            <w:pPr>
              <w:pStyle w:val="SingleTxtG"/>
            </w:pPr>
            <w:r>
              <w:tab/>
            </w:r>
            <w:r>
              <w:tab/>
            </w:r>
            <w:r w:rsidRPr="00DC68B9">
              <w:t xml:space="preserve">The </w:t>
            </w:r>
            <w:r>
              <w:t>eighty-</w:t>
            </w:r>
            <w:r w:rsidR="00821260">
              <w:t>second</w:t>
            </w:r>
            <w:r>
              <w:t xml:space="preserve"> </w:t>
            </w:r>
            <w:r w:rsidRPr="00DC68B9">
              <w:t xml:space="preserve">session of </w:t>
            </w:r>
            <w:r w:rsidR="0002196B">
              <w:t>Inland Transport Committee (</w:t>
            </w:r>
            <w:r>
              <w:t>ITC</w:t>
            </w:r>
            <w:r w:rsidR="0002196B">
              <w:t>)</w:t>
            </w:r>
            <w:r w:rsidRPr="00DC68B9">
              <w:t xml:space="preserve"> adopted the “Inland Transport Committee </w:t>
            </w:r>
            <w:r w:rsidR="00FA1913">
              <w:t>C</w:t>
            </w:r>
            <w:r w:rsidR="00821260">
              <w:t>apacity Development Action Plan</w:t>
            </w:r>
            <w:r w:rsidRPr="00DC68B9">
              <w:t>” (</w:t>
            </w:r>
            <w:r>
              <w:t xml:space="preserve">hereafter </w:t>
            </w:r>
            <w:r w:rsidRPr="00DC68B9">
              <w:t xml:space="preserve">the </w:t>
            </w:r>
            <w:r w:rsidR="00821260">
              <w:t>Action Plan</w:t>
            </w:r>
            <w:r w:rsidRPr="00DC68B9">
              <w:t xml:space="preserve">) as a document </w:t>
            </w:r>
            <w:r w:rsidR="00FA1913">
              <w:t xml:space="preserve">which will define, integrate and frame capacity development </w:t>
            </w:r>
            <w:r w:rsidR="00FA1913" w:rsidRPr="006A1F33">
              <w:t>acti</w:t>
            </w:r>
            <w:r w:rsidR="00FA1913">
              <w:t>vities done by the Sustainable Transport Division</w:t>
            </w:r>
            <w:r w:rsidRPr="00DC68B9">
              <w:t>.</w:t>
            </w:r>
            <w:r>
              <w:t xml:space="preserve"> </w:t>
            </w:r>
          </w:p>
        </w:tc>
      </w:tr>
      <w:tr w:rsidR="008940A8" w14:paraId="0D889D8D" w14:textId="77777777" w:rsidTr="00955EAA">
        <w:trPr>
          <w:jc w:val="center"/>
        </w:trPr>
        <w:tc>
          <w:tcPr>
            <w:tcW w:w="9637" w:type="dxa"/>
            <w:shd w:val="clear" w:color="auto" w:fill="auto"/>
          </w:tcPr>
          <w:p w14:paraId="0186055E" w14:textId="27EE62C6" w:rsidR="008940A8" w:rsidRDefault="008940A8" w:rsidP="00955EAA">
            <w:pPr>
              <w:pStyle w:val="SingleTxtG"/>
            </w:pPr>
            <w:r>
              <w:tab/>
            </w:r>
            <w:r>
              <w:tab/>
            </w:r>
            <w:r w:rsidR="00821260">
              <w:t xml:space="preserve">Two years after </w:t>
            </w:r>
            <w:r w:rsidR="00FA1913">
              <w:t xml:space="preserve">adoption of </w:t>
            </w:r>
            <w:r w:rsidR="00821260">
              <w:t xml:space="preserve">the Action Plan, </w:t>
            </w:r>
            <w:r w:rsidRPr="00F569C1">
              <w:t>this document</w:t>
            </w:r>
            <w:r w:rsidR="00821260">
              <w:t xml:space="preserve"> is taking stock </w:t>
            </w:r>
            <w:r w:rsidR="0002196B">
              <w:t xml:space="preserve">of </w:t>
            </w:r>
            <w:r w:rsidR="00821260">
              <w:t>results achieved and lesson learned</w:t>
            </w:r>
            <w:r>
              <w:t xml:space="preserve">. The Committee </w:t>
            </w:r>
            <w:r w:rsidR="00821260" w:rsidRPr="00821260">
              <w:rPr>
                <w:b/>
                <w:bCs/>
              </w:rPr>
              <w:t>t</w:t>
            </w:r>
            <w:r w:rsidR="00821260" w:rsidRPr="6F0A6DF0">
              <w:rPr>
                <w:b/>
                <w:bCs/>
              </w:rPr>
              <w:t xml:space="preserve">ook note </w:t>
            </w:r>
            <w:r w:rsidR="00821260" w:rsidRPr="00B237BE">
              <w:t xml:space="preserve">of </w:t>
            </w:r>
            <w:r w:rsidR="00821260">
              <w:t xml:space="preserve">progress in the implementation of the ITC Capacity Development Action Plan (2020–2025), in particular in the capacity enhancement area; </w:t>
            </w:r>
            <w:r w:rsidR="00821260" w:rsidRPr="007636FE">
              <w:rPr>
                <w:b/>
                <w:bCs/>
              </w:rPr>
              <w:t>expressed its satisfaction</w:t>
            </w:r>
            <w:r w:rsidR="00821260">
              <w:t xml:space="preserve"> for progress achieved with the development of the E-learning platform; and </w:t>
            </w:r>
            <w:r w:rsidR="00821260" w:rsidRPr="6F0A6DF0">
              <w:rPr>
                <w:b/>
                <w:bCs/>
              </w:rPr>
              <w:t>expressed its support</w:t>
            </w:r>
            <w:r w:rsidR="00821260">
              <w:t xml:space="preserve"> for the continued implementation of the ITC Capacity Development Action plan.</w:t>
            </w:r>
          </w:p>
        </w:tc>
      </w:tr>
      <w:tr w:rsidR="008940A8" w14:paraId="1A5841BD" w14:textId="77777777" w:rsidTr="00955EAA">
        <w:trPr>
          <w:jc w:val="center"/>
        </w:trPr>
        <w:tc>
          <w:tcPr>
            <w:tcW w:w="9637" w:type="dxa"/>
            <w:shd w:val="clear" w:color="auto" w:fill="auto"/>
          </w:tcPr>
          <w:p w14:paraId="4D10D8C1" w14:textId="77777777" w:rsidR="008940A8" w:rsidRDefault="008940A8" w:rsidP="00955EAA"/>
        </w:tc>
      </w:tr>
    </w:tbl>
    <w:p w14:paraId="46DEB4BE" w14:textId="77777777" w:rsidR="00472091" w:rsidRPr="00DC68B9" w:rsidRDefault="00472091" w:rsidP="000D6793">
      <w:pPr>
        <w:pStyle w:val="HChG"/>
      </w:pPr>
      <w:r>
        <w:tab/>
        <w:t>I.</w:t>
      </w:r>
      <w:r>
        <w:tab/>
      </w:r>
      <w:r w:rsidRPr="000D6793">
        <w:t>Background</w:t>
      </w:r>
    </w:p>
    <w:p w14:paraId="7EFF62DA" w14:textId="7E13DB61" w:rsidR="00850483" w:rsidRPr="00155405" w:rsidRDefault="00472091" w:rsidP="00D6071E">
      <w:pPr>
        <w:pStyle w:val="SingleTxtG"/>
      </w:pPr>
      <w:r>
        <w:t>1.</w:t>
      </w:r>
      <w:r w:rsidR="00850483">
        <w:tab/>
        <w:t xml:space="preserve">The 81st session of the ITC (held on 19-22 February 2019) adopted the “Inland Transport Committee Strategy until 2030” (hereafter the Strategy) as a basic document for future directions of the ITC development. The mission for </w:t>
      </w:r>
      <w:r w:rsidR="00850483" w:rsidRPr="00155405">
        <w:t>ITC is defined as “to contribute to sustainable inland transport and mobility for achieving the sustainable development goals in the ECE and UN Member States through policy dialogue, harmonizing regulatory frameworks, as appropriate, promoting new technologies, assisting in enhancing connectivity and supporting the implementation of legal instruments”.</w:t>
      </w:r>
    </w:p>
    <w:p w14:paraId="26802F85" w14:textId="77777777" w:rsidR="00850483" w:rsidRPr="00155405" w:rsidRDefault="00850483" w:rsidP="00155405">
      <w:pPr>
        <w:pStyle w:val="SingleTxtG"/>
      </w:pPr>
      <w:r w:rsidRPr="00155405">
        <w:t>2.</w:t>
      </w:r>
      <w:r w:rsidRPr="00155405">
        <w:tab/>
        <w:t>The first pillar of the Strategy integrates several groups of activities, where a support to member States to facilitate accession to and efficient implementation of UN transport-</w:t>
      </w:r>
      <w:r w:rsidRPr="00155405">
        <w:lastRenderedPageBreak/>
        <w:t>related legal instruments plays an important role. For that purpose, the Secretariat is mandated to offer support to all UN Member States through technical assistance and capacity development activities.</w:t>
      </w:r>
    </w:p>
    <w:p w14:paraId="1EABD191" w14:textId="5EDCCD93" w:rsidR="00850483" w:rsidRPr="00054012" w:rsidRDefault="00850483" w:rsidP="00054012">
      <w:pPr>
        <w:pStyle w:val="SingleTxtG"/>
      </w:pPr>
      <w:r w:rsidRPr="00155405">
        <w:t>3.</w:t>
      </w:r>
      <w:r w:rsidRPr="00155405">
        <w:tab/>
        <w:t>The Strategy mandated the Secretariat to develop new or adjust/update existing capacity-building programme</w:t>
      </w:r>
      <w:r w:rsidR="0002196B" w:rsidRPr="00155405">
        <w:t>s</w:t>
      </w:r>
      <w:r w:rsidRPr="00155405">
        <w:t xml:space="preserve">, training manuals, guidelines, standards and competency criteria in cooperation </w:t>
      </w:r>
      <w:r w:rsidRPr="00054012">
        <w:t>with other organizations and institutions, to assist in enhancing capacity in the accession and implementation of the legal instruments and organize training courses [Timeline: Short-, Medium- and Long-term] and</w:t>
      </w:r>
      <w:r w:rsidR="0002196B" w:rsidRPr="00054012">
        <w:t xml:space="preserve"> also</w:t>
      </w:r>
      <w:r w:rsidRPr="00054012">
        <w:t xml:space="preserve"> to develop indicators for Contracting parties to evaluate status and progress in the implementation of the legal instruments [Timeline: Short-, and Medium-term] .</w:t>
      </w:r>
    </w:p>
    <w:p w14:paraId="137E7276" w14:textId="57E322AE" w:rsidR="00850483" w:rsidRDefault="00850483" w:rsidP="00054012">
      <w:pPr>
        <w:pStyle w:val="SingleTxtG"/>
      </w:pPr>
      <w:r w:rsidRPr="00054012">
        <w:t>4.</w:t>
      </w:r>
      <w:r w:rsidRPr="00054012">
        <w:tab/>
        <w:t>The Strategy defined as the first priority</w:t>
      </w:r>
      <w:r w:rsidR="0002196B" w:rsidRPr="00054012">
        <w:t xml:space="preserve"> the</w:t>
      </w:r>
      <w:r w:rsidRPr="00054012">
        <w:t xml:space="preserve"> preparation of a comprehensive programme of work which will define, integrate and frame all capacity development activities done by the Sustainable Transport Division. The ITC Capacity Development Action Plan</w:t>
      </w:r>
      <w:r w:rsidR="00C323B4" w:rsidRPr="00054012">
        <w:t xml:space="preserve"> (hereafter the Action</w:t>
      </w:r>
      <w:r w:rsidR="00C323B4">
        <w:t xml:space="preserve"> Plan)</w:t>
      </w:r>
      <w:r>
        <w:t xml:space="preserve"> was presented and adopted at the 82nd session of ITC held in February 2020.</w:t>
      </w:r>
    </w:p>
    <w:p w14:paraId="32A24CC8" w14:textId="37602C0F" w:rsidR="00472091" w:rsidRPr="00DC68B9" w:rsidRDefault="00472091" w:rsidP="00155405">
      <w:pPr>
        <w:pStyle w:val="HChG"/>
      </w:pPr>
      <w:r>
        <w:tab/>
        <w:t>II.</w:t>
      </w:r>
      <w:r>
        <w:tab/>
        <w:t xml:space="preserve">The </w:t>
      </w:r>
      <w:r w:rsidR="00850483" w:rsidRPr="00850483">
        <w:t xml:space="preserve">ITC Capacity </w:t>
      </w:r>
      <w:r w:rsidR="00850483" w:rsidRPr="000D6793">
        <w:t>Development</w:t>
      </w:r>
      <w:r w:rsidR="00850483" w:rsidRPr="00850483">
        <w:t xml:space="preserve"> Action Plan</w:t>
      </w:r>
    </w:p>
    <w:p w14:paraId="73C850BB" w14:textId="7F7A2388" w:rsidR="00850483" w:rsidRPr="00DC68B9" w:rsidRDefault="00850483" w:rsidP="00155405">
      <w:pPr>
        <w:pStyle w:val="SingleTxtG"/>
      </w:pPr>
      <w:r>
        <w:t>5</w:t>
      </w:r>
      <w:r w:rsidR="00472091">
        <w:t>.</w:t>
      </w:r>
      <w:r w:rsidR="00472091">
        <w:tab/>
      </w:r>
      <w:r>
        <w:t>The A</w:t>
      </w:r>
      <w:r w:rsidRPr="00BF6921">
        <w:t xml:space="preserve">ction </w:t>
      </w:r>
      <w:r>
        <w:t>P</w:t>
      </w:r>
      <w:r w:rsidRPr="00BF6921">
        <w:t xml:space="preserve">lan </w:t>
      </w:r>
      <w:r>
        <w:t>i</w:t>
      </w:r>
      <w:r w:rsidRPr="009A08FF">
        <w:t>ncorporat</w:t>
      </w:r>
      <w:r>
        <w:t xml:space="preserve">ed </w:t>
      </w:r>
      <w:r w:rsidRPr="002F1A26">
        <w:t xml:space="preserve">capacity development general principles and activities </w:t>
      </w:r>
      <w:r>
        <w:t>to “</w:t>
      </w:r>
      <w:r w:rsidRPr="002F1A26">
        <w:t xml:space="preserve">Enhance </w:t>
      </w:r>
      <w:r>
        <w:t xml:space="preserve">the </w:t>
      </w:r>
      <w:r w:rsidRPr="002F1A26">
        <w:t>role of ITC as the United Nations platform for inland transport conventions</w:t>
      </w:r>
      <w:r>
        <w:t>”</w:t>
      </w:r>
      <w:r w:rsidRPr="00BF6921">
        <w:t xml:space="preserve">. </w:t>
      </w:r>
      <w:r>
        <w:t>All activities are</w:t>
      </w:r>
      <w:r w:rsidRPr="00BF6921">
        <w:t xml:space="preserve"> grouped into four strategic areas:</w:t>
      </w:r>
    </w:p>
    <w:p w14:paraId="66CE189C" w14:textId="7F500A69" w:rsidR="00850483" w:rsidRPr="00DC68B9" w:rsidRDefault="00850483" w:rsidP="00850483">
      <w:pPr>
        <w:pStyle w:val="SingleTxtG"/>
        <w:ind w:firstLine="567"/>
      </w:pPr>
      <w:r w:rsidRPr="000F3747">
        <w:rPr>
          <w:bCs/>
        </w:rPr>
        <w:t>(a)</w:t>
      </w:r>
      <w:r w:rsidRPr="000F3747">
        <w:rPr>
          <w:bCs/>
        </w:rPr>
        <w:tab/>
      </w:r>
      <w:r w:rsidRPr="007133B7">
        <w:rPr>
          <w:b/>
          <w:bCs/>
        </w:rPr>
        <w:t>Awareness</w:t>
      </w:r>
      <w:r>
        <w:rPr>
          <w:b/>
          <w:bCs/>
        </w:rPr>
        <w:t>-</w:t>
      </w:r>
      <w:r w:rsidRPr="007133B7">
        <w:rPr>
          <w:b/>
          <w:bCs/>
        </w:rPr>
        <w:t>ra</w:t>
      </w:r>
      <w:r w:rsidRPr="002F1A26">
        <w:rPr>
          <w:b/>
          <w:bCs/>
        </w:rPr>
        <w:t>ising</w:t>
      </w:r>
      <w:r w:rsidRPr="002F1A26">
        <w:t xml:space="preserve"> </w:t>
      </w:r>
      <w:r w:rsidRPr="00DC68B9">
        <w:t xml:space="preserve">- Inform </w:t>
      </w:r>
      <w:r w:rsidR="0002196B">
        <w:t>m</w:t>
      </w:r>
      <w:r w:rsidR="0002196B" w:rsidRPr="00DC68B9">
        <w:t xml:space="preserve">ember </w:t>
      </w:r>
      <w:r w:rsidRPr="00DC68B9">
        <w:t xml:space="preserve">States on </w:t>
      </w:r>
      <w:r>
        <w:t>United Nations</w:t>
      </w:r>
      <w:r w:rsidRPr="00DC68B9">
        <w:t xml:space="preserve"> transport legal instruments and on benefits of its efficient implementation</w:t>
      </w:r>
      <w:r>
        <w:t>.</w:t>
      </w:r>
    </w:p>
    <w:p w14:paraId="0B92F5A9" w14:textId="5002055A" w:rsidR="00850483" w:rsidRPr="00DC68B9" w:rsidRDefault="00850483" w:rsidP="00850483">
      <w:pPr>
        <w:pStyle w:val="SingleTxtG"/>
        <w:ind w:firstLine="567"/>
      </w:pPr>
      <w:r w:rsidRPr="000F3747">
        <w:rPr>
          <w:bCs/>
        </w:rPr>
        <w:t>(b)</w:t>
      </w:r>
      <w:r w:rsidRPr="000F3747">
        <w:rPr>
          <w:bCs/>
        </w:rPr>
        <w:tab/>
      </w:r>
      <w:r w:rsidRPr="00DC68B9">
        <w:rPr>
          <w:b/>
          <w:bCs/>
        </w:rPr>
        <w:t>Capacity enhancement</w:t>
      </w:r>
      <w:r w:rsidRPr="00DC68B9">
        <w:t xml:space="preserve"> - Assist member States in developing capacities for efficient implementation of </w:t>
      </w:r>
      <w:r>
        <w:t>United Nations</w:t>
      </w:r>
      <w:r w:rsidRPr="00DC68B9">
        <w:t xml:space="preserve"> inland transport legal instruments</w:t>
      </w:r>
      <w:r>
        <w:t>.</w:t>
      </w:r>
    </w:p>
    <w:p w14:paraId="1FE717D5" w14:textId="68BD2D6B" w:rsidR="00850483" w:rsidRPr="00DC68B9" w:rsidRDefault="00850483" w:rsidP="00850483">
      <w:pPr>
        <w:pStyle w:val="SingleTxtG"/>
        <w:ind w:firstLine="567"/>
      </w:pPr>
      <w:r w:rsidRPr="000F3747">
        <w:rPr>
          <w:bCs/>
        </w:rPr>
        <w:t>(c)</w:t>
      </w:r>
      <w:r w:rsidRPr="000F3747">
        <w:rPr>
          <w:bCs/>
        </w:rPr>
        <w:tab/>
      </w:r>
      <w:r w:rsidRPr="00DC68B9">
        <w:rPr>
          <w:b/>
          <w:bCs/>
        </w:rPr>
        <w:t>Seek synergies</w:t>
      </w:r>
      <w:r w:rsidRPr="00DC68B9">
        <w:t xml:space="preserve"> - Develop standards and competence criteria for accreditation of entities (academia, training </w:t>
      </w:r>
      <w:r w:rsidRPr="00B71DC3">
        <w:t>centres</w:t>
      </w:r>
      <w:r w:rsidRPr="00DC68B9">
        <w:t xml:space="preserve">, etc.) to promote </w:t>
      </w:r>
      <w:r>
        <w:t>United Nations</w:t>
      </w:r>
      <w:r w:rsidRPr="00DC68B9">
        <w:t xml:space="preserve"> inland transport legal instruments</w:t>
      </w:r>
      <w:r>
        <w:t>.</w:t>
      </w:r>
    </w:p>
    <w:p w14:paraId="7F8A0C22" w14:textId="77777777" w:rsidR="00850483" w:rsidRPr="00DC68B9" w:rsidRDefault="00850483" w:rsidP="00850483">
      <w:pPr>
        <w:pStyle w:val="SingleTxtG"/>
        <w:ind w:firstLine="567"/>
      </w:pPr>
      <w:r w:rsidRPr="000F3747">
        <w:rPr>
          <w:bCs/>
        </w:rPr>
        <w:t>(d)</w:t>
      </w:r>
      <w:r w:rsidRPr="000F3747">
        <w:rPr>
          <w:bCs/>
        </w:rPr>
        <w:tab/>
      </w:r>
      <w:r w:rsidRPr="00DC68B9">
        <w:rPr>
          <w:b/>
          <w:bCs/>
        </w:rPr>
        <w:t>Monitor and evaluate results</w:t>
      </w:r>
      <w:r w:rsidRPr="00DC68B9">
        <w:t xml:space="preserve"> and effectiveness of applied actions/methods.</w:t>
      </w:r>
    </w:p>
    <w:p w14:paraId="405E2620" w14:textId="3BC90CC9" w:rsidR="00460A33" w:rsidRPr="00DC68B9" w:rsidRDefault="00850483" w:rsidP="00155405">
      <w:pPr>
        <w:pStyle w:val="SingleTxtG"/>
      </w:pPr>
      <w:r>
        <w:t>6.</w:t>
      </w:r>
      <w:r>
        <w:tab/>
      </w:r>
      <w:r w:rsidR="00460A33">
        <w:t xml:space="preserve">The </w:t>
      </w:r>
      <w:r w:rsidR="00460A33" w:rsidRPr="00DC68B9">
        <w:t xml:space="preserve">Action Plan general principles reflect the intention to do more for </w:t>
      </w:r>
      <w:r w:rsidR="0002196B">
        <w:t xml:space="preserve">the </w:t>
      </w:r>
      <w:r w:rsidR="00460A33" w:rsidRPr="00DC68B9">
        <w:t xml:space="preserve">promotion of </w:t>
      </w:r>
      <w:r w:rsidR="00460A33" w:rsidRPr="00155405">
        <w:t>efficient</w:t>
      </w:r>
      <w:r w:rsidR="00460A33" w:rsidRPr="00DC68B9">
        <w:t xml:space="preserve"> implementation of </w:t>
      </w:r>
      <w:r w:rsidR="00460A33">
        <w:t>United Nations</w:t>
      </w:r>
      <w:r w:rsidR="00460A33" w:rsidRPr="00DC68B9">
        <w:t xml:space="preserve"> transport-related legal instruments and to achieve tangible results in </w:t>
      </w:r>
      <w:r w:rsidR="0002196B">
        <w:t>m</w:t>
      </w:r>
      <w:r w:rsidR="0002196B" w:rsidRPr="00DC68B9">
        <w:t xml:space="preserve">ember </w:t>
      </w:r>
      <w:r w:rsidR="00460A33" w:rsidRPr="00DC68B9">
        <w:t>States. The proposed general principles are the following:</w:t>
      </w:r>
    </w:p>
    <w:p w14:paraId="181F99B4" w14:textId="2AFC5888" w:rsidR="00C25D31" w:rsidRPr="00DC68B9" w:rsidRDefault="00C25D31" w:rsidP="00C25D31">
      <w:pPr>
        <w:pStyle w:val="SingleTxtG"/>
        <w:ind w:firstLine="567"/>
      </w:pPr>
      <w:r w:rsidRPr="000F3747">
        <w:rPr>
          <w:bCs/>
        </w:rPr>
        <w:t>(a)</w:t>
      </w:r>
      <w:r w:rsidRPr="000F3747">
        <w:rPr>
          <w:bCs/>
        </w:rPr>
        <w:tab/>
      </w:r>
      <w:r w:rsidRPr="00DC68B9">
        <w:rPr>
          <w:b/>
          <w:bCs/>
        </w:rPr>
        <w:t>Offer A-Z solutions to Member States</w:t>
      </w:r>
      <w:r w:rsidRPr="00DC68B9">
        <w:t xml:space="preserve"> – </w:t>
      </w:r>
      <w:r w:rsidR="00460A33">
        <w:t>w</w:t>
      </w:r>
      <w:r w:rsidRPr="00DC68B9">
        <w:t xml:space="preserve">ork hand-in-hand with </w:t>
      </w:r>
      <w:r w:rsidR="0002196B">
        <w:t>m</w:t>
      </w:r>
      <w:r w:rsidR="0002196B" w:rsidRPr="00DC68B9">
        <w:t xml:space="preserve">ember </w:t>
      </w:r>
      <w:r w:rsidRPr="00DC68B9">
        <w:t xml:space="preserve">State on efficient implementation of </w:t>
      </w:r>
      <w:r>
        <w:t>United Nations</w:t>
      </w:r>
      <w:r w:rsidRPr="00DC68B9">
        <w:t xml:space="preserve"> transport legal instruments</w:t>
      </w:r>
      <w:r w:rsidR="00460A33">
        <w:t>.</w:t>
      </w:r>
    </w:p>
    <w:p w14:paraId="0F585128" w14:textId="2DDD2742" w:rsidR="00C25D31" w:rsidRPr="00DC68B9" w:rsidRDefault="00C25D31" w:rsidP="00C25D31">
      <w:pPr>
        <w:pStyle w:val="SingleTxtG"/>
        <w:ind w:firstLine="567"/>
      </w:pPr>
      <w:r w:rsidRPr="000F3747">
        <w:rPr>
          <w:bCs/>
        </w:rPr>
        <w:t>(b)</w:t>
      </w:r>
      <w:r w:rsidRPr="000F3747">
        <w:rPr>
          <w:bCs/>
        </w:rPr>
        <w:tab/>
      </w:r>
      <w:r w:rsidRPr="00DC68B9">
        <w:rPr>
          <w:b/>
          <w:bCs/>
        </w:rPr>
        <w:t xml:space="preserve">Recognize capacity development as a long-term relation and effort by </w:t>
      </w:r>
      <w:r w:rsidR="0002196B">
        <w:rPr>
          <w:b/>
          <w:bCs/>
        </w:rPr>
        <w:t>m</w:t>
      </w:r>
      <w:r w:rsidR="0002196B" w:rsidRPr="00DC68B9">
        <w:rPr>
          <w:b/>
          <w:bCs/>
        </w:rPr>
        <w:t xml:space="preserve">ember </w:t>
      </w:r>
      <w:r w:rsidRPr="00DC68B9">
        <w:rPr>
          <w:b/>
          <w:bCs/>
        </w:rPr>
        <w:t>State and ECE</w:t>
      </w:r>
      <w:r w:rsidR="00460A33">
        <w:t xml:space="preserve"> –</w:t>
      </w:r>
      <w:r w:rsidRPr="00DC68B9">
        <w:t xml:space="preserve"> </w:t>
      </w:r>
      <w:r w:rsidR="00460A33">
        <w:t xml:space="preserve">give constant support during </w:t>
      </w:r>
      <w:r w:rsidRPr="00DC68B9">
        <w:t xml:space="preserve">several years </w:t>
      </w:r>
      <w:r w:rsidR="00460A33">
        <w:t xml:space="preserve">required </w:t>
      </w:r>
      <w:r w:rsidRPr="00DC68B9">
        <w:t>for efficient implementation of one transport-related convention</w:t>
      </w:r>
      <w:r w:rsidR="00460A33">
        <w:t>.</w:t>
      </w:r>
    </w:p>
    <w:p w14:paraId="4A2E18F0" w14:textId="01D1FD87" w:rsidR="00C25D31" w:rsidRPr="00DC68B9" w:rsidRDefault="00C25D31" w:rsidP="00C25D31">
      <w:pPr>
        <w:pStyle w:val="SingleTxtG"/>
        <w:ind w:firstLine="567"/>
      </w:pPr>
      <w:r w:rsidRPr="000F3747">
        <w:rPr>
          <w:bCs/>
        </w:rPr>
        <w:t>(c)</w:t>
      </w:r>
      <w:r w:rsidRPr="000F3747">
        <w:rPr>
          <w:bCs/>
        </w:rPr>
        <w:tab/>
      </w:r>
      <w:r w:rsidRPr="00DC68B9">
        <w:t xml:space="preserve">Taking </w:t>
      </w:r>
      <w:r w:rsidRPr="00950C39">
        <w:t xml:space="preserve">into account principles set-up in the Sustainable Development Goal 17, </w:t>
      </w:r>
      <w:r w:rsidRPr="00950C39">
        <w:rPr>
          <w:b/>
          <w:bCs/>
        </w:rPr>
        <w:t xml:space="preserve">seek synergies with </w:t>
      </w:r>
      <w:r w:rsidR="00460A33" w:rsidRPr="00950C39">
        <w:rPr>
          <w:b/>
          <w:bCs/>
        </w:rPr>
        <w:t xml:space="preserve">United Nations development system, </w:t>
      </w:r>
      <w:r w:rsidRPr="00950C39">
        <w:rPr>
          <w:b/>
          <w:bCs/>
        </w:rPr>
        <w:t>other international and regional institutions involved in development of sustainable transport</w:t>
      </w:r>
      <w:r w:rsidRPr="00DC68B9">
        <w:rPr>
          <w:b/>
          <w:bCs/>
        </w:rPr>
        <w:t xml:space="preserve"> system</w:t>
      </w:r>
      <w:r w:rsidRPr="00DC68B9">
        <w:t>.</w:t>
      </w:r>
    </w:p>
    <w:p w14:paraId="657F8BDF" w14:textId="0F05FE2C" w:rsidR="00C25D31" w:rsidRPr="00DC68B9" w:rsidRDefault="00C25D31" w:rsidP="00C25D31">
      <w:pPr>
        <w:pStyle w:val="SingleTxtG"/>
        <w:ind w:firstLine="567"/>
      </w:pPr>
      <w:r w:rsidRPr="000F3747">
        <w:rPr>
          <w:bCs/>
        </w:rPr>
        <w:t>(d)</w:t>
      </w:r>
      <w:r w:rsidRPr="000F3747">
        <w:rPr>
          <w:bCs/>
        </w:rPr>
        <w:tab/>
      </w:r>
      <w:r w:rsidRPr="00DC68B9">
        <w:t xml:space="preserve">To reach optimal results with available resources, </w:t>
      </w:r>
      <w:r w:rsidRPr="00DC68B9">
        <w:rPr>
          <w:b/>
          <w:bCs/>
        </w:rPr>
        <w:t>capacity development activities should influence all three levels of capacity development</w:t>
      </w:r>
      <w:r w:rsidRPr="00DC68B9">
        <w:t xml:space="preserve"> (individual, organizational and national), with special emphasize on a national level.</w:t>
      </w:r>
    </w:p>
    <w:p w14:paraId="6925DE4C" w14:textId="1837DE41" w:rsidR="00C25D31" w:rsidRPr="00DC68B9" w:rsidRDefault="00C25D31" w:rsidP="00C25D31">
      <w:pPr>
        <w:pStyle w:val="SingleTxtG"/>
        <w:ind w:firstLine="567"/>
      </w:pPr>
      <w:r w:rsidRPr="000F3747">
        <w:rPr>
          <w:bCs/>
        </w:rPr>
        <w:t>(e)</w:t>
      </w:r>
      <w:r w:rsidRPr="000F3747">
        <w:rPr>
          <w:bCs/>
        </w:rPr>
        <w:tab/>
      </w:r>
      <w:r w:rsidRPr="00DC68B9">
        <w:rPr>
          <w:b/>
          <w:bCs/>
        </w:rPr>
        <w:t xml:space="preserve">Use </w:t>
      </w:r>
      <w:r w:rsidR="00460A33">
        <w:rPr>
          <w:b/>
          <w:bCs/>
        </w:rPr>
        <w:t>the A</w:t>
      </w:r>
      <w:r w:rsidRPr="00DC68B9">
        <w:rPr>
          <w:b/>
          <w:bCs/>
        </w:rPr>
        <w:t xml:space="preserve">ction </w:t>
      </w:r>
      <w:r w:rsidR="00460A33">
        <w:rPr>
          <w:b/>
          <w:bCs/>
        </w:rPr>
        <w:t>P</w:t>
      </w:r>
      <w:r w:rsidRPr="00DC68B9">
        <w:rPr>
          <w:b/>
          <w:bCs/>
        </w:rPr>
        <w:t>lan to mobilize XB funds</w:t>
      </w:r>
      <w:r w:rsidRPr="00DC68B9">
        <w:t xml:space="preserve"> –</w:t>
      </w:r>
      <w:r w:rsidR="00950C39">
        <w:t xml:space="preserve"> </w:t>
      </w:r>
      <w:r w:rsidRPr="00DC68B9">
        <w:t xml:space="preserve">the capacity development framework for </w:t>
      </w:r>
      <w:r w:rsidR="0002196B">
        <w:t>m</w:t>
      </w:r>
      <w:r w:rsidR="0002196B" w:rsidRPr="00DC68B9">
        <w:t xml:space="preserve">ember </w:t>
      </w:r>
      <w:r w:rsidRPr="00DC68B9">
        <w:t xml:space="preserve">State will serve for mobilization of additional XB funding for capacity development, allocation of </w:t>
      </w:r>
      <w:r w:rsidR="00CA37D8" w:rsidRPr="00CA37D8">
        <w:t xml:space="preserve">Regular Programme of Technical Cooperation </w:t>
      </w:r>
      <w:r w:rsidR="00CA37D8">
        <w:t>(</w:t>
      </w:r>
      <w:r w:rsidRPr="00DC68B9">
        <w:t>RPTC</w:t>
      </w:r>
      <w:r w:rsidR="00CA37D8">
        <w:t>)</w:t>
      </w:r>
      <w:r w:rsidRPr="00DC68B9">
        <w:t xml:space="preserve"> fund, RB staff time, etc.</w:t>
      </w:r>
    </w:p>
    <w:p w14:paraId="40355C23" w14:textId="1C32A6C3" w:rsidR="00472091" w:rsidRDefault="00472091" w:rsidP="000D6793">
      <w:pPr>
        <w:pStyle w:val="HChG"/>
      </w:pPr>
      <w:bookmarkStart w:id="0" w:name="_Hlk21937375"/>
      <w:r>
        <w:tab/>
        <w:t>III.</w:t>
      </w:r>
      <w:r>
        <w:tab/>
      </w:r>
      <w:r w:rsidR="00C323B4">
        <w:rPr>
          <w:lang w:val="en-US"/>
        </w:rPr>
        <w:t>Initial experiences with the Action Plan</w:t>
      </w:r>
    </w:p>
    <w:p w14:paraId="7C5997DA" w14:textId="5AE8782D" w:rsidR="00C323B4" w:rsidRDefault="00950C39" w:rsidP="00155405">
      <w:pPr>
        <w:pStyle w:val="SingleTxtG"/>
      </w:pPr>
      <w:r>
        <w:t>7.</w:t>
      </w:r>
      <w:r>
        <w:tab/>
      </w:r>
      <w:r w:rsidR="00C323B4">
        <w:t xml:space="preserve">Immediately after adoption of the Strategy, the Secretariat decided to </w:t>
      </w:r>
      <w:r w:rsidR="00C323B4" w:rsidRPr="00C57FBC">
        <w:t xml:space="preserve">pilot </w:t>
      </w:r>
      <w:r w:rsidR="0025518E">
        <w:t>general principles (</w:t>
      </w:r>
      <w:r w:rsidR="00C323B4" w:rsidRPr="00C57FBC">
        <w:t>“A to Z” approach</w:t>
      </w:r>
      <w:r w:rsidR="0025518E">
        <w:t xml:space="preserve"> and long-term relation)</w:t>
      </w:r>
      <w:r w:rsidR="00C323B4" w:rsidRPr="00C57FBC">
        <w:t xml:space="preserve"> </w:t>
      </w:r>
      <w:r w:rsidR="00C323B4">
        <w:t>before final adoption</w:t>
      </w:r>
      <w:r w:rsidR="0025518E">
        <w:t xml:space="preserve"> of the Action </w:t>
      </w:r>
      <w:r w:rsidR="0025518E">
        <w:lastRenderedPageBreak/>
        <w:t>Plan</w:t>
      </w:r>
      <w:r w:rsidR="00C323B4">
        <w:t xml:space="preserve">. ECE-led </w:t>
      </w:r>
      <w:r w:rsidR="00C323B4" w:rsidRPr="00C57FBC">
        <w:t>Georgia Road Safety Performance Review</w:t>
      </w:r>
      <w:r w:rsidR="00C323B4">
        <w:t xml:space="preserve"> (RSPR)</w:t>
      </w:r>
      <w:r w:rsidR="00C323B4" w:rsidRPr="00C57FBC">
        <w:t xml:space="preserve"> </w:t>
      </w:r>
      <w:r w:rsidR="00C323B4">
        <w:t xml:space="preserve">was </w:t>
      </w:r>
      <w:r w:rsidR="00C323B4" w:rsidRPr="00C57FBC">
        <w:t xml:space="preserve">completed in 2018. </w:t>
      </w:r>
      <w:r w:rsidR="00C323B4">
        <w:t>One of the RSPR recommendations stressed the n</w:t>
      </w:r>
      <w:r w:rsidR="00C323B4" w:rsidRPr="00C57FBC">
        <w:t>ecessity to update national legislation on safe vehicles</w:t>
      </w:r>
      <w:r w:rsidR="00C323B4">
        <w:t>.</w:t>
      </w:r>
      <w:r w:rsidR="00C323B4" w:rsidRPr="00C57FBC">
        <w:t xml:space="preserve"> </w:t>
      </w:r>
      <w:r w:rsidR="00C323B4">
        <w:t xml:space="preserve">ECE in </w:t>
      </w:r>
      <w:r w:rsidR="00C323B4" w:rsidRPr="005C70F8">
        <w:t>cooperation</w:t>
      </w:r>
      <w:r w:rsidR="00C323B4">
        <w:t xml:space="preserve"> with the Georgian Ministry of Economy and Sustainable Development (MoESD) organized a</w:t>
      </w:r>
      <w:r w:rsidR="00C323B4" w:rsidRPr="00C57FBC">
        <w:t xml:space="preserve"> workshop “The 1958 Agreement – a road map for implementation” on United Nations legal instruments and technical regulations on safe vehicles (Tbilisi, Georgia, May 2019)</w:t>
      </w:r>
      <w:r w:rsidR="00C323B4">
        <w:t>.</w:t>
      </w:r>
      <w:r w:rsidR="00C323B4" w:rsidRPr="00C57FBC">
        <w:t xml:space="preserve"> </w:t>
      </w:r>
      <w:r w:rsidR="00A75FD0">
        <w:t xml:space="preserve">The workshop </w:t>
      </w:r>
      <w:r w:rsidR="00A75FD0" w:rsidRPr="00C57FBC">
        <w:t xml:space="preserve">addressed the safety and environmental performance of wheeled vehicles and allowed exchange of international and national best practices on efficient implementation of the 1958 Agreement. </w:t>
      </w:r>
      <w:r w:rsidR="0025518E">
        <w:t>Based on identified gaps,</w:t>
      </w:r>
      <w:r w:rsidR="00C323B4" w:rsidRPr="00C57FBC">
        <w:t xml:space="preserve"> ECE expert</w:t>
      </w:r>
      <w:r w:rsidR="0002196B">
        <w:t>s</w:t>
      </w:r>
      <w:r w:rsidR="00C323B4" w:rsidRPr="00C57FBC">
        <w:t xml:space="preserve"> worked hand-in-hand with the Georgian stakeholders on preparation of </w:t>
      </w:r>
      <w:r w:rsidR="00C323B4">
        <w:t>updates</w:t>
      </w:r>
      <w:r w:rsidR="00C323B4" w:rsidRPr="00C57FBC">
        <w:t xml:space="preserve"> on national legislation on safe vehicles. Amendments </w:t>
      </w:r>
      <w:r w:rsidR="00C323B4">
        <w:t>on</w:t>
      </w:r>
      <w:r w:rsidR="00C323B4" w:rsidRPr="00C57FBC">
        <w:t xml:space="preserve"> </w:t>
      </w:r>
      <w:r w:rsidR="00C323B4" w:rsidRPr="0063766F">
        <w:t>the Law on Motor Transport</w:t>
      </w:r>
      <w:r w:rsidR="00C323B4">
        <w:t>,</w:t>
      </w:r>
      <w:r w:rsidR="00C323B4" w:rsidRPr="0063766F">
        <w:t xml:space="preserve"> draft Technical Regulation on procedures for granting Type Approval and designation of Technical Service provider pursuant to the 1958 Agreement and </w:t>
      </w:r>
      <w:r w:rsidR="00C323B4">
        <w:t>A</w:t>
      </w:r>
      <w:r w:rsidR="00C323B4" w:rsidRPr="0063766F">
        <w:t>ction plan for efficient implementation of the 1958 Agreement in Georgia</w:t>
      </w:r>
      <w:r w:rsidR="00C323B4">
        <w:t xml:space="preserve"> </w:t>
      </w:r>
      <w:r w:rsidR="00C323B4" w:rsidRPr="00C57FBC">
        <w:t xml:space="preserve">were completed </w:t>
      </w:r>
      <w:r w:rsidR="0025518E">
        <w:t xml:space="preserve">and handed over to MoESD </w:t>
      </w:r>
      <w:r w:rsidR="00C323B4" w:rsidRPr="00C57FBC">
        <w:t>in December 2019</w:t>
      </w:r>
      <w:r w:rsidR="00C323B4">
        <w:t>.</w:t>
      </w:r>
      <w:r w:rsidR="0025518E">
        <w:t xml:space="preserve"> In October 2020, two years after completion of RSPR project, ECE, MoESD and LEPL Land Transport Agency organized a workshop to </w:t>
      </w:r>
      <w:r w:rsidR="0025518E" w:rsidRPr="0025518E">
        <w:t xml:space="preserve">take stock on </w:t>
      </w:r>
      <w:r w:rsidR="0025518E">
        <w:t xml:space="preserve">the </w:t>
      </w:r>
      <w:r w:rsidR="0025518E" w:rsidRPr="0025518E">
        <w:t xml:space="preserve">project results in Albania and Georgia, </w:t>
      </w:r>
      <w:r w:rsidR="00A75FD0">
        <w:t xml:space="preserve">with emphasize on results achieved in </w:t>
      </w:r>
      <w:r w:rsidR="0025518E" w:rsidRPr="0025518E">
        <w:t>safe vehicles pillar</w:t>
      </w:r>
      <w:r w:rsidR="0025518E">
        <w:t>.</w:t>
      </w:r>
      <w:r w:rsidR="00A75FD0">
        <w:t xml:space="preserve"> </w:t>
      </w:r>
      <w:r w:rsidR="008D035A">
        <w:t>In 3 Qt</w:t>
      </w:r>
      <w:r w:rsidR="00A75FD0">
        <w:t xml:space="preserve"> 2021, </w:t>
      </w:r>
      <w:r w:rsidR="00A75FD0" w:rsidRPr="00A75FD0">
        <w:t xml:space="preserve">Georgian experts </w:t>
      </w:r>
      <w:r w:rsidR="008D035A">
        <w:t>completed</w:t>
      </w:r>
      <w:r w:rsidR="00A75FD0" w:rsidRPr="00A75FD0">
        <w:t xml:space="preserve"> the </w:t>
      </w:r>
      <w:r w:rsidR="008D035A">
        <w:t xml:space="preserve">draft </w:t>
      </w:r>
      <w:r w:rsidR="00A75FD0" w:rsidRPr="00A75FD0">
        <w:t xml:space="preserve">national road safety strategy which is partly based on </w:t>
      </w:r>
      <w:r w:rsidR="008D035A">
        <w:t xml:space="preserve">RPTC </w:t>
      </w:r>
      <w:r w:rsidR="00A75FD0" w:rsidRPr="00A75FD0">
        <w:t xml:space="preserve">findings and recommendations. In this process experts identified a number of pressing issues which should be addressed in the strategy, subject to analysis of potential results and resources required for its implementation. </w:t>
      </w:r>
      <w:r w:rsidR="008D035A">
        <w:t xml:space="preserve">As a continuation of cooperation with </w:t>
      </w:r>
      <w:r w:rsidR="00A75FD0" w:rsidRPr="00A75FD0">
        <w:t>MoESD</w:t>
      </w:r>
      <w:r w:rsidR="008D035A">
        <w:t>,</w:t>
      </w:r>
      <w:r w:rsidR="00A75FD0" w:rsidRPr="00A75FD0">
        <w:t xml:space="preserve"> ECE </w:t>
      </w:r>
      <w:r w:rsidR="008D035A">
        <w:t xml:space="preserve">experts are analysing </w:t>
      </w:r>
      <w:r w:rsidR="00A75FD0" w:rsidRPr="00A75FD0">
        <w:t>three road safety topics: seat belts on rear seat, child restraint system and speed management</w:t>
      </w:r>
      <w:r w:rsidR="008D035A">
        <w:t xml:space="preserve"> and will comeback with international best practice and potential benefits of implementation of these measures in Georgia. This analysis </w:t>
      </w:r>
      <w:r w:rsidR="007C0E0E">
        <w:t xml:space="preserve">and recommendations </w:t>
      </w:r>
      <w:r w:rsidR="008D035A">
        <w:t xml:space="preserve">will give </w:t>
      </w:r>
      <w:r w:rsidR="007C0E0E">
        <w:t>sound information for Georgian legislators to introduce/delay implementation of proposed measures.</w:t>
      </w:r>
    </w:p>
    <w:p w14:paraId="78840FED" w14:textId="0E24E76C" w:rsidR="00C323B4" w:rsidRDefault="006E691E" w:rsidP="000D6793">
      <w:pPr>
        <w:pStyle w:val="SingleTxtG"/>
      </w:pPr>
      <w:r>
        <w:t>8</w:t>
      </w:r>
      <w:r w:rsidR="00C323B4">
        <w:t>.</w:t>
      </w:r>
      <w:r w:rsidR="00C323B4">
        <w:tab/>
      </w:r>
      <w:r w:rsidR="007C0E0E">
        <w:t xml:space="preserve">After adoption of the Action Plan, ECE </w:t>
      </w:r>
      <w:r w:rsidR="005E670F">
        <w:t>c</w:t>
      </w:r>
      <w:r w:rsidR="007C0E0E">
        <w:t xml:space="preserve">ooperation with the Ministry of Communications </w:t>
      </w:r>
      <w:r w:rsidR="005E670F">
        <w:t xml:space="preserve">and Transport </w:t>
      </w:r>
      <w:r w:rsidR="007C0E0E">
        <w:t>of Bosnia and Herzegovina</w:t>
      </w:r>
      <w:r w:rsidR="005E670F">
        <w:t xml:space="preserve"> (MCT)</w:t>
      </w:r>
      <w:r w:rsidR="007C0E0E">
        <w:t xml:space="preserve"> on capacity development</w:t>
      </w:r>
      <w:r w:rsidR="005E670F">
        <w:t xml:space="preserve"> were streamlined on road safety assistance. </w:t>
      </w:r>
      <w:r w:rsidR="007C0E0E">
        <w:t xml:space="preserve">Activities </w:t>
      </w:r>
      <w:r w:rsidR="00C323B4">
        <w:t xml:space="preserve">were initiated with sub-regional capacity building event (Sarajevo, </w:t>
      </w:r>
      <w:r w:rsidR="00C323B4" w:rsidRPr="000D6793">
        <w:t>March</w:t>
      </w:r>
      <w:r w:rsidR="00C323B4">
        <w:t xml:space="preserve"> 2020) organized in cooperation with </w:t>
      </w:r>
      <w:r w:rsidR="005E670F">
        <w:t>MCT</w:t>
      </w:r>
      <w:r w:rsidR="00C323B4">
        <w:t xml:space="preserve"> and UNDP BiH</w:t>
      </w:r>
      <w:r w:rsidR="005E670F">
        <w:t>.</w:t>
      </w:r>
      <w:r w:rsidR="002C7015">
        <w:t xml:space="preserve"> </w:t>
      </w:r>
      <w:r w:rsidR="002C7015" w:rsidRPr="002C7015">
        <w:t xml:space="preserve">Policy dialogue among BiH road safety stakeholders identified a number of key road safety measures as a starting point for the Framework Road Safety Strategy </w:t>
      </w:r>
      <w:r w:rsidR="002C7015">
        <w:t>(FRSS)</w:t>
      </w:r>
      <w:r w:rsidR="002C7015" w:rsidRPr="002C7015">
        <w:t xml:space="preserve">. </w:t>
      </w:r>
      <w:r w:rsidR="003C5125">
        <w:t xml:space="preserve">Team of </w:t>
      </w:r>
      <w:r w:rsidR="00C323B4">
        <w:t>external consultants guided by ECE</w:t>
      </w:r>
      <w:r w:rsidR="003C5125">
        <w:t>, MCT and UNDP BiH</w:t>
      </w:r>
      <w:r w:rsidR="00C323B4">
        <w:t xml:space="preserve"> </w:t>
      </w:r>
      <w:r w:rsidR="003C5125">
        <w:t xml:space="preserve">have </w:t>
      </w:r>
      <w:r w:rsidR="002C7015" w:rsidRPr="002C7015">
        <w:t>prepar</w:t>
      </w:r>
      <w:r w:rsidR="003C5125">
        <w:t>ed</w:t>
      </w:r>
      <w:r w:rsidR="002C7015" w:rsidRPr="002C7015">
        <w:t xml:space="preserve"> the draft FRSS and two reports: Roadmap for accession to and implementation of the 1997 Agreement for Bosnia and Herzegovina and Analysis on establishment of the roadside technical inspection in Bosnia and Herzegovina</w:t>
      </w:r>
      <w:r w:rsidR="003C5125">
        <w:t xml:space="preserve"> in 2Qt 2021</w:t>
      </w:r>
      <w:r w:rsidR="002C7015" w:rsidRPr="002C7015">
        <w:t>. Final draft FRSS was handed over to MCT for national consultations</w:t>
      </w:r>
      <w:r w:rsidR="003C5125">
        <w:t>.</w:t>
      </w:r>
      <w:r w:rsidR="002C7015" w:rsidRPr="002C7015">
        <w:t xml:space="preserve"> </w:t>
      </w:r>
      <w:r w:rsidR="003C5125">
        <w:t xml:space="preserve">Recognizing the need for further </w:t>
      </w:r>
      <w:r w:rsidR="002C7015" w:rsidRPr="002C7015">
        <w:t>cooperation with MCT on implementation of FRSS recommendations</w:t>
      </w:r>
      <w:r w:rsidR="003C5125">
        <w:t xml:space="preserve"> and efficient implementation of United nations legal instruments in safe vehicles area,</w:t>
      </w:r>
      <w:r w:rsidR="002C7015" w:rsidRPr="002C7015">
        <w:t xml:space="preserve"> </w:t>
      </w:r>
      <w:r w:rsidR="003C5125" w:rsidRPr="002C7015">
        <w:t xml:space="preserve">ECE </w:t>
      </w:r>
      <w:r w:rsidR="003C5125">
        <w:t>launched activities in</w:t>
      </w:r>
      <w:r w:rsidR="002C7015" w:rsidRPr="002C7015">
        <w:t xml:space="preserve"> prepar</w:t>
      </w:r>
      <w:r w:rsidR="003C5125">
        <w:t>ation of</w:t>
      </w:r>
      <w:r w:rsidR="002C7015" w:rsidRPr="002C7015">
        <w:t xml:space="preserve"> the Roadmap for roadside technical inspection</w:t>
      </w:r>
      <w:r w:rsidR="00825C10">
        <w:t xml:space="preserve"> (RTI)</w:t>
      </w:r>
      <w:r w:rsidR="002C7015" w:rsidRPr="002C7015">
        <w:t xml:space="preserve"> </w:t>
      </w:r>
      <w:r w:rsidR="003C5125">
        <w:t xml:space="preserve">in BiH. First </w:t>
      </w:r>
      <w:r w:rsidR="00825C10">
        <w:t xml:space="preserve">opportunity to present initial findings on RTI was workshop </w:t>
      </w:r>
      <w:r w:rsidR="00825C10" w:rsidRPr="00825C10">
        <w:t xml:space="preserve">on Periodic Technical Inspection and Roadside Technical Inspection </w:t>
      </w:r>
      <w:r w:rsidR="00825C10">
        <w:t>(online, October 2021).</w:t>
      </w:r>
      <w:r w:rsidR="00825C10" w:rsidRPr="00825C10">
        <w:t xml:space="preserve"> The workshop </w:t>
      </w:r>
      <w:r w:rsidR="00825C10">
        <w:t>took</w:t>
      </w:r>
      <w:r w:rsidR="00825C10" w:rsidRPr="00825C10">
        <w:t xml:space="preserve"> stock on current international legal framework (U</w:t>
      </w:r>
      <w:r w:rsidR="00825C10">
        <w:t xml:space="preserve">nited </w:t>
      </w:r>
      <w:r w:rsidR="00825C10" w:rsidRPr="00825C10">
        <w:t>N</w:t>
      </w:r>
      <w:r w:rsidR="00825C10">
        <w:t>ations</w:t>
      </w:r>
      <w:r w:rsidR="00825C10" w:rsidRPr="00825C10">
        <w:t xml:space="preserve"> and E</w:t>
      </w:r>
      <w:r w:rsidR="00825C10">
        <w:t xml:space="preserve">uropean </w:t>
      </w:r>
      <w:r w:rsidR="00825C10" w:rsidRPr="00825C10">
        <w:t>U</w:t>
      </w:r>
      <w:r w:rsidR="00825C10">
        <w:t>nion</w:t>
      </w:r>
      <w:r w:rsidR="00825C10" w:rsidRPr="00825C10">
        <w:t>) for PTI and RTI and provide</w:t>
      </w:r>
      <w:r w:rsidR="00825C10">
        <w:t>d</w:t>
      </w:r>
      <w:r w:rsidR="00825C10" w:rsidRPr="00825C10">
        <w:t xml:space="preserve"> information how to update national legislation to be in full conformity with </w:t>
      </w:r>
      <w:r w:rsidR="00825C10">
        <w:t xml:space="preserve">the </w:t>
      </w:r>
      <w:r w:rsidR="00825C10" w:rsidRPr="00825C10">
        <w:t>1997 Agreement</w:t>
      </w:r>
      <w:r w:rsidR="00825C10">
        <w:rPr>
          <w:rStyle w:val="FootnoteReference"/>
        </w:rPr>
        <w:footnoteReference w:id="2"/>
      </w:r>
      <w:r w:rsidR="00825C10">
        <w:t xml:space="preserve">. </w:t>
      </w:r>
      <w:r>
        <w:t xml:space="preserve">Finalization of the Roadmap, </w:t>
      </w:r>
      <w:r w:rsidRPr="002C7015">
        <w:t>joint capacity development seminar</w:t>
      </w:r>
      <w:r>
        <w:t xml:space="preserve"> and n</w:t>
      </w:r>
      <w:r w:rsidRPr="002C7015">
        <w:t xml:space="preserve">ational policy dialogue on FRSS </w:t>
      </w:r>
      <w:r>
        <w:t>are planned for 1</w:t>
      </w:r>
      <w:r w:rsidRPr="006E691E">
        <w:rPr>
          <w:vertAlign w:val="superscript"/>
        </w:rPr>
        <w:t>st</w:t>
      </w:r>
      <w:r>
        <w:t xml:space="preserve"> Qt 2022.</w:t>
      </w:r>
    </w:p>
    <w:p w14:paraId="7D63ED68" w14:textId="71D323FC" w:rsidR="00C323B4" w:rsidRDefault="006E691E" w:rsidP="000D6793">
      <w:pPr>
        <w:pStyle w:val="SingleTxtG"/>
      </w:pPr>
      <w:r>
        <w:t>9</w:t>
      </w:r>
      <w:r w:rsidR="00C323B4">
        <w:t>.</w:t>
      </w:r>
      <w:r w:rsidR="00C323B4">
        <w:tab/>
      </w:r>
      <w:r w:rsidR="006F64BE" w:rsidRPr="000D6793">
        <w:t>Demand</w:t>
      </w:r>
      <w:r w:rsidR="006F64BE">
        <w:t xml:space="preserve"> driven activities on accession to United Nations transport legal instruments based on the Action Plan principles were particularly fruitful in case of Turkmenistan. On the request of Turkmenistan, ECE organized</w:t>
      </w:r>
      <w:r w:rsidR="00C323B4">
        <w:t xml:space="preserve"> two capacity development events (online</w:t>
      </w:r>
      <w:r w:rsidR="006F64BE">
        <w:t>,</w:t>
      </w:r>
      <w:r w:rsidR="00C323B4">
        <w:t xml:space="preserve"> April and May 2020) </w:t>
      </w:r>
      <w:r w:rsidR="006F64BE">
        <w:t>which resulted in</w:t>
      </w:r>
      <w:r w:rsidR="00C323B4">
        <w:t xml:space="preserve"> successful accession of Turkmenistan to six U</w:t>
      </w:r>
      <w:r w:rsidR="006F64BE">
        <w:t xml:space="preserve">nited </w:t>
      </w:r>
      <w:r w:rsidR="00C323B4">
        <w:t>N</w:t>
      </w:r>
      <w:r w:rsidR="006F64BE">
        <w:t>ations</w:t>
      </w:r>
      <w:r w:rsidR="00C323B4">
        <w:t xml:space="preserve"> </w:t>
      </w:r>
      <w:r w:rsidR="006F64BE">
        <w:t>l</w:t>
      </w:r>
      <w:r w:rsidR="00C323B4">
        <w:t xml:space="preserve">egal </w:t>
      </w:r>
      <w:r w:rsidR="006F64BE">
        <w:t>i</w:t>
      </w:r>
      <w:r w:rsidR="00C323B4">
        <w:t xml:space="preserve">nstruments (The European Agreement on Main International Traffic Arteries, The European Agreement on Main International Railway Lines, The European Agreement on Important International Combined Transport Lines and Related Installations, The European Agreement supplementing the 1968 Convention on Road Traffic, The European Agreement supplementing the 1968 Convention on Road Signs and Signals, and The Protocol on Road Markings to the European Agreement supplementing the 1968 Convention on Road Signs </w:t>
      </w:r>
      <w:r w:rsidR="00C323B4">
        <w:lastRenderedPageBreak/>
        <w:t xml:space="preserve">and Signals) </w:t>
      </w:r>
      <w:r w:rsidR="006F64BE">
        <w:t xml:space="preserve">in 2020. Later that year, ECE organized second group of </w:t>
      </w:r>
      <w:r w:rsidR="00C323B4">
        <w:t xml:space="preserve">tailor-made capacity development events </w:t>
      </w:r>
      <w:r w:rsidR="003B637D">
        <w:t xml:space="preserve">(online, November 2020) </w:t>
      </w:r>
      <w:r w:rsidR="00C323B4">
        <w:t xml:space="preserve">for national stakeholders </w:t>
      </w:r>
      <w:r w:rsidR="006F64BE">
        <w:t xml:space="preserve">on efficient implementation of </w:t>
      </w:r>
      <w:r w:rsidR="003B637D">
        <w:t xml:space="preserve">legal instruments which Turkmenistan acceded. In 2021, cooperation with Turkmen transport stakeholders </w:t>
      </w:r>
      <w:r w:rsidR="00A44CB6">
        <w:t>continued</w:t>
      </w:r>
      <w:r w:rsidR="003B637D">
        <w:t xml:space="preserve"> </w:t>
      </w:r>
      <w:r w:rsidR="00A44CB6">
        <w:t xml:space="preserve">on </w:t>
      </w:r>
      <w:r w:rsidR="003B637D" w:rsidRPr="003B637D">
        <w:t>accession and efficient implementation of two vehicle-related U</w:t>
      </w:r>
      <w:r w:rsidR="003B637D">
        <w:t xml:space="preserve">nited </w:t>
      </w:r>
      <w:r w:rsidR="003B637D" w:rsidRPr="003B637D">
        <w:t>N</w:t>
      </w:r>
      <w:r w:rsidR="003B637D">
        <w:t>ations</w:t>
      </w:r>
      <w:r w:rsidR="003B637D" w:rsidRPr="003B637D">
        <w:t xml:space="preserve"> legal instruments</w:t>
      </w:r>
      <w:r w:rsidR="003B637D">
        <w:t xml:space="preserve"> </w:t>
      </w:r>
      <w:r w:rsidR="00A44CB6">
        <w:t xml:space="preserve">- </w:t>
      </w:r>
      <w:r w:rsidR="003B637D">
        <w:t>the 1958</w:t>
      </w:r>
      <w:r w:rsidR="003B637D">
        <w:rPr>
          <w:rStyle w:val="FootnoteReference"/>
        </w:rPr>
        <w:footnoteReference w:id="3"/>
      </w:r>
      <w:r w:rsidR="003B637D">
        <w:t xml:space="preserve"> and 1997 Agreement (</w:t>
      </w:r>
      <w:r w:rsidR="00A44CB6">
        <w:t xml:space="preserve">October </w:t>
      </w:r>
      <w:r w:rsidR="003B637D">
        <w:t>2021)</w:t>
      </w:r>
      <w:r w:rsidR="003B637D" w:rsidRPr="003B637D">
        <w:t>, including advice on initial steps in implementation</w:t>
      </w:r>
      <w:r w:rsidR="003B637D">
        <w:t>.</w:t>
      </w:r>
    </w:p>
    <w:p w14:paraId="44989DCF" w14:textId="67E1C3D0" w:rsidR="00A44CB6" w:rsidRPr="000D6793" w:rsidRDefault="00C323B4" w:rsidP="000D6793">
      <w:pPr>
        <w:pStyle w:val="SingleTxtG"/>
      </w:pPr>
      <w:r>
        <w:t>1</w:t>
      </w:r>
      <w:r w:rsidR="00A44CB6">
        <w:t>0</w:t>
      </w:r>
      <w:r>
        <w:t>.</w:t>
      </w:r>
      <w:r>
        <w:tab/>
      </w:r>
      <w:r w:rsidR="002141B7">
        <w:t xml:space="preserve">Real hands-on capacity enhancement </w:t>
      </w:r>
      <w:r w:rsidR="0002196B">
        <w:t xml:space="preserve">were </w:t>
      </w:r>
      <w:r w:rsidR="002141B7">
        <w:t xml:space="preserve">offered through two </w:t>
      </w:r>
      <w:r w:rsidR="00A44CB6">
        <w:t xml:space="preserve">RPTC-financed </w:t>
      </w:r>
      <w:r w:rsidR="00A44CB6" w:rsidRPr="79518C43">
        <w:t>field project</w:t>
      </w:r>
      <w:r w:rsidR="002141B7">
        <w:t>s</w:t>
      </w:r>
      <w:r w:rsidR="00A44CB6" w:rsidRPr="79518C43">
        <w:t xml:space="preserve"> “Interconnection of Customs Information System of Georgia with the eTIR International </w:t>
      </w:r>
      <w:r w:rsidR="00A44CB6">
        <w:t>s</w:t>
      </w:r>
      <w:r w:rsidR="00A44CB6" w:rsidRPr="79518C43">
        <w:t>ystem”</w:t>
      </w:r>
      <w:r w:rsidR="00A44CB6">
        <w:t xml:space="preserve"> and</w:t>
      </w:r>
      <w:r w:rsidR="00A44CB6" w:rsidRPr="79518C43">
        <w:t xml:space="preserve"> “Interconnection of Customs Information System of </w:t>
      </w:r>
      <w:r w:rsidR="00A44CB6">
        <w:t>Azerbaijan</w:t>
      </w:r>
      <w:r w:rsidR="00A44CB6" w:rsidRPr="79518C43">
        <w:t xml:space="preserve"> with the eTIR International </w:t>
      </w:r>
      <w:r w:rsidR="00A44CB6">
        <w:t>s</w:t>
      </w:r>
      <w:r w:rsidR="00A44CB6" w:rsidRPr="79518C43">
        <w:t>ystem”</w:t>
      </w:r>
      <w:r w:rsidR="00A44CB6">
        <w:t xml:space="preserve"> </w:t>
      </w:r>
      <w:r w:rsidR="00A44CB6" w:rsidRPr="79518C43">
        <w:t>(November - December 2020)</w:t>
      </w:r>
      <w:r w:rsidR="002141B7">
        <w:t>. They</w:t>
      </w:r>
      <w:r w:rsidR="00A44CB6" w:rsidRPr="79518C43">
        <w:t xml:space="preserve"> </w:t>
      </w:r>
      <w:r w:rsidR="00A44CB6">
        <w:t xml:space="preserve">provided two </w:t>
      </w:r>
      <w:r w:rsidR="0002196B">
        <w:t xml:space="preserve">member </w:t>
      </w:r>
      <w:r w:rsidR="00A44CB6">
        <w:t xml:space="preserve">States with a tool to connect their national customs systems with eTIR International and share all </w:t>
      </w:r>
      <w:r w:rsidR="00A44CB6" w:rsidRPr="000D6793">
        <w:t xml:space="preserve">relevant information to support border crossing facilitation.  After entering into force of the Annex 11 of the TIR Convention which describes the eTIR procedure in May 2021, electronic exchange of data become reality which will significantly reduce border crossing waiting times. During 2021 the eTIR specifications, which describe how the eTIR International system communicates with the information systems of the other stakeholders, are being finalized and national custom systems connected with eTIR International. In 2021 Turkmenistan requested capacity development to strengthen capacity of national specialist in road transport and border crossing facilitation. ECE responded with policy dialogue (March 2021) in which the Secretariat presented </w:t>
      </w:r>
      <w:r w:rsidR="0002196B">
        <w:t xml:space="preserve">the </w:t>
      </w:r>
      <w:r w:rsidR="00A44CB6" w:rsidRPr="000D6793">
        <w:t>aim and benefits of acceding eTIR International system, how to efficiently implement agreement</w:t>
      </w:r>
      <w:r w:rsidR="0002196B">
        <w:t>s</w:t>
      </w:r>
      <w:r w:rsidR="00A44CB6" w:rsidRPr="000D6793">
        <w:t xml:space="preserve"> and initial steps to join the system.</w:t>
      </w:r>
      <w:r w:rsidR="002141B7" w:rsidRPr="000D6793">
        <w:t xml:space="preserve"> With support of RPTC, Armenia initiated activities to connect national system with eTIR International system in 4th Qt 2021.</w:t>
      </w:r>
    </w:p>
    <w:p w14:paraId="7D97A7C9" w14:textId="5C7216B9" w:rsidR="00C323B4" w:rsidRPr="000D6793" w:rsidRDefault="00A44CB6" w:rsidP="000D6793">
      <w:pPr>
        <w:pStyle w:val="SingleTxtG"/>
      </w:pPr>
      <w:r w:rsidRPr="000D6793">
        <w:t>11.</w:t>
      </w:r>
      <w:r w:rsidRPr="000D6793">
        <w:tab/>
      </w:r>
      <w:r w:rsidR="003A4A12" w:rsidRPr="000D6793">
        <w:t xml:space="preserve">A good example that </w:t>
      </w:r>
      <w:r w:rsidR="0042665B" w:rsidRPr="000D6793">
        <w:t xml:space="preserve">some of </w:t>
      </w:r>
      <w:r w:rsidR="003A4A12" w:rsidRPr="000D6793">
        <w:t xml:space="preserve">the Action Plan activities </w:t>
      </w:r>
      <w:r w:rsidR="0042665B" w:rsidRPr="000D6793">
        <w:t>could be implemented sub-regionally is a</w:t>
      </w:r>
      <w:r w:rsidR="00C323B4" w:rsidRPr="000D6793">
        <w:t>ssistance to SPECA countries</w:t>
      </w:r>
      <w:r w:rsidR="0042665B" w:rsidRPr="000D6793">
        <w:t>.</w:t>
      </w:r>
      <w:r w:rsidR="00C323B4" w:rsidRPr="000D6793">
        <w:t xml:space="preserve"> </w:t>
      </w:r>
      <w:r w:rsidR="0042665B" w:rsidRPr="000D6793">
        <w:t>Capacity development activities were</w:t>
      </w:r>
      <w:r w:rsidR="00C323B4" w:rsidRPr="000D6793">
        <w:t xml:space="preserve"> directed towards: </w:t>
      </w:r>
      <w:r w:rsidR="0042665B" w:rsidRPr="000D6793">
        <w:t>(i) organization of the Regional Dialogue “Strengthening transport connectivity in the SPECA region and beyond in the era of COVID-19” and (ii) continuation of activities in the SPECA W</w:t>
      </w:r>
      <w:r w:rsidR="0002196B">
        <w:t xml:space="preserve">orking </w:t>
      </w:r>
      <w:r w:rsidR="0042665B" w:rsidRPr="000D6793">
        <w:t>G</w:t>
      </w:r>
      <w:r w:rsidR="0002196B">
        <w:t>roup</w:t>
      </w:r>
      <w:r w:rsidR="0042665B" w:rsidRPr="000D6793">
        <w:t xml:space="preserve"> on Sustainable Transport, Transit and Connectivity. More than 90 participants, including nine Ministers and Deputy Ministers of Transport from Central Asia and the Caucasus, members of United Nations system, Multi Development Banks and international organizations joined the Regional Dialogue (online, September 2020). The </w:t>
      </w:r>
      <w:r w:rsidR="0002196B">
        <w:t>ECE</w:t>
      </w:r>
      <w:r w:rsidR="0042665B" w:rsidRPr="000D6793">
        <w:t xml:space="preserve">-led Regional Dialogue facilitated an inclusive discussion and coordinated actions and plans on harmonization of international inland transport procedures to enhance connectivity in the SPECA region, especially during COVID-19 pandemics. </w:t>
      </w:r>
      <w:r w:rsidR="00FC1CB2" w:rsidRPr="000D6793">
        <w:t>During</w:t>
      </w:r>
      <w:r w:rsidR="0042665B" w:rsidRPr="000D6793">
        <w:t xml:space="preserve"> 25th (online, October 2020) and 26th (online, November 2021) session</w:t>
      </w:r>
      <w:r w:rsidR="00FC1CB2" w:rsidRPr="000D6793">
        <w:t>s</w:t>
      </w:r>
      <w:r w:rsidR="0042665B" w:rsidRPr="000D6793">
        <w:t xml:space="preserve"> of the SPECA Working Group on Sustainable Transport, Transit and Connectivity (WG-STTC)</w:t>
      </w:r>
      <w:r w:rsidR="00FC1CB2" w:rsidRPr="000D6793">
        <w:t xml:space="preserve"> </w:t>
      </w:r>
      <w:r w:rsidR="0002196B">
        <w:t>ECE</w:t>
      </w:r>
      <w:r w:rsidR="00FC1CB2" w:rsidRPr="000D6793">
        <w:t xml:space="preserve"> advised SPECA countries on transport connectivity, regional cooperation in infrastructure development, and border crossing facilitation.</w:t>
      </w:r>
      <w:r w:rsidR="0042665B" w:rsidRPr="000D6793">
        <w:t xml:space="preserve"> Member States shared the experiences and information on latest developments in the improvement of regional connectivity (infrastructure development, removing of bottlenecks), international transit (border crossing facilitation and corridor management) as well as road safety. Furthermore, countries shared information on COVID-19 measures and responses and discussed operationalization of the conclusions of the </w:t>
      </w:r>
      <w:r w:rsidR="00FC1CB2" w:rsidRPr="000D6793">
        <w:t>Ashgabat Initiative</w:t>
      </w:r>
      <w:r w:rsidR="00FC1CB2" w:rsidRPr="000D6793">
        <w:rPr>
          <w:rStyle w:val="FootnoteReference"/>
          <w:sz w:val="20"/>
          <w:vertAlign w:val="baseline"/>
        </w:rPr>
        <w:footnoteReference w:id="4"/>
      </w:r>
      <w:r w:rsidR="00FC1CB2" w:rsidRPr="000D6793">
        <w:t xml:space="preserve"> and the </w:t>
      </w:r>
      <w:r w:rsidR="0042665B" w:rsidRPr="000D6793">
        <w:t xml:space="preserve">SPECA Regional Dialogue. </w:t>
      </w:r>
      <w:r w:rsidR="00FC1CB2" w:rsidRPr="000D6793">
        <w:t xml:space="preserve">Back-to-back with the 26th WG-STTC session, UNCE organized the SPECA Workshop on digitalization of transport services (eTIR and eCMR) with the aim to strengthen knowledge of the national representatives of SPECA countries on digitalization of transport services, procedures and documents (eTIR and eCMR) highlighting the advantages that new electronic systems can bring on trade and border crossings facilitation in the sub-region. </w:t>
      </w:r>
      <w:r w:rsidR="0002196B">
        <w:t>ECE</w:t>
      </w:r>
      <w:r w:rsidR="00FC1CB2" w:rsidRPr="000D6793">
        <w:t xml:space="preserve"> presented case studies from countries that has already started implementing eTIR and participated in different pilot projects.</w:t>
      </w:r>
    </w:p>
    <w:p w14:paraId="3E0CD7B6" w14:textId="388EE99C" w:rsidR="00C323B4" w:rsidRDefault="00C323B4" w:rsidP="000D6793">
      <w:pPr>
        <w:pStyle w:val="SingleTxtG"/>
      </w:pPr>
      <w:r w:rsidRPr="000D6793">
        <w:lastRenderedPageBreak/>
        <w:t>12.</w:t>
      </w:r>
      <w:r w:rsidRPr="000D6793">
        <w:tab/>
      </w:r>
      <w:r w:rsidR="00BD7B02" w:rsidRPr="000D6793">
        <w:t xml:space="preserve">It is of utmost importance to mention that </w:t>
      </w:r>
      <w:r w:rsidRPr="000D6793">
        <w:t>development of training platform including manuals and guidelines on acceding to and efficient implementation of U</w:t>
      </w:r>
      <w:r w:rsidR="00BD7B02" w:rsidRPr="000D6793">
        <w:t xml:space="preserve">nited </w:t>
      </w:r>
      <w:r w:rsidRPr="000D6793">
        <w:t>N</w:t>
      </w:r>
      <w:r w:rsidR="00BD7B02" w:rsidRPr="000D6793">
        <w:t>ations</w:t>
      </w:r>
      <w:r w:rsidRPr="000D6793">
        <w:t xml:space="preserve"> transport-related legal instruments</w:t>
      </w:r>
      <w:r w:rsidR="00BD7B02" w:rsidRPr="000D6793">
        <w:t xml:space="preserve"> is crucial for the Action Plan implementation</w:t>
      </w:r>
      <w:r w:rsidRPr="000D6793">
        <w:t xml:space="preserve">. Currently, the Secretariat is </w:t>
      </w:r>
      <w:r w:rsidR="00BD7B02" w:rsidRPr="000D6793">
        <w:t>implementing</w:t>
      </w:r>
      <w:r>
        <w:t xml:space="preserve"> the United Nations Development Account</w:t>
      </w:r>
      <w:r w:rsidR="00BD7B02">
        <w:t xml:space="preserve"> - financed project “</w:t>
      </w:r>
      <w:r w:rsidR="00BD7B02" w:rsidRPr="00BD7B02">
        <w:t>Sustainable mobility and smart connectivity (trade and transport nexus) in Central Asia, the Caucasus and Western Balkans</w:t>
      </w:r>
      <w:r w:rsidR="00BD7B02">
        <w:t xml:space="preserve">” which is due to continue until end 2024. The project aims to develop the capacity of </w:t>
      </w:r>
      <w:r w:rsidR="00AC3CD9">
        <w:t xml:space="preserve">member </w:t>
      </w:r>
      <w:r w:rsidR="00BD7B02">
        <w:t>States to implement sustainable mobility and connectivity policies, through the development of the Smart and Sustainable Connectivity E-Learning Platform (SSCELP)</w:t>
      </w:r>
      <w:r w:rsidR="00217608">
        <w:t>. The platform</w:t>
      </w:r>
      <w:r w:rsidR="00BD7B02">
        <w:t xml:space="preserve"> will include training materials on sustainable mobility and connectivity tied to the legal instruments but also to the development of appropriate policy tools to implement the requirements of legal instruments, standards and guidelines.</w:t>
      </w:r>
    </w:p>
    <w:bookmarkEnd w:id="0"/>
    <w:p w14:paraId="3AA2CA89" w14:textId="72C95BB2" w:rsidR="00E206CC" w:rsidRPr="00DC68B9" w:rsidRDefault="00472091" w:rsidP="000D6793">
      <w:pPr>
        <w:pStyle w:val="HChG"/>
      </w:pPr>
      <w:r>
        <w:tab/>
        <w:t>IV.</w:t>
      </w:r>
      <w:r>
        <w:tab/>
      </w:r>
      <w:r w:rsidR="00850483">
        <w:t xml:space="preserve">Lessons </w:t>
      </w:r>
      <w:r w:rsidR="00850483" w:rsidRPr="000D6793">
        <w:t>learned</w:t>
      </w:r>
    </w:p>
    <w:p w14:paraId="7C9B5BC4" w14:textId="0C3006C9" w:rsidR="00217608" w:rsidRPr="000D6793" w:rsidRDefault="00217608" w:rsidP="000D6793">
      <w:pPr>
        <w:pStyle w:val="SingleTxtG"/>
      </w:pPr>
      <w:r>
        <w:t>13</w:t>
      </w:r>
      <w:r w:rsidR="00E206CC">
        <w:t>.</w:t>
      </w:r>
      <w:r w:rsidR="00E206CC">
        <w:tab/>
      </w:r>
      <w:r>
        <w:t>In 2020</w:t>
      </w:r>
      <w:r w:rsidR="004E55A1">
        <w:t>-21</w:t>
      </w:r>
      <w:r>
        <w:t xml:space="preserve"> planning and implementation of activities defined by the </w:t>
      </w:r>
      <w:r w:rsidR="004E55A1">
        <w:t xml:space="preserve">Action </w:t>
      </w:r>
      <w:r>
        <w:t>Plan w</w:t>
      </w:r>
      <w:r w:rsidR="004E55A1">
        <w:t>ere</w:t>
      </w:r>
      <w:r>
        <w:t xml:space="preserve"> seriously </w:t>
      </w:r>
      <w:r w:rsidRPr="000D6793">
        <w:t xml:space="preserve">affected by </w:t>
      </w:r>
      <w:r w:rsidR="00AC3CD9">
        <w:t xml:space="preserve">the </w:t>
      </w:r>
      <w:r w:rsidRPr="000D6793">
        <w:t>COVID-19 pandemics. Possibility to organize capacity development events in-person and to offer advisory mission</w:t>
      </w:r>
      <w:r w:rsidR="00AC3CD9">
        <w:t>s were</w:t>
      </w:r>
      <w:r w:rsidRPr="000D6793">
        <w:t xml:space="preserve"> excluded, therefore the Secretariat decided to focus on demand-driven capacity development activities to be implemented via videoconference or by engaging of regional consultants</w:t>
      </w:r>
      <w:r w:rsidR="004E55A1" w:rsidRPr="000D6793">
        <w:t>.</w:t>
      </w:r>
    </w:p>
    <w:p w14:paraId="77F0309E" w14:textId="3AD9EE61" w:rsidR="004E55A1" w:rsidRDefault="004E55A1" w:rsidP="000D6793">
      <w:pPr>
        <w:pStyle w:val="SingleTxtG"/>
      </w:pPr>
      <w:r w:rsidRPr="000D6793">
        <w:t>14.</w:t>
      </w:r>
      <w:r w:rsidRPr="000D6793">
        <w:tab/>
        <w:t>Although first two years of implementation of the Action Plan were extraordinary and pandemics highly</w:t>
      </w:r>
      <w:r>
        <w:t xml:space="preserve"> affected abilities of the Secretariat to offer wide spectrum of capacity development activities, </w:t>
      </w:r>
      <w:r w:rsidR="004621E8">
        <w:t>there are number of points which could be drawn from this experience:</w:t>
      </w:r>
    </w:p>
    <w:p w14:paraId="07E9041B" w14:textId="2AC10093" w:rsidR="004621E8" w:rsidRDefault="00FA2FEC" w:rsidP="00FA2FEC">
      <w:pPr>
        <w:pStyle w:val="Bullet1G"/>
        <w:numPr>
          <w:ilvl w:val="0"/>
          <w:numId w:val="0"/>
        </w:numPr>
        <w:tabs>
          <w:tab w:val="left" w:pos="1701"/>
        </w:tabs>
        <w:ind w:left="1701" w:hanging="170"/>
      </w:pPr>
      <w:r>
        <w:t>•</w:t>
      </w:r>
      <w:r>
        <w:tab/>
      </w:r>
      <w:r w:rsidR="004621E8">
        <w:t xml:space="preserve">There is a big demand for </w:t>
      </w:r>
      <w:r w:rsidR="0002196B">
        <w:t>ECE</w:t>
      </w:r>
      <w:r w:rsidR="004621E8">
        <w:t xml:space="preserve"> capacity development activities on United Nations transport-related legal instruments – having a global outreach, </w:t>
      </w:r>
      <w:r w:rsidR="0002196B">
        <w:t>ECE</w:t>
      </w:r>
      <w:r w:rsidR="004621E8">
        <w:t xml:space="preserve">-administered conventions and agreements are beneficial and interesting for all </w:t>
      </w:r>
      <w:r w:rsidR="00AC3CD9">
        <w:t xml:space="preserve">member </w:t>
      </w:r>
      <w:r w:rsidR="004621E8">
        <w:t xml:space="preserve">States. Depending on the status of accession and overall level of development of inland transport system, </w:t>
      </w:r>
      <w:r w:rsidR="0002196B">
        <w:t>ECE</w:t>
      </w:r>
      <w:r w:rsidR="004621E8">
        <w:t xml:space="preserve"> could define two types of packages of capacity development activities:</w:t>
      </w:r>
    </w:p>
    <w:p w14:paraId="6DDA362B" w14:textId="53F2F580" w:rsidR="0069627D" w:rsidRDefault="00FA2FEC" w:rsidP="00FA2FEC">
      <w:pPr>
        <w:pStyle w:val="Bullet2G"/>
        <w:numPr>
          <w:ilvl w:val="0"/>
          <w:numId w:val="0"/>
        </w:numPr>
        <w:tabs>
          <w:tab w:val="left" w:pos="2268"/>
        </w:tabs>
        <w:ind w:left="2268" w:hanging="170"/>
      </w:pPr>
      <w:r>
        <w:t>•</w:t>
      </w:r>
      <w:r>
        <w:tab/>
      </w:r>
      <w:r w:rsidR="004621E8">
        <w:t>Information</w:t>
      </w:r>
      <w:r w:rsidR="0069627D">
        <w:t>al</w:t>
      </w:r>
      <w:r w:rsidR="004621E8">
        <w:t xml:space="preserve"> – for </w:t>
      </w:r>
      <w:r w:rsidR="00AC3CD9">
        <w:t xml:space="preserve">member </w:t>
      </w:r>
      <w:r w:rsidR="004621E8">
        <w:t>States which did not acceded to United Nations legal instruments (</w:t>
      </w:r>
      <w:r w:rsidR="0069627D">
        <w:t>including: SSCELP platform, how to accede road maps, information workshops, etc)</w:t>
      </w:r>
    </w:p>
    <w:p w14:paraId="15AD6F83" w14:textId="1B52D646" w:rsidR="004621E8" w:rsidRDefault="00FA2FEC" w:rsidP="00FA2FEC">
      <w:pPr>
        <w:pStyle w:val="Bullet2G"/>
        <w:numPr>
          <w:ilvl w:val="0"/>
          <w:numId w:val="0"/>
        </w:numPr>
        <w:tabs>
          <w:tab w:val="left" w:pos="2268"/>
        </w:tabs>
        <w:ind w:left="2268" w:hanging="170"/>
      </w:pPr>
      <w:r>
        <w:t>•</w:t>
      </w:r>
      <w:r>
        <w:tab/>
      </w:r>
      <w:r w:rsidR="0069627D">
        <w:t>Efficient implementation (awareness raising, peer reviews, advisory services, preparation of national legislation, etc)</w:t>
      </w:r>
    </w:p>
    <w:p w14:paraId="0568D5E1" w14:textId="43D9F32D" w:rsidR="0069627D" w:rsidRDefault="00FA2FEC" w:rsidP="00FA2FEC">
      <w:pPr>
        <w:pStyle w:val="Bullet1G"/>
        <w:numPr>
          <w:ilvl w:val="0"/>
          <w:numId w:val="0"/>
        </w:numPr>
        <w:tabs>
          <w:tab w:val="left" w:pos="1701"/>
        </w:tabs>
        <w:ind w:left="1701" w:hanging="170"/>
      </w:pPr>
      <w:r>
        <w:t>•</w:t>
      </w:r>
      <w:r>
        <w:tab/>
      </w:r>
      <w:r w:rsidR="0069627D">
        <w:t xml:space="preserve">Member States which so far benefited from the Action plan activities highly appreciated A-Z approach. </w:t>
      </w:r>
      <w:r w:rsidR="0002196B">
        <w:t>ECE</w:t>
      </w:r>
      <w:r w:rsidR="0069627D">
        <w:t xml:space="preserve"> assistance accompanied with participation/peer review of experienced external experts help national stakeholders to better understand benefits of United Nations transport-related legal instruments, strengthen ownership and knowledge of national stakeholders and help to avoid pitfalls in the process of transposition into national legislation.</w:t>
      </w:r>
    </w:p>
    <w:p w14:paraId="67FBEB57" w14:textId="621B13F8" w:rsidR="0069627D" w:rsidRDefault="00FA2FEC" w:rsidP="00FA2FEC">
      <w:pPr>
        <w:pStyle w:val="Bullet1G"/>
        <w:numPr>
          <w:ilvl w:val="0"/>
          <w:numId w:val="0"/>
        </w:numPr>
        <w:tabs>
          <w:tab w:val="left" w:pos="1701"/>
        </w:tabs>
        <w:ind w:left="1701" w:hanging="170"/>
      </w:pPr>
      <w:r>
        <w:t>•</w:t>
      </w:r>
      <w:r>
        <w:tab/>
      </w:r>
      <w:r w:rsidR="0069627D">
        <w:t xml:space="preserve">A number of member States are sharing common problems in implementation as their neighbours. Therefore, there is a strong potential for regional cooperation </w:t>
      </w:r>
      <w:r w:rsidR="008C2A50">
        <w:t>which will introduce shared solutions.</w:t>
      </w:r>
    </w:p>
    <w:p w14:paraId="220E9AA9" w14:textId="27AE3B06" w:rsidR="008C2A50" w:rsidRDefault="00FA2FEC" w:rsidP="00FA2FEC">
      <w:pPr>
        <w:pStyle w:val="Bullet1G"/>
        <w:numPr>
          <w:ilvl w:val="0"/>
          <w:numId w:val="0"/>
        </w:numPr>
        <w:tabs>
          <w:tab w:val="left" w:pos="1701"/>
        </w:tabs>
        <w:ind w:left="1701" w:hanging="170"/>
      </w:pPr>
      <w:r>
        <w:t>•</w:t>
      </w:r>
      <w:r>
        <w:tab/>
      </w:r>
      <w:r w:rsidR="008C2A50">
        <w:t xml:space="preserve">So far, closer cooperation with the United Nations Development System in Member States (UN programmatic countries) was proven mutually beneficial. </w:t>
      </w:r>
      <w:r w:rsidR="0002196B">
        <w:t>ECE</w:t>
      </w:r>
      <w:r w:rsidR="008C2A50">
        <w:t xml:space="preserve"> shared expertise and improved outreach and UN Country Teams provided real-time information and got support for their activities. Still, more alleys for cooperation should be elaborated (e.g. mutual projects,</w:t>
      </w:r>
      <w:r w:rsidR="00955EAA">
        <w:t xml:space="preserve"> fundraising).</w:t>
      </w:r>
    </w:p>
    <w:p w14:paraId="0F0C41FC" w14:textId="57A6739D" w:rsidR="00955EAA" w:rsidRDefault="00FA2FEC" w:rsidP="00FA2FEC">
      <w:pPr>
        <w:pStyle w:val="Bullet1G"/>
        <w:numPr>
          <w:ilvl w:val="0"/>
          <w:numId w:val="0"/>
        </w:numPr>
        <w:tabs>
          <w:tab w:val="left" w:pos="1701"/>
        </w:tabs>
        <w:ind w:left="1701" w:hanging="170"/>
      </w:pPr>
      <w:r>
        <w:t>•</w:t>
      </w:r>
      <w:r>
        <w:tab/>
      </w:r>
      <w:r w:rsidR="00955EAA">
        <w:t xml:space="preserve">Very important topic for the Action Plan implementation is a regular sharing of information on activities and projects amongst different sections and </w:t>
      </w:r>
      <w:r w:rsidR="0002196B">
        <w:t>ECE</w:t>
      </w:r>
      <w:r w:rsidR="00955EAA">
        <w:t xml:space="preserve"> divisions. In that sense all stakeholders will be able to plan mutual collaboration, common fundraising and avoid overlapping in the future.</w:t>
      </w:r>
    </w:p>
    <w:p w14:paraId="41DD58F4" w14:textId="02FDA4C3" w:rsidR="00217608" w:rsidRDefault="00FA2FEC" w:rsidP="00FA2FEC">
      <w:pPr>
        <w:pStyle w:val="Bullet1G"/>
        <w:numPr>
          <w:ilvl w:val="0"/>
          <w:numId w:val="0"/>
        </w:numPr>
        <w:tabs>
          <w:tab w:val="left" w:pos="1701"/>
        </w:tabs>
        <w:ind w:left="1701" w:hanging="170"/>
      </w:pPr>
      <w:r>
        <w:t>•</w:t>
      </w:r>
      <w:r>
        <w:tab/>
      </w:r>
      <w:r w:rsidR="00BD5BEB">
        <w:t xml:space="preserve">The </w:t>
      </w:r>
      <w:r w:rsidR="00955EAA">
        <w:t>CO</w:t>
      </w:r>
      <w:r w:rsidR="005C7A89">
        <w:t>VID</w:t>
      </w:r>
      <w:r w:rsidR="00955EAA">
        <w:t xml:space="preserve">-19 pandemics seriously slowed </w:t>
      </w:r>
      <w:r w:rsidR="00BD5BEB">
        <w:t>development</w:t>
      </w:r>
      <w:r w:rsidR="00955EAA">
        <w:t xml:space="preserve"> of the </w:t>
      </w:r>
      <w:r w:rsidR="00BD5BEB">
        <w:t>M</w:t>
      </w:r>
      <w:r w:rsidR="00955EAA">
        <w:t xml:space="preserve">ethodology for </w:t>
      </w:r>
      <w:r w:rsidR="00BD5BEB">
        <w:t>N</w:t>
      </w:r>
      <w:r w:rsidR="00955EAA" w:rsidRPr="000673D1">
        <w:t>ational capacity development framework</w:t>
      </w:r>
      <w:r w:rsidR="00955EAA">
        <w:t xml:space="preserve"> </w:t>
      </w:r>
      <w:r w:rsidR="00BD5BEB">
        <w:t xml:space="preserve">(NCDF) preparation. It was not easy to </w:t>
      </w:r>
      <w:r w:rsidR="00BD5BEB">
        <w:lastRenderedPageBreak/>
        <w:t xml:space="preserve">agree on mid-term plans including </w:t>
      </w:r>
      <w:r w:rsidR="00BD5BEB" w:rsidRPr="000673D1">
        <w:t>commonly agreed goals/objectives, time schedules, resources</w:t>
      </w:r>
      <w:r w:rsidR="00BD5BEB">
        <w:t xml:space="preserve"> in such volatile environment. Having in mind that NCDF will bring stability and long-term commitment of all partners, the Secretariat will devote additional efforts for preparation of the Methodology and policy dialogue with Member States on its implementation.</w:t>
      </w:r>
    </w:p>
    <w:p w14:paraId="06843E38" w14:textId="77777777" w:rsidR="00E206CC" w:rsidRPr="00E206CC" w:rsidRDefault="00E206CC" w:rsidP="00E206CC">
      <w:pPr>
        <w:spacing w:before="240"/>
        <w:jc w:val="center"/>
        <w:rPr>
          <w:u w:val="single"/>
        </w:rPr>
      </w:pPr>
      <w:r>
        <w:rPr>
          <w:u w:val="single"/>
        </w:rPr>
        <w:tab/>
      </w:r>
      <w:r>
        <w:rPr>
          <w:u w:val="single"/>
        </w:rPr>
        <w:tab/>
      </w:r>
      <w:r>
        <w:rPr>
          <w:u w:val="single"/>
        </w:rPr>
        <w:tab/>
      </w:r>
    </w:p>
    <w:sectPr w:rsidR="00E206CC" w:rsidRPr="00E206CC" w:rsidSect="000D6793">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D6826" w14:textId="77777777" w:rsidR="004B6EF9" w:rsidRDefault="004B6EF9"/>
  </w:endnote>
  <w:endnote w:type="continuationSeparator" w:id="0">
    <w:p w14:paraId="10BF3B69" w14:textId="77777777" w:rsidR="004B6EF9" w:rsidRDefault="004B6EF9"/>
  </w:endnote>
  <w:endnote w:type="continuationNotice" w:id="1">
    <w:p w14:paraId="085C37C8" w14:textId="77777777" w:rsidR="004B6EF9" w:rsidRDefault="004B6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E3167" w14:textId="77777777" w:rsidR="00955EAA" w:rsidRPr="00E206CC" w:rsidRDefault="00955EAA" w:rsidP="00E206CC">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F1504" w14:textId="77777777" w:rsidR="00955EAA" w:rsidRPr="00E206CC" w:rsidRDefault="00955EAA" w:rsidP="00E206CC">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5AB8" w14:textId="3BC0BB28" w:rsidR="00FA2FEC" w:rsidRDefault="00FA2FEC" w:rsidP="00FA2FEC">
    <w:pPr>
      <w:pStyle w:val="Footer"/>
    </w:pPr>
    <w:r w:rsidRPr="0027112F">
      <w:rPr>
        <w:noProof/>
        <w:lang w:val="en-US"/>
      </w:rPr>
      <w:drawing>
        <wp:anchor distT="0" distB="0" distL="114300" distR="114300" simplePos="0" relativeHeight="251659264" behindDoc="0" locked="1" layoutInCell="1" allowOverlap="1" wp14:anchorId="50AA0F3A" wp14:editId="2717165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BD8C62B" w14:textId="714EC366" w:rsidR="00FA2FEC" w:rsidRPr="00FA2FEC" w:rsidRDefault="00FA2FEC" w:rsidP="00FA2FEC">
    <w:pPr>
      <w:pStyle w:val="Footer"/>
      <w:ind w:right="1134"/>
      <w:rPr>
        <w:sz w:val="20"/>
      </w:rPr>
    </w:pPr>
    <w:r>
      <w:rPr>
        <w:sz w:val="20"/>
      </w:rPr>
      <w:t>GE.21-18781(E)</w:t>
    </w:r>
    <w:r>
      <w:rPr>
        <w:noProof/>
        <w:sz w:val="20"/>
      </w:rPr>
      <w:drawing>
        <wp:anchor distT="0" distB="0" distL="114300" distR="114300" simplePos="0" relativeHeight="251660288" behindDoc="0" locked="0" layoutInCell="1" allowOverlap="1" wp14:anchorId="20274854" wp14:editId="2A807FC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6C6D2" w14:textId="77777777" w:rsidR="004B6EF9" w:rsidRPr="000B175B" w:rsidRDefault="004B6EF9" w:rsidP="000B175B">
      <w:pPr>
        <w:tabs>
          <w:tab w:val="right" w:pos="2155"/>
        </w:tabs>
        <w:spacing w:after="80"/>
        <w:ind w:left="680"/>
        <w:rPr>
          <w:u w:val="single"/>
        </w:rPr>
      </w:pPr>
      <w:r>
        <w:rPr>
          <w:u w:val="single"/>
        </w:rPr>
        <w:tab/>
      </w:r>
    </w:p>
  </w:footnote>
  <w:footnote w:type="continuationSeparator" w:id="0">
    <w:p w14:paraId="04BF8411" w14:textId="77777777" w:rsidR="004B6EF9" w:rsidRPr="00FC68B7" w:rsidRDefault="004B6EF9" w:rsidP="00FC68B7">
      <w:pPr>
        <w:tabs>
          <w:tab w:val="left" w:pos="2155"/>
        </w:tabs>
        <w:spacing w:after="80"/>
        <w:ind w:left="680"/>
        <w:rPr>
          <w:u w:val="single"/>
        </w:rPr>
      </w:pPr>
      <w:r>
        <w:rPr>
          <w:u w:val="single"/>
        </w:rPr>
        <w:tab/>
      </w:r>
    </w:p>
  </w:footnote>
  <w:footnote w:type="continuationNotice" w:id="1">
    <w:p w14:paraId="50A53F44" w14:textId="77777777" w:rsidR="004B6EF9" w:rsidRDefault="004B6EF9"/>
  </w:footnote>
  <w:footnote w:id="2">
    <w:p w14:paraId="127A2B8A" w14:textId="62E7D1F4" w:rsidR="00955EAA" w:rsidRDefault="000D6793" w:rsidP="000D6793">
      <w:pPr>
        <w:pStyle w:val="FootnoteText"/>
      </w:pPr>
      <w:r>
        <w:tab/>
      </w:r>
      <w:r w:rsidR="00955EAA">
        <w:rPr>
          <w:rStyle w:val="FootnoteReference"/>
        </w:rPr>
        <w:footnoteRef/>
      </w:r>
      <w:r w:rsidR="00955EAA">
        <w:t xml:space="preserve"> </w:t>
      </w:r>
      <w:r>
        <w:tab/>
      </w:r>
      <w:r w:rsidR="00955EAA" w:rsidRPr="006E691E">
        <w:t>Agreement concerning the Adoption of Uniform Conditions for Periodical Technical Inspections of Wheeled</w:t>
      </w:r>
      <w:r w:rsidR="00955EAA">
        <w:t xml:space="preserve"> </w:t>
      </w:r>
      <w:r w:rsidR="00955EAA" w:rsidRPr="006E691E">
        <w:t>Vehicles and the Reciprocal Recognition of Such Inspections, of 13 November 1997</w:t>
      </w:r>
    </w:p>
  </w:footnote>
  <w:footnote w:id="3">
    <w:p w14:paraId="23D5F6A5" w14:textId="01538F99" w:rsidR="00955EAA" w:rsidRPr="000D6793" w:rsidRDefault="000D6793" w:rsidP="000D6793">
      <w:pPr>
        <w:pStyle w:val="FootnoteText"/>
      </w:pPr>
      <w:r>
        <w:tab/>
      </w:r>
      <w:r w:rsidR="00955EAA">
        <w:rPr>
          <w:rStyle w:val="FootnoteReference"/>
        </w:rPr>
        <w:footnoteRef/>
      </w:r>
      <w:r w:rsidR="00955EAA">
        <w:t xml:space="preserve"> </w:t>
      </w:r>
      <w:r>
        <w:tab/>
      </w:r>
      <w:r w:rsidR="00955EAA" w:rsidRPr="003B637D">
        <w:t xml:space="preserve">Agreement </w:t>
      </w:r>
      <w:r w:rsidR="00955EAA" w:rsidRPr="000D6793">
        <w:t>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 of 20 March 1958</w:t>
      </w:r>
      <w:r w:rsidR="00285039">
        <w:t>.</w:t>
      </w:r>
    </w:p>
  </w:footnote>
  <w:footnote w:id="4">
    <w:p w14:paraId="63E726F6" w14:textId="507706FA" w:rsidR="00955EAA" w:rsidRDefault="000D6793" w:rsidP="000D6793">
      <w:pPr>
        <w:pStyle w:val="FootnoteText"/>
      </w:pPr>
      <w:r>
        <w:tab/>
      </w:r>
      <w:r w:rsidR="00955EAA" w:rsidRPr="000D6793">
        <w:rPr>
          <w:rStyle w:val="FootnoteReference"/>
        </w:rPr>
        <w:footnoteRef/>
      </w:r>
      <w:r w:rsidR="00955EAA" w:rsidRPr="000D6793">
        <w:rPr>
          <w:vertAlign w:val="superscript"/>
        </w:rPr>
        <w:t xml:space="preserve"> </w:t>
      </w:r>
      <w:r>
        <w:tab/>
      </w:r>
      <w:r w:rsidR="009774A5">
        <w:t>T</w:t>
      </w:r>
      <w:r w:rsidR="00955EAA" w:rsidRPr="000D6793">
        <w:t>he Ashgabat initiative</w:t>
      </w:r>
      <w:r w:rsidR="00955EAA" w:rsidRPr="00FC1CB2">
        <w:t xml:space="preserve"> on reducing barriers to trade and transport using United Nations legal instruments, norms, standards and recommendations while bolstering connectivity in the SPECA region</w:t>
      </w:r>
      <w:r w:rsidR="0028503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65F61" w14:textId="69401F82" w:rsidR="00955EAA" w:rsidRPr="00E206CC" w:rsidRDefault="00955EAA" w:rsidP="00E206CC">
    <w:pPr>
      <w:pStyle w:val="Header"/>
    </w:pPr>
    <w:r>
      <w:t>ECE/TRANS/2022/</w:t>
    </w:r>
    <w:r w:rsidR="000D6793">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E5802" w14:textId="524C6AE3" w:rsidR="000D6793" w:rsidRDefault="000D6793" w:rsidP="000D6793">
    <w:pPr>
      <w:pStyle w:val="Header"/>
      <w:jc w:val="right"/>
    </w:pPr>
    <w:r>
      <w:t>ECE/TRANS/2022/21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14F2607"/>
    <w:multiLevelType w:val="hybridMultilevel"/>
    <w:tmpl w:val="28E08E7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9FB7AD3"/>
    <w:multiLevelType w:val="hybridMultilevel"/>
    <w:tmpl w:val="960A7F58"/>
    <w:lvl w:ilvl="0" w:tplc="946423D2">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20854"/>
    <w:multiLevelType w:val="hybridMultilevel"/>
    <w:tmpl w:val="960A7F58"/>
    <w:lvl w:ilvl="0" w:tplc="946423D2">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4D0A74"/>
    <w:multiLevelType w:val="hybridMultilevel"/>
    <w:tmpl w:val="960A7F58"/>
    <w:lvl w:ilvl="0" w:tplc="946423D2">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10"/>
  </w:num>
  <w:num w:numId="14">
    <w:abstractNumId w:val="15"/>
  </w:num>
  <w:num w:numId="15">
    <w:abstractNumId w:val="19"/>
  </w:num>
  <w:num w:numId="16">
    <w:abstractNumId w:val="16"/>
  </w:num>
  <w:num w:numId="17">
    <w:abstractNumId w:val="20"/>
  </w:num>
  <w:num w:numId="18">
    <w:abstractNumId w:val="22"/>
  </w:num>
  <w:num w:numId="19">
    <w:abstractNumId w:val="12"/>
  </w:num>
  <w:num w:numId="20">
    <w:abstractNumId w:val="11"/>
  </w:num>
  <w:num w:numId="21">
    <w:abstractNumId w:val="14"/>
  </w:num>
  <w:num w:numId="22">
    <w:abstractNumId w:val="20"/>
  </w:num>
  <w:num w:numId="23">
    <w:abstractNumId w:val="21"/>
  </w:num>
  <w:num w:numId="24">
    <w:abstractNumId w:val="23"/>
  </w:num>
  <w:num w:numId="2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2196B"/>
    <w:rsid w:val="00027624"/>
    <w:rsid w:val="00050F6B"/>
    <w:rsid w:val="00054012"/>
    <w:rsid w:val="000678CD"/>
    <w:rsid w:val="00072C8C"/>
    <w:rsid w:val="00081CE0"/>
    <w:rsid w:val="0008450E"/>
    <w:rsid w:val="00084D30"/>
    <w:rsid w:val="00090320"/>
    <w:rsid w:val="000931C0"/>
    <w:rsid w:val="000A2E09"/>
    <w:rsid w:val="000B175B"/>
    <w:rsid w:val="000B3A0F"/>
    <w:rsid w:val="000D6793"/>
    <w:rsid w:val="000D6B7C"/>
    <w:rsid w:val="000E0415"/>
    <w:rsid w:val="000E1E6E"/>
    <w:rsid w:val="000F3747"/>
    <w:rsid w:val="000F7715"/>
    <w:rsid w:val="001013EF"/>
    <w:rsid w:val="00131D18"/>
    <w:rsid w:val="00133D94"/>
    <w:rsid w:val="001353F6"/>
    <w:rsid w:val="0015540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141B7"/>
    <w:rsid w:val="00217608"/>
    <w:rsid w:val="00232575"/>
    <w:rsid w:val="00247258"/>
    <w:rsid w:val="00250503"/>
    <w:rsid w:val="0025518E"/>
    <w:rsid w:val="00257949"/>
    <w:rsid w:val="00257CAC"/>
    <w:rsid w:val="0027237A"/>
    <w:rsid w:val="00285039"/>
    <w:rsid w:val="00290AB1"/>
    <w:rsid w:val="002974E9"/>
    <w:rsid w:val="002A7F94"/>
    <w:rsid w:val="002B0DA7"/>
    <w:rsid w:val="002B109A"/>
    <w:rsid w:val="002C6D45"/>
    <w:rsid w:val="002C7015"/>
    <w:rsid w:val="002D6E53"/>
    <w:rsid w:val="002F046D"/>
    <w:rsid w:val="002F3023"/>
    <w:rsid w:val="00301764"/>
    <w:rsid w:val="0031015F"/>
    <w:rsid w:val="00316872"/>
    <w:rsid w:val="003229D8"/>
    <w:rsid w:val="00336C97"/>
    <w:rsid w:val="00337F88"/>
    <w:rsid w:val="00342432"/>
    <w:rsid w:val="0035223F"/>
    <w:rsid w:val="00352D4B"/>
    <w:rsid w:val="0035638C"/>
    <w:rsid w:val="003A46BB"/>
    <w:rsid w:val="003A4A12"/>
    <w:rsid w:val="003A4EC7"/>
    <w:rsid w:val="003A7295"/>
    <w:rsid w:val="003B1F60"/>
    <w:rsid w:val="003B637D"/>
    <w:rsid w:val="003C2CC4"/>
    <w:rsid w:val="003C359D"/>
    <w:rsid w:val="003C5125"/>
    <w:rsid w:val="003D4B23"/>
    <w:rsid w:val="003E278A"/>
    <w:rsid w:val="00413520"/>
    <w:rsid w:val="004245FF"/>
    <w:rsid w:val="0042665B"/>
    <w:rsid w:val="004325CB"/>
    <w:rsid w:val="00440A07"/>
    <w:rsid w:val="00460A33"/>
    <w:rsid w:val="004621E8"/>
    <w:rsid w:val="00462880"/>
    <w:rsid w:val="00472091"/>
    <w:rsid w:val="00476F24"/>
    <w:rsid w:val="004923A8"/>
    <w:rsid w:val="004B6EF9"/>
    <w:rsid w:val="004C55B0"/>
    <w:rsid w:val="004E55A1"/>
    <w:rsid w:val="004F6BA0"/>
    <w:rsid w:val="004F7088"/>
    <w:rsid w:val="00503BEA"/>
    <w:rsid w:val="00533616"/>
    <w:rsid w:val="00535ABA"/>
    <w:rsid w:val="0053768B"/>
    <w:rsid w:val="005420F2"/>
    <w:rsid w:val="0054285C"/>
    <w:rsid w:val="00584173"/>
    <w:rsid w:val="00595520"/>
    <w:rsid w:val="005A44B9"/>
    <w:rsid w:val="005B19F0"/>
    <w:rsid w:val="005B1BA0"/>
    <w:rsid w:val="005B3DB3"/>
    <w:rsid w:val="005C70F8"/>
    <w:rsid w:val="005C7A89"/>
    <w:rsid w:val="005D15CA"/>
    <w:rsid w:val="005E670F"/>
    <w:rsid w:val="005F08DF"/>
    <w:rsid w:val="005F3066"/>
    <w:rsid w:val="005F3E61"/>
    <w:rsid w:val="00604DDD"/>
    <w:rsid w:val="006115CC"/>
    <w:rsid w:val="00611FC4"/>
    <w:rsid w:val="006176FB"/>
    <w:rsid w:val="00620F69"/>
    <w:rsid w:val="00630FCB"/>
    <w:rsid w:val="00640B26"/>
    <w:rsid w:val="006472A0"/>
    <w:rsid w:val="0065766B"/>
    <w:rsid w:val="006770B2"/>
    <w:rsid w:val="00686A48"/>
    <w:rsid w:val="006940E1"/>
    <w:rsid w:val="0069627D"/>
    <w:rsid w:val="006A3C72"/>
    <w:rsid w:val="006A7392"/>
    <w:rsid w:val="006A745A"/>
    <w:rsid w:val="006B03A1"/>
    <w:rsid w:val="006B25E0"/>
    <w:rsid w:val="006B67D9"/>
    <w:rsid w:val="006C5535"/>
    <w:rsid w:val="006D0589"/>
    <w:rsid w:val="006E564B"/>
    <w:rsid w:val="006E6220"/>
    <w:rsid w:val="006E691E"/>
    <w:rsid w:val="006E7154"/>
    <w:rsid w:val="006F64BE"/>
    <w:rsid w:val="007003CD"/>
    <w:rsid w:val="0070701E"/>
    <w:rsid w:val="0072632A"/>
    <w:rsid w:val="00726F0B"/>
    <w:rsid w:val="00734037"/>
    <w:rsid w:val="007358E8"/>
    <w:rsid w:val="00736ECE"/>
    <w:rsid w:val="0074533B"/>
    <w:rsid w:val="007547EE"/>
    <w:rsid w:val="007643BC"/>
    <w:rsid w:val="0077505F"/>
    <w:rsid w:val="00780C68"/>
    <w:rsid w:val="007959FE"/>
    <w:rsid w:val="007A0CF1"/>
    <w:rsid w:val="007A2C8E"/>
    <w:rsid w:val="007B5D73"/>
    <w:rsid w:val="007B6BA5"/>
    <w:rsid w:val="007C0E0E"/>
    <w:rsid w:val="007C3390"/>
    <w:rsid w:val="007C42D8"/>
    <w:rsid w:val="007C4F4B"/>
    <w:rsid w:val="007D7362"/>
    <w:rsid w:val="007F5CE2"/>
    <w:rsid w:val="007F5E78"/>
    <w:rsid w:val="007F6611"/>
    <w:rsid w:val="00801BFD"/>
    <w:rsid w:val="00810BAC"/>
    <w:rsid w:val="00815316"/>
    <w:rsid w:val="008175E9"/>
    <w:rsid w:val="00821260"/>
    <w:rsid w:val="008242D7"/>
    <w:rsid w:val="0082577B"/>
    <w:rsid w:val="00825C10"/>
    <w:rsid w:val="008304E1"/>
    <w:rsid w:val="00834182"/>
    <w:rsid w:val="00850483"/>
    <w:rsid w:val="00866893"/>
    <w:rsid w:val="00866F02"/>
    <w:rsid w:val="00867D18"/>
    <w:rsid w:val="00871F9A"/>
    <w:rsid w:val="00871FD5"/>
    <w:rsid w:val="0088172E"/>
    <w:rsid w:val="00881EFA"/>
    <w:rsid w:val="008879CB"/>
    <w:rsid w:val="008940A8"/>
    <w:rsid w:val="0089731E"/>
    <w:rsid w:val="008979B1"/>
    <w:rsid w:val="008A3D35"/>
    <w:rsid w:val="008A6B25"/>
    <w:rsid w:val="008A6C4F"/>
    <w:rsid w:val="008B389E"/>
    <w:rsid w:val="008C2A50"/>
    <w:rsid w:val="008C6230"/>
    <w:rsid w:val="008D035A"/>
    <w:rsid w:val="008D045E"/>
    <w:rsid w:val="008D3F25"/>
    <w:rsid w:val="008D4D82"/>
    <w:rsid w:val="008E0E46"/>
    <w:rsid w:val="008E7116"/>
    <w:rsid w:val="008F143B"/>
    <w:rsid w:val="008F3882"/>
    <w:rsid w:val="008F4B7C"/>
    <w:rsid w:val="00926E47"/>
    <w:rsid w:val="00927AA9"/>
    <w:rsid w:val="0094352E"/>
    <w:rsid w:val="00943748"/>
    <w:rsid w:val="0094683B"/>
    <w:rsid w:val="00947162"/>
    <w:rsid w:val="00950C39"/>
    <w:rsid w:val="00954785"/>
    <w:rsid w:val="00955EAA"/>
    <w:rsid w:val="009610D0"/>
    <w:rsid w:val="0096375C"/>
    <w:rsid w:val="009662E6"/>
    <w:rsid w:val="0097095E"/>
    <w:rsid w:val="00973BC5"/>
    <w:rsid w:val="009774A5"/>
    <w:rsid w:val="0098592B"/>
    <w:rsid w:val="00985FC4"/>
    <w:rsid w:val="00990766"/>
    <w:rsid w:val="00991261"/>
    <w:rsid w:val="009964C4"/>
    <w:rsid w:val="009A0761"/>
    <w:rsid w:val="009A7B81"/>
    <w:rsid w:val="009B1423"/>
    <w:rsid w:val="009B29C9"/>
    <w:rsid w:val="009D01C0"/>
    <w:rsid w:val="009D6A08"/>
    <w:rsid w:val="009E0A16"/>
    <w:rsid w:val="009E6CB7"/>
    <w:rsid w:val="009E7970"/>
    <w:rsid w:val="009E7FBA"/>
    <w:rsid w:val="009F2EAC"/>
    <w:rsid w:val="009F57E3"/>
    <w:rsid w:val="00A10F4F"/>
    <w:rsid w:val="00A11067"/>
    <w:rsid w:val="00A1704A"/>
    <w:rsid w:val="00A21B55"/>
    <w:rsid w:val="00A425EB"/>
    <w:rsid w:val="00A44CB6"/>
    <w:rsid w:val="00A72F22"/>
    <w:rsid w:val="00A733BC"/>
    <w:rsid w:val="00A748A6"/>
    <w:rsid w:val="00A75FD0"/>
    <w:rsid w:val="00A76A69"/>
    <w:rsid w:val="00A879A4"/>
    <w:rsid w:val="00A87B58"/>
    <w:rsid w:val="00AA0FF8"/>
    <w:rsid w:val="00AA259C"/>
    <w:rsid w:val="00AC0F2C"/>
    <w:rsid w:val="00AC3CD9"/>
    <w:rsid w:val="00AC502A"/>
    <w:rsid w:val="00AF1494"/>
    <w:rsid w:val="00AF58C1"/>
    <w:rsid w:val="00B04A3F"/>
    <w:rsid w:val="00B06643"/>
    <w:rsid w:val="00B12069"/>
    <w:rsid w:val="00B15055"/>
    <w:rsid w:val="00B20551"/>
    <w:rsid w:val="00B30179"/>
    <w:rsid w:val="00B33FC7"/>
    <w:rsid w:val="00B37B15"/>
    <w:rsid w:val="00B45C02"/>
    <w:rsid w:val="00B52A0F"/>
    <w:rsid w:val="00B627F8"/>
    <w:rsid w:val="00B70B63"/>
    <w:rsid w:val="00B72466"/>
    <w:rsid w:val="00B72A1E"/>
    <w:rsid w:val="00B81E12"/>
    <w:rsid w:val="00BA339B"/>
    <w:rsid w:val="00BB23CC"/>
    <w:rsid w:val="00BC196F"/>
    <w:rsid w:val="00BC1E7E"/>
    <w:rsid w:val="00BC74E9"/>
    <w:rsid w:val="00BD5BEB"/>
    <w:rsid w:val="00BD6EAC"/>
    <w:rsid w:val="00BD7B02"/>
    <w:rsid w:val="00BE36A9"/>
    <w:rsid w:val="00BE618E"/>
    <w:rsid w:val="00BE7BEC"/>
    <w:rsid w:val="00BF0A5A"/>
    <w:rsid w:val="00BF0E63"/>
    <w:rsid w:val="00BF12A3"/>
    <w:rsid w:val="00BF16D7"/>
    <w:rsid w:val="00BF2373"/>
    <w:rsid w:val="00C044E2"/>
    <w:rsid w:val="00C048CB"/>
    <w:rsid w:val="00C066F3"/>
    <w:rsid w:val="00C25D31"/>
    <w:rsid w:val="00C323B4"/>
    <w:rsid w:val="00C463DD"/>
    <w:rsid w:val="00C54D6E"/>
    <w:rsid w:val="00C745C3"/>
    <w:rsid w:val="00C8185D"/>
    <w:rsid w:val="00C8410C"/>
    <w:rsid w:val="00C978F5"/>
    <w:rsid w:val="00CA1AFC"/>
    <w:rsid w:val="00CA24A4"/>
    <w:rsid w:val="00CA37D8"/>
    <w:rsid w:val="00CB0EAD"/>
    <w:rsid w:val="00CB348D"/>
    <w:rsid w:val="00CB42AE"/>
    <w:rsid w:val="00CC2241"/>
    <w:rsid w:val="00CD3488"/>
    <w:rsid w:val="00CD46F5"/>
    <w:rsid w:val="00CD498C"/>
    <w:rsid w:val="00CE4A8F"/>
    <w:rsid w:val="00CF071D"/>
    <w:rsid w:val="00CF331B"/>
    <w:rsid w:val="00D0123D"/>
    <w:rsid w:val="00D15B04"/>
    <w:rsid w:val="00D2031B"/>
    <w:rsid w:val="00D230A2"/>
    <w:rsid w:val="00D25FE2"/>
    <w:rsid w:val="00D37DA9"/>
    <w:rsid w:val="00D406A7"/>
    <w:rsid w:val="00D43252"/>
    <w:rsid w:val="00D44D86"/>
    <w:rsid w:val="00D50B7D"/>
    <w:rsid w:val="00D52012"/>
    <w:rsid w:val="00D6071E"/>
    <w:rsid w:val="00D704E5"/>
    <w:rsid w:val="00D72727"/>
    <w:rsid w:val="00D978C6"/>
    <w:rsid w:val="00DA0956"/>
    <w:rsid w:val="00DA357F"/>
    <w:rsid w:val="00DA3E12"/>
    <w:rsid w:val="00DC18AD"/>
    <w:rsid w:val="00DE6379"/>
    <w:rsid w:val="00DF7CAE"/>
    <w:rsid w:val="00E11BD6"/>
    <w:rsid w:val="00E206CC"/>
    <w:rsid w:val="00E423C0"/>
    <w:rsid w:val="00E5796D"/>
    <w:rsid w:val="00E6414C"/>
    <w:rsid w:val="00E7260F"/>
    <w:rsid w:val="00E8702D"/>
    <w:rsid w:val="00E905F4"/>
    <w:rsid w:val="00E916A9"/>
    <w:rsid w:val="00E916DE"/>
    <w:rsid w:val="00E925AD"/>
    <w:rsid w:val="00E96630"/>
    <w:rsid w:val="00EC36F5"/>
    <w:rsid w:val="00ED0C9B"/>
    <w:rsid w:val="00ED18DC"/>
    <w:rsid w:val="00ED44C6"/>
    <w:rsid w:val="00ED6201"/>
    <w:rsid w:val="00ED7A2A"/>
    <w:rsid w:val="00EF1D7F"/>
    <w:rsid w:val="00F0137E"/>
    <w:rsid w:val="00F21786"/>
    <w:rsid w:val="00F3742B"/>
    <w:rsid w:val="00F41FDB"/>
    <w:rsid w:val="00F569C1"/>
    <w:rsid w:val="00F56D63"/>
    <w:rsid w:val="00F56FDB"/>
    <w:rsid w:val="00F609A9"/>
    <w:rsid w:val="00F80C99"/>
    <w:rsid w:val="00F867EC"/>
    <w:rsid w:val="00F91B2B"/>
    <w:rsid w:val="00FA1913"/>
    <w:rsid w:val="00FA2FEC"/>
    <w:rsid w:val="00FC03CD"/>
    <w:rsid w:val="00FC0595"/>
    <w:rsid w:val="00FC0646"/>
    <w:rsid w:val="00FC1CB2"/>
    <w:rsid w:val="00FC68B7"/>
    <w:rsid w:val="00FD78EB"/>
    <w:rsid w:val="00FE6985"/>
    <w:rsid w:val="00FF02F5"/>
    <w:rsid w:val="00FF6B6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D3899E7"/>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rsid w:val="00472091"/>
    <w:rPr>
      <w:lang w:val="en-GB"/>
    </w:rPr>
  </w:style>
  <w:style w:type="character" w:styleId="CommentReference">
    <w:name w:val="annotation reference"/>
    <w:basedOn w:val="DefaultParagraphFont"/>
    <w:semiHidden/>
    <w:unhideWhenUsed/>
    <w:rsid w:val="007F5E78"/>
    <w:rPr>
      <w:sz w:val="16"/>
      <w:szCs w:val="16"/>
    </w:rPr>
  </w:style>
  <w:style w:type="paragraph" w:styleId="CommentText">
    <w:name w:val="annotation text"/>
    <w:basedOn w:val="Normal"/>
    <w:link w:val="CommentTextChar"/>
    <w:semiHidden/>
    <w:unhideWhenUsed/>
    <w:rsid w:val="007F5E78"/>
    <w:pPr>
      <w:spacing w:line="240" w:lineRule="auto"/>
    </w:pPr>
  </w:style>
  <w:style w:type="character" w:customStyle="1" w:styleId="CommentTextChar">
    <w:name w:val="Comment Text Char"/>
    <w:basedOn w:val="DefaultParagraphFont"/>
    <w:link w:val="CommentText"/>
    <w:semiHidden/>
    <w:rsid w:val="007F5E78"/>
    <w:rPr>
      <w:lang w:val="en-GB"/>
    </w:rPr>
  </w:style>
  <w:style w:type="character" w:customStyle="1" w:styleId="H1GChar">
    <w:name w:val="_ H_1_G Char"/>
    <w:link w:val="H1G"/>
    <w:rsid w:val="00F569C1"/>
    <w:rPr>
      <w:b/>
      <w:sz w:val="24"/>
      <w:lang w:val="en-GB"/>
    </w:rPr>
  </w:style>
  <w:style w:type="paragraph" w:styleId="CommentSubject">
    <w:name w:val="annotation subject"/>
    <w:basedOn w:val="CommentText"/>
    <w:next w:val="CommentText"/>
    <w:link w:val="CommentSubjectChar"/>
    <w:semiHidden/>
    <w:unhideWhenUsed/>
    <w:rsid w:val="0002196B"/>
    <w:rPr>
      <w:b/>
      <w:bCs/>
    </w:rPr>
  </w:style>
  <w:style w:type="character" w:customStyle="1" w:styleId="CommentSubjectChar">
    <w:name w:val="Comment Subject Char"/>
    <w:basedOn w:val="CommentTextChar"/>
    <w:link w:val="CommentSubject"/>
    <w:semiHidden/>
    <w:rsid w:val="0002196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D55381-FAC1-4CC3-8F62-106892A49A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8380FC-2716-4623-82E2-A7D4DFD9F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1A8989-1625-4A00-ACF5-F22CED0D3E23}">
  <ds:schemaRefs>
    <ds:schemaRef ds:uri="http://schemas.openxmlformats.org/officeDocument/2006/bibliography"/>
  </ds:schemaRefs>
</ds:datastoreItem>
</file>

<file path=customXml/itemProps4.xml><?xml version="1.0" encoding="utf-8"?>
<ds:datastoreItem xmlns:ds="http://schemas.openxmlformats.org/officeDocument/2006/customXml" ds:itemID="{DA67F16B-C8A8-4CFF-94BE-9158197446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2647</Words>
  <Characters>16233</Characters>
  <Application>Microsoft Office Word</Application>
  <DocSecurity>0</DocSecurity>
  <Lines>254</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ECE/TRANS/2020/18</vt:lpstr>
      <vt:lpstr/>
    </vt:vector>
  </TitlesOfParts>
  <Company>CSD</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ECE/TRANS/2022/21</dc:title>
  <dc:subject>2118781</dc:subject>
  <dc:creator>Anastasia Barinova</dc:creator>
  <cp:keywords/>
  <dc:description/>
  <cp:lastModifiedBy>Don MARTIN</cp:lastModifiedBy>
  <cp:revision>2</cp:revision>
  <cp:lastPrinted>2009-02-18T09:36:00Z</cp:lastPrinted>
  <dcterms:created xsi:type="dcterms:W3CDTF">2021-12-13T10:28:00Z</dcterms:created>
  <dcterms:modified xsi:type="dcterms:W3CDTF">2021-12-13T10:28:00Z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