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79D9BD0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667CEFF6" w14:textId="77777777" w:rsidR="002D5AAC" w:rsidRDefault="002D5AAC" w:rsidP="0017080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620EAE2C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683CA6D9" w14:textId="77777777" w:rsidR="002D5AAC" w:rsidRDefault="0017080B" w:rsidP="0017080B">
            <w:pPr>
              <w:jc w:val="right"/>
            </w:pPr>
            <w:r w:rsidRPr="0017080B">
              <w:rPr>
                <w:sz w:val="40"/>
              </w:rPr>
              <w:t>ECE</w:t>
            </w:r>
            <w:r>
              <w:t>/TRANS/2022/18</w:t>
            </w:r>
          </w:p>
        </w:tc>
      </w:tr>
      <w:tr w:rsidR="002D5AAC" w:rsidRPr="004F7971" w14:paraId="40B416A5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134B7F7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1A126FA2" wp14:editId="50514B87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E82481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77144729" w14:textId="77777777" w:rsidR="002D5AAC" w:rsidRDefault="0017080B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5FFAE18F" w14:textId="77777777" w:rsidR="0017080B" w:rsidRDefault="0017080B" w:rsidP="0017080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14 December 2021</w:t>
            </w:r>
          </w:p>
          <w:p w14:paraId="36AC19EB" w14:textId="77777777" w:rsidR="0017080B" w:rsidRDefault="0017080B" w:rsidP="0017080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036B2697" w14:textId="77777777" w:rsidR="0017080B" w:rsidRPr="008D53B6" w:rsidRDefault="0017080B" w:rsidP="0017080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57D57CB9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34092B69" w14:textId="77777777" w:rsidR="0017080B" w:rsidRPr="006244FE" w:rsidRDefault="0017080B" w:rsidP="0017080B">
      <w:pPr>
        <w:spacing w:before="120"/>
        <w:rPr>
          <w:rFonts w:eastAsia="Times New Roman" w:cs="Times New Roman"/>
          <w:sz w:val="28"/>
          <w:szCs w:val="28"/>
        </w:rPr>
      </w:pPr>
      <w:r w:rsidRPr="006244FE">
        <w:rPr>
          <w:rFonts w:cs="Times New Roman"/>
          <w:sz w:val="28"/>
          <w:szCs w:val="28"/>
        </w:rPr>
        <w:t>Комитет по внутреннему транспорту</w:t>
      </w:r>
    </w:p>
    <w:p w14:paraId="5ED31F41" w14:textId="77777777" w:rsidR="0017080B" w:rsidRPr="006244FE" w:rsidRDefault="0017080B" w:rsidP="0017080B">
      <w:pPr>
        <w:spacing w:before="120"/>
        <w:rPr>
          <w:rFonts w:eastAsia="Times New Roman" w:cs="Times New Roman"/>
          <w:b/>
          <w:bCs/>
          <w:szCs w:val="20"/>
        </w:rPr>
      </w:pPr>
      <w:r w:rsidRPr="006244FE">
        <w:rPr>
          <w:rFonts w:cs="Times New Roman"/>
          <w:b/>
          <w:bCs/>
          <w:szCs w:val="20"/>
        </w:rPr>
        <w:t>Восемьдесят четвертая сессия</w:t>
      </w:r>
    </w:p>
    <w:p w14:paraId="6462DEB9" w14:textId="77777777" w:rsidR="0017080B" w:rsidRPr="006244FE" w:rsidRDefault="0017080B" w:rsidP="0017080B">
      <w:pPr>
        <w:rPr>
          <w:rFonts w:eastAsia="Times New Roman" w:cs="Times New Roman"/>
          <w:szCs w:val="20"/>
        </w:rPr>
      </w:pPr>
      <w:r w:rsidRPr="006244FE">
        <w:rPr>
          <w:rFonts w:cs="Times New Roman"/>
          <w:szCs w:val="20"/>
        </w:rPr>
        <w:t>Женева, 22–25 февраля 2022 года</w:t>
      </w:r>
    </w:p>
    <w:p w14:paraId="40073E71" w14:textId="77777777" w:rsidR="0017080B" w:rsidRPr="006244FE" w:rsidRDefault="0017080B" w:rsidP="0017080B">
      <w:pPr>
        <w:rPr>
          <w:rFonts w:eastAsia="Times New Roman" w:cs="Times New Roman"/>
          <w:szCs w:val="20"/>
        </w:rPr>
      </w:pPr>
      <w:r w:rsidRPr="006244FE">
        <w:rPr>
          <w:rFonts w:cs="Times New Roman"/>
          <w:szCs w:val="20"/>
        </w:rPr>
        <w:t>Пункт 9 g) предварительной повестки дня</w:t>
      </w:r>
    </w:p>
    <w:p w14:paraId="70F349B8" w14:textId="02CDBE27" w:rsidR="0017080B" w:rsidRPr="006244FE" w:rsidRDefault="0017080B" w:rsidP="0017080B">
      <w:pPr>
        <w:rPr>
          <w:rFonts w:eastAsia="Times New Roman" w:cs="Times New Roman"/>
          <w:b/>
          <w:bCs/>
          <w:szCs w:val="20"/>
        </w:rPr>
      </w:pPr>
      <w:r w:rsidRPr="006244FE">
        <w:rPr>
          <w:rFonts w:cs="Times New Roman"/>
          <w:b/>
          <w:bCs/>
          <w:szCs w:val="20"/>
        </w:rPr>
        <w:t xml:space="preserve">Стратегические вопросы </w:t>
      </w:r>
      <w:r w:rsidR="00017306">
        <w:rPr>
          <w:rFonts w:cs="Times New Roman"/>
          <w:b/>
          <w:bCs/>
          <w:szCs w:val="20"/>
        </w:rPr>
        <w:br/>
      </w:r>
      <w:r w:rsidRPr="006244FE">
        <w:rPr>
          <w:rFonts w:cs="Times New Roman"/>
          <w:b/>
          <w:bCs/>
          <w:szCs w:val="20"/>
        </w:rPr>
        <w:t xml:space="preserve">горизонтальной и межсекторальной </w:t>
      </w:r>
      <w:r w:rsidR="00017306">
        <w:rPr>
          <w:rFonts w:cs="Times New Roman"/>
          <w:b/>
          <w:bCs/>
          <w:szCs w:val="20"/>
        </w:rPr>
        <w:br/>
      </w:r>
      <w:r w:rsidRPr="006244FE">
        <w:rPr>
          <w:rFonts w:cs="Times New Roman"/>
          <w:b/>
          <w:bCs/>
          <w:szCs w:val="20"/>
        </w:rPr>
        <w:t>политики или нормативного характера:</w:t>
      </w:r>
    </w:p>
    <w:p w14:paraId="405FFB6C" w14:textId="77777777" w:rsidR="0017080B" w:rsidRPr="006244FE" w:rsidRDefault="0017080B" w:rsidP="0017080B">
      <w:pPr>
        <w:rPr>
          <w:rFonts w:eastAsia="Times New Roman" w:cs="Times New Roman"/>
          <w:b/>
          <w:bCs/>
          <w:szCs w:val="20"/>
        </w:rPr>
      </w:pPr>
      <w:r w:rsidRPr="006244FE">
        <w:rPr>
          <w:rFonts w:cs="Times New Roman"/>
          <w:b/>
          <w:bCs/>
          <w:szCs w:val="20"/>
        </w:rPr>
        <w:t>Аналитическая работа в области транспорта</w:t>
      </w:r>
    </w:p>
    <w:p w14:paraId="3D3D4782" w14:textId="77777777" w:rsidR="0017080B" w:rsidRPr="006244FE" w:rsidRDefault="0017080B" w:rsidP="0017080B">
      <w:pPr>
        <w:pStyle w:val="HChG"/>
      </w:pPr>
      <w:r w:rsidRPr="00896E71">
        <w:tab/>
      </w:r>
      <w:r w:rsidRPr="00896E71">
        <w:tab/>
      </w:r>
      <w:r w:rsidRPr="006244FE">
        <w:t>Аналитическая работа Отдела устойчивого транспорта</w:t>
      </w:r>
    </w:p>
    <w:p w14:paraId="72ED27EE" w14:textId="2A048249" w:rsidR="0017080B" w:rsidRDefault="0017080B" w:rsidP="0017080B">
      <w:pPr>
        <w:pStyle w:val="H1G"/>
      </w:pPr>
      <w:r w:rsidRPr="00896E71">
        <w:tab/>
      </w:r>
      <w:r w:rsidRPr="00896E71">
        <w:tab/>
      </w:r>
      <w:r w:rsidRPr="006244FE">
        <w:t>Записка секретариата</w:t>
      </w:r>
    </w:p>
    <w:tbl>
      <w:tblPr>
        <w:tblStyle w:val="ac"/>
        <w:tblW w:w="0" w:type="auto"/>
        <w:jc w:val="center"/>
        <w:tblLook w:val="05E0" w:firstRow="1" w:lastRow="1" w:firstColumn="1" w:lastColumn="1" w:noHBand="0" w:noVBand="1"/>
      </w:tblPr>
      <w:tblGrid>
        <w:gridCol w:w="9628"/>
      </w:tblGrid>
      <w:tr w:rsidR="00017306" w:rsidRPr="00017306" w14:paraId="7C52912F" w14:textId="77777777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14:paraId="336D1F32" w14:textId="77777777" w:rsidR="00017306" w:rsidRPr="00017306" w:rsidRDefault="00017306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017306">
              <w:rPr>
                <w:rFonts w:cs="Times New Roman"/>
              </w:rPr>
              <w:tab/>
            </w:r>
            <w:r w:rsidRPr="00017306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017306" w:rsidRPr="00017306" w14:paraId="2BD6CE0F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0698B7FB" w14:textId="5BBD0379" w:rsidR="00017306" w:rsidRPr="00017306" w:rsidRDefault="00017306" w:rsidP="00D6488B">
            <w:pPr>
              <w:pStyle w:val="SingleTxtG"/>
            </w:pPr>
            <w:r>
              <w:tab/>
            </w:r>
            <w:r w:rsidRPr="00896E71">
              <w:t xml:space="preserve">В настоящей записке содержится краткое изложение работы, проделанной в рамках Рабочей группы по тенденциям и экономике транспорта (WP.5), которая выполняет функции «мозгового центра» по вопросам перевозок в рамках Комитета по внутреннему транспорту (КВТ). В ней также представлен краткий обзор аналитической работы, проведенной Отделом устойчивого транспорта Европейской экономической комиссии Организации Объединенных Наций (ЕЭК) в 2021 году. </w:t>
            </w:r>
            <w:r w:rsidR="00647F1E">
              <w:br/>
            </w:r>
            <w:r w:rsidRPr="00896E71">
              <w:t>Эта работа включала в себя публикации по конкретным вопросам в области транспорта, аналитическую работу, проводимую в рамках назначенных групп экспертов и многодисциплинарных целевых групп, подготовку аналитических документов в поддержку мероприятий, связанных с транспортными конвенциями Организации Объединенных Наций, рабочие совещания по наращиванию потенциала, введение в действие Международного центра мониторинга транспортной инфраструктуры на базе ГИС (МЦМТИ), а также разработку инструментов знаний и показателей, позволяющих правительствам измерять степень экономической взаимосвязанности процессов в области транспорта, торговли и пересечения границ.</w:t>
            </w:r>
          </w:p>
        </w:tc>
      </w:tr>
      <w:tr w:rsidR="00017306" w:rsidRPr="00017306" w14:paraId="24A9003B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7708B8DD" w14:textId="5F32D21D" w:rsidR="00017306" w:rsidRDefault="00017306" w:rsidP="00D6488B">
            <w:pPr>
              <w:pStyle w:val="SingleTxtG"/>
            </w:pPr>
            <w:r>
              <w:tab/>
            </w:r>
            <w:r w:rsidRPr="00896E71">
              <w:t xml:space="preserve">Члены Комитета, возможно, пожелают </w:t>
            </w:r>
            <w:r w:rsidRPr="00896E71">
              <w:rPr>
                <w:b/>
                <w:bCs/>
              </w:rPr>
              <w:t xml:space="preserve">дать указания </w:t>
            </w:r>
            <w:r w:rsidRPr="00896E71">
              <w:t>относительно будущих направлений аналитической работы в области транспорта.</w:t>
            </w:r>
          </w:p>
        </w:tc>
      </w:tr>
      <w:tr w:rsidR="00017306" w:rsidRPr="00017306" w14:paraId="5EBA7611" w14:textId="77777777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14:paraId="6AABDFED" w14:textId="77777777" w:rsidR="00017306" w:rsidRPr="00017306" w:rsidRDefault="00017306" w:rsidP="00850215">
            <w:pPr>
              <w:rPr>
                <w:rFonts w:cs="Times New Roman"/>
              </w:rPr>
            </w:pPr>
          </w:p>
        </w:tc>
      </w:tr>
    </w:tbl>
    <w:p w14:paraId="0A06F322" w14:textId="47AA03D7" w:rsidR="00017306" w:rsidRDefault="00017306" w:rsidP="00017306">
      <w:pPr>
        <w:rPr>
          <w:lang w:eastAsia="ru-RU"/>
        </w:rPr>
      </w:pPr>
    </w:p>
    <w:p w14:paraId="47E599B1" w14:textId="095414CF" w:rsidR="0017080B" w:rsidRDefault="0017080B" w:rsidP="0017080B">
      <w:pPr>
        <w:rPr>
          <w:lang w:eastAsia="ru-RU"/>
        </w:rPr>
      </w:pPr>
      <w:r>
        <w:rPr>
          <w:lang w:eastAsia="ru-RU"/>
        </w:rPr>
        <w:br w:type="page"/>
      </w:r>
    </w:p>
    <w:p w14:paraId="4DA29FD1" w14:textId="56D4EE5E" w:rsidR="0017080B" w:rsidRPr="00F831EB" w:rsidRDefault="0017080B" w:rsidP="0017080B">
      <w:pPr>
        <w:pStyle w:val="HChG"/>
      </w:pPr>
      <w:r>
        <w:lastRenderedPageBreak/>
        <w:tab/>
      </w:r>
      <w:r w:rsidRPr="00F831EB">
        <w:t>I.</w:t>
      </w:r>
      <w:r w:rsidRPr="00F831EB">
        <w:tab/>
        <w:t>Аналитическая работа, проводимая Рабочей группой по</w:t>
      </w:r>
      <w:r>
        <w:rPr>
          <w:lang w:val="fr-CH"/>
        </w:rPr>
        <w:t> </w:t>
      </w:r>
      <w:r w:rsidRPr="00F831EB">
        <w:t>тенденциям и экономике транспорта</w:t>
      </w:r>
    </w:p>
    <w:p w14:paraId="72D9FC40" w14:textId="77777777" w:rsidR="0017080B" w:rsidRPr="00F831EB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31EB">
        <w:rPr>
          <w:rFonts w:cs="Times New Roman"/>
          <w:szCs w:val="20"/>
        </w:rPr>
        <w:t>1.</w:t>
      </w:r>
      <w:r w:rsidRPr="00F831EB">
        <w:rPr>
          <w:rFonts w:cs="Times New Roman"/>
          <w:szCs w:val="20"/>
        </w:rPr>
        <w:tab/>
        <w:t>Рабочая группа по тенденциям и экономике транспорта (WP.5) является межрегиональным форумом для обмена опытом и идеями, в частности по проблемам, связанным с устойчивым развитием внутренних транспортных систем. Мандат Группы позволяет ей играть в рамках Комитета по внутреннему транспорту (КВТ) уникальную роль «мозгового центра» по вопросам перевозок.</w:t>
      </w:r>
    </w:p>
    <w:p w14:paraId="2FAF0F99" w14:textId="77777777" w:rsidR="0017080B" w:rsidRPr="00F831EB" w:rsidRDefault="0017080B" w:rsidP="0017080B">
      <w:pPr>
        <w:spacing w:after="120"/>
        <w:ind w:left="1134" w:right="1134"/>
        <w:jc w:val="both"/>
        <w:rPr>
          <w:rFonts w:eastAsiaTheme="minorEastAsia" w:cs="Times New Roman"/>
          <w:szCs w:val="20"/>
        </w:rPr>
      </w:pPr>
      <w:r w:rsidRPr="00F831EB">
        <w:rPr>
          <w:rFonts w:cs="Times New Roman"/>
          <w:szCs w:val="20"/>
        </w:rPr>
        <w:t>2.</w:t>
      </w:r>
      <w:r w:rsidRPr="00F831EB">
        <w:rPr>
          <w:rFonts w:cs="Times New Roman"/>
          <w:szCs w:val="20"/>
        </w:rPr>
        <w:tab/>
        <w:t>В соответствии с высказанной КВТ на его восемьдесят первой сессии просьбой к своим вспомогательным органам принять последующие меры по согласованию их работы со Стратегией КВТ (ECE/TRANS/288, п.</w:t>
      </w:r>
      <w:r>
        <w:rPr>
          <w:rFonts w:cs="Times New Roman"/>
          <w:szCs w:val="20"/>
        </w:rPr>
        <w:t> </w:t>
      </w:r>
      <w:r w:rsidRPr="00F831EB">
        <w:rPr>
          <w:rFonts w:cs="Times New Roman"/>
          <w:szCs w:val="20"/>
        </w:rPr>
        <w:t>15</w:t>
      </w:r>
      <w:r>
        <w:rPr>
          <w:rFonts w:cs="Times New Roman"/>
          <w:szCs w:val="20"/>
        </w:rPr>
        <w:t> </w:t>
      </w:r>
      <w:r w:rsidRPr="00F831EB">
        <w:rPr>
          <w:rFonts w:cs="Times New Roman"/>
          <w:szCs w:val="20"/>
        </w:rPr>
        <w:t>а) и с)) мандаты и программа работы WP.5 были полностью согласованы с приоритетными действиями в рамках Стратегии, относящейся к четвертой задаче КВТ в качестве «платформы Организации Объединенных Наций по поддержке устойчиво</w:t>
      </w:r>
      <w:r>
        <w:rPr>
          <w:rFonts w:cs="Times New Roman"/>
          <w:szCs w:val="20"/>
        </w:rPr>
        <w:t>й</w:t>
      </w:r>
      <w:r w:rsidRPr="00F831EB">
        <w:rPr>
          <w:rFonts w:cs="Times New Roman"/>
          <w:szCs w:val="20"/>
        </w:rPr>
        <w:t xml:space="preserve"> регионально</w:t>
      </w:r>
      <w:r>
        <w:rPr>
          <w:rFonts w:cs="Times New Roman"/>
          <w:szCs w:val="20"/>
        </w:rPr>
        <w:t>й</w:t>
      </w:r>
      <w:r w:rsidRPr="00F831EB">
        <w:rPr>
          <w:rFonts w:cs="Times New Roman"/>
          <w:szCs w:val="20"/>
        </w:rPr>
        <w:t xml:space="preserve"> и межрегионально</w:t>
      </w:r>
      <w:r>
        <w:rPr>
          <w:rFonts w:cs="Times New Roman"/>
          <w:szCs w:val="20"/>
        </w:rPr>
        <w:t>й</w:t>
      </w:r>
      <w:r w:rsidRPr="00F831EB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связности</w:t>
      </w:r>
      <w:r w:rsidRPr="00F831EB">
        <w:rPr>
          <w:rFonts w:cs="Times New Roman"/>
          <w:szCs w:val="20"/>
        </w:rPr>
        <w:t xml:space="preserve"> и мобильности на внутреннем транспорте».</w:t>
      </w:r>
    </w:p>
    <w:p w14:paraId="69F62D3B" w14:textId="19229C5E" w:rsidR="0017080B" w:rsidRPr="00F831E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3.</w:t>
      </w:r>
      <w:r w:rsidRPr="00F831EB">
        <w:rPr>
          <w:rFonts w:cs="Times New Roman"/>
          <w:szCs w:val="20"/>
        </w:rPr>
        <w:tab/>
        <w:t>С учетом своей прошлой деятельности и принимая во внимание Стратегию КВТ до 2030 года, WP.5 на своей тридцать второй сессии в 2019 году согласовала шесть</w:t>
      </w:r>
      <w:r w:rsidR="00017306">
        <w:rPr>
          <w:rFonts w:cs="Times New Roman"/>
          <w:szCs w:val="20"/>
          <w:lang w:val="fr-CH"/>
        </w:rPr>
        <w:t> </w:t>
      </w:r>
      <w:r w:rsidRPr="00F831EB">
        <w:rPr>
          <w:rFonts w:cs="Times New Roman"/>
          <w:szCs w:val="20"/>
        </w:rPr>
        <w:t xml:space="preserve">основных направлений работы и долгосрочную программу работы </w:t>
      </w:r>
      <w:r w:rsidR="00017306">
        <w:rPr>
          <w:rFonts w:cs="Times New Roman"/>
          <w:szCs w:val="20"/>
        </w:rPr>
        <w:br/>
      </w:r>
      <w:r w:rsidRPr="00F831EB">
        <w:rPr>
          <w:rFonts w:cs="Times New Roman"/>
          <w:szCs w:val="20"/>
        </w:rPr>
        <w:t>(2020–2030 годы), на основе которых и была определена структура настоящего документа:</w:t>
      </w:r>
    </w:p>
    <w:p w14:paraId="243229AB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a)</w:t>
      </w:r>
      <w:r w:rsidRPr="00F831EB">
        <w:rPr>
          <w:rFonts w:cs="Times New Roman"/>
          <w:szCs w:val="20"/>
        </w:rPr>
        <w:tab/>
        <w:t>развитие транспортных сетей и/или связей;</w:t>
      </w:r>
    </w:p>
    <w:p w14:paraId="33755AEA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b)</w:t>
      </w:r>
      <w:r w:rsidRPr="00F831EB">
        <w:rPr>
          <w:rFonts w:cs="Times New Roman"/>
          <w:szCs w:val="20"/>
        </w:rPr>
        <w:tab/>
        <w:t>транспорт и изменение климата;</w:t>
      </w:r>
    </w:p>
    <w:p w14:paraId="382D9C06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c)</w:t>
      </w:r>
      <w:r w:rsidRPr="00F831EB">
        <w:rPr>
          <w:rFonts w:cs="Times New Roman"/>
          <w:szCs w:val="20"/>
        </w:rPr>
        <w:tab/>
        <w:t>устойчивая городская мобильность;</w:t>
      </w:r>
    </w:p>
    <w:p w14:paraId="48C763ED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d)</w:t>
      </w:r>
      <w:r w:rsidRPr="00F831EB">
        <w:rPr>
          <w:rFonts w:cs="Times New Roman"/>
          <w:szCs w:val="20"/>
        </w:rPr>
        <w:tab/>
        <w:t>данные о транспортной инфраструктуре;</w:t>
      </w:r>
    </w:p>
    <w:p w14:paraId="24515B75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F831EB">
        <w:rPr>
          <w:rFonts w:cs="Times New Roman"/>
          <w:szCs w:val="20"/>
        </w:rPr>
        <w:t>e)</w:t>
      </w:r>
      <w:r w:rsidRPr="00F831EB">
        <w:rPr>
          <w:rFonts w:cs="Times New Roman"/>
          <w:szCs w:val="20"/>
        </w:rPr>
        <w:tab/>
        <w:t>обзор и мониторинг возникающих проблем и достижения целей устойчивого развития; и</w:t>
      </w:r>
    </w:p>
    <w:p w14:paraId="602E619B" w14:textId="77777777" w:rsidR="0017080B" w:rsidRPr="00F831EB" w:rsidRDefault="0017080B" w:rsidP="0017080B">
      <w:pPr>
        <w:spacing w:after="120"/>
        <w:ind w:left="1134" w:right="1134" w:firstLine="567"/>
        <w:jc w:val="both"/>
        <w:rPr>
          <w:rFonts w:eastAsia="Times New Roman" w:cs="Times New Roman"/>
          <w:szCs w:val="20"/>
        </w:rPr>
      </w:pPr>
      <w:r w:rsidRPr="00F831EB">
        <w:rPr>
          <w:rFonts w:cs="Times New Roman"/>
          <w:szCs w:val="20"/>
        </w:rPr>
        <w:t>f)</w:t>
      </w:r>
      <w:r w:rsidRPr="00F831EB">
        <w:rPr>
          <w:rFonts w:cs="Times New Roman"/>
          <w:szCs w:val="20"/>
        </w:rPr>
        <w:tab/>
        <w:t>безопасность на внутреннем транспорте.</w:t>
      </w:r>
    </w:p>
    <w:p w14:paraId="6E6369CC" w14:textId="1158DFD8" w:rsidR="0017080B" w:rsidRPr="00F831EB" w:rsidRDefault="0017080B" w:rsidP="00017306">
      <w:pPr>
        <w:pStyle w:val="HChG"/>
        <w:rPr>
          <w:rFonts w:eastAsia="SimSun"/>
        </w:rPr>
      </w:pPr>
      <w:r>
        <w:tab/>
      </w:r>
      <w:r w:rsidRPr="00F831EB">
        <w:t>II.</w:t>
      </w:r>
      <w:r w:rsidRPr="00F831EB">
        <w:tab/>
        <w:t>Обзор деятельности Рабочей группы по тенденциям и</w:t>
      </w:r>
      <w:r w:rsidR="00017306">
        <w:rPr>
          <w:lang w:val="fr-CH"/>
        </w:rPr>
        <w:t> </w:t>
      </w:r>
      <w:r w:rsidRPr="00F831EB">
        <w:t>экономике транспорта по каждому кластеру</w:t>
      </w:r>
    </w:p>
    <w:p w14:paraId="76DEA5ED" w14:textId="77777777" w:rsidR="0017080B" w:rsidRPr="00F831EB" w:rsidRDefault="0017080B" w:rsidP="00017306">
      <w:pPr>
        <w:pStyle w:val="H1G"/>
        <w:rPr>
          <w:rFonts w:eastAsia="SimSun"/>
        </w:rPr>
      </w:pPr>
      <w:r>
        <w:tab/>
      </w:r>
      <w:r w:rsidRPr="00F831EB">
        <w:t>A.</w:t>
      </w:r>
      <w:r w:rsidRPr="00F831EB">
        <w:tab/>
        <w:t>Развитие транспортных сетей и/или связей</w:t>
      </w:r>
    </w:p>
    <w:p w14:paraId="569067D0" w14:textId="77777777" w:rsidR="0017080B" w:rsidRPr="00F831EB" w:rsidRDefault="0017080B" w:rsidP="00017306">
      <w:pPr>
        <w:pStyle w:val="H23G"/>
        <w:spacing w:after="200"/>
      </w:pPr>
      <w:r>
        <w:tab/>
      </w:r>
      <w:r w:rsidRPr="00F831EB">
        <w:t>1.</w:t>
      </w:r>
      <w:r w:rsidRPr="00F831EB">
        <w:tab/>
        <w:t>Введение в действие евро-азиатских транспортных связей</w:t>
      </w:r>
    </w:p>
    <w:p w14:paraId="27ECAFC2" w14:textId="18F30FEB" w:rsidR="00017306" w:rsidRDefault="0017080B" w:rsidP="00017306">
      <w:pPr>
        <w:spacing w:after="360" w:line="259" w:lineRule="auto"/>
        <w:ind w:left="720"/>
        <w:contextualSpacing/>
        <w:rPr>
          <w:rFonts w:eastAsia="Times New Roman" w:cs="Times New Roman"/>
          <w:b/>
          <w:bCs/>
          <w:szCs w:val="20"/>
          <w:lang w:eastAsia="fr-FR"/>
        </w:rPr>
      </w:pPr>
      <w:r w:rsidRPr="00896E71">
        <w:rPr>
          <w:rFonts w:eastAsiaTheme="minorEastAsia" w:cs="Times New Roman"/>
          <w:noProof/>
          <w:lang w:val="en-GB" w:eastAsia="zh-CN"/>
        </w:rPr>
        <w:drawing>
          <wp:inline distT="0" distB="0" distL="0" distR="0" wp14:anchorId="6B6DC2A1" wp14:editId="6CD08A81">
            <wp:extent cx="5191125" cy="123016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452" cy="12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EAE1" w14:textId="2552B6F3" w:rsidR="0017080B" w:rsidRPr="00C8102A" w:rsidRDefault="0017080B" w:rsidP="00017306">
      <w:pPr>
        <w:spacing w:before="480" w:after="120"/>
        <w:ind w:left="1134" w:right="1134"/>
        <w:jc w:val="both"/>
        <w:rPr>
          <w:rFonts w:eastAsia="Times New Roman" w:cs="Times New Roman"/>
          <w:szCs w:val="20"/>
        </w:rPr>
      </w:pPr>
      <w:r w:rsidRPr="00C8102A">
        <w:rPr>
          <w:rFonts w:cs="Times New Roman"/>
          <w:szCs w:val="20"/>
        </w:rPr>
        <w:t>4.</w:t>
      </w:r>
      <w:r w:rsidRPr="00C8102A">
        <w:rPr>
          <w:rFonts w:cs="Times New Roman"/>
          <w:szCs w:val="20"/>
        </w:rPr>
        <w:tab/>
        <w:t>В рамках WP.5 в ноябре 2020 года состоялся раунд виртуальных консультаций по вопросу о дальнейших шагах, направленных на введение в действие евро-азиатских транспортных коридоров. По этому случаю правительства Азербайджана, Грузии, Казахстана, Турции и Украины выразили заинтересованность в ответных мерах и внесении своего вклада в разработку механизма управления коридорами на маршруте</w:t>
      </w:r>
      <w:r w:rsidR="00017306">
        <w:rPr>
          <w:rFonts w:cs="Times New Roman"/>
          <w:szCs w:val="20"/>
          <w:lang w:val="fr-CH"/>
        </w:rPr>
        <w:t> </w:t>
      </w:r>
      <w:r w:rsidRPr="00C8102A">
        <w:rPr>
          <w:rFonts w:cs="Times New Roman"/>
          <w:szCs w:val="20"/>
        </w:rPr>
        <w:t xml:space="preserve">№ 3 ЕАТС. Затем это предложение было повторено в феврале 2021 года на восемьдесят третьей сессии Комитета по внутреннему транспорту, который принял его к сведению и просил WP.5 продолжать деятельность по введению в действие ЕАТС и представить Комитету по внутреннему транспорту (КВТ) доклад по этому вопросу. </w:t>
      </w:r>
      <w:r w:rsidRPr="00C8102A">
        <w:rPr>
          <w:rFonts w:cs="Times New Roman"/>
          <w:szCs w:val="20"/>
        </w:rPr>
        <w:lastRenderedPageBreak/>
        <w:t>На</w:t>
      </w:r>
      <w:r w:rsidR="00017306">
        <w:rPr>
          <w:rFonts w:cs="Times New Roman"/>
          <w:szCs w:val="20"/>
          <w:lang w:val="fr-CH"/>
        </w:rPr>
        <w:t> </w:t>
      </w:r>
      <w:r w:rsidRPr="00C8102A">
        <w:rPr>
          <w:rFonts w:cs="Times New Roman"/>
          <w:szCs w:val="20"/>
        </w:rPr>
        <w:t>тридцать четвертой сессии WP.5 в сентябре 2021 года представители Азербайджана и Грузии выступили по этому пункту повестки дня и подтвердили свою заинтересованность в реализации такой инициативы, направленной на разработку механизма обзора координации и эффективности коридоров на маршруте № 3 ЕАТС вместе с правительствами трех других стран при поддержке секретариата.</w:t>
      </w:r>
    </w:p>
    <w:p w14:paraId="49B8B3A5" w14:textId="77777777" w:rsidR="0017080B" w:rsidRPr="00C8102A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C8102A">
        <w:rPr>
          <w:rFonts w:cs="Times New Roman"/>
          <w:szCs w:val="20"/>
        </w:rPr>
        <w:t>5.</w:t>
      </w:r>
      <w:r w:rsidRPr="00C8102A">
        <w:rPr>
          <w:rFonts w:cs="Times New Roman"/>
          <w:szCs w:val="20"/>
        </w:rPr>
        <w:tab/>
        <w:t>WP.5 приняла к сведению поддерживаемые секретариатом усилия по выполнению предоставленного КВТ мандата на введение в действие международных коридоров и улучшение межрегионально</w:t>
      </w:r>
      <w:r>
        <w:rPr>
          <w:rFonts w:cs="Times New Roman"/>
          <w:szCs w:val="20"/>
        </w:rPr>
        <w:t>й</w:t>
      </w:r>
      <w:r w:rsidRPr="00C8102A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связности</w:t>
      </w:r>
      <w:r w:rsidRPr="00C8102A">
        <w:rPr>
          <w:rFonts w:cs="Times New Roman"/>
          <w:szCs w:val="20"/>
        </w:rPr>
        <w:t>. В этой связи WP.5 предложила правительствам пяти стран представить на предстоящей тридцать пятой сессии Рабочей группы в сентябре 2022 года доклад о ходе работы.</w:t>
      </w:r>
    </w:p>
    <w:p w14:paraId="4DD0AF29" w14:textId="77777777" w:rsidR="0017080B" w:rsidRPr="00C8102A" w:rsidRDefault="0017080B" w:rsidP="0017080B">
      <w:pPr>
        <w:keepNext/>
        <w:keepLines/>
        <w:tabs>
          <w:tab w:val="right" w:pos="851"/>
        </w:tabs>
        <w:spacing w:before="240" w:after="120" w:line="240" w:lineRule="exact"/>
        <w:ind w:left="1134" w:right="1134" w:hanging="1134"/>
        <w:rPr>
          <w:rFonts w:eastAsia="Times New Roman" w:cs="Times New Roman"/>
          <w:b/>
          <w:szCs w:val="20"/>
        </w:rPr>
      </w:pPr>
      <w:r w:rsidRPr="00C8102A">
        <w:rPr>
          <w:rFonts w:cs="Times New Roman"/>
          <w:b/>
          <w:bCs/>
          <w:szCs w:val="20"/>
        </w:rPr>
        <w:tab/>
        <w:t>2.</w:t>
      </w:r>
      <w:r w:rsidRPr="00C8102A">
        <w:rPr>
          <w:rFonts w:cs="Times New Roman"/>
          <w:szCs w:val="20"/>
        </w:rPr>
        <w:tab/>
      </w:r>
      <w:r w:rsidRPr="00C8102A">
        <w:rPr>
          <w:rFonts w:cs="Times New Roman"/>
          <w:b/>
          <w:bCs/>
          <w:szCs w:val="20"/>
        </w:rPr>
        <w:t>Межрегиональн</w:t>
      </w:r>
      <w:r>
        <w:rPr>
          <w:rFonts w:cs="Times New Roman"/>
          <w:b/>
          <w:bCs/>
          <w:szCs w:val="20"/>
        </w:rPr>
        <w:t>ая</w:t>
      </w:r>
      <w:r w:rsidRPr="00C8102A">
        <w:rPr>
          <w:rFonts w:cs="Times New Roman"/>
          <w:b/>
          <w:bCs/>
          <w:szCs w:val="20"/>
        </w:rPr>
        <w:t xml:space="preserve"> транспортн</w:t>
      </w:r>
      <w:r>
        <w:rPr>
          <w:rFonts w:cs="Times New Roman"/>
          <w:b/>
          <w:bCs/>
          <w:szCs w:val="20"/>
        </w:rPr>
        <w:t>ая</w:t>
      </w:r>
      <w:r w:rsidRPr="00C8102A">
        <w:rPr>
          <w:rFonts w:cs="Times New Roman"/>
          <w:b/>
          <w:bCs/>
          <w:szCs w:val="20"/>
        </w:rPr>
        <w:t xml:space="preserve"> </w:t>
      </w:r>
      <w:r>
        <w:rPr>
          <w:rFonts w:cs="Times New Roman"/>
          <w:b/>
          <w:bCs/>
          <w:szCs w:val="20"/>
        </w:rPr>
        <w:t>связность</w:t>
      </w:r>
    </w:p>
    <w:p w14:paraId="59DC9926" w14:textId="07233097" w:rsidR="0017080B" w:rsidRPr="00896E71" w:rsidRDefault="0017080B" w:rsidP="00017306">
      <w:pPr>
        <w:pStyle w:val="SingleTxtG"/>
        <w:ind w:right="-1"/>
        <w:rPr>
          <w:b/>
          <w:bCs/>
          <w:lang w:val="en-GB" w:eastAsia="fr-FR"/>
        </w:rPr>
      </w:pPr>
      <w:r w:rsidRPr="00896E71">
        <w:rPr>
          <w:noProof/>
          <w:lang w:val="en-GB" w:eastAsia="fr-FR"/>
        </w:rPr>
        <w:drawing>
          <wp:inline distT="0" distB="0" distL="0" distR="0" wp14:anchorId="175E65FC" wp14:editId="1B7B3669">
            <wp:extent cx="1623060" cy="4787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688" cy="5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06">
        <w:rPr>
          <w:noProof/>
          <w:lang w:val="en-GB" w:eastAsia="fr-FR"/>
        </w:rPr>
        <w:t xml:space="preserve">    </w:t>
      </w:r>
      <w:r w:rsidRPr="00896E71">
        <w:rPr>
          <w:noProof/>
          <w:lang w:val="en-GB" w:eastAsia="fr-FR"/>
        </w:rPr>
        <w:drawing>
          <wp:inline distT="0" distB="0" distL="0" distR="0" wp14:anchorId="60E32705" wp14:editId="055CD299">
            <wp:extent cx="1669369" cy="6191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027" cy="63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06">
        <w:rPr>
          <w:noProof/>
          <w:lang w:val="en-GB" w:eastAsia="fr-FR"/>
        </w:rPr>
        <w:t xml:space="preserve">    </w:t>
      </w:r>
      <w:r w:rsidRPr="00896E71">
        <w:rPr>
          <w:noProof/>
          <w:lang w:val="en-GB" w:eastAsia="fr-FR"/>
        </w:rPr>
        <w:drawing>
          <wp:inline distT="0" distB="0" distL="0" distR="0" wp14:anchorId="5507DAA6" wp14:editId="295BEC72">
            <wp:extent cx="1466850" cy="5221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5244" cy="5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3E29" w14:textId="4FD83B56" w:rsidR="0017080B" w:rsidRPr="00896E71" w:rsidRDefault="0017080B" w:rsidP="00017306">
      <w:pPr>
        <w:pStyle w:val="SingleTxtG"/>
        <w:rPr>
          <w:b/>
          <w:bCs/>
          <w:lang w:val="en-GB" w:eastAsia="fr-FR"/>
        </w:rPr>
      </w:pPr>
      <w:r w:rsidRPr="00896E71">
        <w:rPr>
          <w:noProof/>
          <w:lang w:val="en-GB" w:eastAsia="fr-FR"/>
        </w:rPr>
        <w:drawing>
          <wp:inline distT="0" distB="0" distL="0" distR="0" wp14:anchorId="468A9899" wp14:editId="4E0CEE7D">
            <wp:extent cx="3922204" cy="152876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6592" cy="16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B8A9" w14:textId="111A5951" w:rsidR="0017080B" w:rsidRPr="00874A58" w:rsidRDefault="0017080B" w:rsidP="00017306">
      <w:pPr>
        <w:spacing w:after="120"/>
        <w:ind w:left="2268" w:right="1134"/>
        <w:rPr>
          <w:rFonts w:eastAsia="Times New Roman" w:cs="Times New Roman"/>
          <w:szCs w:val="20"/>
          <w:lang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61260122" wp14:editId="0A065962">
            <wp:extent cx="733425" cy="12658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791" cy="13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06">
        <w:rPr>
          <w:rFonts w:eastAsia="Times New Roman" w:cs="Times New Roman"/>
          <w:noProof/>
          <w:szCs w:val="20"/>
          <w:lang w:val="en-GB" w:eastAsia="fr-FR"/>
        </w:rPr>
        <w:t xml:space="preserve">      </w:t>
      </w: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309FCAE3" wp14:editId="7D372879">
            <wp:extent cx="981075" cy="1232231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3737" cy="12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F859" w14:textId="77777777" w:rsidR="0017080B" w:rsidRPr="00C8102A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C8102A">
        <w:rPr>
          <w:rFonts w:cs="Times New Roman"/>
          <w:szCs w:val="20"/>
        </w:rPr>
        <w:t>6.</w:t>
      </w:r>
      <w:r w:rsidRPr="00C8102A">
        <w:rPr>
          <w:rFonts w:cs="Times New Roman"/>
          <w:szCs w:val="20"/>
        </w:rPr>
        <w:tab/>
        <w:t>В рамках тридцать четвертой сессии WP.5 секретариат организовал обсуждение вопроса о межрегионально</w:t>
      </w:r>
      <w:r>
        <w:rPr>
          <w:rFonts w:cs="Times New Roman"/>
          <w:szCs w:val="20"/>
        </w:rPr>
        <w:t>й связности</w:t>
      </w:r>
      <w:r w:rsidRPr="00C8102A">
        <w:rPr>
          <w:rFonts w:cs="Times New Roman"/>
          <w:szCs w:val="20"/>
        </w:rPr>
        <w:t>, в котором приняли участие представители всех пяти региональных комиссий Организации Объединенных Наций (ЕЭК, ЭКА, ЭСКАТО, ЭКЛАК и ЭСКЗА), а также следующих государств — членов Организации Объединенных Наций: Азербайджана, Египта, Турции, Российской Федерации и Парагвая. Выступления были посвящены национальным и региональным усилиям по укреплению межрегионально</w:t>
      </w:r>
      <w:r>
        <w:rPr>
          <w:rFonts w:cs="Times New Roman"/>
          <w:szCs w:val="20"/>
        </w:rPr>
        <w:t>й</w:t>
      </w:r>
      <w:r w:rsidRPr="00C8102A">
        <w:rPr>
          <w:rFonts w:cs="Times New Roman"/>
          <w:szCs w:val="20"/>
        </w:rPr>
        <w:t xml:space="preserve"> транспортно</w:t>
      </w:r>
      <w:r>
        <w:rPr>
          <w:rFonts w:cs="Times New Roman"/>
          <w:szCs w:val="20"/>
        </w:rPr>
        <w:t>й</w:t>
      </w:r>
      <w:r w:rsidRPr="00C8102A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связности</w:t>
      </w:r>
      <w:r w:rsidRPr="00C8102A">
        <w:rPr>
          <w:rFonts w:cs="Times New Roman"/>
          <w:szCs w:val="20"/>
        </w:rPr>
        <w:t xml:space="preserve">. В частности, представитель Азербайджана рассказал об усилиях своего правительства по содействию </w:t>
      </w:r>
      <w:r>
        <w:rPr>
          <w:rFonts w:cs="Times New Roman"/>
          <w:szCs w:val="20"/>
        </w:rPr>
        <w:t>связности</w:t>
      </w:r>
      <w:r w:rsidRPr="00C8102A">
        <w:rPr>
          <w:rFonts w:cs="Times New Roman"/>
          <w:szCs w:val="20"/>
        </w:rPr>
        <w:t xml:space="preserve"> между Европой и Азией, в том числе посредством реализации намеченных проектов в области инфраструктуры автомобильного и железнодорожного транспорта (например, Баку — Тбилиси — Карс) и создания Координационного совета по транзитным грузовым перевозкам. Представитель Египта рассказал о роли своей страны как транспортного узла, соединяющего страны африканского континента с запада на восток вдоль средиземноморского побережья и с севера на юг. Представитель Турции предоставил информацию о подходе его страны, ориентированном на коридоры, с упором на инфраструктурные проекты, направленные на восстановление недостающих звеньев, устранение узких мест на пунктах пересечения границ, улучшение нефизической функциональной совместимости, а также на цифровизацию. Представитель Парагвая остановился на усилиях правительства его страны и ЭКЛАК по развитию транспортного коридора двух океанов, соединяющего морские порты Атлантического и Тихого океанов. Представитель Российской Федерации рассказал о роли и вкладе Дирекции международных транспортных коридоров (некоммерческая </w:t>
      </w:r>
      <w:r w:rsidRPr="00C8102A">
        <w:rPr>
          <w:rFonts w:cs="Times New Roman"/>
          <w:szCs w:val="20"/>
        </w:rPr>
        <w:lastRenderedPageBreak/>
        <w:t>организация) в области оказания федеральным органам исполнительной власти, институтам развития и предприятиям экспертно-аналитической и информационной поддержки по вопросам развития и эффективного использования международных транспортных коридоров.</w:t>
      </w:r>
    </w:p>
    <w:p w14:paraId="01BD36B8" w14:textId="0D58B56C" w:rsidR="0017080B" w:rsidRPr="00C8102A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C8102A">
        <w:rPr>
          <w:rFonts w:cs="Times New Roman"/>
          <w:szCs w:val="20"/>
        </w:rPr>
        <w:t>7.</w:t>
      </w:r>
      <w:r w:rsidRPr="00C8102A">
        <w:rPr>
          <w:rFonts w:cs="Times New Roman"/>
          <w:szCs w:val="20"/>
        </w:rPr>
        <w:tab/>
        <w:t>WP.5 приветствовала проводимые межрегиональные консультации по устойчиво</w:t>
      </w:r>
      <w:r>
        <w:rPr>
          <w:rFonts w:cs="Times New Roman"/>
          <w:szCs w:val="20"/>
        </w:rPr>
        <w:t>й</w:t>
      </w:r>
      <w:r w:rsidRPr="00C8102A">
        <w:rPr>
          <w:rFonts w:cs="Times New Roman"/>
          <w:szCs w:val="20"/>
        </w:rPr>
        <w:t xml:space="preserve"> транспортно</w:t>
      </w:r>
      <w:r>
        <w:rPr>
          <w:rFonts w:cs="Times New Roman"/>
          <w:szCs w:val="20"/>
        </w:rPr>
        <w:t>й связности</w:t>
      </w:r>
      <w:r w:rsidRPr="00C8102A">
        <w:rPr>
          <w:rFonts w:cs="Times New Roman"/>
          <w:szCs w:val="20"/>
        </w:rPr>
        <w:t xml:space="preserve">, которые способствуют реализации </w:t>
      </w:r>
      <w:r w:rsidR="004F7971">
        <w:rPr>
          <w:rFonts w:cs="Times New Roman"/>
          <w:szCs w:val="20"/>
        </w:rPr>
        <w:br/>
      </w:r>
      <w:r w:rsidRPr="00C8102A">
        <w:rPr>
          <w:rFonts w:cs="Times New Roman"/>
          <w:szCs w:val="20"/>
        </w:rPr>
        <w:t>стратегии КВТ, в частности ее компонента, касающегося межрегионально</w:t>
      </w:r>
      <w:r>
        <w:rPr>
          <w:rFonts w:cs="Times New Roman"/>
          <w:szCs w:val="20"/>
        </w:rPr>
        <w:t>й</w:t>
      </w:r>
      <w:r w:rsidRPr="00C8102A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связности</w:t>
      </w:r>
      <w:r w:rsidRPr="00C8102A">
        <w:rPr>
          <w:rFonts w:cs="Times New Roman"/>
          <w:szCs w:val="20"/>
        </w:rPr>
        <w:t xml:space="preserve">. </w:t>
      </w:r>
      <w:r w:rsidR="004F7971">
        <w:rPr>
          <w:rFonts w:cs="Times New Roman"/>
          <w:szCs w:val="20"/>
        </w:rPr>
        <w:br/>
      </w:r>
      <w:r w:rsidRPr="00C8102A">
        <w:rPr>
          <w:rFonts w:cs="Times New Roman"/>
          <w:szCs w:val="20"/>
        </w:rPr>
        <w:t>WP.5 также предложила секретариату продолжать проведение и содействие проведению таких консультаций по целевым темам, представляющим межрегиональный интерес, по возможности в сотрудничестве с другими региональными комиссиями Организации Объединенных Наций, а также другими региональными/</w:t>
      </w:r>
      <w:r w:rsidR="00301D28" w:rsidRPr="00301D28">
        <w:rPr>
          <w:rFonts w:cs="Times New Roman"/>
          <w:szCs w:val="20"/>
        </w:rPr>
        <w:t xml:space="preserve"> </w:t>
      </w:r>
      <w:r w:rsidRPr="00C8102A">
        <w:rPr>
          <w:rFonts w:cs="Times New Roman"/>
          <w:szCs w:val="20"/>
        </w:rPr>
        <w:t>межрегиональными организациями и соответствующими проектами.</w:t>
      </w:r>
    </w:p>
    <w:p w14:paraId="52E8CFCA" w14:textId="6B9DD85C" w:rsidR="0017080B" w:rsidRPr="00C8102A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C8102A">
        <w:rPr>
          <w:rFonts w:cs="Times New Roman"/>
          <w:szCs w:val="20"/>
        </w:rPr>
        <w:t>8.</w:t>
      </w:r>
      <w:r w:rsidRPr="00C8102A">
        <w:rPr>
          <w:rFonts w:cs="Times New Roman"/>
          <w:szCs w:val="20"/>
        </w:rPr>
        <w:tab/>
        <w:t>Все выступления по данному пункту повестки дня размещены на веб-сайте тридцать четвертой сессии WP.5</w:t>
      </w:r>
      <w:r w:rsidR="00301D28" w:rsidRPr="00301D28">
        <w:rPr>
          <w:rFonts w:cs="Times New Roman"/>
          <w:szCs w:val="20"/>
        </w:rPr>
        <w:t xml:space="preserve"> </w:t>
      </w:r>
      <w:r w:rsidR="00301D28" w:rsidRPr="00F96046">
        <w:rPr>
          <w:rStyle w:val="af1"/>
          <w:rFonts w:asciiTheme="majorBidi" w:hAnsiTheme="majorBidi" w:cstheme="majorBidi"/>
        </w:rPr>
        <w:t>unece.org/transport/events/wp5-working-party-transport-trends-and-economics-34th-session</w:t>
      </w:r>
      <w:r w:rsidRPr="00C8102A">
        <w:rPr>
          <w:rFonts w:cs="Times New Roman"/>
          <w:szCs w:val="20"/>
        </w:rPr>
        <w:t>.</w:t>
      </w:r>
    </w:p>
    <w:p w14:paraId="487852E6" w14:textId="77777777" w:rsidR="0017080B" w:rsidRPr="000E2337" w:rsidRDefault="0017080B" w:rsidP="004F7971">
      <w:pPr>
        <w:pStyle w:val="H1G"/>
        <w:spacing w:before="240"/>
        <w:rPr>
          <w:rFonts w:eastAsia="SimSun"/>
        </w:rPr>
      </w:pPr>
      <w:r>
        <w:tab/>
      </w:r>
      <w:r w:rsidRPr="000E2337">
        <w:t>B.</w:t>
      </w:r>
      <w:r w:rsidRPr="000E2337">
        <w:tab/>
        <w:t>Транспорт и изменение климата</w:t>
      </w:r>
    </w:p>
    <w:p w14:paraId="4B111C38" w14:textId="7D3B2839" w:rsidR="0017080B" w:rsidRPr="00630D03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630D03">
        <w:rPr>
          <w:rFonts w:cs="Times New Roman"/>
          <w:szCs w:val="20"/>
        </w:rPr>
        <w:t>9.</w:t>
      </w:r>
      <w:r w:rsidRPr="00630D03">
        <w:rPr>
          <w:rFonts w:cs="Times New Roman"/>
          <w:szCs w:val="20"/>
        </w:rPr>
        <w:tab/>
        <w:t>В 2020 году начала свою деятельность Группа экспертов по оценке последствий изменения климата для внутреннего транспорта и адаптации к ним, которая, работая под эгидой WP.5, уделяет основное внимание: a)</w:t>
      </w:r>
      <w:r>
        <w:rPr>
          <w:rFonts w:cs="Times New Roman"/>
          <w:szCs w:val="20"/>
        </w:rPr>
        <w:t> </w:t>
      </w:r>
      <w:r w:rsidRPr="00630D03">
        <w:rPr>
          <w:rFonts w:cs="Times New Roman"/>
          <w:szCs w:val="20"/>
        </w:rPr>
        <w:t>повышению осведомленности, наращиванию потенциала и обобщению знаний, накопленных странами и научным сообществом, в области оценки последствий изменения климата для транспорта и адаптации к ним и b)</w:t>
      </w:r>
      <w:r>
        <w:rPr>
          <w:rFonts w:cs="Times New Roman"/>
          <w:szCs w:val="20"/>
        </w:rPr>
        <w:t> </w:t>
      </w:r>
      <w:r w:rsidRPr="00630D03">
        <w:rPr>
          <w:rFonts w:cs="Times New Roman"/>
          <w:szCs w:val="20"/>
        </w:rPr>
        <w:t xml:space="preserve">дальнейшему повышению уровня знаний и углублению анализа в области последствий изменения климата для внутреннего транспорта, а также выявлению подходящих и эффективных с точки зрения затрат мер по адаптации. </w:t>
      </w:r>
      <w:r w:rsidR="00647F1E">
        <w:rPr>
          <w:rFonts w:cs="Times New Roman"/>
          <w:szCs w:val="20"/>
        </w:rPr>
        <w:br/>
      </w:r>
      <w:r w:rsidRPr="00630D03">
        <w:rPr>
          <w:rFonts w:cs="Times New Roman"/>
          <w:szCs w:val="20"/>
        </w:rPr>
        <w:t>Эта работа является продолжением и дальнейшим расширением деятельности предыдущей Группы экспертов, которая представила результаты своей работы в докладе, размещенном по адресу</w:t>
      </w:r>
      <w:r w:rsidR="004F7971" w:rsidRPr="004F7971">
        <w:rPr>
          <w:rFonts w:cs="Times New Roman"/>
          <w:szCs w:val="20"/>
        </w:rPr>
        <w:t xml:space="preserve"> </w:t>
      </w:r>
      <w:hyperlink r:id="rId15" w:history="1">
        <w:r w:rsidR="004F7971" w:rsidRPr="00E73945">
          <w:rPr>
            <w:rStyle w:val="af1"/>
            <w:rFonts w:asciiTheme="majorBidi" w:hAnsiTheme="majorBidi" w:cstheme="majorBidi"/>
          </w:rPr>
          <w:t>https://unece.org/transport/publications/climate-change-impacts-and-adaptation-international-transport-networks-0</w:t>
        </w:r>
      </w:hyperlink>
      <w:r w:rsidRPr="00630D03">
        <w:rPr>
          <w:rFonts w:cs="Times New Roman"/>
          <w:szCs w:val="20"/>
        </w:rPr>
        <w:t>.</w:t>
      </w:r>
    </w:p>
    <w:tbl>
      <w:tblPr>
        <w:tblStyle w:val="ac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42"/>
      </w:tblGrid>
      <w:tr w:rsidR="0017080B" w:rsidRPr="00896E71" w14:paraId="1F701ECE" w14:textId="77777777" w:rsidTr="004F7971">
        <w:tc>
          <w:tcPr>
            <w:tcW w:w="5103" w:type="dxa"/>
          </w:tcPr>
          <w:p w14:paraId="6A7461F0" w14:textId="77777777" w:rsidR="0017080B" w:rsidRPr="00896E71" w:rsidRDefault="0017080B" w:rsidP="00CA0FD5">
            <w:pPr>
              <w:ind w:left="851"/>
              <w:rPr>
                <w:rFonts w:eastAsia="SimSun"/>
              </w:rPr>
            </w:pPr>
            <w:r w:rsidRPr="00896E71">
              <w:t>Карта I</w:t>
            </w:r>
          </w:p>
        </w:tc>
        <w:tc>
          <w:tcPr>
            <w:tcW w:w="4242" w:type="dxa"/>
          </w:tcPr>
          <w:p w14:paraId="0DDE2CFA" w14:textId="77777777" w:rsidR="0017080B" w:rsidRPr="00896E71" w:rsidRDefault="0017080B" w:rsidP="004F7971">
            <w:pPr>
              <w:rPr>
                <w:rFonts w:eastAsia="SimSun"/>
              </w:rPr>
            </w:pPr>
            <w:r w:rsidRPr="00896E71">
              <w:t>Карта II</w:t>
            </w:r>
          </w:p>
        </w:tc>
      </w:tr>
      <w:tr w:rsidR="0017080B" w:rsidRPr="00A66DDF" w14:paraId="681E06CE" w14:textId="77777777" w:rsidTr="004F7971">
        <w:tc>
          <w:tcPr>
            <w:tcW w:w="5103" w:type="dxa"/>
          </w:tcPr>
          <w:p w14:paraId="2B5A9037" w14:textId="5916A99C" w:rsidR="0017080B" w:rsidRPr="00896E71" w:rsidRDefault="0017080B" w:rsidP="00CA0FD5">
            <w:pPr>
              <w:ind w:left="851"/>
              <w:rPr>
                <w:rFonts w:eastAsia="SimSun"/>
              </w:rPr>
            </w:pPr>
            <w:r w:rsidRPr="00896E71">
              <w:rPr>
                <w:b/>
                <w:bCs/>
              </w:rPr>
              <w:t xml:space="preserve">Изменение индекса продолжительности </w:t>
            </w:r>
            <w:r w:rsidR="004F7971">
              <w:rPr>
                <w:b/>
                <w:bCs/>
              </w:rPr>
              <w:br/>
            </w:r>
            <w:r w:rsidRPr="00896E71">
              <w:rPr>
                <w:b/>
                <w:bCs/>
              </w:rPr>
              <w:t xml:space="preserve">жарких периодов (WSDI) согласно </w:t>
            </w:r>
            <w:r w:rsidR="004F7971">
              <w:rPr>
                <w:b/>
                <w:bCs/>
              </w:rPr>
              <w:br/>
            </w:r>
            <w:r w:rsidRPr="00896E71">
              <w:rPr>
                <w:b/>
                <w:bCs/>
              </w:rPr>
              <w:t xml:space="preserve">сценариям а) РТК8.5 и b) РТК2.6 в период </w:t>
            </w:r>
            <w:r w:rsidR="004F7971">
              <w:rPr>
                <w:b/>
                <w:bCs/>
              </w:rPr>
              <w:br/>
            </w:r>
            <w:r w:rsidRPr="00896E71">
              <w:rPr>
                <w:b/>
                <w:bCs/>
              </w:rPr>
              <w:t>2051–2080 годов по отношению к базовому периоду 1971–2000 годов</w:t>
            </w:r>
          </w:p>
        </w:tc>
        <w:tc>
          <w:tcPr>
            <w:tcW w:w="4242" w:type="dxa"/>
          </w:tcPr>
          <w:p w14:paraId="4C5B5D7B" w14:textId="5575B098" w:rsidR="0017080B" w:rsidRPr="00896E71" w:rsidRDefault="0017080B" w:rsidP="004F7971">
            <w:pPr>
              <w:rPr>
                <w:rFonts w:eastAsia="SimSun"/>
                <w:b/>
                <w:bCs/>
              </w:rPr>
            </w:pPr>
            <w:r w:rsidRPr="00896E71">
              <w:rPr>
                <w:b/>
                <w:bCs/>
              </w:rPr>
              <w:t xml:space="preserve">Наложение сети автомобильных дорог категории «Е» на карту I позволяет </w:t>
            </w:r>
            <w:r w:rsidR="004F7971">
              <w:rPr>
                <w:b/>
                <w:bCs/>
              </w:rPr>
              <w:br/>
            </w:r>
            <w:r w:rsidRPr="00896E71">
              <w:rPr>
                <w:b/>
                <w:bCs/>
              </w:rPr>
              <w:t>определить маршруты, подверженные последствиям изменения климата</w:t>
            </w:r>
          </w:p>
        </w:tc>
      </w:tr>
    </w:tbl>
    <w:p w14:paraId="62F805D8" w14:textId="77777777" w:rsidR="0017080B" w:rsidRPr="00896E71" w:rsidRDefault="0017080B" w:rsidP="004F7971">
      <w:pPr>
        <w:spacing w:line="140" w:lineRule="exact"/>
        <w:rPr>
          <w:rFonts w:eastAsia="SimSun" w:cs="Times New Roman"/>
          <w:szCs w:val="20"/>
        </w:rPr>
      </w:pPr>
    </w:p>
    <w:p w14:paraId="600516B8" w14:textId="77777777" w:rsidR="0017080B" w:rsidRPr="00896E71" w:rsidRDefault="0017080B" w:rsidP="004F7971">
      <w:pPr>
        <w:ind w:left="567"/>
        <w:jc w:val="right"/>
        <w:rPr>
          <w:rFonts w:eastAsia="SimSun" w:cs="Times New Roman"/>
          <w:b/>
          <w:bCs/>
          <w:sz w:val="28"/>
          <w:szCs w:val="28"/>
          <w:lang w:val="en-GB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4818AB22" wp14:editId="4C1FBEE5">
            <wp:extent cx="2708275" cy="2642224"/>
            <wp:effectExtent l="0" t="0" r="0" b="6350"/>
            <wp:docPr id="1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D59FCEA-5BB4-4705-A907-4E679CA71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D59FCEA-5BB4-4705-A907-4E679CA714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2178" cy="26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01FCCCA6" wp14:editId="3F6B7361">
            <wp:extent cx="2720024" cy="2647524"/>
            <wp:effectExtent l="0" t="0" r="4445" b="635"/>
            <wp:docPr id="2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FC82090-506E-456A-A1ED-02E919E3BD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FC82090-506E-456A-A1ED-02E919E3BD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6844" cy="26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7639" w14:textId="77777777" w:rsidR="0017080B" w:rsidRPr="00EA4711" w:rsidRDefault="0017080B" w:rsidP="00647F1E">
      <w:pPr>
        <w:keepNext/>
        <w:keepLines/>
        <w:spacing w:before="120" w:after="120" w:line="220" w:lineRule="exact"/>
        <w:ind w:left="1134" w:right="1134" w:firstLine="170"/>
        <w:rPr>
          <w:rFonts w:eastAsia="Times New Roman" w:cs="Times New Roman"/>
          <w:sz w:val="18"/>
          <w:szCs w:val="18"/>
        </w:rPr>
      </w:pPr>
      <w:r w:rsidRPr="00EA4711">
        <w:rPr>
          <w:rFonts w:cs="Times New Roman"/>
          <w:i/>
          <w:iCs/>
          <w:sz w:val="18"/>
          <w:szCs w:val="18"/>
        </w:rPr>
        <w:lastRenderedPageBreak/>
        <w:t>Источник</w:t>
      </w:r>
      <w:r w:rsidRPr="00EA4711">
        <w:rPr>
          <w:rFonts w:cs="Times New Roman"/>
          <w:sz w:val="18"/>
          <w:szCs w:val="18"/>
        </w:rPr>
        <w:t>: ЕЭК.</w:t>
      </w:r>
    </w:p>
    <w:p w14:paraId="09D53955" w14:textId="77777777" w:rsidR="0017080B" w:rsidRPr="00630D03" w:rsidRDefault="0017080B" w:rsidP="004F7971">
      <w:pPr>
        <w:pageBreakBefore/>
        <w:spacing w:after="120"/>
        <w:ind w:left="1134" w:right="1134"/>
        <w:jc w:val="both"/>
        <w:rPr>
          <w:rFonts w:cs="Times New Roman"/>
          <w:szCs w:val="20"/>
        </w:rPr>
      </w:pPr>
      <w:r w:rsidRPr="00630D03">
        <w:rPr>
          <w:rFonts w:cs="Times New Roman"/>
          <w:szCs w:val="20"/>
        </w:rPr>
        <w:t>10.</w:t>
      </w:r>
      <w:r w:rsidRPr="00630D03">
        <w:rPr>
          <w:rFonts w:cs="Times New Roman"/>
          <w:szCs w:val="20"/>
        </w:rPr>
        <w:tab/>
        <w:t>Для успешного выполнения своих основных задач Группа экспертов работает над конкретными темами. Она обсуждает воздействия изменения климата на транспорт, представляющие интерес для специалистов в области транспорта, чтобы она могла подготовить специальный анализ этих воздействий для региона ЕЭК и несколько более подробных анализов для отдельных транспортных коридоров в регионе ЕЭК. Кроме того, она рассматривает вопросы, касающиеся сбора информации об убытках и затратах, вызванных перерывами в работе, а также о косвенных затратах в результате экстремальных погодных явлений, которые повлияли на транспортную инфраструктуру или перевозки. Группа также хотела бы использовать этот анализ затрат для подготовки технико-экономического обоснования адаптации транспорта к изменению климата. Кроме того, Группа изучает возможности и потребности в области создания базы данных по мерам адаптации.</w:t>
      </w:r>
    </w:p>
    <w:p w14:paraId="54053670" w14:textId="60AF35D9" w:rsidR="0017080B" w:rsidRPr="00896E71" w:rsidRDefault="0017080B" w:rsidP="0017080B">
      <w:pPr>
        <w:spacing w:after="120"/>
        <w:jc w:val="center"/>
        <w:rPr>
          <w:rFonts w:eastAsia="Times New Roman" w:cs="Times New Roman"/>
          <w:szCs w:val="20"/>
          <w:lang w:val="en-GB"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70BE68B5" wp14:editId="72E89B13">
            <wp:extent cx="1974655" cy="628650"/>
            <wp:effectExtent l="0" t="0" r="698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5800" cy="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711">
        <w:rPr>
          <w:rFonts w:eastAsia="Times New Roman" w:cs="Times New Roman"/>
          <w:noProof/>
          <w:szCs w:val="20"/>
          <w:lang w:val="en-GB" w:eastAsia="fr-FR"/>
        </w:rPr>
        <w:t xml:space="preserve">  </w:t>
      </w: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1DE2D0F6" wp14:editId="21773CF1">
            <wp:extent cx="1669369" cy="6191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027" cy="63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483E" w14:textId="1ECC3974" w:rsidR="0017080B" w:rsidRPr="00630D03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630D03">
        <w:rPr>
          <w:rFonts w:cs="Times New Roman"/>
          <w:szCs w:val="20"/>
        </w:rPr>
        <w:t>11.</w:t>
      </w:r>
      <w:r w:rsidRPr="00630D03">
        <w:rPr>
          <w:rFonts w:cs="Times New Roman"/>
          <w:szCs w:val="20"/>
        </w:rPr>
        <w:tab/>
        <w:t>Группа также оказывает своим членам поддержку в организации конференций для повышения осведомленности о необходимости адаптации транспорта к изменению климата. Такая конференция для стран Восточной Европы, Кавказа и Центральной Азии прошла 15 и 16 ноября 2021 года в Москве под эгидой РОСДОРНИИ</w:t>
      </w:r>
      <w:r w:rsidR="00EA4711" w:rsidRPr="00EA4711">
        <w:rPr>
          <w:rFonts w:cs="Times New Roman"/>
          <w:szCs w:val="20"/>
        </w:rPr>
        <w:t xml:space="preserve"> </w:t>
      </w:r>
      <w:r w:rsidRPr="00630D03">
        <w:rPr>
          <w:rFonts w:cs="Times New Roman"/>
          <w:szCs w:val="20"/>
        </w:rPr>
        <w:t xml:space="preserve">— Российского дорожного научно-исследовательского института. Конференция способствовала обмену знаниями и пропаганде деятельности по анализу будущего воздействия изменения климата на транспорт. В ней приняли участие более 150 участников, которые присоединились к ней лично или через платформу </w:t>
      </w:r>
      <w:r w:rsidR="00EA4711">
        <w:rPr>
          <w:rFonts w:cs="Times New Roman"/>
          <w:szCs w:val="20"/>
        </w:rPr>
        <w:br/>
      </w:r>
      <w:r w:rsidRPr="00630D03">
        <w:rPr>
          <w:rFonts w:cs="Times New Roman"/>
          <w:szCs w:val="20"/>
        </w:rPr>
        <w:t>онлайн-конференций.</w:t>
      </w:r>
    </w:p>
    <w:p w14:paraId="770E5F64" w14:textId="68E59253" w:rsidR="0017080B" w:rsidRPr="00630D03" w:rsidRDefault="0017080B" w:rsidP="00EA4711">
      <w:pPr>
        <w:pStyle w:val="H1G"/>
        <w:rPr>
          <w:rFonts w:eastAsia="SimSun"/>
        </w:rPr>
      </w:pPr>
      <w:r>
        <w:tab/>
      </w:r>
      <w:r w:rsidRPr="00630D03">
        <w:t>C.</w:t>
      </w:r>
      <w:r w:rsidRPr="00630D03">
        <w:tab/>
        <w:t>Устойчивая городская мобильность, общественный транспорт и</w:t>
      </w:r>
      <w:r w:rsidR="00EA4711">
        <w:rPr>
          <w:lang w:val="fr-CH"/>
        </w:rPr>
        <w:t> </w:t>
      </w:r>
      <w:r w:rsidRPr="00630D03">
        <w:t>велосипедное движение</w:t>
      </w:r>
    </w:p>
    <w:p w14:paraId="7D6E7C9B" w14:textId="77777777" w:rsidR="0017080B" w:rsidRPr="00630D03" w:rsidRDefault="0017080B" w:rsidP="00EA4711">
      <w:pPr>
        <w:pStyle w:val="H23G"/>
        <w:rPr>
          <w:rFonts w:eastAsia="SimSun"/>
        </w:rPr>
      </w:pPr>
      <w:r>
        <w:tab/>
      </w:r>
      <w:r w:rsidRPr="00630D03">
        <w:t>1.</w:t>
      </w:r>
      <w:r w:rsidRPr="00630D03">
        <w:tab/>
        <w:t xml:space="preserve">Принятие </w:t>
      </w:r>
      <w:r>
        <w:t>Общеевропейского генерального плана для велосипедного движения</w:t>
      </w:r>
      <w:r w:rsidRPr="00630D03">
        <w:t xml:space="preserve"> ОПТОСОЗ: инфраструктурный модуль</w:t>
      </w:r>
    </w:p>
    <w:p w14:paraId="12AF3B20" w14:textId="77777777" w:rsidR="0017080B" w:rsidRPr="00896E71" w:rsidRDefault="0017080B" w:rsidP="00EA4711">
      <w:pPr>
        <w:spacing w:after="120"/>
        <w:jc w:val="right"/>
        <w:rPr>
          <w:rFonts w:eastAsia="SimSun" w:cs="Times New Roman"/>
          <w:szCs w:val="20"/>
          <w:lang w:val="en-GB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7669BFA4" wp14:editId="0D43776B">
            <wp:extent cx="5915550" cy="5715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7032" cy="5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F4FE" w14:textId="77777777" w:rsidR="0017080B" w:rsidRPr="00AD7A90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12.</w:t>
      </w:r>
      <w:r w:rsidRPr="00AD7A90">
        <w:rPr>
          <w:rFonts w:cs="Times New Roman"/>
          <w:szCs w:val="20"/>
        </w:rPr>
        <w:tab/>
        <w:t xml:space="preserve">На тридцать четвертой сессии WP.5 секретариат и Председатель Общеевропейской программы по транспорту, окружающей среде и охране здоровья (ОПТОСОЗ) сообщили о принятии </w:t>
      </w:r>
      <w:r>
        <w:rPr>
          <w:rFonts w:cs="Times New Roman"/>
          <w:szCs w:val="20"/>
        </w:rPr>
        <w:t>Общеевропейского генерального плана для велосипедного движения</w:t>
      </w:r>
      <w:r w:rsidRPr="00AD7A90">
        <w:rPr>
          <w:rFonts w:cs="Times New Roman"/>
          <w:szCs w:val="20"/>
        </w:rPr>
        <w:t xml:space="preserve"> ОПТОСОЗ на Министерском совещании высокого уровня ОПТОСОЗ, проведенном в мае 2021 года в Вене и разъяснившем роль, которую инфраструктурный модуль для велосипедного движения будет играть в реализации </w:t>
      </w:r>
      <w:r>
        <w:rPr>
          <w:rFonts w:cs="Times New Roman"/>
          <w:szCs w:val="20"/>
        </w:rPr>
        <w:t>Генерального</w:t>
      </w:r>
      <w:r w:rsidRPr="00AD7A90">
        <w:rPr>
          <w:rFonts w:cs="Times New Roman"/>
          <w:szCs w:val="20"/>
        </w:rPr>
        <w:t xml:space="preserve"> плана. В этой связи WP.5 получила обновленную информацию о работе, проделанной по инфраструктурному модулю в преддверии Министерского совещания высокого уровня ОПТОСОЗ.</w:t>
      </w:r>
    </w:p>
    <w:p w14:paraId="1972A139" w14:textId="77777777" w:rsidR="0017080B" w:rsidRPr="00AD7A9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AD7A90">
        <w:rPr>
          <w:rFonts w:cs="Times New Roman"/>
          <w:szCs w:val="20"/>
        </w:rPr>
        <w:t>13.</w:t>
      </w:r>
      <w:r w:rsidRPr="00AD7A90">
        <w:rPr>
          <w:rFonts w:cs="Times New Roman"/>
          <w:szCs w:val="20"/>
        </w:rPr>
        <w:tab/>
        <w:t>Далее секретариат представил предложение (содержащееся в приложении к докладу ECE/TRANS/WP.5/70 о работе тридцать четвертой сессии WP.5) в отношении мандата на 2022–2024 годы и круга ведения группы экспертов по разработке инфраструктурного модуля для велосипедного движения. Группа была предложена для того, чтобы систематизировать и ускорить работу над инфраструктурным модулем. WP.5 одобрила создание новой группы экспертов и утвердила круг ведения.</w:t>
      </w:r>
    </w:p>
    <w:p w14:paraId="5D9FBF3A" w14:textId="77777777" w:rsidR="0017080B" w:rsidRPr="00AD7A90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14.</w:t>
      </w:r>
      <w:r w:rsidRPr="00AD7A90">
        <w:rPr>
          <w:rFonts w:cs="Times New Roman"/>
          <w:szCs w:val="20"/>
        </w:rPr>
        <w:tab/>
        <w:t xml:space="preserve">Согласно кругу ведения группе экспертов по инфраструктурному модулю для велосипедного движения поручено содействовать разработке инфраструктурного модуля в тесной связи с Партнерством ОПТОСОЗ по стимулированию велосипедного </w:t>
      </w:r>
      <w:r w:rsidRPr="00AD7A90">
        <w:rPr>
          <w:rFonts w:cs="Times New Roman"/>
          <w:szCs w:val="20"/>
        </w:rPr>
        <w:lastRenderedPageBreak/>
        <w:t xml:space="preserve">движения/активной мобильности в качестве вклада в реализацию </w:t>
      </w:r>
      <w:r>
        <w:rPr>
          <w:rFonts w:cs="Times New Roman"/>
          <w:szCs w:val="20"/>
        </w:rPr>
        <w:t>Общеевропейского генерального плана для велосипедного движения</w:t>
      </w:r>
      <w:r w:rsidRPr="00AD7A90">
        <w:rPr>
          <w:rFonts w:cs="Times New Roman"/>
          <w:szCs w:val="20"/>
        </w:rPr>
        <w:t>.</w:t>
      </w:r>
    </w:p>
    <w:p w14:paraId="547804C3" w14:textId="77777777" w:rsidR="0017080B" w:rsidRPr="00AD7A90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15.</w:t>
      </w:r>
      <w:r w:rsidRPr="00AD7A90">
        <w:rPr>
          <w:rFonts w:cs="Times New Roman"/>
          <w:szCs w:val="20"/>
        </w:rPr>
        <w:tab/>
        <w:t>Мандат группы, предложенный на период 2022</w:t>
      </w:r>
      <w:r>
        <w:rPr>
          <w:rFonts w:cs="Times New Roman"/>
          <w:szCs w:val="20"/>
        </w:rPr>
        <w:t>–</w:t>
      </w:r>
      <w:r w:rsidRPr="00AD7A90">
        <w:rPr>
          <w:rFonts w:cs="Times New Roman"/>
          <w:szCs w:val="20"/>
        </w:rPr>
        <w:t>2024 годов, который будет одобрен КВТ на его восемьдесят четвертой ежегодной сессии, включает в себя задачи, направленные:</w:t>
      </w:r>
    </w:p>
    <w:p w14:paraId="1B5B8DE0" w14:textId="77777777" w:rsidR="0017080B" w:rsidRPr="00AD7A90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a)</w:t>
      </w:r>
      <w:r w:rsidRPr="00AD7A90">
        <w:rPr>
          <w:rFonts w:cs="Times New Roman"/>
          <w:szCs w:val="20"/>
        </w:rPr>
        <w:tab/>
        <w:t>на сбор данных о национальных велосипедных сетях, анализ данных и предложение маршрутов ЕЭК на основе национальных маршрутов, входящих в велосипедную сеть ЕЭК; и</w:t>
      </w:r>
    </w:p>
    <w:p w14:paraId="225E8678" w14:textId="31A95356" w:rsidR="0017080B" w:rsidRPr="00AD7A90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b)</w:t>
      </w:r>
      <w:r w:rsidRPr="00AD7A90">
        <w:rPr>
          <w:rFonts w:cs="Times New Roman"/>
          <w:szCs w:val="20"/>
        </w:rPr>
        <w:tab/>
        <w:t>разработку надлежащих определений для различных видов велосипедной инфраструктуры, а также новых дорожных знаков, которые</w:t>
      </w:r>
      <w:r w:rsidR="00EA4711" w:rsidRPr="00EA4711">
        <w:rPr>
          <w:rFonts w:cs="Times New Roman"/>
          <w:szCs w:val="20"/>
        </w:rPr>
        <w:t xml:space="preserve"> </w:t>
      </w:r>
      <w:r w:rsidRPr="00AD7A90">
        <w:rPr>
          <w:rFonts w:cs="Times New Roman"/>
          <w:szCs w:val="20"/>
        </w:rPr>
        <w:t xml:space="preserve">— </w:t>
      </w:r>
      <w:r w:rsidR="00EA4711">
        <w:rPr>
          <w:rFonts w:cs="Times New Roman"/>
          <w:szCs w:val="20"/>
        </w:rPr>
        <w:br/>
      </w:r>
      <w:r w:rsidRPr="00AD7A90">
        <w:rPr>
          <w:rFonts w:cs="Times New Roman"/>
          <w:szCs w:val="20"/>
        </w:rPr>
        <w:t>в дополнение к существующим знакам, предусмотренным Конвенцией Организации Объединенных Наций о дорожных знаках и сигналах 1968 года,</w:t>
      </w:r>
      <w:r w:rsidR="00EA4711" w:rsidRPr="00EA4711">
        <w:rPr>
          <w:rFonts w:cs="Times New Roman"/>
          <w:szCs w:val="20"/>
        </w:rPr>
        <w:t xml:space="preserve"> </w:t>
      </w:r>
      <w:r w:rsidRPr="00AD7A90">
        <w:rPr>
          <w:rFonts w:cs="Times New Roman"/>
          <w:szCs w:val="20"/>
        </w:rPr>
        <w:t>— должны использоваться для обозначения маршрутов.</w:t>
      </w:r>
    </w:p>
    <w:p w14:paraId="1F5976FF" w14:textId="77777777" w:rsidR="0017080B" w:rsidRPr="00AD7A90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16.</w:t>
      </w:r>
      <w:r>
        <w:rPr>
          <w:rFonts w:cs="Times New Roman"/>
          <w:szCs w:val="20"/>
        </w:rPr>
        <w:tab/>
      </w:r>
      <w:r w:rsidRPr="00AD7A90">
        <w:rPr>
          <w:rFonts w:cs="Times New Roman"/>
          <w:szCs w:val="20"/>
        </w:rPr>
        <w:t xml:space="preserve">Ожидается, что в соответствии с принятым Общеевропейским </w:t>
      </w:r>
      <w:r>
        <w:rPr>
          <w:rFonts w:cs="Times New Roman"/>
          <w:szCs w:val="20"/>
        </w:rPr>
        <w:t xml:space="preserve">генеральным </w:t>
      </w:r>
      <w:r w:rsidRPr="00AD7A90">
        <w:rPr>
          <w:rFonts w:cs="Times New Roman"/>
          <w:szCs w:val="20"/>
        </w:rPr>
        <w:t xml:space="preserve">планом </w:t>
      </w:r>
      <w:r>
        <w:rPr>
          <w:rFonts w:cs="Times New Roman"/>
          <w:szCs w:val="20"/>
        </w:rPr>
        <w:t xml:space="preserve">для </w:t>
      </w:r>
      <w:r w:rsidRPr="00AD7A90">
        <w:rPr>
          <w:rFonts w:cs="Times New Roman"/>
          <w:szCs w:val="20"/>
        </w:rPr>
        <w:t>велосипедного движения группа экспертов должна будет:</w:t>
      </w:r>
    </w:p>
    <w:p w14:paraId="4636E077" w14:textId="306F054C" w:rsidR="0017080B" w:rsidRPr="00AD7A90" w:rsidRDefault="0017080B" w:rsidP="0017080B">
      <w:pPr>
        <w:spacing w:after="120"/>
        <w:ind w:left="1134" w:right="1134" w:firstLine="567"/>
        <w:jc w:val="both"/>
        <w:rPr>
          <w:rFonts w:eastAsia="Times New Roman" w:cs="Times New Roman"/>
          <w:szCs w:val="20"/>
        </w:rPr>
      </w:pPr>
      <w:r w:rsidRPr="00AD7A90">
        <w:rPr>
          <w:rFonts w:cs="Times New Roman"/>
          <w:szCs w:val="20"/>
        </w:rPr>
        <w:t>a)</w:t>
      </w:r>
      <w:r w:rsidRPr="00AD7A90">
        <w:rPr>
          <w:rFonts w:cs="Times New Roman"/>
          <w:szCs w:val="20"/>
        </w:rPr>
        <w:tab/>
        <w:t>служить платформой для сбора, интеграции и анализа поступающих от государств</w:t>
      </w:r>
      <w:r w:rsidR="00EA4711" w:rsidRPr="00EA4711">
        <w:rPr>
          <w:rFonts w:cs="Times New Roman"/>
          <w:szCs w:val="20"/>
        </w:rPr>
        <w:t xml:space="preserve"> </w:t>
      </w:r>
      <w:r w:rsidRPr="00AD7A90">
        <w:rPr>
          <w:rFonts w:cs="Times New Roman"/>
          <w:szCs w:val="20"/>
        </w:rPr>
        <w:t>— членов ЕЭК данных о национальных велосипедных сетях;</w:t>
      </w:r>
    </w:p>
    <w:p w14:paraId="424E082D" w14:textId="77777777" w:rsidR="0017080B" w:rsidRPr="00AD7A90" w:rsidRDefault="0017080B" w:rsidP="0017080B">
      <w:pPr>
        <w:spacing w:after="120"/>
        <w:ind w:left="1134" w:right="1134" w:firstLine="567"/>
        <w:jc w:val="both"/>
        <w:rPr>
          <w:rFonts w:eastAsia="Times New Roman" w:cs="Times New Roman"/>
          <w:szCs w:val="20"/>
        </w:rPr>
      </w:pPr>
      <w:r w:rsidRPr="00AD7A90">
        <w:rPr>
          <w:rFonts w:cs="Times New Roman"/>
          <w:szCs w:val="20"/>
        </w:rPr>
        <w:t>b)</w:t>
      </w:r>
      <w:r w:rsidRPr="00AD7A90">
        <w:rPr>
          <w:rFonts w:cs="Times New Roman"/>
          <w:szCs w:val="20"/>
        </w:rPr>
        <w:tab/>
        <w:t>предложить международные велосипедные маршруты, которые войдут в велосипедную сеть ЕЭК; маршруты будут предлагаться исходя из данных о национальных сетях и результатов проведенного анализа, а также с учетом сети ЕвроВело;</w:t>
      </w:r>
    </w:p>
    <w:p w14:paraId="469C831C" w14:textId="426C1F41" w:rsidR="0017080B" w:rsidRPr="00AD7A90" w:rsidRDefault="0017080B" w:rsidP="0017080B">
      <w:pPr>
        <w:spacing w:after="120"/>
        <w:ind w:left="1134" w:right="1134" w:firstLine="567"/>
        <w:jc w:val="both"/>
        <w:rPr>
          <w:rFonts w:eastAsia="Times New Roman" w:cs="Times New Roman"/>
          <w:szCs w:val="20"/>
        </w:rPr>
      </w:pPr>
      <w:r w:rsidRPr="00AD7A90">
        <w:rPr>
          <w:rFonts w:cs="Times New Roman"/>
          <w:szCs w:val="20"/>
        </w:rPr>
        <w:t>c)</w:t>
      </w:r>
      <w:r w:rsidRPr="00AD7A90">
        <w:rPr>
          <w:rFonts w:cs="Times New Roman"/>
          <w:szCs w:val="20"/>
        </w:rPr>
        <w:tab/>
        <w:t>работать на базе подготовленных к настоящему времени проектов определений, представленных в документе ECE/TRANS/WP.5/2021/6, и по мере необходимости совершенствовать их;</w:t>
      </w:r>
    </w:p>
    <w:p w14:paraId="7D5E9E10" w14:textId="77777777" w:rsidR="0017080B" w:rsidRPr="00AD7A90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d)</w:t>
      </w:r>
      <w:r w:rsidRPr="00AD7A90">
        <w:rPr>
          <w:rFonts w:cs="Times New Roman"/>
          <w:szCs w:val="20"/>
        </w:rPr>
        <w:tab/>
        <w:t>обсудить дорожные знаки, введенные недавно в некоторых странах ЕЭК для облегчения велосипедного движения, и предложить дорожные знаки, которые следует рассмотреть на предмет включения в Конвенцию Организации Объединенных Наций о дорожных знаках и сигналах 1968 года; и</w:t>
      </w:r>
    </w:p>
    <w:p w14:paraId="31E2C44C" w14:textId="77777777" w:rsidR="0017080B" w:rsidRPr="00AD7A90" w:rsidRDefault="0017080B" w:rsidP="0017080B">
      <w:pPr>
        <w:spacing w:after="120"/>
        <w:ind w:left="1134" w:right="1134" w:firstLine="567"/>
        <w:jc w:val="both"/>
        <w:rPr>
          <w:rFonts w:cs="Times New Roman"/>
          <w:szCs w:val="20"/>
        </w:rPr>
      </w:pPr>
      <w:r w:rsidRPr="00AD7A90">
        <w:rPr>
          <w:rFonts w:cs="Times New Roman"/>
          <w:szCs w:val="20"/>
        </w:rPr>
        <w:t>e)</w:t>
      </w:r>
      <w:r w:rsidRPr="00AD7A90">
        <w:rPr>
          <w:rFonts w:cs="Times New Roman"/>
          <w:szCs w:val="20"/>
        </w:rPr>
        <w:tab/>
        <w:t>подготовить заключительный доклад о достигнутых результатах.</w:t>
      </w:r>
    </w:p>
    <w:p w14:paraId="63917472" w14:textId="2D5434DE" w:rsidR="0017080B" w:rsidRPr="00647F1E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  <w:lang w:val="fr-CH"/>
        </w:rPr>
      </w:pPr>
      <w:r w:rsidRPr="00AD7A90">
        <w:rPr>
          <w:rFonts w:cs="Times New Roman"/>
          <w:szCs w:val="20"/>
        </w:rPr>
        <w:t>17.</w:t>
      </w:r>
      <w:r w:rsidRPr="00AD7A90">
        <w:rPr>
          <w:rFonts w:cs="Times New Roman"/>
          <w:szCs w:val="20"/>
        </w:rPr>
        <w:tab/>
        <w:t>Ожидается, что в рамках своих задач группа экспертов обсудит дорожные знаки, введенные недавно в некоторых странах ЕЭК для облегчения велосипедного движения, и предложит дорожные знаки, которые следует рассмотреть на предмет включения в Конвенцию Организации Объединенных Наций о дорожных знаках и сигналах 1968 года</w:t>
      </w:r>
      <w:r w:rsidR="00647F1E">
        <w:rPr>
          <w:rFonts w:cs="Times New Roman"/>
          <w:szCs w:val="20"/>
          <w:lang w:val="fr-CH"/>
        </w:rPr>
        <w:t>.</w:t>
      </w:r>
    </w:p>
    <w:p w14:paraId="029612CC" w14:textId="711C9895" w:rsidR="0017080B" w:rsidRPr="00AD7A90" w:rsidRDefault="00EA4711" w:rsidP="00EA4711">
      <w:pPr>
        <w:pStyle w:val="H23G"/>
      </w:pPr>
      <w:r>
        <w:tab/>
      </w:r>
      <w:r w:rsidRPr="00EA4711">
        <w:rPr>
          <w:b w:val="0"/>
          <w:bCs/>
        </w:rPr>
        <w:tab/>
      </w:r>
      <w:r w:rsidR="0017080B" w:rsidRPr="00EA4711">
        <w:rPr>
          <w:b w:val="0"/>
          <w:bCs/>
        </w:rPr>
        <w:t>Рис. 1</w:t>
      </w:r>
      <w:r>
        <w:br/>
      </w:r>
      <w:r w:rsidR="0017080B" w:rsidRPr="00AD7A90">
        <w:rPr>
          <w:bCs/>
        </w:rPr>
        <w:t>Примеры различных знаков, обозначающих велосипедную полосу движения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4"/>
      </w:tblGrid>
      <w:tr w:rsidR="0017080B" w:rsidRPr="00896E71" w14:paraId="27B8D959" w14:textId="77777777" w:rsidTr="00CA0FD5">
        <w:tc>
          <w:tcPr>
            <w:tcW w:w="8184" w:type="dxa"/>
          </w:tcPr>
          <w:p w14:paraId="525BD2F5" w14:textId="77777777" w:rsidR="0017080B" w:rsidRPr="00896E71" w:rsidRDefault="0017080B" w:rsidP="00EA4711">
            <w:pPr>
              <w:spacing w:after="120"/>
              <w:jc w:val="right"/>
              <w:rPr>
                <w:rFonts w:eastAsia="SimSun"/>
                <w:lang w:val="en-GB"/>
              </w:rPr>
            </w:pPr>
            <w:r w:rsidRPr="00896E71">
              <w:rPr>
                <w:noProof/>
                <w:lang w:val="en-GB"/>
              </w:rPr>
              <w:drawing>
                <wp:inline distT="0" distB="0" distL="0" distR="0" wp14:anchorId="15FB1BDC" wp14:editId="5D68826A">
                  <wp:extent cx="4476750" cy="1390650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40AF3" w14:textId="54A74013" w:rsidR="0017080B" w:rsidRPr="00AD7A90" w:rsidRDefault="00EA4711" w:rsidP="00EA4711">
      <w:pPr>
        <w:pStyle w:val="H23G"/>
        <w:spacing w:after="240"/>
      </w:pPr>
      <w:r>
        <w:tab/>
      </w:r>
      <w:r w:rsidRPr="00EA4711">
        <w:rPr>
          <w:b w:val="0"/>
          <w:bCs/>
        </w:rPr>
        <w:tab/>
      </w:r>
      <w:r w:rsidR="0017080B" w:rsidRPr="00EA4711">
        <w:rPr>
          <w:b w:val="0"/>
          <w:bCs/>
        </w:rPr>
        <w:t>Рис. 2</w:t>
      </w:r>
      <w:r>
        <w:br/>
      </w:r>
      <w:r w:rsidR="0017080B" w:rsidRPr="00AD7A90">
        <w:t>Примеры различных дорожных знаков, обозначающих исключение для</w:t>
      </w:r>
      <w:r>
        <w:rPr>
          <w:lang w:val="en-US"/>
        </w:rPr>
        <w:t> </w:t>
      </w:r>
      <w:r w:rsidR="0017080B" w:rsidRPr="00AD7A90">
        <w:t>велосипедистов на светофоре</w:t>
      </w:r>
    </w:p>
    <w:p w14:paraId="0444FA33" w14:textId="77777777" w:rsidR="0017080B" w:rsidRPr="00896E71" w:rsidRDefault="0017080B" w:rsidP="00EA4711">
      <w:pPr>
        <w:spacing w:before="120" w:after="120"/>
        <w:ind w:left="1134" w:right="1134"/>
        <w:jc w:val="both"/>
        <w:rPr>
          <w:rFonts w:eastAsia="Times New Roman" w:cs="Times New Roman"/>
          <w:szCs w:val="20"/>
          <w:lang w:val="en-GB"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lastRenderedPageBreak/>
        <w:drawing>
          <wp:inline distT="0" distB="0" distL="0" distR="0" wp14:anchorId="0D5FFEE4" wp14:editId="36C23743">
            <wp:extent cx="4305300" cy="1209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3BE9" w14:textId="77777777" w:rsidR="0017080B" w:rsidRPr="009E2291" w:rsidRDefault="0017080B" w:rsidP="00EA4711">
      <w:pPr>
        <w:pStyle w:val="H23G"/>
        <w:rPr>
          <w:rFonts w:eastAsia="SimSun"/>
        </w:rPr>
      </w:pPr>
      <w:r>
        <w:tab/>
      </w:r>
      <w:r w:rsidRPr="009E2291">
        <w:t>2.</w:t>
      </w:r>
      <w:r w:rsidRPr="009E2291">
        <w:tab/>
        <w:t>«Круглый стол» экспертов по экономическому анализу трансформации городских транспортных систем</w:t>
      </w:r>
    </w:p>
    <w:p w14:paraId="45EA3B20" w14:textId="27B96B5B" w:rsidR="0017080B" w:rsidRPr="009E2291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9E2291">
        <w:rPr>
          <w:rFonts w:cs="Times New Roman"/>
          <w:szCs w:val="20"/>
        </w:rPr>
        <w:t>18.</w:t>
      </w:r>
      <w:r w:rsidRPr="009E2291">
        <w:rPr>
          <w:rFonts w:cs="Times New Roman"/>
          <w:szCs w:val="20"/>
        </w:rPr>
        <w:tab/>
        <w:t xml:space="preserve">В соответствии с просьбой Рабочей группы, высказанной на ее тридцать третьей сессии (сентябрь 2020 года), 17 сентября 2021 года в рамках направления работы WP.5 «Устойчивая городская мобильность, общественный транспорт и велосипедное движение» было организовано рабочее совещание по вопросам </w:t>
      </w:r>
      <w:r w:rsidRPr="0069268D">
        <w:rPr>
          <w:rFonts w:cs="Times New Roman"/>
          <w:szCs w:val="20"/>
        </w:rPr>
        <w:t>экологически чисто</w:t>
      </w:r>
      <w:r>
        <w:rPr>
          <w:rFonts w:cs="Times New Roman"/>
          <w:szCs w:val="20"/>
        </w:rPr>
        <w:t>го</w:t>
      </w:r>
      <w:r w:rsidRPr="0069268D">
        <w:rPr>
          <w:rFonts w:cs="Times New Roman"/>
          <w:szCs w:val="20"/>
        </w:rPr>
        <w:t xml:space="preserve"> </w:t>
      </w:r>
      <w:r w:rsidRPr="009E2291">
        <w:rPr>
          <w:rFonts w:cs="Times New Roman"/>
          <w:szCs w:val="20"/>
        </w:rPr>
        <w:t xml:space="preserve">городского транспорта. Рабочее совещание, организованное совместно Отделом устойчивого транспорта ЕЭК и Секцией по вопросам развития городов, жилищного хозяйства и управления земельными ресурсами секретариата ЕЭК, основывалось на стратегических рекомендациях, изложенных в публикации </w:t>
      </w:r>
      <w:r w:rsidRPr="000B1052">
        <w:rPr>
          <w:rFonts w:cs="Times New Roman"/>
          <w:szCs w:val="20"/>
        </w:rPr>
        <w:t>по взаимосвязанным областям ЕЭК под названием</w:t>
      </w:r>
      <w:r>
        <w:rPr>
          <w:rFonts w:cs="Times New Roman"/>
          <w:szCs w:val="20"/>
        </w:rPr>
        <w:t xml:space="preserve"> «</w:t>
      </w:r>
      <w:r w:rsidRPr="00FA05E6">
        <w:rPr>
          <w:rFonts w:cs="Times New Roman"/>
          <w:szCs w:val="20"/>
        </w:rPr>
        <w:t xml:space="preserve">People-Smart Sustainable Cities </w:t>
      </w:r>
      <w:r w:rsidR="00EA4711" w:rsidRPr="00EA4711">
        <w:rPr>
          <w:rFonts w:cs="Times New Roman"/>
          <w:szCs w:val="20"/>
        </w:rPr>
        <w:t>—</w:t>
      </w:r>
      <w:r w:rsidRPr="00FA05E6">
        <w:rPr>
          <w:rFonts w:cs="Times New Roman"/>
          <w:szCs w:val="20"/>
        </w:rPr>
        <w:t xml:space="preserve"> Sustainable and Smart Cities for All Ages</w:t>
      </w:r>
      <w:r>
        <w:rPr>
          <w:rFonts w:cs="Times New Roman"/>
          <w:szCs w:val="20"/>
        </w:rPr>
        <w:t>»</w:t>
      </w:r>
      <w:r w:rsidRPr="00FA05E6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(</w:t>
      </w:r>
      <w:r w:rsidRPr="009E2291">
        <w:rPr>
          <w:rFonts w:cs="Times New Roman"/>
          <w:szCs w:val="20"/>
        </w:rPr>
        <w:t xml:space="preserve">Устойчивые и </w:t>
      </w:r>
      <w:r w:rsidR="00EA4711">
        <w:rPr>
          <w:rFonts w:cs="Times New Roman"/>
          <w:szCs w:val="20"/>
        </w:rPr>
        <w:t>«</w:t>
      </w:r>
      <w:r w:rsidRPr="009E2291">
        <w:rPr>
          <w:rFonts w:cs="Times New Roman"/>
          <w:szCs w:val="20"/>
        </w:rPr>
        <w:t>умные</w:t>
      </w:r>
      <w:r w:rsidR="00EA4711">
        <w:rPr>
          <w:rFonts w:cs="Times New Roman"/>
          <w:szCs w:val="20"/>
        </w:rPr>
        <w:t>»</w:t>
      </w:r>
      <w:r w:rsidRPr="009E2291">
        <w:rPr>
          <w:rFonts w:cs="Times New Roman"/>
          <w:szCs w:val="20"/>
        </w:rPr>
        <w:t xml:space="preserve"> города для всех возрастов</w:t>
      </w:r>
      <w:r w:rsidR="00EA4711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— </w:t>
      </w:r>
      <w:r w:rsidRPr="009E2291">
        <w:rPr>
          <w:rFonts w:cs="Times New Roman"/>
          <w:szCs w:val="20"/>
        </w:rPr>
        <w:t>Социально-умные устойчивые города</w:t>
      </w:r>
      <w:r>
        <w:rPr>
          <w:rFonts w:cs="Times New Roman"/>
          <w:szCs w:val="20"/>
        </w:rPr>
        <w:t>)</w:t>
      </w:r>
      <w:r w:rsidRPr="009E2291">
        <w:rPr>
          <w:rFonts w:cs="Times New Roman"/>
          <w:szCs w:val="20"/>
        </w:rPr>
        <w:t xml:space="preserve"> (апрель 2021 года). Кроме того, рабочее совещание способствовало дальнейшему развитию импульса, созданного в результате принятия на пятом Совещании высокого уровня ОПТОСОЗ (Вена, май 2021 года) первого в истории </w:t>
      </w:r>
      <w:r>
        <w:rPr>
          <w:rFonts w:cs="Times New Roman"/>
          <w:szCs w:val="20"/>
        </w:rPr>
        <w:t>Общеевропейского генерального плана для велосипедного движения</w:t>
      </w:r>
      <w:r w:rsidRPr="009E2291">
        <w:rPr>
          <w:rFonts w:cs="Times New Roman"/>
          <w:szCs w:val="20"/>
        </w:rPr>
        <w:t xml:space="preserve"> (</w:t>
      </w:r>
      <w:bookmarkStart w:id="0" w:name="_Hlk91146149"/>
      <w:r>
        <w:rPr>
          <w:rFonts w:cs="Times New Roman"/>
          <w:szCs w:val="20"/>
        </w:rPr>
        <w:t>Генеральный</w:t>
      </w:r>
      <w:r w:rsidRPr="009E2291">
        <w:rPr>
          <w:rFonts w:cs="Times New Roman"/>
          <w:szCs w:val="20"/>
        </w:rPr>
        <w:t xml:space="preserve"> </w:t>
      </w:r>
      <w:bookmarkEnd w:id="0"/>
      <w:r w:rsidRPr="009E2291">
        <w:rPr>
          <w:rFonts w:cs="Times New Roman"/>
          <w:szCs w:val="20"/>
        </w:rPr>
        <w:t>план).</w:t>
      </w:r>
    </w:p>
    <w:p w14:paraId="45EB2087" w14:textId="77777777" w:rsidR="0017080B" w:rsidRPr="009E2291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9E2291">
        <w:rPr>
          <w:rFonts w:cs="Times New Roman"/>
          <w:szCs w:val="20"/>
        </w:rPr>
        <w:t>19.</w:t>
      </w:r>
      <w:r w:rsidRPr="009E2291">
        <w:rPr>
          <w:rFonts w:cs="Times New Roman"/>
          <w:szCs w:val="20"/>
        </w:rPr>
        <w:tab/>
        <w:t xml:space="preserve">В частности, на нем был изучен вопрос о применимости </w:t>
      </w:r>
      <w:r w:rsidRPr="00C45B9B">
        <w:rPr>
          <w:rFonts w:cs="Times New Roman"/>
          <w:szCs w:val="20"/>
        </w:rPr>
        <w:t>Генеральн</w:t>
      </w:r>
      <w:r>
        <w:rPr>
          <w:rFonts w:cs="Times New Roman"/>
          <w:szCs w:val="20"/>
        </w:rPr>
        <w:t>ого</w:t>
      </w:r>
      <w:r w:rsidRPr="00C45B9B">
        <w:rPr>
          <w:rFonts w:cs="Times New Roman"/>
          <w:szCs w:val="20"/>
        </w:rPr>
        <w:t xml:space="preserve"> </w:t>
      </w:r>
      <w:r w:rsidRPr="009E2291">
        <w:rPr>
          <w:rFonts w:cs="Times New Roman"/>
          <w:szCs w:val="20"/>
        </w:rPr>
        <w:t xml:space="preserve">плана в городском контексте и были определены возможности для дальнейшего укрепления инфраструктурного компонента </w:t>
      </w:r>
      <w:r w:rsidRPr="00C45B9B">
        <w:rPr>
          <w:rFonts w:cs="Times New Roman"/>
          <w:szCs w:val="20"/>
        </w:rPr>
        <w:t>Генеральн</w:t>
      </w:r>
      <w:r>
        <w:rPr>
          <w:rFonts w:cs="Times New Roman"/>
          <w:szCs w:val="20"/>
        </w:rPr>
        <w:t>ого</w:t>
      </w:r>
      <w:r w:rsidRPr="00C45B9B">
        <w:rPr>
          <w:rFonts w:cs="Times New Roman"/>
          <w:szCs w:val="20"/>
        </w:rPr>
        <w:t xml:space="preserve"> </w:t>
      </w:r>
      <w:r w:rsidRPr="009E2291">
        <w:rPr>
          <w:rFonts w:cs="Times New Roman"/>
          <w:szCs w:val="20"/>
        </w:rPr>
        <w:t>плана путем разработки согласованных на международном уровне минимальных стандартов и гармонизированных дорожных знаков. На семинаре выступили докладчики из разных стран, включая Австрию, Нидерланды, Российскую Федерацию, Швейцарию, а также были представлены материалы Делфтского технологического университета, Российского университета транспорта, Международной ассоциации государственных электротехнических предприятий и Сети европейских городов и регионов за инновации в сфере транспорта (ПОЛИС).</w:t>
      </w:r>
    </w:p>
    <w:p w14:paraId="684BB614" w14:textId="77777777" w:rsidR="0017080B" w:rsidRPr="009E2291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9E2291">
        <w:rPr>
          <w:rFonts w:cs="Times New Roman"/>
          <w:szCs w:val="20"/>
        </w:rPr>
        <w:t>20.</w:t>
      </w:r>
      <w:r w:rsidRPr="009E2291">
        <w:rPr>
          <w:rFonts w:cs="Times New Roman"/>
          <w:szCs w:val="20"/>
        </w:rPr>
        <w:tab/>
        <w:t>Помимо важной роли велосипедного движения в контексте городской мобильности, участники семинара согласились с высокой актуальностью нескольких смежных аспектов, включая:</w:t>
      </w:r>
    </w:p>
    <w:p w14:paraId="3B9511B4" w14:textId="77777777" w:rsidR="0017080B" w:rsidRPr="004303B3" w:rsidRDefault="0017080B" w:rsidP="00EA4711">
      <w:pPr>
        <w:pStyle w:val="Bullet1G"/>
      </w:pPr>
      <w:r w:rsidRPr="004303B3">
        <w:t>важность перепроектирования существующих инфраструктур и услуг городского транспорта (что включает в себя максимальное обеспечение безопасных и просторных тротуаров для пешеходов и максимальное развитие доступных, недорогих и простых в использовании сетей общественного транспорта). В этой связи была также признана важность приспособления новых видов городской мобильности, включая электрические скутеры и ступеньки, совместное использование автомобилей, велошеринг с хорошо спланированными парковочными местами и зарядными станциями;</w:t>
      </w:r>
    </w:p>
    <w:p w14:paraId="60D50A91" w14:textId="77777777" w:rsidR="0017080B" w:rsidRPr="004303B3" w:rsidRDefault="0017080B" w:rsidP="00EA4711">
      <w:pPr>
        <w:pStyle w:val="Bullet1G"/>
      </w:pPr>
      <w:r w:rsidRPr="004303B3">
        <w:t>важность разработки надежной нормативно-правовой базы, касающейся городской мобильности и ее влияния на здоровье и окружающую среду, а также необходимость эффективного правоприменения, в том числе путем введения и обеспечения соблюдения комплекса согласованных правил безопасности дорожного движения, включая ограничения скорости, а также активного сдерживания выбросов парниковых газов и обеспечения соблюдения ограничений, связанных с такими выбросами (например, путем запрета на движение устаревших автомобилей в городских центрах).</w:t>
      </w:r>
    </w:p>
    <w:p w14:paraId="68035742" w14:textId="77777777" w:rsidR="0017080B" w:rsidRPr="009E2291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9E2291">
        <w:rPr>
          <w:rFonts w:cs="Times New Roman"/>
          <w:szCs w:val="20"/>
        </w:rPr>
        <w:lastRenderedPageBreak/>
        <w:t>21.</w:t>
      </w:r>
      <w:r w:rsidRPr="009E2291">
        <w:rPr>
          <w:rFonts w:cs="Times New Roman"/>
          <w:szCs w:val="20"/>
        </w:rPr>
        <w:tab/>
        <w:t xml:space="preserve">WP.5 приветствовала проведение рабочего совещания по </w:t>
      </w:r>
      <w:r w:rsidRPr="0069268D">
        <w:rPr>
          <w:rFonts w:cs="Times New Roman"/>
          <w:szCs w:val="20"/>
        </w:rPr>
        <w:t xml:space="preserve">экологически чистому </w:t>
      </w:r>
      <w:r w:rsidRPr="009E2291">
        <w:rPr>
          <w:rFonts w:cs="Times New Roman"/>
          <w:szCs w:val="20"/>
        </w:rPr>
        <w:t>городскому транспорту, поблагодарила соорганизаторов за их вклад и поддержку и высоко оценила все материалы, представленные экспертами. В частности, Рабочая группа отметила важность, с точки зрения безопасности, мер по обеспечению устойчивой городской мобильности, а также разработки на национальном и местном уровнях надежной нормативно-правовой базы, касающейся городской мобильности и ее влияния на здоровье и окружающую среду. Она отметила, что это должно повлечь за собой мобильность как пассажиров, так и грузов. WP.5 также подтвердила свою заинтересованность в продолжении усилий по продвижению и представлению тенденций и передовой практики в рамках этой темы и направления работы по устойчивому городскому транспорту.</w:t>
      </w:r>
    </w:p>
    <w:p w14:paraId="63375F1C" w14:textId="00972597" w:rsidR="0017080B" w:rsidRPr="009E2291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9E2291">
        <w:rPr>
          <w:rFonts w:cs="Times New Roman"/>
          <w:szCs w:val="20"/>
        </w:rPr>
        <w:t>22.</w:t>
      </w:r>
      <w:r w:rsidRPr="009E2291">
        <w:rPr>
          <w:rFonts w:cs="Times New Roman"/>
          <w:szCs w:val="20"/>
        </w:rPr>
        <w:tab/>
        <w:t xml:space="preserve">Отчет о проведении этого рабочего совещания, </w:t>
      </w:r>
      <w:r>
        <w:rPr>
          <w:rFonts w:cs="Times New Roman"/>
          <w:szCs w:val="20"/>
        </w:rPr>
        <w:t>сообщения</w:t>
      </w:r>
      <w:r w:rsidRPr="009E2291">
        <w:rPr>
          <w:rFonts w:cs="Times New Roman"/>
          <w:szCs w:val="20"/>
        </w:rPr>
        <w:t xml:space="preserve"> и все материалы рабочего совещания размещены на веб-сайте тридцать четвертой сессии WP.5 </w:t>
      </w:r>
      <w:r w:rsidR="00EA4711" w:rsidRPr="00805224">
        <w:rPr>
          <w:rStyle w:val="af1"/>
          <w:rFonts w:asciiTheme="majorBidi" w:hAnsiTheme="majorBidi" w:cstheme="majorBidi"/>
        </w:rPr>
        <w:t>www.unece.org/transport/events/wp5-working-party-transport-trends-and-economics-34th-session</w:t>
      </w:r>
      <w:r w:rsidRPr="009E2291">
        <w:rPr>
          <w:rFonts w:cs="Times New Roman"/>
          <w:szCs w:val="20"/>
        </w:rPr>
        <w:t>.</w:t>
      </w:r>
    </w:p>
    <w:p w14:paraId="5E4890BC" w14:textId="77777777" w:rsidR="0017080B" w:rsidRPr="00AF6E22" w:rsidRDefault="0017080B" w:rsidP="0017080B">
      <w:pPr>
        <w:keepNext/>
        <w:keepLines/>
        <w:tabs>
          <w:tab w:val="right" w:pos="851"/>
        </w:tabs>
        <w:spacing w:before="360" w:after="240" w:line="270" w:lineRule="exact"/>
        <w:ind w:left="1134" w:right="1134" w:hanging="1134"/>
        <w:rPr>
          <w:rFonts w:eastAsia="SimSun" w:cs="Times New Roman"/>
          <w:b/>
          <w:sz w:val="24"/>
          <w:szCs w:val="24"/>
        </w:rPr>
      </w:pPr>
      <w:r>
        <w:rPr>
          <w:rFonts w:cs="Times New Roman"/>
          <w:b/>
          <w:bCs/>
        </w:rPr>
        <w:tab/>
      </w:r>
      <w:r w:rsidRPr="00AF6E22">
        <w:rPr>
          <w:rFonts w:cs="Times New Roman"/>
          <w:b/>
          <w:bCs/>
          <w:sz w:val="24"/>
          <w:szCs w:val="24"/>
        </w:rPr>
        <w:t>D.</w:t>
      </w:r>
      <w:r w:rsidRPr="00AF6E22">
        <w:rPr>
          <w:rFonts w:cs="Times New Roman"/>
          <w:sz w:val="24"/>
          <w:szCs w:val="24"/>
        </w:rPr>
        <w:tab/>
      </w:r>
      <w:r w:rsidRPr="00AF6E22">
        <w:rPr>
          <w:rFonts w:cs="Times New Roman"/>
          <w:b/>
          <w:bCs/>
          <w:sz w:val="24"/>
          <w:szCs w:val="24"/>
        </w:rPr>
        <w:t>Данные о транспортной инфраструктуре</w:t>
      </w:r>
    </w:p>
    <w:p w14:paraId="20E554CA" w14:textId="77777777" w:rsidR="0017080B" w:rsidRPr="00AF6E22" w:rsidRDefault="0017080B" w:rsidP="0017080B">
      <w:pPr>
        <w:keepNext/>
        <w:keepLines/>
        <w:tabs>
          <w:tab w:val="right" w:pos="851"/>
        </w:tabs>
        <w:spacing w:before="240" w:after="120" w:line="240" w:lineRule="exact"/>
        <w:ind w:left="1134" w:right="1134" w:hanging="1134"/>
        <w:rPr>
          <w:rFonts w:cs="Times New Roman"/>
          <w:szCs w:val="20"/>
        </w:rPr>
      </w:pPr>
      <w:r>
        <w:rPr>
          <w:rFonts w:cs="Times New Roman"/>
          <w:b/>
          <w:bCs/>
        </w:rPr>
        <w:tab/>
      </w:r>
      <w:r w:rsidRPr="00AF6E22">
        <w:rPr>
          <w:rFonts w:cs="Times New Roman"/>
          <w:b/>
          <w:bCs/>
          <w:szCs w:val="20"/>
        </w:rPr>
        <w:t>1.</w:t>
      </w:r>
      <w:r w:rsidRPr="00AF6E22">
        <w:rPr>
          <w:rFonts w:cs="Times New Roman"/>
          <w:szCs w:val="20"/>
        </w:rPr>
        <w:tab/>
      </w:r>
      <w:r w:rsidRPr="00AF6E22">
        <w:rPr>
          <w:rFonts w:cs="Times New Roman"/>
          <w:b/>
          <w:bCs/>
          <w:szCs w:val="20"/>
        </w:rPr>
        <w:t xml:space="preserve">Создание </w:t>
      </w:r>
      <w:r w:rsidRPr="00941A99">
        <w:rPr>
          <w:rFonts w:cs="Times New Roman"/>
          <w:b/>
          <w:bCs/>
          <w:szCs w:val="20"/>
        </w:rPr>
        <w:t xml:space="preserve">Международного центра мониторинга транспортной инфраструктуры </w:t>
      </w:r>
      <w:r w:rsidRPr="00AF6E22">
        <w:rPr>
          <w:rFonts w:cs="Times New Roman"/>
          <w:b/>
          <w:bCs/>
          <w:szCs w:val="20"/>
        </w:rPr>
        <w:t>на базе географической информационной системы</w:t>
      </w:r>
    </w:p>
    <w:p w14:paraId="18F290B8" w14:textId="77777777" w:rsidR="0017080B" w:rsidRPr="00896E71" w:rsidRDefault="0017080B" w:rsidP="0017080B">
      <w:pPr>
        <w:ind w:left="1134"/>
        <w:rPr>
          <w:rFonts w:eastAsia="Times New Roman" w:cs="Times New Roman"/>
          <w:szCs w:val="20"/>
          <w:lang w:val="en-GB"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53CED54A" wp14:editId="40D94A74">
            <wp:extent cx="3390900" cy="581772"/>
            <wp:effectExtent l="0" t="0" r="0" b="889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4223" cy="5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9353" w14:textId="3DFEBEF5" w:rsidR="0017080B" w:rsidRPr="00EA4711" w:rsidRDefault="00EA4711" w:rsidP="00EA4711">
      <w:pPr>
        <w:pStyle w:val="SingleTxtG"/>
        <w:tabs>
          <w:tab w:val="left" w:pos="1276"/>
        </w:tabs>
        <w:spacing w:before="120" w:line="220" w:lineRule="exact"/>
        <w:jc w:val="left"/>
        <w:rPr>
          <w:sz w:val="18"/>
          <w:szCs w:val="18"/>
        </w:rPr>
      </w:pPr>
      <w:r>
        <w:rPr>
          <w:i/>
          <w:iCs/>
          <w:sz w:val="18"/>
          <w:szCs w:val="18"/>
        </w:rPr>
        <w:tab/>
      </w:r>
      <w:r w:rsidR="0017080B" w:rsidRPr="00EA4711">
        <w:rPr>
          <w:i/>
          <w:iCs/>
          <w:sz w:val="18"/>
          <w:szCs w:val="18"/>
        </w:rPr>
        <w:t>Источник</w:t>
      </w:r>
      <w:r w:rsidR="0017080B" w:rsidRPr="00EA4711">
        <w:rPr>
          <w:sz w:val="18"/>
          <w:szCs w:val="18"/>
        </w:rPr>
        <w:t>: ЕЭК.</w:t>
      </w:r>
    </w:p>
    <w:p w14:paraId="67C891A1" w14:textId="57E34C4E" w:rsidR="0017080B" w:rsidRPr="00AF6E22" w:rsidRDefault="00EA4711" w:rsidP="00EA4711">
      <w:pPr>
        <w:pStyle w:val="H23G"/>
      </w:pPr>
      <w:r>
        <w:tab/>
      </w:r>
      <w:r>
        <w:tab/>
      </w:r>
      <w:r w:rsidR="0017080B" w:rsidRPr="00EA4711">
        <w:rPr>
          <w:b w:val="0"/>
          <w:bCs/>
        </w:rPr>
        <w:t>Рис. 3</w:t>
      </w:r>
      <w:r>
        <w:br/>
      </w:r>
      <w:r w:rsidR="0017080B" w:rsidRPr="00AF6E22">
        <w:t xml:space="preserve">Иллюстрация интерфейса </w:t>
      </w:r>
      <w:r w:rsidR="0017080B">
        <w:t>МЦМТИ</w:t>
      </w:r>
      <w:r w:rsidR="0017080B" w:rsidRPr="00AF6E22">
        <w:t xml:space="preserve"> и </w:t>
      </w:r>
      <w:r w:rsidR="0017080B">
        <w:t>отображение</w:t>
      </w:r>
      <w:r w:rsidR="0017080B" w:rsidRPr="00AF6E22">
        <w:t xml:space="preserve"> четырех групп пользователей</w:t>
      </w:r>
    </w:p>
    <w:p w14:paraId="1487B318" w14:textId="77777777" w:rsidR="0017080B" w:rsidRPr="00896E71" w:rsidRDefault="0017080B" w:rsidP="0017080B">
      <w:pPr>
        <w:ind w:left="1134"/>
        <w:rPr>
          <w:rFonts w:eastAsia="Times New Roman" w:cs="Times New Roman"/>
          <w:szCs w:val="20"/>
          <w:lang w:val="en-GB"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6B0A246C" wp14:editId="7F242CBB">
            <wp:extent cx="4667250" cy="2156649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2919" cy="21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5EE2" w14:textId="7DD4D444" w:rsidR="0017080B" w:rsidRPr="00EA4711" w:rsidRDefault="00EA4711" w:rsidP="007B7378">
      <w:pPr>
        <w:tabs>
          <w:tab w:val="left" w:pos="1276"/>
        </w:tabs>
        <w:spacing w:before="120" w:line="220" w:lineRule="exact"/>
        <w:ind w:left="1134"/>
        <w:rPr>
          <w:rFonts w:eastAsia="Times New Roman" w:cs="Times New Roman"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ab/>
      </w:r>
      <w:r w:rsidR="0017080B" w:rsidRPr="00EA4711">
        <w:rPr>
          <w:rFonts w:cs="Times New Roman"/>
          <w:i/>
          <w:iCs/>
          <w:sz w:val="18"/>
          <w:szCs w:val="18"/>
        </w:rPr>
        <w:t>Источник</w:t>
      </w:r>
      <w:r w:rsidR="0017080B" w:rsidRPr="00EA4711">
        <w:rPr>
          <w:rFonts w:cs="Times New Roman"/>
          <w:sz w:val="18"/>
          <w:szCs w:val="18"/>
        </w:rPr>
        <w:t>: ЕЭК.</w:t>
      </w:r>
    </w:p>
    <w:p w14:paraId="17965014" w14:textId="5AFAF38C" w:rsidR="0017080B" w:rsidRPr="00AF6E22" w:rsidRDefault="00EA4711" w:rsidP="00EA4711">
      <w:pPr>
        <w:pStyle w:val="H23G"/>
        <w:pageBreakBefore/>
        <w:rPr>
          <w:b w:val="0"/>
          <w:bCs/>
        </w:rPr>
      </w:pPr>
      <w:r>
        <w:tab/>
      </w:r>
      <w:r w:rsidRPr="00EA4711">
        <w:rPr>
          <w:b w:val="0"/>
          <w:bCs/>
        </w:rPr>
        <w:tab/>
      </w:r>
      <w:r w:rsidR="0017080B" w:rsidRPr="00EA4711">
        <w:rPr>
          <w:b w:val="0"/>
          <w:bCs/>
        </w:rPr>
        <w:t>Рис. 4</w:t>
      </w:r>
      <w:r>
        <w:br/>
      </w:r>
      <w:r w:rsidR="0017080B" w:rsidRPr="00AF6E22">
        <w:rPr>
          <w:bCs/>
        </w:rPr>
        <w:t xml:space="preserve">Информационная панель для правительственных пользователей </w:t>
      </w:r>
      <w:r w:rsidR="0017080B">
        <w:rPr>
          <w:bCs/>
        </w:rPr>
        <w:t>МЦМТИ</w:t>
      </w:r>
    </w:p>
    <w:p w14:paraId="7C8ACB34" w14:textId="77777777" w:rsidR="0017080B" w:rsidRPr="00896E71" w:rsidRDefault="0017080B" w:rsidP="0017080B">
      <w:pPr>
        <w:rPr>
          <w:rFonts w:eastAsia="Times New Roman" w:cs="Times New Roman"/>
          <w:szCs w:val="20"/>
          <w:lang w:eastAsia="fr-FR"/>
        </w:rPr>
      </w:pPr>
    </w:p>
    <w:p w14:paraId="73A29614" w14:textId="77777777" w:rsidR="0017080B" w:rsidRPr="00896E71" w:rsidRDefault="0017080B" w:rsidP="00EA4711">
      <w:pPr>
        <w:ind w:left="567"/>
        <w:jc w:val="right"/>
        <w:rPr>
          <w:rFonts w:eastAsia="Times New Roman" w:cs="Times New Roman"/>
          <w:szCs w:val="20"/>
          <w:lang w:val="en-GB" w:eastAsia="fr-FR"/>
        </w:rPr>
      </w:pPr>
      <w:r w:rsidRPr="00896E71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29D4F88C" wp14:editId="6A4FDB03">
            <wp:extent cx="5562600" cy="848904"/>
            <wp:effectExtent l="0" t="0" r="0" b="889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3672" cy="85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77C6" w14:textId="769FB727" w:rsidR="0017080B" w:rsidRPr="004D2A96" w:rsidRDefault="004D2A96" w:rsidP="004D2A96">
      <w:pPr>
        <w:pStyle w:val="SingleTxtG"/>
        <w:tabs>
          <w:tab w:val="left" w:pos="1276"/>
        </w:tabs>
        <w:spacing w:line="220" w:lineRule="exact"/>
        <w:rPr>
          <w:sz w:val="18"/>
          <w:szCs w:val="18"/>
        </w:rPr>
      </w:pPr>
      <w:r w:rsidRPr="004D2A96">
        <w:rPr>
          <w:sz w:val="18"/>
          <w:szCs w:val="18"/>
        </w:rPr>
        <w:tab/>
      </w:r>
      <w:r w:rsidR="0017080B" w:rsidRPr="004D2A96">
        <w:rPr>
          <w:i/>
          <w:iCs/>
          <w:sz w:val="18"/>
          <w:szCs w:val="18"/>
        </w:rPr>
        <w:t>Источник</w:t>
      </w:r>
      <w:r w:rsidR="0017080B" w:rsidRPr="004D2A96">
        <w:rPr>
          <w:sz w:val="18"/>
          <w:szCs w:val="18"/>
        </w:rPr>
        <w:t>: ЕЭК.</w:t>
      </w:r>
    </w:p>
    <w:p w14:paraId="04001847" w14:textId="475B02D0" w:rsidR="0017080B" w:rsidRPr="00AF6E22" w:rsidRDefault="0017080B" w:rsidP="004D2A96">
      <w:pPr>
        <w:pStyle w:val="SingleTxtG"/>
      </w:pPr>
      <w:r w:rsidRPr="00AF6E22">
        <w:t>23.</w:t>
      </w:r>
      <w:r w:rsidRPr="00AF6E22">
        <w:tab/>
        <w:t xml:space="preserve">По случаю тридцать четвертой сессии WP.5 секретариат ЕЭК провел совместно с секретариатами Экономической и социальной комиссии для Западной Азии (ЭСКЗА) и Организации экономического сотрудничества (ОЭС) совместную презентацию </w:t>
      </w:r>
      <w:r>
        <w:t>МЦМТИ</w:t>
      </w:r>
      <w:r w:rsidRPr="00AF6E22">
        <w:t xml:space="preserve"> на базе ГИС.</w:t>
      </w:r>
    </w:p>
    <w:p w14:paraId="12B0096D" w14:textId="77777777" w:rsidR="0017080B" w:rsidRPr="00AF6E22" w:rsidRDefault="0017080B" w:rsidP="004D2A96">
      <w:pPr>
        <w:pStyle w:val="SingleTxtG"/>
      </w:pPr>
      <w:r w:rsidRPr="00AF6E22">
        <w:lastRenderedPageBreak/>
        <w:t>24.</w:t>
      </w:r>
      <w:r w:rsidRPr="00AF6E22">
        <w:tab/>
      </w:r>
      <w:r>
        <w:t>МЦМТИ</w:t>
      </w:r>
      <w:r w:rsidRPr="00AF6E22">
        <w:t>, финансируем</w:t>
      </w:r>
      <w:r>
        <w:t>ый</w:t>
      </w:r>
      <w:r w:rsidRPr="00AF6E22">
        <w:t xml:space="preserve"> через Исламский банк развития (ИБР) в рамках внебюджетного проекта, предлагает многостороннюю веб-платформу ГИС, на которой размещены данные о большом количестве сетей и узлов различных видов транспортной инфраструктуры, включая автомобильный и железнодорожный транспорт, внутренние водные пути, порты, аэропорты, интермодальные терминалы, логистические центры и пункты пересечения границ. Основные категории пользователей </w:t>
      </w:r>
      <w:r>
        <w:t>МЦМТИ</w:t>
      </w:r>
      <w:r w:rsidRPr="00AF6E22">
        <w:t xml:space="preserve"> включают правительства, многосторонние банки развития (МБР), организации регионального сотрудничества (ОРС) и широкую общественность.</w:t>
      </w:r>
    </w:p>
    <w:p w14:paraId="066665D4" w14:textId="77777777" w:rsidR="0017080B" w:rsidRPr="00AF6E22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AF6E22">
        <w:rPr>
          <w:rFonts w:cs="Times New Roman"/>
          <w:szCs w:val="20"/>
        </w:rPr>
        <w:t>25.</w:t>
      </w:r>
      <w:r w:rsidRPr="00AF6E22">
        <w:rPr>
          <w:rFonts w:cs="Times New Roman"/>
          <w:szCs w:val="20"/>
        </w:rPr>
        <w:tab/>
        <w:t xml:space="preserve">Основные функции </w:t>
      </w:r>
      <w:r>
        <w:rPr>
          <w:rFonts w:cs="Times New Roman"/>
          <w:szCs w:val="20"/>
        </w:rPr>
        <w:t>МЦМТИ</w:t>
      </w:r>
      <w:r w:rsidRPr="00AF6E22">
        <w:rPr>
          <w:rFonts w:cs="Times New Roman"/>
          <w:szCs w:val="20"/>
        </w:rPr>
        <w:t xml:space="preserve"> можно резюмировать следующим образом:</w:t>
      </w:r>
    </w:p>
    <w:p w14:paraId="215D3795" w14:textId="098352FF" w:rsidR="0017080B" w:rsidRPr="00AF6E22" w:rsidRDefault="00C8047A" w:rsidP="00C8047A">
      <w:pPr>
        <w:pStyle w:val="SingleTxtG"/>
      </w:pPr>
      <w:r>
        <w:tab/>
      </w:r>
      <w:r w:rsidR="0017080B" w:rsidRPr="00AF6E22">
        <w:t>a)</w:t>
      </w:r>
      <w:r w:rsidR="0017080B" w:rsidRPr="00AF6E22">
        <w:tab/>
        <w:t>электронное хранилище конвенций ЕЭК по внутреннему транспорту, результатов проектов и результатов деятельности назначенных групп экспертов:</w:t>
      </w:r>
    </w:p>
    <w:p w14:paraId="102A0023" w14:textId="77777777" w:rsidR="0017080B" w:rsidRPr="000500B2" w:rsidRDefault="0017080B" w:rsidP="00C8047A">
      <w:pPr>
        <w:pStyle w:val="Bullet1G"/>
      </w:pPr>
      <w:r>
        <w:t>МЦМТИ</w:t>
      </w:r>
      <w:r w:rsidRPr="000500B2">
        <w:t xml:space="preserve"> обеспечивает цифровую среду, которая помогает отображать конкретные результаты и мероприятия, такие как работа, проделанная в рамках проектов ТЕА</w:t>
      </w:r>
      <w:r w:rsidRPr="00C8047A">
        <w:rPr>
          <w:sz w:val="18"/>
          <w:szCs w:val="18"/>
          <w:vertAlign w:val="superscript"/>
          <w:lang w:eastAsia="fr-FR"/>
        </w:rPr>
        <w:footnoteReference w:id="1"/>
      </w:r>
      <w:r w:rsidRPr="000500B2">
        <w:t>, ТЕЖ</w:t>
      </w:r>
      <w:r w:rsidRPr="00C8047A">
        <w:rPr>
          <w:sz w:val="18"/>
          <w:szCs w:val="18"/>
          <w:vertAlign w:val="superscript"/>
          <w:lang w:eastAsia="fr-FR"/>
        </w:rPr>
        <w:footnoteReference w:id="2"/>
      </w:r>
      <w:r w:rsidRPr="000500B2">
        <w:t xml:space="preserve"> и ЕАТС</w:t>
      </w:r>
      <w:r w:rsidRPr="00C8047A">
        <w:rPr>
          <w:sz w:val="18"/>
          <w:szCs w:val="18"/>
          <w:vertAlign w:val="superscript"/>
          <w:lang w:eastAsia="fr-FR"/>
        </w:rPr>
        <w:footnoteReference w:id="3"/>
      </w:r>
      <w:r w:rsidRPr="000500B2">
        <w:t>, а также материальные результаты, полученные Группой экспертов по оценке последствий изменения климата для внутреннего транспорта и адаптации к ним (GE.3) и Группой экспертов по сопоставительному анализу затрат на строительство транспортной инфраструктуры (GE.4);</w:t>
      </w:r>
    </w:p>
    <w:p w14:paraId="3653EA40" w14:textId="77777777" w:rsidR="0017080B" w:rsidRPr="000500B2" w:rsidRDefault="0017080B" w:rsidP="00C8047A">
      <w:pPr>
        <w:pStyle w:val="Bullet1G"/>
      </w:pPr>
      <w:r>
        <w:t>МЦМТИ</w:t>
      </w:r>
      <w:r w:rsidRPr="000500B2">
        <w:t xml:space="preserve"> предоставляет электронную платформу, которая станет катализатором текущего процесса цифровизации различных соглашений и конвенций Организации Объединенных Наций по внутреннему транспорту, особенно тех, которые касаются инфраструктуры (СМА</w:t>
      </w:r>
      <w:r w:rsidRPr="00AF6E22">
        <w:rPr>
          <w:vertAlign w:val="superscript"/>
          <w:lang w:eastAsia="fr-FR"/>
        </w:rPr>
        <w:footnoteReference w:id="4"/>
      </w:r>
      <w:r w:rsidRPr="000500B2">
        <w:t>, СМЖЛ</w:t>
      </w:r>
      <w:r w:rsidRPr="00C8047A">
        <w:rPr>
          <w:sz w:val="18"/>
          <w:szCs w:val="18"/>
          <w:vertAlign w:val="superscript"/>
          <w:lang w:eastAsia="fr-FR"/>
        </w:rPr>
        <w:footnoteReference w:id="5"/>
      </w:r>
      <w:r w:rsidRPr="000500B2">
        <w:t>, СЛКП</w:t>
      </w:r>
      <w:r w:rsidRPr="00C8047A">
        <w:rPr>
          <w:sz w:val="18"/>
          <w:szCs w:val="18"/>
          <w:vertAlign w:val="superscript"/>
          <w:lang w:eastAsia="fr-FR"/>
        </w:rPr>
        <w:footnoteReference w:id="6"/>
      </w:r>
      <w:r w:rsidRPr="000500B2">
        <w:t xml:space="preserve"> и СМВП</w:t>
      </w:r>
      <w:r w:rsidRPr="00C8047A">
        <w:rPr>
          <w:sz w:val="18"/>
          <w:szCs w:val="18"/>
          <w:vertAlign w:val="superscript"/>
          <w:lang w:eastAsia="fr-FR"/>
        </w:rPr>
        <w:footnoteReference w:id="7"/>
      </w:r>
      <w:r w:rsidRPr="000500B2">
        <w:t>), а также инструментов по упрощению процедур пересечения границ, таких как МДП</w:t>
      </w:r>
      <w:r>
        <w:rPr>
          <w:rStyle w:val="aa"/>
        </w:rPr>
        <w:footnoteReference w:id="8"/>
      </w:r>
      <w:r w:rsidRPr="000500B2">
        <w:t>/eTIR (расположение таможенных систем);</w:t>
      </w:r>
    </w:p>
    <w:p w14:paraId="4C4E612E" w14:textId="6E27D781" w:rsidR="0017080B" w:rsidRPr="00AF6E22" w:rsidRDefault="00C8047A" w:rsidP="00C8047A">
      <w:pPr>
        <w:pStyle w:val="SingleTxtG"/>
      </w:pPr>
      <w:r>
        <w:tab/>
      </w:r>
      <w:r w:rsidR="0017080B" w:rsidRPr="00AF6E22">
        <w:t>b)</w:t>
      </w:r>
      <w:r w:rsidR="0017080B" w:rsidRPr="00AF6E22">
        <w:tab/>
        <w:t>финансирование транспортной инфраструктуры:</w:t>
      </w:r>
    </w:p>
    <w:p w14:paraId="75F309EF" w14:textId="77777777" w:rsidR="0017080B" w:rsidRPr="00834822" w:rsidRDefault="0017080B" w:rsidP="00C8047A">
      <w:pPr>
        <w:pStyle w:val="Bullet1G"/>
      </w:pPr>
      <w:r>
        <w:t>МЦМТИ</w:t>
      </w:r>
      <w:r w:rsidRPr="00834822">
        <w:t xml:space="preserve"> выполняет функции виртуального рынка для финансирования транспортной инфраструктуры, обеспечивая электронный интерфейс между многосторонними банками развития (МБР) и правительствами. Правительства могут загружать свои проекты в области транспортной инфраструктуры, нуждающиеся в финансировании, а также выбирать, к каким МБР они хотят обратиться. Путем добавления или удаления слоев ГИС данные о сетях транспортной инфраструктуры могут быть объединены с данными об уровне ратификации и осуществления в национальных и/или региональных масштабах конкретных правовых документов в области транспорта или с данными о возможном влиянии изменения климата на запланированные инфраструктурные проекты. Для МБР </w:t>
      </w:r>
      <w:r>
        <w:t>МЦМТИ</w:t>
      </w:r>
      <w:r w:rsidRPr="00834822">
        <w:t xml:space="preserve"> выполняет функции координационного центра с прямым доступом к централизованной информационной платформе, помогая им в принятии решений о том, какие проекты рассматривать для финансирования. Будет также предоставлена защищенная электронная коммуникационная платформа, позволяющая всем пользователям связываться друг с другом и обмениваться информацией</w:t>
      </w:r>
      <w:r>
        <w:t>;</w:t>
      </w:r>
    </w:p>
    <w:p w14:paraId="07D10911" w14:textId="6A6CC6D3" w:rsidR="0017080B" w:rsidRPr="00AF6E22" w:rsidRDefault="00C8047A" w:rsidP="00C8047A">
      <w:pPr>
        <w:pStyle w:val="SingleTxtG"/>
      </w:pPr>
      <w:r>
        <w:lastRenderedPageBreak/>
        <w:tab/>
      </w:r>
      <w:r w:rsidR="0017080B" w:rsidRPr="00AF6E22">
        <w:t>c)</w:t>
      </w:r>
      <w:r w:rsidR="0017080B" w:rsidRPr="00AF6E22">
        <w:tab/>
        <w:t>содействие обеспечению устойчивой региональной и межрегиональной связности:</w:t>
      </w:r>
    </w:p>
    <w:p w14:paraId="795592BC" w14:textId="77777777" w:rsidR="0017080B" w:rsidRPr="003157E9" w:rsidRDefault="0017080B" w:rsidP="00C8047A">
      <w:pPr>
        <w:pStyle w:val="Bullet1G"/>
      </w:pPr>
      <w:r>
        <w:t>Центр</w:t>
      </w:r>
      <w:r w:rsidRPr="003157E9">
        <w:t xml:space="preserve"> </w:t>
      </w:r>
      <w:r>
        <w:t xml:space="preserve">мониторинга </w:t>
      </w:r>
      <w:r w:rsidRPr="003157E9">
        <w:t>предоставляет всем региональным и межрегиональным организациям возможность создавать свои собственные карты, иллюстрирующие их инициативы, коридоры, проекты, отчеты и исследования в области транспортной инфраструктуры, а также все, что они считают полезным для целей дальнейшего улучшения региональной связности. Это позволит расширить сотрудничество между различными инициативами в области транспортной инфраструктуры в Европе, Азии и Африке.</w:t>
      </w:r>
    </w:p>
    <w:p w14:paraId="62EB3406" w14:textId="6A147121" w:rsidR="0017080B" w:rsidRPr="00AF6E22" w:rsidRDefault="0017080B" w:rsidP="00C8047A">
      <w:pPr>
        <w:pStyle w:val="SingleTxtG"/>
      </w:pPr>
      <w:r w:rsidRPr="00AF6E22">
        <w:t>26.</w:t>
      </w:r>
      <w:r w:rsidRPr="00AF6E22">
        <w:tab/>
        <w:t xml:space="preserve">На своей тридцать четвертой сессии WP.5 приняла к сведению информацию о дальнейшем развитии </w:t>
      </w:r>
      <w:r>
        <w:t>МЦМТИ</w:t>
      </w:r>
      <w:r w:rsidRPr="00AF6E22">
        <w:t xml:space="preserve"> и предложила заинтересованным сторонам (включая национальные правительства и многосторонние банки развития) принять участие в этапе тестовых проверок. WP.5 также предложила секретариату оказать необходимую помощь национальным делегатам и представителям других заинтересованных структур в проведении этих тестовых проверок, в том числе путем предоставления специальных счетов для проведения тестовых проверок. Она также поручила секретариату проинформировать Бюро КВТ и Комитет о развитии </w:t>
      </w:r>
      <w:r>
        <w:t>Центра</w:t>
      </w:r>
      <w:r w:rsidRPr="00AF6E22">
        <w:t xml:space="preserve"> </w:t>
      </w:r>
      <w:r>
        <w:t xml:space="preserve">мониторинга </w:t>
      </w:r>
      <w:r w:rsidRPr="00AF6E22">
        <w:t xml:space="preserve">и </w:t>
      </w:r>
      <w:r>
        <w:t xml:space="preserve">о </w:t>
      </w:r>
      <w:r w:rsidRPr="00AF6E22">
        <w:t>возможных результатах тестовых проверок после их завершения.</w:t>
      </w:r>
    </w:p>
    <w:p w14:paraId="7437C296" w14:textId="2D44EF15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27.</w:t>
      </w:r>
      <w:r w:rsidRPr="00F84820">
        <w:rPr>
          <w:rFonts w:cs="Times New Roman"/>
          <w:szCs w:val="20"/>
        </w:rPr>
        <w:tab/>
        <w:t>В соответствии с поручением, данным WP.5 на ее тридцать третьей сессии в сентябре 2020 года, секретариат выпустил рабочий документ ECE/TRANS/WP.5/</w:t>
      </w:r>
      <w:r w:rsidR="00C8047A"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2021/4, в котором содержится подробное описание Центра мониторинга, его цели, функций, групп пользователей и условий работы.</w:t>
      </w:r>
    </w:p>
    <w:p w14:paraId="1A30F0BA" w14:textId="73871EE6" w:rsidR="0017080B" w:rsidRPr="00F84820" w:rsidRDefault="00C8047A" w:rsidP="00C8047A">
      <w:pPr>
        <w:pStyle w:val="H23G"/>
        <w:rPr>
          <w:rFonts w:eastAsiaTheme="minorEastAsia"/>
        </w:rPr>
      </w:pPr>
      <w:r>
        <w:tab/>
      </w:r>
      <w:r>
        <w:tab/>
      </w:r>
      <w:r w:rsidR="0017080B" w:rsidRPr="00C8047A">
        <w:rPr>
          <w:b w:val="0"/>
          <w:bCs/>
        </w:rPr>
        <w:t>Карта III</w:t>
      </w:r>
      <w:r>
        <w:br/>
      </w:r>
      <w:r w:rsidR="0017080B" w:rsidRPr="00F84820">
        <w:t>Отображение приложения транспортных сетей и узлов через правительственный пользовательский интерфейс</w:t>
      </w:r>
    </w:p>
    <w:p w14:paraId="628FC957" w14:textId="3D37D6E7" w:rsidR="0017080B" w:rsidRPr="00F84820" w:rsidRDefault="0017080B" w:rsidP="00C8047A">
      <w:pPr>
        <w:pStyle w:val="SingleTxtG"/>
        <w:rPr>
          <w:lang w:val="en-GB" w:eastAsia="fr-FR"/>
        </w:rPr>
      </w:pPr>
      <w:r w:rsidRPr="00F84820">
        <w:rPr>
          <w:noProof/>
          <w:lang w:val="en-GB" w:eastAsia="fr-FR"/>
        </w:rPr>
        <w:drawing>
          <wp:inline distT="0" distB="0" distL="0" distR="0" wp14:anchorId="1491FF39" wp14:editId="3FF8EE38">
            <wp:extent cx="4467860" cy="252597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5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EA2B" w14:textId="2FD4D2A8" w:rsidR="0017080B" w:rsidRPr="00F84820" w:rsidRDefault="00C8047A" w:rsidP="00C8047A">
      <w:pPr>
        <w:pStyle w:val="H23G"/>
        <w:rPr>
          <w:rFonts w:eastAsiaTheme="minorEastAsia"/>
        </w:rPr>
      </w:pPr>
      <w:r w:rsidRPr="00C8047A">
        <w:rPr>
          <w:b w:val="0"/>
          <w:bCs/>
        </w:rPr>
        <w:tab/>
      </w:r>
      <w:r w:rsidRPr="00C8047A">
        <w:rPr>
          <w:b w:val="0"/>
          <w:bCs/>
        </w:rPr>
        <w:tab/>
      </w:r>
      <w:r w:rsidR="0017080B" w:rsidRPr="00C8047A">
        <w:rPr>
          <w:b w:val="0"/>
          <w:bCs/>
        </w:rPr>
        <w:t>Карта IV</w:t>
      </w:r>
      <w:r w:rsidR="0017080B">
        <w:br/>
      </w:r>
      <w:r w:rsidR="0017080B" w:rsidRPr="00F84820">
        <w:t>Всплывающее окно с техническими данными для каждого сегмента сети</w:t>
      </w:r>
    </w:p>
    <w:p w14:paraId="4CC34C1C" w14:textId="77777777" w:rsidR="0017080B" w:rsidRPr="00F84820" w:rsidRDefault="0017080B" w:rsidP="00C8047A">
      <w:pPr>
        <w:pStyle w:val="SingleTxtG"/>
        <w:jc w:val="center"/>
        <w:rPr>
          <w:rFonts w:eastAsiaTheme="minorEastAsia"/>
          <w:lang w:val="en-GB" w:eastAsia="fr-FR"/>
        </w:rPr>
      </w:pPr>
      <w:r w:rsidRPr="00F84820">
        <w:rPr>
          <w:noProof/>
          <w:lang w:val="en-GB" w:eastAsia="fr-FR"/>
        </w:rPr>
        <w:lastRenderedPageBreak/>
        <w:drawing>
          <wp:inline distT="0" distB="0" distL="0" distR="0" wp14:anchorId="4BD7C33E" wp14:editId="2F6A06C1">
            <wp:extent cx="4772798" cy="2190750"/>
            <wp:effectExtent l="0" t="0" r="889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79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BBDD" w14:textId="77777777" w:rsidR="0017080B" w:rsidRPr="00C8047A" w:rsidRDefault="0017080B" w:rsidP="00C8047A">
      <w:pPr>
        <w:pStyle w:val="SingleTxtG"/>
        <w:tabs>
          <w:tab w:val="left" w:pos="1276"/>
        </w:tabs>
        <w:spacing w:line="220" w:lineRule="exact"/>
        <w:rPr>
          <w:rFonts w:eastAsiaTheme="minorEastAsia"/>
          <w:sz w:val="18"/>
          <w:szCs w:val="18"/>
        </w:rPr>
      </w:pPr>
      <w:r w:rsidRPr="00C8047A">
        <w:rPr>
          <w:sz w:val="18"/>
          <w:szCs w:val="18"/>
        </w:rPr>
        <w:tab/>
      </w:r>
      <w:r w:rsidRPr="00C8047A">
        <w:rPr>
          <w:i/>
          <w:iCs/>
          <w:sz w:val="18"/>
          <w:szCs w:val="18"/>
        </w:rPr>
        <w:t>Источник</w:t>
      </w:r>
      <w:r w:rsidRPr="00C8047A">
        <w:rPr>
          <w:sz w:val="18"/>
          <w:szCs w:val="18"/>
        </w:rPr>
        <w:t>: ЕЭК.</w:t>
      </w:r>
    </w:p>
    <w:p w14:paraId="23730A7E" w14:textId="77777777" w:rsidR="0017080B" w:rsidRPr="00F84820" w:rsidRDefault="0017080B" w:rsidP="00C8047A">
      <w:pPr>
        <w:pStyle w:val="H23G"/>
      </w:pPr>
      <w:r>
        <w:tab/>
      </w:r>
      <w:r w:rsidRPr="00F84820">
        <w:t>2.</w:t>
      </w:r>
      <w:r w:rsidRPr="00F84820">
        <w:tab/>
        <w:t>Группа экспертов по сопоставительному анализу затрат на строительство транспортной инфраструктуры</w:t>
      </w:r>
    </w:p>
    <w:p w14:paraId="0F664B55" w14:textId="77777777" w:rsidR="0017080B" w:rsidRPr="00F84820" w:rsidRDefault="0017080B" w:rsidP="00C8047A">
      <w:pPr>
        <w:pStyle w:val="SingleTxtG"/>
      </w:pPr>
      <w:r w:rsidRPr="00F84820">
        <w:t>28.</w:t>
      </w:r>
      <w:r w:rsidRPr="00F84820">
        <w:tab/>
        <w:t>Мандат Группы, которая была учреждена в октябре 2016 года под эгидой WP.5, предусматривает, что в окончательном докладе Группы, который должен быть представлен к сентябрю 2022 года, необходимо:</w:t>
      </w:r>
    </w:p>
    <w:p w14:paraId="6264C143" w14:textId="7DE4EDE1" w:rsidR="0017080B" w:rsidRPr="00F84820" w:rsidRDefault="0017080B" w:rsidP="00C8047A">
      <w:pPr>
        <w:pStyle w:val="Bullet1G"/>
      </w:pPr>
      <w:r w:rsidRPr="00F84820">
        <w:tab/>
        <w:t>выявить модели, методики, инструменты и надлежащую практику оценки, расчета и анализа затрат на инфраструктуру внутреннего транспорта;</w:t>
      </w:r>
    </w:p>
    <w:p w14:paraId="4E5708D2" w14:textId="5286BD3C" w:rsidR="0017080B" w:rsidRPr="00F84820" w:rsidRDefault="0017080B" w:rsidP="00C8047A">
      <w:pPr>
        <w:pStyle w:val="Bullet1G"/>
      </w:pPr>
      <w:r w:rsidRPr="00F84820">
        <w:tab/>
        <w:t>выявить и составить перечень терминов, используемых в связи с затратами на инфраструктуру внутреннего транспорта;</w:t>
      </w:r>
    </w:p>
    <w:p w14:paraId="7BFA4630" w14:textId="1616813D" w:rsidR="0017080B" w:rsidRPr="00F84820" w:rsidRDefault="0017080B" w:rsidP="00C8047A">
      <w:pPr>
        <w:pStyle w:val="Bullet1G"/>
      </w:pPr>
      <w:r w:rsidRPr="00F84820">
        <w:tab/>
        <w:t>собрать и проанализировать данные, необходимые для сопоставительного анализа затрат на строительство транспортной инфраструктуры внутреннего транспорта.</w:t>
      </w:r>
    </w:p>
    <w:p w14:paraId="4B63A0D7" w14:textId="77777777" w:rsidR="0017080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4820">
        <w:rPr>
          <w:rFonts w:cs="Times New Roman"/>
          <w:szCs w:val="20"/>
        </w:rPr>
        <w:t>29.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На тридцать четвертой сессии WP.5 Председатель GE.4 проинформировал Рабочую группу о том, что в соответствии с просьбой, высказанной на ее сессии в прошлом году, КВТ на своей восемьдесят третьей сессии в феврале 2021 года согласился продлить мандат Группы еще на один год до 2022 года. Цель продления мандата, как определил КВТ, заключается в продолжении и совершенствовании усилий Группы по сбору данных по всем видам транспорта, что позволит подготовить более насыщенный данными итоговый доклад, а также дополнительный сравнительный анализ расходов на техническое обслуживание и эксплуатацию транспортной инфраструктуры.</w:t>
      </w:r>
    </w:p>
    <w:p w14:paraId="481E2641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bookmarkStart w:id="1" w:name="_Hlk87541754"/>
      <w:r w:rsidRPr="00F84820">
        <w:rPr>
          <w:rFonts w:cs="Times New Roman"/>
          <w:szCs w:val="20"/>
        </w:rPr>
        <w:t>30.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На своей одиннадцатой сессии, которая состоялась в апреле 2021 года, GE.4/WP.5 подготовила ряд новых результатов (пересмотры ранее подготовленных документов), включая сборник примеров надлежащей практики на национальном уровне для оценки и расчета затрат на строительство транспортной инфраструктуры (ECE/TRANS/WP.5/2020/7/Rev.1) и пересмотренный сводный перечень терминов по соответствующим затратам на инфраструктуру автомобильного, железнодорожного, внутреннего водного транспорта и на ее техническое содержание и эксплуатацию, содержащийся в документе ECE/TRANS/WP.5/GE.4/2019/1/Rev.3. Кроме того, она также подготовила и представила два новых вопросника по расходам на техническое содержание и эксплуатацию автомобильной и железнодорожной инфраструктуры (ECE/TRANS/WP.5/2021/5).</w:t>
      </w:r>
    </w:p>
    <w:bookmarkEnd w:id="1"/>
    <w:p w14:paraId="47AE76C3" w14:textId="77777777" w:rsidR="0017080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4820">
        <w:rPr>
          <w:rFonts w:cs="Times New Roman"/>
          <w:szCs w:val="20"/>
        </w:rPr>
        <w:t>31.</w:t>
      </w:r>
      <w:r w:rsidRPr="00F84820">
        <w:rPr>
          <w:rFonts w:cs="Times New Roman"/>
          <w:szCs w:val="20"/>
        </w:rPr>
        <w:tab/>
        <w:t xml:space="preserve">WP.5 приняла к сведению прогресс, достигнутый группой экспертов, в частности в отношении подготовленных ею дополнительных вопросников по расходам на техническое содержание и эксплуатацию транспорта. WP.5 поддержала идею о том, чтобы эти вопросники были представлены Рабочим группам SC.1, SC.2 и SC.3/WP.3, занимающимся конкретными видами транспорта, для целей сбора данных. WP.5, наконец, решила взять на себя более активную роль в поддержке усилий по сбору данных, повысить осведомленность о деятельности Группы и попытаться </w:t>
      </w:r>
      <w:r w:rsidRPr="00F84820">
        <w:rPr>
          <w:rFonts w:cs="Times New Roman"/>
          <w:szCs w:val="20"/>
        </w:rPr>
        <w:lastRenderedPageBreak/>
        <w:t>поддержать географическое расширение Группы и полученных ею данных, что приведет к подготовке более насыщенного данными заключительного доклада, который будет представлен Группой на сессии WP.5 в 2022 году.</w:t>
      </w:r>
    </w:p>
    <w:p w14:paraId="0B0EE6F1" w14:textId="77777777" w:rsidR="0017080B" w:rsidRPr="00F84820" w:rsidRDefault="0017080B" w:rsidP="004F2AB2">
      <w:pPr>
        <w:pStyle w:val="H1G"/>
        <w:rPr>
          <w:rFonts w:eastAsia="SimSun"/>
        </w:rPr>
      </w:pPr>
      <w:r>
        <w:tab/>
      </w:r>
      <w:r w:rsidRPr="00F84820">
        <w:t>E.</w:t>
      </w:r>
      <w:r w:rsidRPr="00F84820">
        <w:tab/>
        <w:t>Обзор и мониторинг возникающих проблем и достижения целей устойчивого развития</w:t>
      </w:r>
    </w:p>
    <w:p w14:paraId="55BE65B2" w14:textId="61930EA2" w:rsidR="0017080B" w:rsidRPr="00F84820" w:rsidRDefault="0017080B" w:rsidP="004F2AB2">
      <w:pPr>
        <w:pStyle w:val="H23G"/>
      </w:pPr>
      <w:r>
        <w:tab/>
      </w:r>
      <w:r w:rsidRPr="00F84820">
        <w:t>1.</w:t>
      </w:r>
      <w:r w:rsidRPr="00F84820">
        <w:tab/>
        <w:t>Продолжающаяся работа Неофициальной междисциплинарной консультативной группы по мерам реагирования транспортного сектора на</w:t>
      </w:r>
      <w:r w:rsidR="004F2AB2">
        <w:rPr>
          <w:lang w:val="fr-CH"/>
        </w:rPr>
        <w:t> </w:t>
      </w:r>
      <w:r w:rsidRPr="00F84820">
        <w:t>кризис, вызванный COVID-19</w:t>
      </w:r>
    </w:p>
    <w:p w14:paraId="045035B5" w14:textId="77777777" w:rsidR="0017080B" w:rsidRDefault="0017080B" w:rsidP="0017080B">
      <w:pPr>
        <w:spacing w:line="240" w:lineRule="auto"/>
        <w:ind w:left="1134"/>
        <w:outlineLvl w:val="0"/>
        <w:rPr>
          <w:rFonts w:eastAsia="Times New Roman" w:cs="Times New Roman"/>
          <w:szCs w:val="20"/>
          <w:lang w:eastAsia="fr-FR"/>
        </w:rPr>
      </w:pPr>
      <w:r w:rsidRPr="00F84820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1191DCCD" wp14:editId="23D07147">
            <wp:extent cx="1858826" cy="1567685"/>
            <wp:effectExtent l="0" t="0" r="8255" b="0"/>
            <wp:docPr id="51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478481A-9F46-4586-BEA4-21C4FD1A2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478481A-9F46-4586-BEA4-21C4FD1A2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1712" cy="157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24A4" w14:textId="77777777" w:rsidR="0017080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4820">
        <w:rPr>
          <w:rFonts w:cs="Times New Roman"/>
          <w:szCs w:val="20"/>
        </w:rPr>
        <w:t>32.</w:t>
      </w:r>
      <w:r w:rsidRPr="00F84820">
        <w:rPr>
          <w:rFonts w:cs="Times New Roman"/>
          <w:szCs w:val="20"/>
        </w:rPr>
        <w:tab/>
        <w:t>На своей восемьдесят второй ежегодной сессии (Женева, 25–28 февраля 2020 года) КВТ поручил секретариату в тесном сотрудничестве с Бюро и при поддержке заинтересованных правительств и ключевых заинтересованных сторон провести необходимые исследования по положениям в уже существующих рамках и новым необходимым областям работы для развития сотрудничества между транспортными ведомствами в области противодействия последствиям чрезвычайных ситуаций межстранового характера, включая эпидемии и пандемии, и представить эту информацию WP.5 для рассмотрения дальнейших шагов и включения в ее программу работы.</w:t>
      </w:r>
    </w:p>
    <w:p w14:paraId="096F70C9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33.</w:t>
      </w:r>
      <w:r w:rsidRPr="00F84820">
        <w:rPr>
          <w:rFonts w:cs="Times New Roman"/>
          <w:szCs w:val="20"/>
        </w:rPr>
        <w:tab/>
        <w:t>В ответ на эту задачу и по мере дальнейшего развития пандемии секретариат учредил Неофициальную междисциплинарную консультативную группу по мерам реагирования транспортного сектора на кризис, вызванный COVID-19, первое виртуальное совещание которой состоялось 26 июня 2020 года, а второе</w:t>
      </w:r>
      <w:r>
        <w:rPr>
          <w:rFonts w:cs="Times New Roman"/>
          <w:szCs w:val="20"/>
        </w:rPr>
        <w:t> </w:t>
      </w:r>
      <w:r w:rsidRPr="00F84820">
        <w:rPr>
          <w:rFonts w:cs="Times New Roman"/>
          <w:szCs w:val="20"/>
        </w:rPr>
        <w:t>— 8 сентября 2020 года в рамках тридцать третьей сессии WP.5. На основе материалов, полученных от правительств и других заинтересованных сторон в ходе заседаний Междисциплинарной консультативной группы, и руководящих указаний, полученных от WP.5 в сентябре 2020 года и Бюро КВТ на его сессии в ноябре 2020 года, секретариатом был подготовлен рабочий документ (ECE/TRANS/2021/4), который был представлен КВТ на его восемьдесят третьей сессии для рассмотрения и возможного одобрения последующих шагов.</w:t>
      </w:r>
    </w:p>
    <w:p w14:paraId="13469442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34.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 xml:space="preserve">КВТ на своей восемьдесят третьей сессии рассмотрел этот документ и решил продлить мандат Консультативной группы еще на один год, до февраля 2022 года, и </w:t>
      </w:r>
      <w:r>
        <w:rPr>
          <w:rFonts w:cs="Times New Roman"/>
          <w:szCs w:val="20"/>
        </w:rPr>
        <w:t>«</w:t>
      </w:r>
      <w:r w:rsidRPr="00F84820">
        <w:rPr>
          <w:rFonts w:cs="Times New Roman"/>
          <w:szCs w:val="20"/>
        </w:rPr>
        <w:t>расширить сотрудничество между рабочими группами, а также между КВТ и другими специализированными учреждениями системы ООН, включая ИМО и ИКАО, способствуя более скоординированному выполнению программы работы и повышению операционной совместимости</w:t>
      </w:r>
      <w:r>
        <w:rPr>
          <w:rFonts w:cs="Times New Roman"/>
          <w:szCs w:val="20"/>
        </w:rPr>
        <w:t>»</w:t>
      </w:r>
      <w:r w:rsidRPr="00F84820">
        <w:rPr>
          <w:rFonts w:cs="Times New Roman"/>
          <w:szCs w:val="20"/>
        </w:rPr>
        <w:t>.</w:t>
      </w:r>
    </w:p>
    <w:p w14:paraId="15B25529" w14:textId="1BBF8400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35.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В ответ на вышеуказанное поручение КВТ Председатель WP.5 решил провести неофициальное совещание с председателями и заместителями председателей рабочих групп по конкретным видам транспорта (SC.1, SC.3/WP.3, WP.5, WP.24, WP.30) в конце мая 2021 года, после чего в июне 2021 года состоится третья сессия Многодисциплинарной консультативной группы с участием ИМО и ИКАО. Обсуждения были сосредоточены на выявлении общих черт и извлеченных уроков, касающихся того, как (под)секторы морского, воздушного и внутреннего транспорта отреагировали на пандемию COVID-19.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Полученная дополнительная информация и пересмотренный набор рекомендаций были включены в документ ECE/TRANS/</w:t>
      </w:r>
      <w:r w:rsidR="004F2AB2" w:rsidRPr="004F2AB2"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WP.5/2020/10/Rev.1 и переданы WP.5 для дальнейших указаний.</w:t>
      </w:r>
    </w:p>
    <w:p w14:paraId="7579CDAC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lastRenderedPageBreak/>
        <w:t>36.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В пересмотренном наборе рекомендаций определены следующие основные направления для возможных дальнейших действий:</w:t>
      </w:r>
    </w:p>
    <w:p w14:paraId="5CD44023" w14:textId="1D37A9A7" w:rsidR="0017080B" w:rsidRPr="00F84820" w:rsidRDefault="004F2AB2" w:rsidP="004F2AB2">
      <w:pPr>
        <w:pStyle w:val="SingleTxtG"/>
      </w:pPr>
      <w:r>
        <w:tab/>
      </w:r>
      <w:r w:rsidR="0017080B" w:rsidRPr="00F84820">
        <w:t>a)</w:t>
      </w:r>
      <w:r w:rsidR="0017080B">
        <w:tab/>
      </w:r>
      <w:r w:rsidR="0017080B" w:rsidRPr="00F84820">
        <w:t>На уровне международного транспортного регулирования:</w:t>
      </w:r>
    </w:p>
    <w:p w14:paraId="55AD53E8" w14:textId="77777777" w:rsidR="0017080B" w:rsidRPr="00A50290" w:rsidRDefault="0017080B" w:rsidP="004F2AB2">
      <w:pPr>
        <w:pStyle w:val="Bullet1G"/>
      </w:pPr>
      <w:r w:rsidRPr="00A50290">
        <w:t>уделять приоритет подходу, ориентированному на человека/признать важную роль работников транспорта</w:t>
      </w:r>
      <w:r>
        <w:t>;</w:t>
      </w:r>
    </w:p>
    <w:p w14:paraId="7578D946" w14:textId="77777777" w:rsidR="0017080B" w:rsidRPr="00A50290" w:rsidRDefault="0017080B" w:rsidP="004F2AB2">
      <w:pPr>
        <w:pStyle w:val="Bullet1G"/>
      </w:pPr>
      <w:r w:rsidRPr="00A50290">
        <w:t>оценить, как «временные» меры, вызванные COVID-19 (временное продление срока действия разрешений и документов или временные исключения и меры содействия), могут быть преобразованы в чрезвычайные протоколы.</w:t>
      </w:r>
    </w:p>
    <w:p w14:paraId="38344525" w14:textId="77777777" w:rsidR="0017080B" w:rsidRPr="00F84820" w:rsidRDefault="0017080B" w:rsidP="0017080B">
      <w:pPr>
        <w:spacing w:after="120"/>
        <w:ind w:left="1134" w:right="1134" w:firstLine="567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b)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На уровне существующих международных правовых документов:</w:t>
      </w:r>
    </w:p>
    <w:p w14:paraId="484D79E0" w14:textId="77777777" w:rsidR="0017080B" w:rsidRPr="00A50290" w:rsidRDefault="0017080B" w:rsidP="004F2AB2">
      <w:pPr>
        <w:pStyle w:val="Bullet1G"/>
      </w:pPr>
      <w:r w:rsidRPr="00A50290">
        <w:t>оценить, как инфраструктурные соглашения СЛКП, СМА, СМЖЛ и СМВП могут служить основой для определения критически важных маршрутов и узлов, которые должны оставаться открытыми при любых обстоятельствах</w:t>
      </w:r>
      <w:r>
        <w:t>;</w:t>
      </w:r>
    </w:p>
    <w:p w14:paraId="5F49739E" w14:textId="77777777" w:rsidR="0017080B" w:rsidRPr="00A50290" w:rsidRDefault="0017080B" w:rsidP="004F2AB2">
      <w:pPr>
        <w:pStyle w:val="Bullet1G"/>
      </w:pPr>
      <w:r w:rsidRPr="00A50290">
        <w:t>оценить, как в рамках Конвенции о согласовании, например, могут быть определены критерии для сухопутных пунктов пропуска через границы, которые должны оставаться открытыми в любое время, чтобы обеспечить возможность международных перевозок важнейших грузов и предметов первой необходимости.</w:t>
      </w:r>
    </w:p>
    <w:p w14:paraId="1FE56E29" w14:textId="7B74213D" w:rsidR="0017080B" w:rsidRDefault="004F2AB2" w:rsidP="004F2AB2">
      <w:pPr>
        <w:pStyle w:val="SingleTxtG"/>
      </w:pPr>
      <w:r>
        <w:tab/>
      </w:r>
      <w:r w:rsidR="0017080B" w:rsidRPr="00F84820">
        <w:t>c)</w:t>
      </w:r>
      <w:r w:rsidR="0017080B" w:rsidRPr="00F84820">
        <w:tab/>
        <w:t>На уровне непрерывного секторального и межсекторального диалога по вопросам подготовленности к пандемиям:</w:t>
      </w:r>
    </w:p>
    <w:p w14:paraId="3FBFD4BD" w14:textId="77777777" w:rsidR="0017080B" w:rsidRPr="003B034A" w:rsidRDefault="0017080B" w:rsidP="004F2AB2">
      <w:pPr>
        <w:pStyle w:val="Bullet1G"/>
      </w:pPr>
      <w:r w:rsidRPr="003B034A">
        <w:t>включить вопросы подготовленности к пандемиям/чрезвычайным ситуациям в качестве постоянного пункта повестки дня предстоящих сессий рабочих групп, занимающихся конкретными видами транспорта (SC.1, SC.2, SC.3, WP.24 и WP.30)</w:t>
      </w:r>
      <w:r>
        <w:t>;</w:t>
      </w:r>
    </w:p>
    <w:p w14:paraId="3D513931" w14:textId="77777777" w:rsidR="0017080B" w:rsidRPr="003B034A" w:rsidRDefault="0017080B" w:rsidP="004F2AB2">
      <w:pPr>
        <w:pStyle w:val="Bullet1G"/>
      </w:pPr>
      <w:r w:rsidRPr="003B034A">
        <w:t>продолжить работу, проделанную к настоящему времени неофициальной консультативной группой, и изучение конкретных мер/инструментов, которые могут быть разработаны с целью повышения устойчивости системы внутреннего транспорта к будущим пандемиям, таких как, например, разработка концепции планирования действий в особой обстановке для железнодорожного, автомобильного и внутреннего водного транспорта.</w:t>
      </w:r>
    </w:p>
    <w:p w14:paraId="700BE12B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37.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На своей тридцать четвертой сессии WP.5 рассмотрела представленные рекомендации и поручила секретариату подготовить для предстоящей сессии КВТ официальный документ, включающий разработанные к настоящему времени рекомендации, а также предлагаемый план действий по их осуществлению, и разработать концептуальную записку для дальнейшего обмена информацией и возможного планирования действий в особой обстановке для железнодорожного, а также автомобильного и внутреннего водного транспорта. WP.5 также поручила секретариату повышать осведомленность о важной роли, которую работники транспорта играют в поддержании работоспособности цепочек поставок во время пандемий и других чрезвычайных ситуаций, и обеспечить их приоритетный доступ к системам здравоохранения.</w:t>
      </w:r>
    </w:p>
    <w:p w14:paraId="12CA1CB2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38.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В ответ на это поручение секретариат подготовил Рабочий документ 20 (ECE/TRANS/2022/20) для рассмотрения КВТ на его предстоящей сессии.</w:t>
      </w:r>
    </w:p>
    <w:p w14:paraId="6EBB85B2" w14:textId="77777777" w:rsidR="0017080B" w:rsidRPr="00F84820" w:rsidRDefault="0017080B" w:rsidP="004F2AB2">
      <w:pPr>
        <w:pStyle w:val="H23G"/>
      </w:pPr>
      <w:r>
        <w:lastRenderedPageBreak/>
        <w:tab/>
      </w:r>
      <w:r w:rsidRPr="00F84820">
        <w:t>2.</w:t>
      </w:r>
      <w:r w:rsidRPr="00F84820">
        <w:tab/>
        <w:t>Разработка показателей устойчивой связности инфраструктуры внутреннего транспорта</w:t>
      </w:r>
    </w:p>
    <w:p w14:paraId="2B04DDE0" w14:textId="77777777" w:rsidR="0017080B" w:rsidRPr="00F84820" w:rsidRDefault="0017080B" w:rsidP="0017080B">
      <w:pPr>
        <w:spacing w:after="120"/>
        <w:ind w:right="1134"/>
        <w:jc w:val="center"/>
        <w:rPr>
          <w:rFonts w:eastAsia="Times New Roman" w:cs="Times New Roman"/>
          <w:szCs w:val="20"/>
          <w:lang w:val="en-GB" w:eastAsia="fr-FR"/>
        </w:rPr>
      </w:pPr>
      <w:r w:rsidRPr="00F84820">
        <w:rPr>
          <w:rFonts w:eastAsia="Times New Roman" w:cs="Times New Roman"/>
          <w:noProof/>
          <w:szCs w:val="20"/>
          <w:lang w:val="en-GB" w:eastAsia="fr-FR"/>
        </w:rPr>
        <w:drawing>
          <wp:inline distT="0" distB="0" distL="0" distR="0" wp14:anchorId="0E966B3E" wp14:editId="3B9CD0B6">
            <wp:extent cx="4260253" cy="1094779"/>
            <wp:effectExtent l="0" t="0" r="6985" b="0"/>
            <wp:docPr id="5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958C2A3-649D-44CF-A2D9-FC33B7C1E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958C2A3-649D-44CF-A2D9-FC33B7C1E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0253" cy="10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968A" w14:textId="5FDBA6E8" w:rsidR="0017080B" w:rsidRPr="004F2AB2" w:rsidRDefault="004F2AB2" w:rsidP="004F2AB2">
      <w:pPr>
        <w:pStyle w:val="SingleTxtG"/>
        <w:tabs>
          <w:tab w:val="left" w:pos="1276"/>
        </w:tabs>
        <w:spacing w:line="220" w:lineRule="exact"/>
        <w:jc w:val="left"/>
        <w:rPr>
          <w:sz w:val="18"/>
          <w:szCs w:val="18"/>
        </w:rPr>
      </w:pPr>
      <w:r>
        <w:rPr>
          <w:i/>
          <w:iCs/>
          <w:sz w:val="18"/>
          <w:szCs w:val="18"/>
        </w:rPr>
        <w:tab/>
      </w:r>
      <w:r w:rsidR="0017080B" w:rsidRPr="004F2AB2">
        <w:rPr>
          <w:i/>
          <w:iCs/>
          <w:sz w:val="18"/>
          <w:szCs w:val="18"/>
        </w:rPr>
        <w:t>Источник</w:t>
      </w:r>
      <w:r w:rsidR="0017080B" w:rsidRPr="004F2AB2">
        <w:rPr>
          <w:sz w:val="18"/>
          <w:szCs w:val="18"/>
        </w:rPr>
        <w:t>: ЕЭК.</w:t>
      </w:r>
    </w:p>
    <w:p w14:paraId="1B5C26DE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39.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На тридцать четвертой сессии WP.5 был представлен набор 215 показателей устойчивой связности инфраструктуры внутреннего транспорта (ПУСИВТ), которые были разработаны в рамках проекта Счета развития ООН (СРООН) под названием «Устойчивая связность транспортной инфраструктуры и достижение ЦУР в области транспорта в отдельных не имеющих выхода к морю странах и странах транзита/промежуточных странах», осуществляемого ЕЭК в сотрудничестве с ЭСКЗА и ЭКЛАК.</w:t>
      </w:r>
    </w:p>
    <w:p w14:paraId="394BDA81" w14:textId="77777777" w:rsidR="0017080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4820">
        <w:rPr>
          <w:rFonts w:cs="Times New Roman"/>
          <w:szCs w:val="20"/>
        </w:rPr>
        <w:t>40.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Основная цель показателей, которые были протестированы и утверждены в пяти странах экспериментального осуществления (включая Грузию, Иорданию, Казахстан, Парагвай и Сербию), заключается в том, чтобы предложить правительствам инструмент для измерения и квалификации степени их транспортной связности как внутри страны, так и на двустороннем/субрегиональном уровне, а также с точки зрения «мягкой» и «твердой» инфраструктуры.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Эти показатели также дают правительствам возможность оценить степень реализации ими соответствующих правовых документов, соглашений и конвенций Организации Объединенных Наций и степень совместимости их систем внутреннего транспорта с системами, действующими в их (суб)регионах.</w:t>
      </w:r>
    </w:p>
    <w:p w14:paraId="2E0A681F" w14:textId="77777777" w:rsidR="0017080B" w:rsidRDefault="0017080B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 w:rsidRPr="00F84820">
        <w:rPr>
          <w:rFonts w:cs="Times New Roman"/>
          <w:szCs w:val="20"/>
        </w:rPr>
        <w:t>41.</w:t>
      </w:r>
      <w:r w:rsidRPr="00F84820">
        <w:rPr>
          <w:rFonts w:cs="Times New Roman"/>
          <w:szCs w:val="20"/>
        </w:rPr>
        <w:tab/>
        <w:t>Эти показатели структурированы по трем основным компонентам устойчивости и применяются во всех четырех секторах внутреннего транспорта, включая автомобильный, железнодорожный, внутренний водный транспорт и интермодальные перевозки. Компонент, касающийся экономической устойчивости, содержит набор конкретных показателей, направленных на оценку эффективности процедур пересечения границы, времени и затрат, а также качества (интермодальной) инфраструктуры и использования информационно-коммуникационных технологий (ИКТ) и интеллектуальных транспортных решений. В рамках компонента, касающегося социальной устойчивости, был разработан набор видов деятельности, направленных на оценку адекватности мер по обеспечению соблюдения правил дорожного движения, дорожную инфраструктуру, правила, касающиеся транспортных средств, и административные рамки для трансграничной перевозки скоропортящихся продуктов питания и опасных грузов. В рамках компонента, касающегося экологической устойчивости, были разработаны показатели для оценки мер, направленных на сокращение выбросов парниковых газов, загрязняющих воздух веществ и шума.</w:t>
      </w:r>
    </w:p>
    <w:p w14:paraId="60493E42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42.</w:t>
      </w:r>
      <w:r>
        <w:rPr>
          <w:rFonts w:cs="Times New Roman"/>
          <w:szCs w:val="20"/>
        </w:rPr>
        <w:tab/>
      </w:r>
      <w:r w:rsidRPr="00F84820">
        <w:rPr>
          <w:rFonts w:cs="Times New Roman"/>
          <w:szCs w:val="20"/>
        </w:rPr>
        <w:t>Для того чтобы способствовать использованию оценки ПУСИВТ и сделать ее максимально удобной и доступной, были разработаны автоматизированная платформа для пользователей ПУСИВТ и сбора данных и интерактивный курс электронного обучения по использованию показателей.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Оба инструмента будут доступны к началу 2022 года на английском, французском, русском, арабском и испанском языках.</w:t>
      </w:r>
    </w:p>
    <w:p w14:paraId="42CCC331" w14:textId="3CD0A1ED" w:rsidR="0017080B" w:rsidRPr="00F84820" w:rsidRDefault="004F2AB2" w:rsidP="004F2AB2">
      <w:pPr>
        <w:pStyle w:val="H23G"/>
      </w:pPr>
      <w:r w:rsidRPr="004F2AB2">
        <w:rPr>
          <w:b w:val="0"/>
          <w:bCs/>
        </w:rPr>
        <w:tab/>
      </w:r>
      <w:r w:rsidRPr="004F2AB2">
        <w:rPr>
          <w:b w:val="0"/>
          <w:bCs/>
        </w:rPr>
        <w:tab/>
      </w:r>
      <w:r w:rsidR="0017080B" w:rsidRPr="004F2AB2">
        <w:rPr>
          <w:b w:val="0"/>
          <w:bCs/>
        </w:rPr>
        <w:t>Рис. 5</w:t>
      </w:r>
      <w:r>
        <w:br/>
      </w:r>
      <w:r w:rsidR="0017080B" w:rsidRPr="00F84820">
        <w:t>Три центральные пользовательские информационные панели показателей устойчивой связности инфраструктуры внутреннего транспорта</w:t>
      </w:r>
    </w:p>
    <w:p w14:paraId="4468F742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  <w:lang w:val="en-GB" w:eastAsia="fr-FR"/>
        </w:rPr>
      </w:pPr>
      <w:r w:rsidRPr="00F84820">
        <w:rPr>
          <w:rFonts w:eastAsia="Times New Roman" w:cs="Times New Roman"/>
          <w:noProof/>
          <w:szCs w:val="20"/>
          <w:lang w:val="en-GB" w:eastAsia="fr-FR"/>
        </w:rPr>
        <w:lastRenderedPageBreak/>
        <w:drawing>
          <wp:inline distT="0" distB="0" distL="0" distR="0" wp14:anchorId="09FFAFE3" wp14:editId="310B3BCE">
            <wp:extent cx="5286375" cy="248153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0924" cy="24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6B42" w14:textId="2484AB4B" w:rsidR="0017080B" w:rsidRPr="004F2AB2" w:rsidRDefault="00DF55B1" w:rsidP="00DF55B1">
      <w:pPr>
        <w:pStyle w:val="SingleTxtG"/>
        <w:tabs>
          <w:tab w:val="left" w:pos="1276"/>
        </w:tabs>
        <w:spacing w:line="220" w:lineRule="exact"/>
        <w:jc w:val="left"/>
        <w:rPr>
          <w:sz w:val="18"/>
          <w:szCs w:val="18"/>
        </w:rPr>
      </w:pPr>
      <w:r>
        <w:rPr>
          <w:i/>
          <w:iCs/>
          <w:sz w:val="18"/>
          <w:szCs w:val="18"/>
        </w:rPr>
        <w:tab/>
      </w:r>
      <w:r w:rsidR="0017080B" w:rsidRPr="004F2AB2">
        <w:rPr>
          <w:i/>
          <w:iCs/>
          <w:sz w:val="18"/>
          <w:szCs w:val="18"/>
        </w:rPr>
        <w:t>Источник</w:t>
      </w:r>
      <w:r w:rsidR="0017080B" w:rsidRPr="004F2AB2">
        <w:rPr>
          <w:sz w:val="18"/>
          <w:szCs w:val="18"/>
        </w:rPr>
        <w:t>: ЕЭК.</w:t>
      </w:r>
    </w:p>
    <w:p w14:paraId="4E397301" w14:textId="06D0810C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43.</w:t>
      </w:r>
      <w:r w:rsidRPr="00F84820">
        <w:rPr>
          <w:rFonts w:cs="Times New Roman"/>
          <w:szCs w:val="20"/>
        </w:rPr>
        <w:tab/>
        <w:t>В соответствии с поручением, данным WP.5 на ее тридцать четвертой сессии, секретариат опубликует в начале 2022 года полный набор показателей и опыт пяти стран экспериментального осуществления, которые их использовали, в качестве официальной публикации Организации Объединенных Наций на трех рабочих языках</w:t>
      </w:r>
      <w:r w:rsidR="004F2AB2">
        <w:rPr>
          <w:rFonts w:cs="Times New Roman"/>
          <w:szCs w:val="20"/>
          <w:lang w:val="fr-CH"/>
        </w:rPr>
        <w:t> </w:t>
      </w:r>
      <w:r w:rsidRPr="00F84820">
        <w:rPr>
          <w:rFonts w:cs="Times New Roman"/>
          <w:szCs w:val="20"/>
        </w:rPr>
        <w:t>ЕЭК.</w:t>
      </w:r>
    </w:p>
    <w:p w14:paraId="0CFDD7C4" w14:textId="77777777" w:rsidR="0017080B" w:rsidRPr="00F84820" w:rsidRDefault="0017080B" w:rsidP="004F2AB2">
      <w:pPr>
        <w:pStyle w:val="H1G"/>
        <w:rPr>
          <w:rFonts w:eastAsia="SimSun"/>
        </w:rPr>
      </w:pPr>
      <w:r>
        <w:tab/>
      </w:r>
      <w:r w:rsidRPr="00F84820">
        <w:t>F.</w:t>
      </w:r>
      <w:r w:rsidRPr="00F84820">
        <w:tab/>
        <w:t>Безопасность на внутреннем транспорте</w:t>
      </w:r>
    </w:p>
    <w:p w14:paraId="014B2AFC" w14:textId="07F3703F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44.</w:t>
      </w:r>
      <w:r w:rsidRPr="00F84820">
        <w:rPr>
          <w:rFonts w:cs="Times New Roman"/>
          <w:szCs w:val="20"/>
        </w:rPr>
        <w:tab/>
        <w:t>Совместно с WP.5 16 сентября 2021 года было проведено рабочее совещание по аспектам безопасности перевозки опасных грузов в рамках Форума ЕЭК 2021 года по безопасности на внутреннем транспорте. Это мероприятие было организовано совместно секретариатом WP.5 и секретариатом Комитета и Подкомитета экспертов по перевозке опасных грузов, Совместным совещанием МПОГ/ДОПОГ/ВОПОГ, а также Комитетом по вопросам безопасности и Административным комитетом ВОПОГ. Модератором выступал представитель Франции в его качестве председателя Совместного совещания МПОГ/ДОПОГ/ВОПОГ, а основными докладчиками были представители ряда организаций и национальных агентств, включая Контртеррористический центр Организации Объединенных Наций (КТЦ ООН)/</w:t>
      </w:r>
      <w:r w:rsidR="004F2AB2" w:rsidRPr="004F2AB2"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Секцию по предотвращению террористических нападений с применением оружия массового уничтожения (ОМУ)/химического, биологического, радиологического или ядерного оружия (ХБРЯ) и реагированию на них; Отдел безопасности Международного союза железных дорог (МСЖД), и один национальный представитель от Федерального агентства по ядерному контролю Бельгии. В рабочем совещании приняли участие эксперты по безопасности перевозок опасных грузов и их охране, представляющие министерства транспорта и другие соответствующие органы управления автомобильным, железнодорожным и внутренним водным транспортом, а также представители частного сектора, научных кругов, исследовательских учреждений и независимые эксперты, работающие в этой области, из широкого круга государств-членов, в том числе из многих стран за пределами региона ЕЭК.</w:t>
      </w:r>
    </w:p>
    <w:p w14:paraId="3BBCC28A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45.</w:t>
      </w:r>
      <w:r w:rsidRPr="00F84820">
        <w:rPr>
          <w:rFonts w:cs="Times New Roman"/>
          <w:szCs w:val="20"/>
        </w:rPr>
        <w:tab/>
        <w:t xml:space="preserve">Члены дискуссионной группы и участники признали, что перевозка опасных грузов сопряжена с рисками как для безопасности, так и для охраны и что необходимо уделять должное внимание потенциальным рискам в результате кражи и нецелевого использования наиболее опасных грузов злонамеренными лицами для нанесения ущерба населению, имуществу, хозяйству или окружающей среде. Эта категория опасных грузов известна как </w:t>
      </w:r>
      <w:r>
        <w:rPr>
          <w:rFonts w:cs="Times New Roman"/>
          <w:szCs w:val="20"/>
        </w:rPr>
        <w:t>«</w:t>
      </w:r>
      <w:r w:rsidRPr="00F84820">
        <w:rPr>
          <w:rFonts w:cs="Times New Roman"/>
          <w:szCs w:val="20"/>
        </w:rPr>
        <w:t>грузы повышенной опасности</w:t>
      </w:r>
      <w:r>
        <w:rPr>
          <w:rFonts w:cs="Times New Roman"/>
          <w:szCs w:val="20"/>
        </w:rPr>
        <w:t>»</w:t>
      </w:r>
      <w:r w:rsidRPr="00F84820">
        <w:rPr>
          <w:rFonts w:cs="Times New Roman"/>
          <w:szCs w:val="20"/>
        </w:rPr>
        <w:t xml:space="preserve">, определяемые как грузы, которые могут быть использованы не по назначению, а в террористических целях. Такое нецелевое использование может повлечь за собой серьезные последствия в виде массовых человеческих жертв, массового уничтожения или массовых социально-экономические потрясений. Грузами повышенной опасности являются, например, большинство взрывчатых веществ, специфические токсичные вещества, </w:t>
      </w:r>
      <w:r w:rsidRPr="00F84820">
        <w:rPr>
          <w:rFonts w:cs="Times New Roman"/>
          <w:szCs w:val="20"/>
        </w:rPr>
        <w:lastRenderedPageBreak/>
        <w:t>инфекционные вещества и токсичные газы, а также десенсибилизированные взрывчатые вещества и радиоактивные материалы, превышающие определенный порог безопасности для перевозки. Было отмечено, что другие вещества и изделия также могут считаться опасными грузами повышенной опасности в зависимости от способа перевозки, опасных свойств, группы упаковки и перевозимого количества.</w:t>
      </w:r>
    </w:p>
    <w:p w14:paraId="537FFC6D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46.</w:t>
      </w:r>
      <w:r w:rsidRPr="00F84820">
        <w:rPr>
          <w:rFonts w:cs="Times New Roman"/>
          <w:szCs w:val="20"/>
        </w:rPr>
        <w:tab/>
        <w:t>Участники согласились с тем, что если аспекты безопасности при перевозке опасных грузов хорошо регулируются национальными и международными правилами, основанными на Рекомендациях Организации Объединенных Наций по перевозке опасных грузов, Типовые правила, то аспекты охраны выходят за рамки этих правил.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Было отмечено, что эти Типовые правила, которые готовятся Подкомитетом экспертов по перевозке опасных грузов Экономического и Социального Совета Организации Объединенных Наций (ЭКОСОС), обслуживаемым ЕЭК, обновляются каждые два года и применяются во всем мире в таких типовых правилах, как Европейское соглашение о международной дорожной перевозке опасных грузов (ДОПОГ), предназначенное для автомобильного транспорта, и Европейское соглашение о международной перевозке опасных грузов по внутренним водным путям (ВОПОГ), предназначенное для внутренних водных путей, а также Правила международной железнодорожной перевозки опасных грузов (МПОГ), находящиеся в ведении Межправительственной организации по международным железнодорожным перевозкам (ОТИФ).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Было подчеркнуто, что с целью обеспечения согласованности между этими различными системами регулирования Организация Объединенных Наций разработала механизмы для гармонизации критериев классификации опасности и средств оповещения об опасности, а также для условий перевозки на всех видах транспорта. Было отмечено, что, несмотря на то, что эти правила не являются основной целью, они определяют минимальный набор обязательных требований, касающихся безопасности, и что можно проверить, выиграет ли расширение этой системы от будущего рассмотрения на межправительственном уровне.</w:t>
      </w:r>
      <w:r>
        <w:rPr>
          <w:rFonts w:cs="Times New Roman"/>
          <w:szCs w:val="20"/>
        </w:rPr>
        <w:t xml:space="preserve"> </w:t>
      </w:r>
      <w:r w:rsidRPr="00F84820">
        <w:rPr>
          <w:rFonts w:cs="Times New Roman"/>
          <w:szCs w:val="20"/>
        </w:rPr>
        <w:t>Наконец, участники рабочего совещания согласились с тем, что в ожидании возможной разработки согласованной на международном уровне, более широкой системы обеспечения безопасности при перевозке опасных грузов, ключевое значение имеют разработка и внедрение национальными органами собственных национальных планов обеспечения безопасности при таких перевозках, а также повышение осведомленности и обучение их персонала в области сопутствующих рисков с целью обеспечения выполнения минимальных требований, предусмотренных вышеупомянутыми Типовыми правилами.</w:t>
      </w:r>
    </w:p>
    <w:p w14:paraId="7003D429" w14:textId="77777777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47.</w:t>
      </w:r>
      <w:r w:rsidRPr="00F84820">
        <w:rPr>
          <w:rFonts w:cs="Times New Roman"/>
          <w:szCs w:val="20"/>
        </w:rPr>
        <w:tab/>
        <w:t>Рабочая группа высоко оценила рабочее совещание по аспектам безопасности при перевозке опасных грузов в рамках своего направления работы по безопасности перевозок. Он согласилась с важностью реализации имеющейся нормативной базы, касающейся опасных грузов, повышения осведомленности и обучения персонала, а также отслеживания последних тенденций в этой области. Наконец, по предложению Российской Федерации Рабочая группа поручила секретариату провести в рамках своей следующей сессии рабочее совещание по вопросам защиты инфраструктуры внутреннего транспорта от актов незаконного вмешательства на этапах проектирования, строительства и эксплуатации.</w:t>
      </w:r>
    </w:p>
    <w:p w14:paraId="5DEF1EAE" w14:textId="08175BC8" w:rsidR="0017080B" w:rsidRPr="00F84820" w:rsidRDefault="0017080B" w:rsidP="0017080B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F84820">
        <w:rPr>
          <w:rFonts w:cs="Times New Roman"/>
          <w:szCs w:val="20"/>
        </w:rPr>
        <w:t>48.</w:t>
      </w:r>
      <w:r w:rsidRPr="00F84820">
        <w:rPr>
          <w:rFonts w:cs="Times New Roman"/>
          <w:szCs w:val="20"/>
        </w:rPr>
        <w:tab/>
        <w:t>Концептуальная записка, программа и полный набор сообщений, представленных на рабочем совещании, размещены на веб-странице тридцать четвертой сессии WP.5</w:t>
      </w:r>
      <w:r w:rsidR="00BF7730" w:rsidRPr="00BF7730">
        <w:rPr>
          <w:rFonts w:cs="Times New Roman"/>
          <w:szCs w:val="20"/>
        </w:rPr>
        <w:t xml:space="preserve"> </w:t>
      </w:r>
      <w:r w:rsidR="00BF7730" w:rsidRPr="00805224">
        <w:rPr>
          <w:rStyle w:val="af1"/>
          <w:rFonts w:asciiTheme="majorBidi" w:hAnsiTheme="majorBidi" w:cstheme="majorBidi"/>
        </w:rPr>
        <w:t>www.unece.org/transport/events/wp5-working-party-transport-trends-and-economics-34th-session</w:t>
      </w:r>
      <w:r w:rsidRPr="00F84820">
        <w:rPr>
          <w:rFonts w:cs="Times New Roman"/>
          <w:szCs w:val="20"/>
        </w:rPr>
        <w:t>.</w:t>
      </w:r>
    </w:p>
    <w:p w14:paraId="3978E7BB" w14:textId="6942EB16" w:rsidR="0017080B" w:rsidRPr="00873E66" w:rsidRDefault="0017080B" w:rsidP="0017080B">
      <w:pPr>
        <w:pStyle w:val="HChG"/>
      </w:pPr>
      <w:r>
        <w:rPr>
          <w:sz w:val="20"/>
        </w:rPr>
        <w:lastRenderedPageBreak/>
        <w:tab/>
      </w:r>
      <w:r w:rsidRPr="00873E66">
        <w:t>III.</w:t>
      </w:r>
      <w:r w:rsidRPr="00873E66">
        <w:tab/>
        <w:t>Аналитическая работа: публикации Рабочей группы по</w:t>
      </w:r>
      <w:r>
        <w:rPr>
          <w:lang w:val="fr-CH"/>
        </w:rPr>
        <w:t> </w:t>
      </w:r>
      <w:r w:rsidRPr="00873E66">
        <w:t>тенденциям и экономике транспорта</w:t>
      </w:r>
    </w:p>
    <w:p w14:paraId="6E5EC7B3" w14:textId="3886060F" w:rsidR="0017080B" w:rsidRPr="00873E66" w:rsidRDefault="0017080B" w:rsidP="0017080B">
      <w:pPr>
        <w:pStyle w:val="H1G"/>
      </w:pPr>
      <w:r w:rsidRPr="00F84820">
        <w:rPr>
          <w:sz w:val="20"/>
        </w:rPr>
        <w:tab/>
      </w:r>
      <w:r w:rsidRPr="00F84820">
        <w:rPr>
          <w:sz w:val="20"/>
        </w:rPr>
        <w:tab/>
      </w:r>
      <w:r w:rsidRPr="00873E66">
        <w:t>Интермодальные перевозки в эпоху COVID-19</w:t>
      </w:r>
      <w:r>
        <w:t> </w:t>
      </w:r>
      <w:r w:rsidRPr="00873E66">
        <w:t>— Практика, инициативы и меры реагирования: создание устойчивых к</w:t>
      </w:r>
      <w:r>
        <w:rPr>
          <w:lang w:val="fr-CH"/>
        </w:rPr>
        <w:t> </w:t>
      </w:r>
      <w:r w:rsidRPr="00873E66">
        <w:t>пандемиям транспортных систем (февраль 2021 года)</w:t>
      </w:r>
    </w:p>
    <w:p w14:paraId="452004E7" w14:textId="7AE9D499" w:rsidR="0017080B" w:rsidRDefault="0017080B" w:rsidP="0017080B">
      <w:pPr>
        <w:pStyle w:val="SingleTxtG"/>
      </w:pPr>
      <w:r w:rsidRPr="00F8482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7022B59" wp14:editId="167D4109">
            <wp:simplePos x="0" y="0"/>
            <wp:positionH relativeFrom="margin">
              <wp:posOffset>3481386</wp:posOffset>
            </wp:positionH>
            <wp:positionV relativeFrom="margin">
              <wp:posOffset>1347478</wp:posOffset>
            </wp:positionV>
            <wp:extent cx="2000250" cy="2779395"/>
            <wp:effectExtent l="0" t="0" r="0" b="1905"/>
            <wp:wrapSquare wrapText="bothSides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730">
        <w:tab/>
      </w:r>
      <w:r w:rsidRPr="00F84820">
        <w:t xml:space="preserve">Пандемия коронавируса (COVID-19) поставила наш все более взаимосвязанный мир в беспрецедентную ситуацию. Этот кризис привел к человеческим страданиям и экономическому спаду, которые сказываются на глобальных усилиях по улучшению условий жизни и достижению целей Организации Объединенных Наций в области устойчивого развития. Как показали ранние меры реагирования, принятые для сдерживания распространения пандемии COVID-19, предпринятые в странах ограниченные скоординированные действия, включая сокращение поездок и закрытие границ, негативно повлияли на наш интенсивно взаимосвязанный мир. В результате этих действий пострадали транспортные операции, что привело к нарушению функционирования производственно-сбытовых цепочек и торговых потоков. В результате доставка и наличие товаров первой необходимости, таких как продукты питания или лекарства, стали общей проблемой, подрывающей способность стран реагировать на COVID-19 и начать устойчивое восстановление. В данной публикации представлен всеобъемлющий обзор усилий, предпринимаемых Отделом устойчивого транспорта ЕЭК через посредство руководимых им различных рабочих групп в области внутреннего транспорта для оказания поддержки государствам-членам в их реагировании на этот кризис. Среди прочего в публикации затрагиваются вопросы, связанные с упрощением процедур пересечения границ, автомобильными, железнодорожными и интермодальными перевозками, перевозками опасных грузов и статистикой транспорта. Дан всеобъемлющий обзор стратегических мер реагирования транспорта на национальном, региональном, международном и отраслевом уровнях, а также более подробно представлены и изучены различные правовые документы ЕЭК в области транспорта, имеющие значение в контексте трансграничных </w:t>
      </w:r>
      <w:r w:rsidR="00BF7730">
        <w:br/>
      </w:r>
      <w:r w:rsidRPr="00F84820">
        <w:t>чрезвычайных ситуаций и пандемий.</w:t>
      </w:r>
      <w:r>
        <w:t xml:space="preserve"> </w:t>
      </w:r>
      <w:r w:rsidRPr="00F84820">
        <w:t>Публикация размещена по адресу</w:t>
      </w:r>
      <w:r w:rsidR="00BF7730" w:rsidRPr="00BF7730">
        <w:t xml:space="preserve"> </w:t>
      </w:r>
      <w:hyperlink r:id="rId31" w:history="1">
        <w:r w:rsidR="00BF7730" w:rsidRPr="00F17A2B">
          <w:rPr>
            <w:rStyle w:val="af1"/>
          </w:rPr>
          <w:t>https://unece.org/transport/publications/intermodal-transport-age-covid-19-practices-initiatives-and-responses</w:t>
        </w:r>
      </w:hyperlink>
      <w:r w:rsidRPr="00F84820">
        <w:t>.</w:t>
      </w:r>
    </w:p>
    <w:p w14:paraId="7868FAE4" w14:textId="77777777" w:rsidR="0017080B" w:rsidRPr="009254AD" w:rsidRDefault="0017080B" w:rsidP="00BF7730">
      <w:pPr>
        <w:pageBreakBefore/>
        <w:widowControl w:val="0"/>
        <w:tabs>
          <w:tab w:val="right" w:pos="851"/>
        </w:tabs>
        <w:spacing w:before="360" w:after="240" w:line="300" w:lineRule="exact"/>
        <w:ind w:left="1134" w:right="1134" w:hanging="1134"/>
        <w:rPr>
          <w:rFonts w:eastAsia="Times New Roman" w:cs="Times New Roman"/>
          <w:b/>
          <w:sz w:val="28"/>
          <w:szCs w:val="28"/>
        </w:rPr>
      </w:pPr>
      <w:r>
        <w:rPr>
          <w:rFonts w:cs="Times New Roman"/>
          <w:b/>
          <w:bCs/>
          <w:szCs w:val="20"/>
        </w:rPr>
        <w:lastRenderedPageBreak/>
        <w:tab/>
      </w:r>
      <w:r w:rsidRPr="009254AD">
        <w:rPr>
          <w:rFonts w:cs="Times New Roman"/>
          <w:b/>
          <w:bCs/>
          <w:sz w:val="28"/>
          <w:szCs w:val="28"/>
        </w:rPr>
        <w:t>IV.</w:t>
      </w:r>
      <w:r w:rsidRPr="009254AD">
        <w:rPr>
          <w:rFonts w:cs="Times New Roman"/>
          <w:sz w:val="28"/>
          <w:szCs w:val="28"/>
        </w:rPr>
        <w:tab/>
      </w:r>
      <w:r w:rsidRPr="009254AD">
        <w:rPr>
          <w:rFonts w:cs="Times New Roman"/>
          <w:b/>
          <w:bCs/>
          <w:sz w:val="28"/>
          <w:szCs w:val="28"/>
        </w:rPr>
        <w:t>Аналитическая работа: публикации Отдела устойчивого транспорта Европейской экономической комиссии Организации Объединенных Наций</w:t>
      </w:r>
    </w:p>
    <w:p w14:paraId="6E6DE906" w14:textId="5BAFC6F7" w:rsidR="0017080B" w:rsidRPr="009254AD" w:rsidRDefault="0017080B" w:rsidP="00BF7730">
      <w:pPr>
        <w:widowControl w:val="0"/>
        <w:tabs>
          <w:tab w:val="right" w:pos="851"/>
        </w:tabs>
        <w:spacing w:before="360" w:after="240" w:line="270" w:lineRule="exact"/>
        <w:ind w:left="1134" w:right="1134" w:hanging="1134"/>
        <w:rPr>
          <w:rFonts w:eastAsia="Times New Roman" w:cs="Times New Roman"/>
          <w:b/>
          <w:sz w:val="24"/>
          <w:szCs w:val="24"/>
        </w:rPr>
      </w:pPr>
      <w:r>
        <w:rPr>
          <w:rFonts w:cs="Times New Roman"/>
          <w:b/>
          <w:bCs/>
          <w:szCs w:val="20"/>
        </w:rPr>
        <w:tab/>
      </w:r>
      <w:r w:rsidRPr="009254AD">
        <w:rPr>
          <w:rFonts w:cs="Times New Roman"/>
          <w:b/>
          <w:bCs/>
          <w:sz w:val="24"/>
          <w:szCs w:val="24"/>
        </w:rPr>
        <w:t>A.</w:t>
      </w:r>
      <w:r w:rsidRPr="009254AD">
        <w:rPr>
          <w:rFonts w:cs="Times New Roman"/>
          <w:sz w:val="24"/>
          <w:szCs w:val="24"/>
        </w:rPr>
        <w:tab/>
      </w:r>
      <w:r w:rsidRPr="009254AD">
        <w:rPr>
          <w:rFonts w:cs="Times New Roman"/>
          <w:b/>
          <w:bCs/>
          <w:sz w:val="24"/>
          <w:szCs w:val="24"/>
        </w:rPr>
        <w:t>Руководство по подготовке национальных генеральных планов в</w:t>
      </w:r>
      <w:r w:rsidR="00DF55B1">
        <w:rPr>
          <w:rFonts w:cs="Times New Roman"/>
          <w:b/>
          <w:bCs/>
          <w:sz w:val="24"/>
          <w:szCs w:val="24"/>
        </w:rPr>
        <w:t> </w:t>
      </w:r>
      <w:r w:rsidRPr="009254AD">
        <w:rPr>
          <w:rFonts w:cs="Times New Roman"/>
          <w:b/>
          <w:bCs/>
          <w:sz w:val="24"/>
          <w:szCs w:val="24"/>
        </w:rPr>
        <w:t>области грузовых перевозок и логистики (май 2021 года)</w:t>
      </w:r>
    </w:p>
    <w:p w14:paraId="0991701D" w14:textId="011043F2" w:rsidR="0017080B" w:rsidRPr="00BF7730" w:rsidRDefault="0017080B" w:rsidP="00BF7730">
      <w:pPr>
        <w:pStyle w:val="SingleTxtG"/>
      </w:pPr>
      <w:r w:rsidRPr="00F84820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45DB15A" wp14:editId="5143322C">
            <wp:simplePos x="0" y="0"/>
            <wp:positionH relativeFrom="column">
              <wp:posOffset>3464560</wp:posOffset>
            </wp:positionH>
            <wp:positionV relativeFrom="paragraph">
              <wp:posOffset>13970</wp:posOffset>
            </wp:positionV>
            <wp:extent cx="1965325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56" y="21454"/>
                <wp:lineTo x="21356" y="0"/>
                <wp:lineTo x="0" y="0"/>
              </wp:wrapPolygon>
            </wp:wrapTight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30">
        <w:tab/>
      </w:r>
      <w:r w:rsidRPr="00F84820">
        <w:t xml:space="preserve">Данное Руководство по подготовке национальных генеральных планов в области грузовых перевозок и логистики было разработано с целью продемонстрировать важность сектора грузовых перевозок для национального экономического развития и, что более важно, помочь национальным органам, отвечающим за грузовые перевозки и логистику, в их возможной деятельности по сопровождению развития сектора, чтобы следовать по устойчивому пути, поддерживая национальное экономическое развитие. Путь к устойчивому развитию сектора грузовых перевозок и логистики, представленный в этом Справочнике, может быть применим в любое время. Однако трансформация сектора может быть очень своевременной в таких обстоятельствах, как период после </w:t>
      </w:r>
      <w:r w:rsidR="00BF7730">
        <w:br/>
      </w:r>
      <w:r w:rsidRPr="00F84820">
        <w:t>COVID-19, когда правительства принимают различные меры для оживления национальной и региональной экономики.</w:t>
      </w:r>
      <w:r>
        <w:t xml:space="preserve"> </w:t>
      </w:r>
      <w:r w:rsidRPr="00F84820">
        <w:t>Публикация размещена по адресу</w:t>
      </w:r>
      <w:r w:rsidR="00BF7730" w:rsidRPr="00BF7730">
        <w:t xml:space="preserve"> </w:t>
      </w:r>
      <w:hyperlink r:id="rId33" w:history="1">
        <w:r w:rsidR="00BF7730" w:rsidRPr="00F17A2B">
          <w:rPr>
            <w:rStyle w:val="af1"/>
            <w:rFonts w:eastAsiaTheme="minorEastAsia"/>
          </w:rPr>
          <w:t>https://unece.org/transport/publications/handbook-national-master-plans-freight-transport-and-logistics</w:t>
        </w:r>
      </w:hyperlink>
      <w:r w:rsidR="00BF7730" w:rsidRPr="00BF7730">
        <w:rPr>
          <w:rFonts w:eastAsiaTheme="minorEastAsia"/>
        </w:rPr>
        <w:t>.</w:t>
      </w:r>
    </w:p>
    <w:p w14:paraId="2B86AF6D" w14:textId="77777777" w:rsidR="0017080B" w:rsidRPr="009254AD" w:rsidRDefault="0017080B" w:rsidP="00BF7730">
      <w:pPr>
        <w:pStyle w:val="H1G"/>
      </w:pPr>
      <w:r>
        <w:tab/>
      </w:r>
      <w:r w:rsidRPr="009254AD">
        <w:t>B.</w:t>
      </w:r>
      <w:r w:rsidRPr="009254AD">
        <w:tab/>
        <w:t>Развитие международных пассажирских железнодорожных перевозок (март 2021 года)</w:t>
      </w:r>
    </w:p>
    <w:p w14:paraId="6904A67C" w14:textId="548E0A86" w:rsidR="0017080B" w:rsidRDefault="0017080B" w:rsidP="00BF7730">
      <w:pPr>
        <w:pStyle w:val="SingleTxtG"/>
      </w:pPr>
      <w:r w:rsidRPr="00F84820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FF68705" wp14:editId="39F6CFD2">
            <wp:simplePos x="0" y="0"/>
            <wp:positionH relativeFrom="column">
              <wp:posOffset>3413760</wp:posOffset>
            </wp:positionH>
            <wp:positionV relativeFrom="paragraph">
              <wp:posOffset>15875</wp:posOffset>
            </wp:positionV>
            <wp:extent cx="1970405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301" y="21500"/>
                <wp:lineTo x="21301" y="0"/>
                <wp:lineTo x="0" y="0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30">
        <w:tab/>
      </w:r>
      <w:r w:rsidRPr="00F84820">
        <w:t xml:space="preserve">Международные железнодорожные пассажирские перевозки имеют фундаментальное значение для перемещения людей через границы в регионе ЕЭК. </w:t>
      </w:r>
      <w:r w:rsidR="002617D2">
        <w:br/>
      </w:r>
      <w:r w:rsidRPr="00F84820">
        <w:t>Их центральная роль была подчеркнута в резолюции №</w:t>
      </w:r>
      <w:r>
        <w:t> </w:t>
      </w:r>
      <w:r w:rsidRPr="00F84820">
        <w:t xml:space="preserve">264 Комитета по внутреннему транспорту. Пандемия COVID-19, помимо негативных экономических последствий, которые еще предстоит преодолеть, </w:t>
      </w:r>
      <w:r w:rsidR="002617D2">
        <w:br/>
      </w:r>
      <w:r w:rsidRPr="00F84820">
        <w:t xml:space="preserve">дает возможность пересмотреть роль железнодорожного транспорта в регионе ЕЭК и способствовать его дальнейшему развитию в период восстановления после пандемии. </w:t>
      </w:r>
      <w:r w:rsidR="002617D2">
        <w:br/>
      </w:r>
      <w:r w:rsidRPr="00F84820">
        <w:t xml:space="preserve">На рабочем совещании по теме </w:t>
      </w:r>
      <w:r w:rsidR="002617D2">
        <w:br/>
      </w:r>
      <w:r>
        <w:t>«</w:t>
      </w:r>
      <w:r w:rsidRPr="00F84820">
        <w:t>Развитие международного пассажирского железнодорожного транспорта в контексте резолюции № 264 КВТ</w:t>
      </w:r>
      <w:r>
        <w:t>»</w:t>
      </w:r>
      <w:r w:rsidRPr="00F84820">
        <w:t>, проведенном в ходе семьдесят четвертой сессии Рабочей группы по железнодорожному транспорту 18</w:t>
      </w:r>
      <w:r w:rsidR="002617D2">
        <w:rPr>
          <w:lang w:val="fr-CH"/>
        </w:rPr>
        <w:t> </w:t>
      </w:r>
      <w:r w:rsidRPr="00F84820">
        <w:t xml:space="preserve">ноября 2020 года, был представлен обзор ситуации с международными пассажирскими железнодорожными перевозками в регионе ЕЭК и последствий пандемии COVID-19. Была продемонстрирована необходимость совместных усилий на нескольких уровнях и в различных областях: на национальном уровне, где необходимы инвестиции в инфраструктуру и подвижной состав и улучшение обслуживания пассажиров, и на </w:t>
      </w:r>
      <w:r w:rsidRPr="00F84820">
        <w:lastRenderedPageBreak/>
        <w:t xml:space="preserve">региональном и международном уровне, где часто требуются гармонизация и упрощение процедур пересечения границ. </w:t>
      </w:r>
    </w:p>
    <w:p w14:paraId="7273E498" w14:textId="001F8899" w:rsidR="0017080B" w:rsidRDefault="00BF7730" w:rsidP="00BF7730">
      <w:pPr>
        <w:pStyle w:val="SingleTxtG"/>
      </w:pPr>
      <w:r>
        <w:tab/>
      </w:r>
      <w:r w:rsidR="0017080B" w:rsidRPr="00F84820">
        <w:t>Участники рабочего совещания пришли к выводу о том, что в регионе ЕЭК нынешний акцент на устойчивости в транспортном секторе может дать национальным, международным и частным заинтересованным сторонам возможность участвовать в развитии международных пассажирских железнодорожных перевозок, уделяя особое внимание интермодальности, с целью получения бесперебойной сети, более эффективной и привлекательной.</w:t>
      </w:r>
      <w:r w:rsidR="0017080B">
        <w:t xml:space="preserve"> </w:t>
      </w:r>
      <w:r w:rsidR="0017080B" w:rsidRPr="00F84820">
        <w:t>Было решено, что международные железнодорожные пассажирские перевозки нуждаются в дальнейшем развитии и облегчении путем подготовки и осуществления соответствующих правовых документов на общеевропейском уровне. Настоящая публикация представляет собой подборку обсуждений, состоявшихся на рабочем совещании, и она размещена по адресу</w:t>
      </w:r>
      <w:r w:rsidR="002617D2" w:rsidRPr="002617D2">
        <w:t xml:space="preserve"> </w:t>
      </w:r>
      <w:hyperlink r:id="rId35" w:history="1">
        <w:r w:rsidR="002617D2" w:rsidRPr="00F17A2B">
          <w:rPr>
            <w:rStyle w:val="af1"/>
            <w:rFonts w:eastAsiaTheme="minorEastAsia"/>
          </w:rPr>
          <w:t>https://unece.org/info/Transport/pub/354591</w:t>
        </w:r>
      </w:hyperlink>
      <w:r w:rsidR="0017080B" w:rsidRPr="00F84820">
        <w:t>.</w:t>
      </w:r>
    </w:p>
    <w:p w14:paraId="63159D98" w14:textId="49A57A28" w:rsidR="0017080B" w:rsidRPr="00546DBC" w:rsidRDefault="002617D2" w:rsidP="002617D2">
      <w:pPr>
        <w:pStyle w:val="H1G"/>
        <w:spacing w:after="120"/>
      </w:pPr>
      <w:r w:rsidRPr="00546DBC">
        <w:rPr>
          <w:noProof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331F3FB6" wp14:editId="450A4A57">
            <wp:simplePos x="0" y="0"/>
            <wp:positionH relativeFrom="margin">
              <wp:posOffset>3778885</wp:posOffset>
            </wp:positionH>
            <wp:positionV relativeFrom="margin">
              <wp:posOffset>2981325</wp:posOffset>
            </wp:positionV>
            <wp:extent cx="1633855" cy="2030730"/>
            <wp:effectExtent l="0" t="0" r="4445" b="7620"/>
            <wp:wrapSquare wrapText="bothSides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17080B" w:rsidRPr="00546DBC">
        <w:t>C.</w:t>
      </w:r>
      <w:r w:rsidR="0017080B" w:rsidRPr="00546DBC">
        <w:tab/>
        <w:t xml:space="preserve">Рекомендации по экологически чистому и благоприятному </w:t>
      </w:r>
      <w:r>
        <w:br/>
      </w:r>
      <w:r w:rsidR="0017080B" w:rsidRPr="00546DBC">
        <w:t>для здоровья устойчивому транспорту</w:t>
      </w:r>
      <w:r w:rsidRPr="002617D2">
        <w:t xml:space="preserve"> </w:t>
      </w:r>
      <w:r w:rsidR="0017080B" w:rsidRPr="00546DBC">
        <w:t xml:space="preserve">— </w:t>
      </w:r>
      <w:r w:rsidR="0017080B" w:rsidRPr="004A7E55">
        <w:t xml:space="preserve">«Building Forward Better» </w:t>
      </w:r>
      <w:r w:rsidR="0017080B">
        <w:t>(</w:t>
      </w:r>
      <w:r w:rsidR="0017080B" w:rsidRPr="00546DBC">
        <w:t>Построение будущего на более совершенной основе</w:t>
      </w:r>
      <w:r w:rsidR="0017080B">
        <w:t>)</w:t>
      </w:r>
      <w:r w:rsidR="0017080B" w:rsidRPr="00546DBC">
        <w:t xml:space="preserve"> </w:t>
      </w:r>
      <w:r>
        <w:br/>
      </w:r>
      <w:r w:rsidR="0017080B" w:rsidRPr="00546DBC">
        <w:t>(апрель 2021 года)</w:t>
      </w:r>
    </w:p>
    <w:p w14:paraId="4F4BAC28" w14:textId="008000A5" w:rsidR="0017080B" w:rsidRDefault="002617D2" w:rsidP="002617D2">
      <w:pPr>
        <w:pStyle w:val="SingleTxtG"/>
      </w:pPr>
      <w:r>
        <w:tab/>
      </w:r>
      <w:r w:rsidR="0017080B" w:rsidRPr="00F84820">
        <w:t xml:space="preserve">В апреле 2020 года была создана целевая группа Организации Объединенных Наций для разработки рекомендаций по экологически чистому и </w:t>
      </w:r>
      <w:r>
        <w:br/>
      </w:r>
      <w:r w:rsidR="0017080B" w:rsidRPr="00F84820">
        <w:t xml:space="preserve">здоровому устойчивому транспорту, чтобы помочь государствам-членам в восстановлении после </w:t>
      </w:r>
      <w:r>
        <w:br/>
      </w:r>
      <w:r w:rsidR="0017080B" w:rsidRPr="00F84820">
        <w:t>COVID-19.</w:t>
      </w:r>
      <w:r w:rsidR="0017080B">
        <w:t xml:space="preserve"> </w:t>
      </w:r>
      <w:r w:rsidR="0017080B" w:rsidRPr="00F84820">
        <w:t xml:space="preserve">Целевая группа, учрежденная в рамках ОПТОСОЗ и объединившая более 50 экспертов из государств-членов, международных учреждений, научных кругов, операторов общественного транспорта и отраслевых экспертов, подготовила ряд ключевых рекомендаций, которые государства-члены могут осуществляться для поддержки этих усилий по восстановлению. Публикация размещена по адресу </w:t>
      </w:r>
      <w:hyperlink r:id="rId37" w:history="1">
        <w:r w:rsidRPr="00F17A2B">
          <w:rPr>
            <w:rStyle w:val="af1"/>
            <w:rFonts w:eastAsiaTheme="minorEastAsia"/>
          </w:rPr>
          <w:t>https://unece.org/transport/publications/recommendations-green-and-healthy-sustainable-transport-building-forward</w:t>
        </w:r>
      </w:hyperlink>
      <w:r w:rsidR="0017080B" w:rsidRPr="00F84820">
        <w:t>.</w:t>
      </w:r>
    </w:p>
    <w:p w14:paraId="25184F80" w14:textId="6E778155" w:rsidR="0017080B" w:rsidRPr="00546DBC" w:rsidRDefault="0017080B" w:rsidP="002617D2">
      <w:pPr>
        <w:pStyle w:val="H1G"/>
      </w:pPr>
      <w:r>
        <w:lastRenderedPageBreak/>
        <w:tab/>
      </w:r>
      <w:r w:rsidRPr="00546DBC">
        <w:t>D.</w:t>
      </w:r>
      <w:r w:rsidRPr="00546DBC">
        <w:tab/>
        <w:t>Инструменты управления активами: рекомендации Трансъевропейской автомагистрали для операторов дорог</w:t>
      </w:r>
      <w:r w:rsidR="002617D2">
        <w:br/>
      </w:r>
      <w:r w:rsidRPr="00546DBC">
        <w:t>(май 2021 года)</w:t>
      </w:r>
    </w:p>
    <w:p w14:paraId="30AEBA97" w14:textId="3196D50D" w:rsidR="0017080B" w:rsidRPr="00F84820" w:rsidRDefault="004D2744" w:rsidP="002617D2">
      <w:pPr>
        <w:pStyle w:val="SingleTxtG"/>
        <w:rPr>
          <w:rFonts w:eastAsiaTheme="minorEastAsia"/>
        </w:rPr>
      </w:pPr>
      <w:r w:rsidRPr="00F84820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FD26C10" wp14:editId="7A9F39E0">
            <wp:simplePos x="0" y="0"/>
            <wp:positionH relativeFrom="column">
              <wp:posOffset>3268345</wp:posOffset>
            </wp:positionH>
            <wp:positionV relativeFrom="paragraph">
              <wp:posOffset>73025</wp:posOffset>
            </wp:positionV>
            <wp:extent cx="2064385" cy="2743835"/>
            <wp:effectExtent l="0" t="0" r="0" b="0"/>
            <wp:wrapTight wrapText="bothSides">
              <wp:wrapPolygon edited="0">
                <wp:start x="0" y="0"/>
                <wp:lineTo x="0" y="21445"/>
                <wp:lineTo x="21328" y="21445"/>
                <wp:lineTo x="21328" y="0"/>
                <wp:lineTo x="0" y="0"/>
              </wp:wrapPolygon>
            </wp:wrapTight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7D2">
        <w:tab/>
      </w:r>
      <w:r w:rsidR="0017080B" w:rsidRPr="00F84820">
        <w:t>Проект Трансъевропейской автомагистрали Север</w:t>
      </w:r>
      <w:r w:rsidRPr="004D2744">
        <w:t xml:space="preserve"> — </w:t>
      </w:r>
      <w:r w:rsidR="0017080B" w:rsidRPr="00F84820">
        <w:t>Юг (ТЕА) был инициирован для облегчения дорожного движения в Центральной, Восточной и Юго-Восточной Европе и содействия процессу интеграции европейских систем транспортной инфраструктуры.</w:t>
      </w:r>
    </w:p>
    <w:p w14:paraId="3A390B92" w14:textId="232EC125" w:rsidR="0017080B" w:rsidRDefault="002617D2" w:rsidP="0017080B">
      <w:pPr>
        <w:spacing w:after="120"/>
        <w:ind w:left="1134" w:right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ab/>
      </w:r>
      <w:r>
        <w:rPr>
          <w:rFonts w:cs="Times New Roman"/>
          <w:szCs w:val="20"/>
        </w:rPr>
        <w:tab/>
      </w:r>
      <w:r w:rsidR="0017080B" w:rsidRPr="00F84820">
        <w:rPr>
          <w:rFonts w:cs="Times New Roman"/>
          <w:szCs w:val="20"/>
        </w:rPr>
        <w:t xml:space="preserve">В целях улучшения управления дорожной сетью Проект предоставляет </w:t>
      </w:r>
      <w:r w:rsidR="00DF55B1">
        <w:rPr>
          <w:rFonts w:cs="Times New Roman"/>
          <w:szCs w:val="20"/>
        </w:rPr>
        <w:br/>
      </w:r>
      <w:r w:rsidR="0017080B" w:rsidRPr="00F84820">
        <w:rPr>
          <w:rFonts w:cs="Times New Roman"/>
          <w:szCs w:val="20"/>
        </w:rPr>
        <w:t>странам</w:t>
      </w:r>
      <w:r w:rsidR="00DF55B1">
        <w:rPr>
          <w:rFonts w:cs="Times New Roman"/>
          <w:szCs w:val="20"/>
        </w:rPr>
        <w:t xml:space="preserve"> </w:t>
      </w:r>
      <w:r w:rsidR="0017080B" w:rsidRPr="00F84820">
        <w:rPr>
          <w:rFonts w:cs="Times New Roman"/>
          <w:szCs w:val="20"/>
        </w:rPr>
        <w:t>— участницам ТЕА сравнительный анализ текущих возможностей управления активами, а также актуальную информацию о том, как учитывать процесс создания стоимости в их процедурах, компетенциях и вспомогательных информационных системах. Под управлением активами понимается непрерывный процесс создания стоимости, который может осуществляться при большей или меньшей информированности владельца и менеджера актива о положении дел. Уровень информированности отражается в зрелости существующих систем управления активами в странах</w:t>
      </w:r>
      <w:r w:rsidR="004D2744" w:rsidRPr="004D2744">
        <w:rPr>
          <w:rFonts w:cs="Times New Roman"/>
          <w:szCs w:val="20"/>
        </w:rPr>
        <w:t xml:space="preserve"> </w:t>
      </w:r>
      <w:r w:rsidR="0017080B" w:rsidRPr="00F84820">
        <w:rPr>
          <w:rFonts w:cs="Times New Roman"/>
          <w:szCs w:val="20"/>
        </w:rPr>
        <w:t>— участницах проекта ТЕА. Такой сравнительный анализ на высоком уровне управленческих возможностей и инструментов стран</w:t>
      </w:r>
      <w:r w:rsidR="004D2744" w:rsidRPr="004D2744">
        <w:rPr>
          <w:rFonts w:cs="Times New Roman"/>
          <w:szCs w:val="20"/>
        </w:rPr>
        <w:t xml:space="preserve"> </w:t>
      </w:r>
      <w:r w:rsidR="0017080B" w:rsidRPr="00F84820">
        <w:rPr>
          <w:rFonts w:cs="Times New Roman"/>
          <w:szCs w:val="20"/>
        </w:rPr>
        <w:t>— участниц ТЕА может улучшить процесс управления активами как для отдельных участников проекта, так и для сети ТЕА в целом.</w:t>
      </w:r>
      <w:r w:rsidR="0017080B">
        <w:rPr>
          <w:rFonts w:cs="Times New Roman"/>
          <w:szCs w:val="20"/>
        </w:rPr>
        <w:t xml:space="preserve"> </w:t>
      </w:r>
      <w:r w:rsidR="0017080B" w:rsidRPr="00F84820">
        <w:rPr>
          <w:rFonts w:cs="Times New Roman"/>
          <w:szCs w:val="20"/>
        </w:rPr>
        <w:t>Публикация размещена по адресу</w:t>
      </w:r>
      <w:r w:rsidR="004D2744" w:rsidRPr="004D2744">
        <w:rPr>
          <w:rFonts w:cs="Times New Roman"/>
          <w:szCs w:val="20"/>
        </w:rPr>
        <w:t xml:space="preserve"> </w:t>
      </w:r>
      <w:hyperlink r:id="rId39" w:history="1">
        <w:r w:rsidR="004D2744" w:rsidRPr="00F17A2B">
          <w:rPr>
            <w:rStyle w:val="af1"/>
            <w:rFonts w:eastAsiaTheme="minorEastAsia"/>
          </w:rPr>
          <w:t>https://unece.org/transport/publications/tools-asset-management-tem-recommendations-road-operators</w:t>
        </w:r>
      </w:hyperlink>
      <w:r w:rsidR="0017080B" w:rsidRPr="00F84820">
        <w:rPr>
          <w:rFonts w:cs="Times New Roman"/>
          <w:szCs w:val="20"/>
        </w:rPr>
        <w:t>.</w:t>
      </w:r>
    </w:p>
    <w:p w14:paraId="397DBC47" w14:textId="01717299" w:rsidR="0017080B" w:rsidRPr="00546DBC" w:rsidRDefault="0017080B" w:rsidP="004D2744">
      <w:pPr>
        <w:pStyle w:val="H1G"/>
      </w:pPr>
      <w:r>
        <w:tab/>
      </w:r>
      <w:r w:rsidRPr="00546DBC">
        <w:t>E.</w:t>
      </w:r>
      <w:r w:rsidRPr="00546DBC">
        <w:tab/>
        <w:t>Бизнес-модели для дорожного сектора/Сеть трансъевропейских автомагистралей: соображения и рекомендации (май 2021 года)</w:t>
      </w:r>
    </w:p>
    <w:p w14:paraId="27ACBA46" w14:textId="5A8AF24E" w:rsidR="0017080B" w:rsidRDefault="00CC4B6F" w:rsidP="004D2744">
      <w:pPr>
        <w:pStyle w:val="SingleTxtG"/>
      </w:pPr>
      <w:r w:rsidRPr="00F84820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9537181" wp14:editId="426BAA0E">
            <wp:simplePos x="0" y="0"/>
            <wp:positionH relativeFrom="column">
              <wp:posOffset>3559810</wp:posOffset>
            </wp:positionH>
            <wp:positionV relativeFrom="paragraph">
              <wp:posOffset>12700</wp:posOffset>
            </wp:positionV>
            <wp:extent cx="1799590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265" y="21500"/>
                <wp:lineTo x="21265" y="0"/>
                <wp:lineTo x="0" y="0"/>
              </wp:wrapPolygon>
            </wp:wrapTight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744">
        <w:tab/>
      </w:r>
      <w:r w:rsidR="0017080B" w:rsidRPr="00F84820">
        <w:t>Цель данного доклада состоит в том, чтобы предоставить странам</w:t>
      </w:r>
      <w:r w:rsidR="004D2744" w:rsidRPr="004D2744">
        <w:t xml:space="preserve"> </w:t>
      </w:r>
      <w:r w:rsidR="0017080B" w:rsidRPr="00F84820">
        <w:t>— участницам ТЕА последнюю информацию о том, как организовать модели предоставления услуг, а также провести сравнительный анализ существующих и альтернативных бизнес-моделей для обеспечения большей эффективности и результативности дорожного сектора.</w:t>
      </w:r>
      <w:r w:rsidR="0017080B">
        <w:t xml:space="preserve"> </w:t>
      </w:r>
      <w:r w:rsidR="0017080B" w:rsidRPr="00F84820">
        <w:t>Бизнес-модели, описанные в данной публикации, охватывают все соответствующие виды деятельности дорожных администраций, начиная с надлежащего понимания потребностей и ожиданий клиентов и заинтересованных сторон и заканчивая согласованием ценностного предложения с ключевыми внутренними процессами и ресурсами (включая аутсорсинг и партнерства в цепочке поставок). Этот подход также учитывает затраты дорожных органов на получение доходов, а также источники и потоки поступлений. Сравнительный анализ существующих бизнес-моделей в странах</w:t>
      </w:r>
      <w:r w:rsidR="004D2744" w:rsidRPr="004D2744">
        <w:t xml:space="preserve"> </w:t>
      </w:r>
      <w:r w:rsidR="0017080B" w:rsidRPr="00F84820">
        <w:t xml:space="preserve">— участницах ТЕА создает прочную основу для дальнейшей детальной аналитической работы, сфокусированной на управлении дорожными активами, управлении данными и информационном моделировании зданий, а также на источниках и типах финансирования для финансирования развития и </w:t>
      </w:r>
      <w:r>
        <w:br/>
      </w:r>
      <w:r w:rsidR="0017080B">
        <w:t xml:space="preserve">технического </w:t>
      </w:r>
      <w:r w:rsidR="0017080B" w:rsidRPr="00F84820">
        <w:t>содержания дорожной инфраструктуры (как определено в Стратегии проекта ТЕА).</w:t>
      </w:r>
      <w:r w:rsidR="0017080B">
        <w:t xml:space="preserve"> </w:t>
      </w:r>
      <w:r w:rsidR="0017080B" w:rsidRPr="00F84820">
        <w:t>Полный текст доклада размещен по адресу</w:t>
      </w:r>
      <w:r w:rsidR="004D2744" w:rsidRPr="004D2744">
        <w:t xml:space="preserve"> </w:t>
      </w:r>
      <w:hyperlink r:id="rId41" w:history="1">
        <w:r w:rsidR="004D2744" w:rsidRPr="00F17A2B">
          <w:rPr>
            <w:rStyle w:val="af1"/>
          </w:rPr>
          <w:t>https://unece.org/transport/publications/business-models-road-sectortem-network-considerations-and-recommendations</w:t>
        </w:r>
      </w:hyperlink>
      <w:r w:rsidR="0017080B" w:rsidRPr="00F84820">
        <w:t>.</w:t>
      </w:r>
    </w:p>
    <w:p w14:paraId="2872D809" w14:textId="1F7E912D" w:rsidR="0017080B" w:rsidRPr="00D62296" w:rsidRDefault="00CC4B6F" w:rsidP="00CC4B6F">
      <w:pPr>
        <w:pStyle w:val="H1G"/>
        <w:keepNext w:val="0"/>
        <w:keepLines w:val="0"/>
        <w:widowControl w:val="0"/>
      </w:pPr>
      <w:r w:rsidRPr="00F84820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2E8FBC4" wp14:editId="2C14AAF7">
            <wp:simplePos x="0" y="0"/>
            <wp:positionH relativeFrom="column">
              <wp:posOffset>3604895</wp:posOffset>
            </wp:positionH>
            <wp:positionV relativeFrom="paragraph">
              <wp:posOffset>684530</wp:posOffset>
            </wp:positionV>
            <wp:extent cx="1743710" cy="2249170"/>
            <wp:effectExtent l="0" t="0" r="8890" b="0"/>
            <wp:wrapTight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ight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0B">
        <w:tab/>
      </w:r>
      <w:r w:rsidR="0017080B" w:rsidRPr="00D62296">
        <w:t>F.</w:t>
      </w:r>
      <w:r w:rsidR="0017080B" w:rsidRPr="00D62296">
        <w:tab/>
        <w:t>Исследование Генерального плана Трансъевропейской железнодорожной магистрали для высокоскоростных поездов (июль 2021 года)</w:t>
      </w:r>
    </w:p>
    <w:p w14:paraId="58D6AB7B" w14:textId="7904760F" w:rsidR="0017080B" w:rsidRDefault="00CC4B6F" w:rsidP="00CC4B6F">
      <w:pPr>
        <w:pStyle w:val="SingleTxtG"/>
      </w:pPr>
      <w:r>
        <w:tab/>
      </w:r>
      <w:r w:rsidR="0017080B" w:rsidRPr="00F84820">
        <w:t>В последние годы во всем мире наблюдается стремительное развитие сетей высокоскоростных железных дорог (ВСЖД). Опыт государств, эксплуатирующих эти системы, показывает, что они устанавливают новые стандарты качества и способствуют возрождению железных дорог как вида транспорта. Развитие сети ВСЖД в регионе ТЕЖ значительно повысит конкурентоспособность железнодорожного транспорта и повысит устойчивость транспортных секторов в странах ТЕЖ.</w:t>
      </w:r>
    </w:p>
    <w:p w14:paraId="3E7D8233" w14:textId="334A30A4" w:rsidR="0017080B" w:rsidRPr="00F84820" w:rsidRDefault="00CC4B6F" w:rsidP="00CC4B6F">
      <w:pPr>
        <w:pStyle w:val="SingleTxtG"/>
        <w:rPr>
          <w:rFonts w:eastAsiaTheme="minorEastAsia"/>
        </w:rPr>
      </w:pPr>
      <w:r>
        <w:tab/>
      </w:r>
      <w:r w:rsidR="0017080B" w:rsidRPr="00F84820">
        <w:t>Этап 2 Генерального плана ТЕЖ для ВСЖД является продолжением работы, проведенной на этапе 1, и распространяет анализ на следующие области:</w:t>
      </w:r>
    </w:p>
    <w:p w14:paraId="6FF8A34F" w14:textId="77777777" w:rsidR="0017080B" w:rsidRPr="001C1608" w:rsidRDefault="0017080B" w:rsidP="00CC4B6F">
      <w:pPr>
        <w:pStyle w:val="Bullet1G"/>
        <w:rPr>
          <w:rFonts w:eastAsiaTheme="minorEastAsia"/>
        </w:rPr>
      </w:pPr>
      <w:r w:rsidRPr="001C1608">
        <w:t>технические и законодательные аспекты;</w:t>
      </w:r>
    </w:p>
    <w:p w14:paraId="309E042A" w14:textId="77777777" w:rsidR="0017080B" w:rsidRPr="001C1608" w:rsidRDefault="0017080B" w:rsidP="00CC4B6F">
      <w:pPr>
        <w:pStyle w:val="Bullet1G"/>
        <w:rPr>
          <w:rFonts w:eastAsiaTheme="minorEastAsia"/>
        </w:rPr>
      </w:pPr>
      <w:r w:rsidRPr="001C1608">
        <w:t>социально-экономический анализ;</w:t>
      </w:r>
    </w:p>
    <w:p w14:paraId="3912797A" w14:textId="77777777" w:rsidR="0017080B" w:rsidRPr="001C1608" w:rsidRDefault="0017080B" w:rsidP="00CC4B6F">
      <w:pPr>
        <w:pStyle w:val="Bullet1G"/>
        <w:rPr>
          <w:rFonts w:eastAsiaTheme="minorEastAsia"/>
        </w:rPr>
      </w:pPr>
      <w:r w:rsidRPr="001C1608">
        <w:t>условия создания национальных и международных сетей;</w:t>
      </w:r>
    </w:p>
    <w:p w14:paraId="14CB1C55" w14:textId="77777777" w:rsidR="0017080B" w:rsidRPr="001C1608" w:rsidRDefault="0017080B" w:rsidP="00CC4B6F">
      <w:pPr>
        <w:pStyle w:val="Bullet1G"/>
        <w:rPr>
          <w:rFonts w:eastAsiaTheme="minorEastAsia"/>
        </w:rPr>
      </w:pPr>
      <w:r w:rsidRPr="001C1608">
        <w:t>финансовые и плановые элементы ВСЖД.</w:t>
      </w:r>
    </w:p>
    <w:p w14:paraId="4F0AA8A4" w14:textId="3B93F4E2" w:rsidR="0017080B" w:rsidRPr="00573818" w:rsidRDefault="00CC4B6F" w:rsidP="00CC4B6F">
      <w:pPr>
        <w:pStyle w:val="SingleTxtG"/>
      </w:pPr>
      <w:r>
        <w:tab/>
      </w:r>
      <w:r w:rsidR="0017080B" w:rsidRPr="00F84820">
        <w:t>В настоящее время в государствах</w:t>
      </w:r>
      <w:r w:rsidRPr="00CC4B6F">
        <w:t xml:space="preserve"> —</w:t>
      </w:r>
      <w:r w:rsidR="0017080B" w:rsidRPr="00F84820">
        <w:t>участниках ТЕЖ имеется небольшое количество железнодорожных линий, позволяющих передвигаться на высоких скоростях. Это создает уникальную возможность для развития систем ВСЖД в отдельных государствах-участниках ТЕЖ, чтобы обеспечить интеграцию этого развития в более широком регионе ТЕЖ посредством соответствующей международной связности. Это исследование направлено на то, чтобы предоставить лицам, принимающим решения, необходимые инструменты для определения того, следует ли развивать в их соответствующих государствах сеть ВСЖД и какую.</w:t>
      </w:r>
      <w:r w:rsidR="0017080B">
        <w:t xml:space="preserve"> </w:t>
      </w:r>
      <w:r w:rsidR="0017080B" w:rsidRPr="00F84820">
        <w:t>Публикация размещена по адресу</w:t>
      </w:r>
      <w:r w:rsidRPr="00CC4B6F">
        <w:t xml:space="preserve"> </w:t>
      </w:r>
      <w:hyperlink r:id="rId43" w:history="1">
        <w:r w:rsidRPr="00E73945">
          <w:rPr>
            <w:rStyle w:val="af1"/>
            <w:rFonts w:eastAsiaTheme="minorEastAsia"/>
          </w:rPr>
          <w:t>https://unece.org/info/publications/pub/358568</w:t>
        </w:r>
      </w:hyperlink>
      <w:r w:rsidR="0017080B" w:rsidRPr="00F84820">
        <w:t>.</w:t>
      </w:r>
    </w:p>
    <w:p w14:paraId="66F48B85" w14:textId="77777777" w:rsidR="0017080B" w:rsidRPr="0017080B" w:rsidRDefault="0017080B" w:rsidP="0017080B">
      <w:pPr>
        <w:spacing w:before="240"/>
        <w:jc w:val="center"/>
        <w:rPr>
          <w:rFonts w:eastAsia="Times New Roman" w:cs="Times New Roman"/>
          <w:szCs w:val="20"/>
          <w:u w:val="single"/>
          <w:lang w:eastAsia="fr-FR"/>
        </w:rPr>
      </w:pPr>
      <w:r w:rsidRPr="0017080B">
        <w:rPr>
          <w:rFonts w:eastAsia="Times New Roman" w:cs="Times New Roman"/>
          <w:szCs w:val="20"/>
          <w:u w:val="single"/>
          <w:lang w:eastAsia="fr-FR"/>
        </w:rPr>
        <w:tab/>
      </w:r>
      <w:r w:rsidRPr="0017080B">
        <w:rPr>
          <w:rFonts w:eastAsia="Times New Roman" w:cs="Times New Roman"/>
          <w:szCs w:val="20"/>
          <w:u w:val="single"/>
          <w:lang w:eastAsia="fr-FR"/>
        </w:rPr>
        <w:tab/>
      </w:r>
      <w:r w:rsidRPr="0017080B">
        <w:rPr>
          <w:rFonts w:eastAsia="Times New Roman" w:cs="Times New Roman"/>
          <w:szCs w:val="20"/>
          <w:u w:val="single"/>
          <w:lang w:eastAsia="fr-FR"/>
        </w:rPr>
        <w:tab/>
      </w:r>
    </w:p>
    <w:p w14:paraId="341EBBAB" w14:textId="77777777" w:rsidR="00E12C5F" w:rsidRPr="008D53B6" w:rsidRDefault="00E12C5F" w:rsidP="00D9145B"/>
    <w:sectPr w:rsidR="00E12C5F" w:rsidRPr="008D53B6" w:rsidSect="0017080B">
      <w:headerReference w:type="even" r:id="rId44"/>
      <w:headerReference w:type="default" r:id="rId45"/>
      <w:footerReference w:type="even" r:id="rId46"/>
      <w:footerReference w:type="default" r:id="rId47"/>
      <w:footerReference w:type="first" r:id="rId48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301ED" w14:textId="77777777" w:rsidR="00B74E8D" w:rsidRPr="00A312BC" w:rsidRDefault="00B74E8D" w:rsidP="00A312BC"/>
  </w:endnote>
  <w:endnote w:type="continuationSeparator" w:id="0">
    <w:p w14:paraId="2CA6BB61" w14:textId="77777777" w:rsidR="00B74E8D" w:rsidRPr="00A312BC" w:rsidRDefault="00B74E8D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6247D" w14:textId="77777777" w:rsidR="0017080B" w:rsidRPr="0017080B" w:rsidRDefault="0017080B">
    <w:pPr>
      <w:pStyle w:val="a8"/>
    </w:pPr>
    <w:r w:rsidRPr="0017080B">
      <w:rPr>
        <w:b/>
        <w:sz w:val="18"/>
      </w:rPr>
      <w:fldChar w:fldCharType="begin"/>
    </w:r>
    <w:r w:rsidRPr="0017080B">
      <w:rPr>
        <w:b/>
        <w:sz w:val="18"/>
      </w:rPr>
      <w:instrText xml:space="preserve"> PAGE  \* MERGEFORMAT </w:instrText>
    </w:r>
    <w:r w:rsidRPr="0017080B">
      <w:rPr>
        <w:b/>
        <w:sz w:val="18"/>
      </w:rPr>
      <w:fldChar w:fldCharType="separate"/>
    </w:r>
    <w:r w:rsidRPr="0017080B">
      <w:rPr>
        <w:b/>
        <w:noProof/>
        <w:sz w:val="18"/>
      </w:rPr>
      <w:t>2</w:t>
    </w:r>
    <w:r w:rsidRPr="0017080B">
      <w:rPr>
        <w:b/>
        <w:sz w:val="18"/>
      </w:rPr>
      <w:fldChar w:fldCharType="end"/>
    </w:r>
    <w:r>
      <w:rPr>
        <w:b/>
        <w:sz w:val="18"/>
      </w:rPr>
      <w:tab/>
    </w:r>
    <w:r>
      <w:t>GE.21-18911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4B1DF" w14:textId="77777777" w:rsidR="0017080B" w:rsidRPr="0017080B" w:rsidRDefault="0017080B" w:rsidP="0017080B">
    <w:pPr>
      <w:pStyle w:val="a8"/>
      <w:tabs>
        <w:tab w:val="clear" w:pos="9639"/>
        <w:tab w:val="right" w:pos="9638"/>
      </w:tabs>
      <w:rPr>
        <w:b/>
        <w:sz w:val="18"/>
      </w:rPr>
    </w:pPr>
    <w:r>
      <w:t>GE.21-18911</w:t>
    </w:r>
    <w:r>
      <w:tab/>
    </w:r>
    <w:r w:rsidRPr="0017080B">
      <w:rPr>
        <w:b/>
        <w:sz w:val="18"/>
      </w:rPr>
      <w:fldChar w:fldCharType="begin"/>
    </w:r>
    <w:r w:rsidRPr="0017080B">
      <w:rPr>
        <w:b/>
        <w:sz w:val="18"/>
      </w:rPr>
      <w:instrText xml:space="preserve"> PAGE  \* MERGEFORMAT </w:instrText>
    </w:r>
    <w:r w:rsidRPr="0017080B">
      <w:rPr>
        <w:b/>
        <w:sz w:val="18"/>
      </w:rPr>
      <w:fldChar w:fldCharType="separate"/>
    </w:r>
    <w:r w:rsidRPr="0017080B">
      <w:rPr>
        <w:b/>
        <w:noProof/>
        <w:sz w:val="18"/>
      </w:rPr>
      <w:t>3</w:t>
    </w:r>
    <w:r w:rsidRPr="0017080B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57F1E" w14:textId="66D5A513" w:rsidR="00042B72" w:rsidRPr="0017080B" w:rsidRDefault="0017080B" w:rsidP="0017080B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7A5B6E14" wp14:editId="209AFBD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8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21-18911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3A73AD9" wp14:editId="518988DF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561975" cy="561975"/>
          <wp:effectExtent l="0" t="0" r="9525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231221  2</w:t>
    </w:r>
    <w:r w:rsidR="00FD41E1">
      <w:rPr>
        <w:lang w:val="fr-CH"/>
      </w:rPr>
      <w:t>7</w:t>
    </w:r>
    <w:r>
      <w:rPr>
        <w:lang w:val="fr-CH"/>
      </w:rPr>
      <w:t>1211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CEFA1" w14:textId="77777777" w:rsidR="00B74E8D" w:rsidRPr="001075E9" w:rsidRDefault="00B74E8D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898CA6D" w14:textId="77777777" w:rsidR="00B74E8D" w:rsidRDefault="00B74E8D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44CDDF1D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911DFF"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Проект Трансъевропейской автомагистрали.</w:t>
      </w:r>
    </w:p>
  </w:footnote>
  <w:footnote w:id="2">
    <w:p w14:paraId="28F53035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Проект Трансъевропейской железнодорожной магистрали.</w:t>
      </w:r>
    </w:p>
  </w:footnote>
  <w:footnote w:id="3">
    <w:p w14:paraId="61471E78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Евро-азиатские транспортные связи.</w:t>
      </w:r>
    </w:p>
  </w:footnote>
  <w:footnote w:id="4">
    <w:p w14:paraId="0068CACC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Европейское соглашение о международных автомагистралях.</w:t>
      </w:r>
    </w:p>
  </w:footnote>
  <w:footnote w:id="5">
    <w:p w14:paraId="4F38A87C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Европейское соглашение o международных магистральных железнодорожных линиях.</w:t>
      </w:r>
    </w:p>
  </w:footnote>
  <w:footnote w:id="6">
    <w:p w14:paraId="4BA4759D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Европейское соглашение о важнейших линиях международных комбинированных перевозок и соответствующих объектах.</w:t>
      </w:r>
    </w:p>
  </w:footnote>
  <w:footnote w:id="7">
    <w:p w14:paraId="7F40E4B8" w14:textId="77777777" w:rsidR="0017080B" w:rsidRPr="002C3397" w:rsidRDefault="0017080B" w:rsidP="0017080B">
      <w:pPr>
        <w:pStyle w:val="ad"/>
        <w:widowControl w:val="0"/>
        <w:tabs>
          <w:tab w:val="clear" w:pos="1021"/>
          <w:tab w:val="right" w:pos="1020"/>
        </w:tabs>
        <w:rPr>
          <w:szCs w:val="18"/>
        </w:rPr>
      </w:pPr>
      <w:r w:rsidRPr="002C3397">
        <w:rPr>
          <w:szCs w:val="18"/>
        </w:rPr>
        <w:tab/>
      </w:r>
      <w:r w:rsidRPr="002C3397">
        <w:rPr>
          <w:rStyle w:val="aa"/>
          <w:szCs w:val="18"/>
        </w:rPr>
        <w:footnoteRef/>
      </w:r>
      <w:r w:rsidRPr="002C3397">
        <w:rPr>
          <w:szCs w:val="18"/>
        </w:rPr>
        <w:tab/>
        <w:t>Европейское соглашение о важнейших внутренних водных путях международного значения.</w:t>
      </w:r>
    </w:p>
  </w:footnote>
  <w:footnote w:id="8">
    <w:p w14:paraId="77935B21" w14:textId="51B3C37E" w:rsidR="0017080B" w:rsidRPr="0008505C" w:rsidRDefault="00C8047A" w:rsidP="00C8047A">
      <w:pPr>
        <w:pStyle w:val="ad"/>
        <w:widowControl w:val="0"/>
      </w:pPr>
      <w:r>
        <w:rPr>
          <w:szCs w:val="18"/>
        </w:rPr>
        <w:tab/>
      </w:r>
      <w:r w:rsidR="0017080B" w:rsidRPr="00C8047A">
        <w:rPr>
          <w:szCs w:val="18"/>
          <w:vertAlign w:val="superscript"/>
        </w:rPr>
        <w:footnoteRef/>
      </w:r>
      <w:r>
        <w:rPr>
          <w:szCs w:val="18"/>
        </w:rPr>
        <w:tab/>
      </w:r>
      <w:r w:rsidR="0017080B" w:rsidRPr="002C3397">
        <w:rPr>
          <w:szCs w:val="18"/>
        </w:rPr>
        <w:t>Таможенная конвенция о международной перевозке грузов с применением книжки МДП</w:t>
      </w:r>
      <w:r w:rsidR="0017080B" w:rsidRPr="00C8047A">
        <w:rPr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03DA8" w14:textId="467049C7" w:rsidR="0017080B" w:rsidRPr="0017080B" w:rsidRDefault="00301D28">
    <w:pPr>
      <w:pStyle w:val="a5"/>
    </w:pPr>
    <w:fldSimple w:instr=" TITLE  \* MERGEFORMAT ">
      <w:r w:rsidR="00536D6F">
        <w:t>ECE/TRANS/2022/18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2E1BD" w14:textId="77FDEFFB" w:rsidR="0017080B" w:rsidRPr="0017080B" w:rsidRDefault="00301D28" w:rsidP="0017080B">
    <w:pPr>
      <w:pStyle w:val="a5"/>
      <w:jc w:val="right"/>
    </w:pPr>
    <w:fldSimple w:instr=" TITLE  \* MERGEFORMAT ">
      <w:r w:rsidR="00536D6F">
        <w:t>ECE/TRANS/2022/18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E4D9E"/>
    <w:multiLevelType w:val="hybridMultilevel"/>
    <w:tmpl w:val="B28A07E0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1" w15:restartNumberingAfterBreak="0">
    <w:nsid w:val="19FE53D1"/>
    <w:multiLevelType w:val="hybridMultilevel"/>
    <w:tmpl w:val="5A7A4DEE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2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178E2"/>
    <w:multiLevelType w:val="hybridMultilevel"/>
    <w:tmpl w:val="864ECB9C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5" w15:restartNumberingAfterBreak="0">
    <w:nsid w:val="44AF27D1"/>
    <w:multiLevelType w:val="hybridMultilevel"/>
    <w:tmpl w:val="64C8EA74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6" w15:restartNumberingAfterBreak="0">
    <w:nsid w:val="476F43A8"/>
    <w:multiLevelType w:val="hybridMultilevel"/>
    <w:tmpl w:val="A238CD36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7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4082F"/>
    <w:multiLevelType w:val="hybridMultilevel"/>
    <w:tmpl w:val="455A0588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19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1307BD"/>
    <w:multiLevelType w:val="hybridMultilevel"/>
    <w:tmpl w:val="3662CA9A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22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284104E"/>
    <w:multiLevelType w:val="hybridMultilevel"/>
    <w:tmpl w:val="6CEAE0D6"/>
    <w:lvl w:ilvl="0" w:tplc="8C4849AC">
      <w:start w:val="1"/>
      <w:numFmt w:val="bullet"/>
      <w:lvlText w:val="•"/>
      <w:lvlJc w:val="left"/>
      <w:pPr>
        <w:ind w:left="2251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24"/>
  </w:num>
  <w:num w:numId="5">
    <w:abstractNumId w:val="19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2"/>
  </w:num>
  <w:num w:numId="17">
    <w:abstractNumId w:val="17"/>
  </w:num>
  <w:num w:numId="18">
    <w:abstractNumId w:val="20"/>
  </w:num>
  <w:num w:numId="19">
    <w:abstractNumId w:val="22"/>
  </w:num>
  <w:num w:numId="20">
    <w:abstractNumId w:val="17"/>
  </w:num>
  <w:num w:numId="21">
    <w:abstractNumId w:val="20"/>
  </w:num>
  <w:num w:numId="22">
    <w:abstractNumId w:val="21"/>
  </w:num>
  <w:num w:numId="23">
    <w:abstractNumId w:val="10"/>
  </w:num>
  <w:num w:numId="24">
    <w:abstractNumId w:val="14"/>
  </w:num>
  <w:num w:numId="25">
    <w:abstractNumId w:val="15"/>
  </w:num>
  <w:num w:numId="26">
    <w:abstractNumId w:val="25"/>
  </w:num>
  <w:num w:numId="27">
    <w:abstractNumId w:val="11"/>
  </w:num>
  <w:num w:numId="28">
    <w:abstractNumId w:val="18"/>
  </w:num>
  <w:num w:numId="2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8D"/>
    <w:rsid w:val="00017306"/>
    <w:rsid w:val="00033EE1"/>
    <w:rsid w:val="00042B72"/>
    <w:rsid w:val="000558BD"/>
    <w:rsid w:val="00074703"/>
    <w:rsid w:val="000B57E7"/>
    <w:rsid w:val="000B6373"/>
    <w:rsid w:val="000C52D6"/>
    <w:rsid w:val="000E4E5B"/>
    <w:rsid w:val="000F09DF"/>
    <w:rsid w:val="000F61B2"/>
    <w:rsid w:val="001075E9"/>
    <w:rsid w:val="0014152F"/>
    <w:rsid w:val="0017080B"/>
    <w:rsid w:val="00180183"/>
    <w:rsid w:val="0018024D"/>
    <w:rsid w:val="0018649F"/>
    <w:rsid w:val="00196389"/>
    <w:rsid w:val="001B3EF6"/>
    <w:rsid w:val="001C7A89"/>
    <w:rsid w:val="00255343"/>
    <w:rsid w:val="002617D2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1D28"/>
    <w:rsid w:val="00305C08"/>
    <w:rsid w:val="00307FB6"/>
    <w:rsid w:val="00317339"/>
    <w:rsid w:val="00322004"/>
    <w:rsid w:val="003402C2"/>
    <w:rsid w:val="003717EC"/>
    <w:rsid w:val="00381C24"/>
    <w:rsid w:val="00387CD4"/>
    <w:rsid w:val="003958D0"/>
    <w:rsid w:val="003A0D43"/>
    <w:rsid w:val="003A48CE"/>
    <w:rsid w:val="003B00E5"/>
    <w:rsid w:val="003E0B46"/>
    <w:rsid w:val="003E7777"/>
    <w:rsid w:val="00407B78"/>
    <w:rsid w:val="00424203"/>
    <w:rsid w:val="00452493"/>
    <w:rsid w:val="00453318"/>
    <w:rsid w:val="00454AF2"/>
    <w:rsid w:val="00454E07"/>
    <w:rsid w:val="00472C5C"/>
    <w:rsid w:val="00485F8A"/>
    <w:rsid w:val="004D2744"/>
    <w:rsid w:val="004D2A96"/>
    <w:rsid w:val="004E05B7"/>
    <w:rsid w:val="004F2AB2"/>
    <w:rsid w:val="004F7971"/>
    <w:rsid w:val="0050108D"/>
    <w:rsid w:val="00513081"/>
    <w:rsid w:val="00517901"/>
    <w:rsid w:val="00526683"/>
    <w:rsid w:val="00526DB8"/>
    <w:rsid w:val="00536D6F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47F1E"/>
    <w:rsid w:val="00680D03"/>
    <w:rsid w:val="00681A10"/>
    <w:rsid w:val="006A1ED8"/>
    <w:rsid w:val="006C2031"/>
    <w:rsid w:val="006D461A"/>
    <w:rsid w:val="006F35EE"/>
    <w:rsid w:val="006F47EA"/>
    <w:rsid w:val="007021FF"/>
    <w:rsid w:val="00712895"/>
    <w:rsid w:val="00734ACB"/>
    <w:rsid w:val="00757357"/>
    <w:rsid w:val="00784CA9"/>
    <w:rsid w:val="00792497"/>
    <w:rsid w:val="007B7378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74E8D"/>
    <w:rsid w:val="00BC18B2"/>
    <w:rsid w:val="00BD33EE"/>
    <w:rsid w:val="00BE1CC7"/>
    <w:rsid w:val="00BF7730"/>
    <w:rsid w:val="00C106D6"/>
    <w:rsid w:val="00C119AE"/>
    <w:rsid w:val="00C60F0C"/>
    <w:rsid w:val="00C71E84"/>
    <w:rsid w:val="00C8047A"/>
    <w:rsid w:val="00C805C9"/>
    <w:rsid w:val="00C92939"/>
    <w:rsid w:val="00CA1679"/>
    <w:rsid w:val="00CB151C"/>
    <w:rsid w:val="00CC4B6F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5B1"/>
    <w:rsid w:val="00DF5767"/>
    <w:rsid w:val="00DF71B9"/>
    <w:rsid w:val="00E12C5F"/>
    <w:rsid w:val="00E73B26"/>
    <w:rsid w:val="00E73F76"/>
    <w:rsid w:val="00EA2C9F"/>
    <w:rsid w:val="00EA420E"/>
    <w:rsid w:val="00EA4711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D41E1"/>
    <w:rsid w:val="00FE2521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4BC2345"/>
  <w15:docId w15:val="{05A5DA41-467E-4C1C-A5D6-D96C179A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"/>
    <w:basedOn w:val="a"/>
    <w:link w:val="ae"/>
    <w:uiPriority w:val="99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"/>
    <w:basedOn w:val="a0"/>
    <w:link w:val="ad"/>
    <w:uiPriority w:val="99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uiPriority w:val="99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paragraph" w:styleId="af3">
    <w:name w:val="List Paragraph"/>
    <w:basedOn w:val="a"/>
    <w:uiPriority w:val="34"/>
    <w:qFormat/>
    <w:rsid w:val="0017080B"/>
    <w:pPr>
      <w:suppressAutoHyphens w:val="0"/>
      <w:spacing w:after="200" w:line="276" w:lineRule="auto"/>
      <w:ind w:left="720"/>
      <w:contextualSpacing/>
    </w:pPr>
    <w:rPr>
      <w:rFonts w:asciiTheme="minorHAnsi" w:hAnsiTheme="minorHAnsi"/>
      <w:sz w:val="22"/>
      <w:lang w:val="fr-FR"/>
    </w:rPr>
  </w:style>
  <w:style w:type="character" w:customStyle="1" w:styleId="SingleTxtGChar">
    <w:name w:val="_ Single Txt_G Char"/>
    <w:link w:val="SingleTxtG"/>
    <w:rsid w:val="0017080B"/>
    <w:rPr>
      <w:lang w:val="ru-RU" w:eastAsia="en-US"/>
    </w:rPr>
  </w:style>
  <w:style w:type="character" w:styleId="af4">
    <w:name w:val="Unresolved Mention"/>
    <w:basedOn w:val="a0"/>
    <w:uiPriority w:val="99"/>
    <w:semiHidden/>
    <w:unhideWhenUsed/>
    <w:rsid w:val="004F7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unece.org/transport/publications/tools-asset-management-tem-recommendations-road-operator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unece.org/transport/publications/handbook-national-master-plans-freight-transport-and-logistics" TargetMode="External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unece.org/transport/publications/business-models-road-sectortem-network-considerations-and-recommendat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hyperlink" Target="https://unece.org/transport/publications/recommendations-green-and-healthy-sustainable-transport-building-forward" TargetMode="External"/><Relationship Id="rId40" Type="http://schemas.openxmlformats.org/officeDocument/2006/relationships/image" Target="media/image28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unece.org/transport/publications/climate-change-impacts-and-adaptation-international-transport-networks-0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unece.org/transport/publications/intermodal-transport-age-covid-19-practices-initiatives-and-responses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unece.org/info/Transport/pub/354591" TargetMode="External"/><Relationship Id="rId43" Type="http://schemas.openxmlformats.org/officeDocument/2006/relationships/hyperlink" Target="https://unece.org/info/publications/pub/358568" TargetMode="External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1.gif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21</Pages>
  <Words>6164</Words>
  <Characters>46442</Characters>
  <Application>Microsoft Office Word</Application>
  <DocSecurity>0</DocSecurity>
  <Lines>387</Lines>
  <Paragraphs>105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ECE/TRANS/2022/18</vt:lpstr>
      <vt:lpstr>A/</vt:lpstr>
      <vt:lpstr>A/</vt:lpstr>
    </vt:vector>
  </TitlesOfParts>
  <Company>DCM</Company>
  <LinksUpToDate>false</LinksUpToDate>
  <CharactersWithSpaces>52501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ECE/TRANS/2022/18</dc:title>
  <dc:subject/>
  <dc:creator>Elena IZOTOVA</dc:creator>
  <cp:keywords/>
  <cp:lastModifiedBy>Elena IZOTOVA</cp:lastModifiedBy>
  <cp:revision>3</cp:revision>
  <cp:lastPrinted>2021-12-27T12:07:00Z</cp:lastPrinted>
  <dcterms:created xsi:type="dcterms:W3CDTF">2021-12-27T12:07:00Z</dcterms:created>
  <dcterms:modified xsi:type="dcterms:W3CDTF">2021-12-27T12:08:00Z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