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191524FA" w:rsidR="009E6CB7" w:rsidRPr="00FF02F5" w:rsidRDefault="007E255B" w:rsidP="00954785">
            <w:pPr>
              <w:jc w:val="right"/>
            </w:pPr>
            <w:r w:rsidRPr="007E255B">
              <w:rPr>
                <w:sz w:val="40"/>
              </w:rPr>
              <w:t>ECE</w:t>
            </w:r>
            <w:r>
              <w:t>/TRANS/2022/1</w:t>
            </w:r>
            <w:r w:rsidR="008E4C3A">
              <w:t>3</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51018B1A" w:rsidR="00954785" w:rsidRPr="00FF02F5" w:rsidRDefault="005E77A8" w:rsidP="00954785">
            <w:pPr>
              <w:spacing w:line="240" w:lineRule="exact"/>
            </w:pPr>
            <w:r>
              <w:t xml:space="preserve">14 </w:t>
            </w:r>
            <w:r w:rsidR="006109A3">
              <w:t>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2F01388E" w14:textId="77777777" w:rsidR="00870BF7" w:rsidRDefault="00250503" w:rsidP="003240BC">
      <w:pPr>
        <w:ind w:right="3519"/>
        <w:rPr>
          <w:b/>
        </w:rPr>
      </w:pPr>
      <w:r w:rsidRPr="00FF02F5">
        <w:t>Geneva, 2</w:t>
      </w:r>
      <w:r w:rsidR="00A06F27">
        <w:t>2</w:t>
      </w:r>
      <w:r w:rsidRPr="00FF02F5">
        <w:t>-2</w:t>
      </w:r>
      <w:r w:rsidR="00A06F27">
        <w:t>5</w:t>
      </w:r>
      <w:r w:rsidRPr="00FF02F5">
        <w:t xml:space="preserve"> February 202</w:t>
      </w:r>
      <w:r w:rsidR="00A06F27">
        <w:t>2</w:t>
      </w:r>
      <w:r w:rsidRPr="00FF02F5">
        <w:br/>
      </w:r>
      <w:r w:rsidR="003240BC" w:rsidRPr="00F942B0">
        <w:t xml:space="preserve">Item </w:t>
      </w:r>
      <w:r w:rsidR="00B43FF0" w:rsidRPr="006109A3">
        <w:t>9</w:t>
      </w:r>
      <w:r w:rsidR="003240BC" w:rsidRPr="006109A3">
        <w:t xml:space="preserve"> (b)</w:t>
      </w:r>
      <w:r w:rsidR="003240BC" w:rsidRPr="00F942B0">
        <w:t xml:space="preserve"> of the provisional agenda</w:t>
      </w:r>
      <w:r w:rsidR="003240BC" w:rsidRPr="00F942B0">
        <w:br/>
      </w:r>
      <w:r w:rsidR="003240BC" w:rsidRPr="002559F5">
        <w:rPr>
          <w:b/>
        </w:rPr>
        <w:t xml:space="preserve">Strategic questions of a horizontal and cross-sectoral </w:t>
      </w:r>
    </w:p>
    <w:p w14:paraId="19D668E4" w14:textId="77777777" w:rsidR="00870BF7" w:rsidRDefault="003240BC" w:rsidP="003240BC">
      <w:pPr>
        <w:ind w:right="3519"/>
        <w:rPr>
          <w:b/>
        </w:rPr>
      </w:pPr>
      <w:r w:rsidRPr="002559F5">
        <w:rPr>
          <w:b/>
        </w:rPr>
        <w:t xml:space="preserve">policy or regulatory nature: </w:t>
      </w:r>
    </w:p>
    <w:p w14:paraId="1C12B705" w14:textId="5CE35F93" w:rsidR="003240BC" w:rsidRDefault="003240BC" w:rsidP="003240BC">
      <w:pPr>
        <w:ind w:right="3519"/>
        <w:rPr>
          <w:b/>
        </w:rPr>
      </w:pPr>
      <w:r w:rsidRPr="002559F5">
        <w:rPr>
          <w:b/>
        </w:rPr>
        <w:t>Implementation of the international United Nations inland transport conventions and agreements (statements by delegates)</w:t>
      </w:r>
    </w:p>
    <w:p w14:paraId="28AFA8F0" w14:textId="77777777" w:rsidR="00280791" w:rsidRDefault="00250503" w:rsidP="00280791">
      <w:pPr>
        <w:pStyle w:val="HChG"/>
      </w:pPr>
      <w:r w:rsidRPr="00FF02F5">
        <w:tab/>
      </w:r>
      <w:r w:rsidRPr="00FF02F5">
        <w:tab/>
      </w:r>
      <w:r w:rsidR="00280791">
        <w:t>Regional Accession Dynamics to United Nations Inland Transport Conventions and Agreements – Anniversary Edition</w:t>
      </w:r>
    </w:p>
    <w:p w14:paraId="75F0CEAF" w14:textId="77777777" w:rsidR="00280791" w:rsidRDefault="00280791" w:rsidP="00280791">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A15BB" w14:paraId="25176B11" w14:textId="77777777" w:rsidTr="00BC6119">
        <w:trPr>
          <w:jc w:val="center"/>
        </w:trPr>
        <w:tc>
          <w:tcPr>
            <w:tcW w:w="9629" w:type="dxa"/>
            <w:shd w:val="clear" w:color="auto" w:fill="auto"/>
          </w:tcPr>
          <w:p w14:paraId="6894874C" w14:textId="77777777" w:rsidR="00AA15BB" w:rsidRPr="00C6263E" w:rsidRDefault="00AA15BB" w:rsidP="004D365E">
            <w:pPr>
              <w:spacing w:before="240" w:after="120"/>
              <w:ind w:left="255"/>
              <w:rPr>
                <w:i/>
                <w:sz w:val="24"/>
              </w:rPr>
            </w:pPr>
            <w:r w:rsidRPr="00C6263E">
              <w:rPr>
                <w:i/>
                <w:sz w:val="24"/>
              </w:rPr>
              <w:t>Summary</w:t>
            </w:r>
          </w:p>
        </w:tc>
      </w:tr>
      <w:tr w:rsidR="00AA15BB" w14:paraId="75796FA6" w14:textId="77777777" w:rsidTr="00BC6119">
        <w:trPr>
          <w:jc w:val="center"/>
        </w:trPr>
        <w:tc>
          <w:tcPr>
            <w:tcW w:w="9629" w:type="dxa"/>
            <w:shd w:val="clear" w:color="auto" w:fill="auto"/>
          </w:tcPr>
          <w:p w14:paraId="0E7339B4" w14:textId="02B8A39B" w:rsidR="00AA15BB" w:rsidRDefault="00AA15BB" w:rsidP="004D365E">
            <w:pPr>
              <w:pStyle w:val="SingleTxtG"/>
            </w:pPr>
            <w:r>
              <w:tab/>
            </w:r>
            <w:r>
              <w:tab/>
              <w:t xml:space="preserve">This document analyses the regional and historical dynamics of accessions to transport conventions under the purview of the Inland Transport Committee. It takes a </w:t>
            </w:r>
            <w:r w:rsidR="00510413">
              <w:t xml:space="preserve">specific </w:t>
            </w:r>
            <w:r>
              <w:t>focus on the core road safety instruments due to their particularly high current relevance due to the launch in 2020 of the Second Decade of Action for Road Safety by the General Assembly and the finalization and launch in 2021 of its Action Plan, in line with A/RES/74/299.</w:t>
            </w:r>
          </w:p>
        </w:tc>
      </w:tr>
      <w:tr w:rsidR="00AA15BB" w14:paraId="4CA16636" w14:textId="77777777" w:rsidTr="00BC6119">
        <w:trPr>
          <w:jc w:val="center"/>
        </w:trPr>
        <w:tc>
          <w:tcPr>
            <w:tcW w:w="9629" w:type="dxa"/>
            <w:shd w:val="clear" w:color="auto" w:fill="auto"/>
          </w:tcPr>
          <w:p w14:paraId="4EBD3B86" w14:textId="77777777" w:rsidR="00AA15BB" w:rsidRDefault="00AA15BB" w:rsidP="004D365E"/>
        </w:tc>
      </w:tr>
    </w:tbl>
    <w:p w14:paraId="622D3BAC" w14:textId="4515CF33" w:rsidR="00BC6119" w:rsidRPr="00BC6119" w:rsidRDefault="002C1F88" w:rsidP="002C1F88">
      <w:pPr>
        <w:pStyle w:val="HChG"/>
      </w:pPr>
      <w:r>
        <w:tab/>
        <w:t>I.</w:t>
      </w:r>
      <w:r>
        <w:tab/>
      </w:r>
      <w:r w:rsidR="00BC6119" w:rsidRPr="00BC6119">
        <w:t>Background and scope</w:t>
      </w:r>
    </w:p>
    <w:p w14:paraId="7C570F52" w14:textId="0069155A" w:rsidR="00BC6119" w:rsidRPr="00BC6119" w:rsidRDefault="00BC6119" w:rsidP="002C1F88">
      <w:pPr>
        <w:pStyle w:val="SingleTxtG"/>
      </w:pPr>
      <w:r w:rsidRPr="00BC6119">
        <w:t>1.</w:t>
      </w:r>
      <w:r w:rsidRPr="00BC6119">
        <w:tab/>
        <w:t xml:space="preserve">The 59 United Nations inland transport conventions developed and serviced by the Inland Transport Committee (ITC) are a vital tool for the development of sustainable transport systems regionally and globally. Currently 49 of them are in force (see ECE/TRANS/2022/12 for more details). Each country accession can make transport safer, greener, cheaper, </w:t>
      </w:r>
      <w:proofErr w:type="gramStart"/>
      <w:r w:rsidRPr="00BC6119">
        <w:t>faster</w:t>
      </w:r>
      <w:proofErr w:type="gramEnd"/>
      <w:r w:rsidRPr="00BC6119">
        <w:t xml:space="preserve"> or more accessible. Therefore, each country accession </w:t>
      </w:r>
      <w:r w:rsidR="00E65204">
        <w:t>is sign</w:t>
      </w:r>
      <w:r w:rsidR="00702771">
        <w:t>i</w:t>
      </w:r>
      <w:r w:rsidR="00E65204">
        <w:t>ficant</w:t>
      </w:r>
      <w:r w:rsidRPr="00BC6119">
        <w:t xml:space="preserve">. As of December 2021, there are 1807 accessions to these legal instruments. </w:t>
      </w:r>
    </w:p>
    <w:p w14:paraId="32F3B4D3" w14:textId="77777777" w:rsidR="00BC6119" w:rsidRPr="00BC6119" w:rsidRDefault="00BC6119" w:rsidP="002C1F88">
      <w:pPr>
        <w:pStyle w:val="SingleTxtG"/>
      </w:pPr>
      <w:r w:rsidRPr="00BC6119">
        <w:t>2.</w:t>
      </w:r>
      <w:r w:rsidRPr="00BC6119">
        <w:tab/>
        <w:t xml:space="preserve">Tracking the number of accessions is of course not the only way to determine if worldwide inland transport is becoming more sustainable. For instance, the change in worldwide road traffic fatalities, rather than accession to road safety conventions, is the principal metric of progress on road safety. Nevertheless, accessions are a strong driver or leading indicator of future progress in road traffic safety for several reasons, including the use of harmonized rules and standards, as well as a common framework that enables and strengthens the diffusion of best practices. The same principle applies to other aspects of </w:t>
      </w:r>
      <w:r w:rsidRPr="00BC6119">
        <w:lastRenderedPageBreak/>
        <w:t xml:space="preserve">inland transport, such as border crossing facilitation, transporting specific </w:t>
      </w:r>
      <w:proofErr w:type="gramStart"/>
      <w:r w:rsidRPr="00BC6119">
        <w:t>cargoes</w:t>
      </w:r>
      <w:proofErr w:type="gramEnd"/>
      <w:r w:rsidRPr="00BC6119">
        <w:t xml:space="preserve"> or providing a common set of standards for environmentally friendly transport.</w:t>
      </w:r>
    </w:p>
    <w:p w14:paraId="4A6CDC31" w14:textId="77777777" w:rsidR="00BC6119" w:rsidRPr="00BC6119" w:rsidRDefault="00BC6119" w:rsidP="002C1F88">
      <w:pPr>
        <w:pStyle w:val="SingleTxtG"/>
      </w:pPr>
      <w:r w:rsidRPr="00BC6119">
        <w:t>3.</w:t>
      </w:r>
      <w:r w:rsidRPr="00BC6119">
        <w:tab/>
        <w:t xml:space="preserve">This document therefore analyses, at a macro level, the accession dynamics of each region of the world, as defined by United Nations regional commission membership. The regional commissions are: Economic Commission for Europe (ECE); Economic Commission for Latin America (ECLAC); Economic Commission for Africa (ECA); Economic and Social Commission for Western Asia (ESCWA); and Economic and Social Commission for Asia and Pacific (ESCAP). </w:t>
      </w:r>
    </w:p>
    <w:p w14:paraId="4D481FF6" w14:textId="6AD8B535" w:rsidR="00BC6119" w:rsidRPr="00BC6119" w:rsidRDefault="00BC6119" w:rsidP="002C1F88">
      <w:pPr>
        <w:pStyle w:val="SingleTxtG"/>
      </w:pPr>
      <w:r w:rsidRPr="00BC6119">
        <w:t>4.</w:t>
      </w:r>
      <w:r w:rsidRPr="00BC6119">
        <w:tab/>
        <w:t>The analysis looks at the best performing countries in each region, sees how accessions have changed over time, and focuses on core conventions relating to road safety</w:t>
      </w:r>
      <w:r w:rsidRPr="00D03F13">
        <w:rPr>
          <w:vertAlign w:val="superscript"/>
        </w:rPr>
        <w:footnoteReference w:id="2"/>
      </w:r>
      <w:r w:rsidRPr="00BC6119">
        <w:t>.</w:t>
      </w:r>
    </w:p>
    <w:p w14:paraId="62FF0A3D" w14:textId="77777777" w:rsidR="00BC6119" w:rsidRPr="00BC6119" w:rsidRDefault="00BC6119" w:rsidP="002C1F88">
      <w:pPr>
        <w:pStyle w:val="SingleTxtG"/>
      </w:pPr>
      <w:r w:rsidRPr="00BC6119">
        <w:t>5.</w:t>
      </w:r>
      <w:r w:rsidRPr="00BC6119">
        <w:tab/>
        <w:t>When allocating countries to their regional commissions, it is important to note that many countries are members of more than one regional commission. In some cases, these countries have a clear geographical link to one regional commission and are thus assigned to this one only. In addition to this, though, there are two principal areas where the regional Commissions overlap: in North Africa/Western Asia (countries involved: Algeria, Morocco, Tunisia, Mauritania, Libya, Egypt, Sudan,) and Central Asia (Azerbaijan, Kazakhstan, Kyrgyzstan, Russian Federation, Tajikistan, Turkmenistan, Uzbekistan). In these two cases, the countries have been included under the analysis of both regional commissions.</w:t>
      </w:r>
    </w:p>
    <w:p w14:paraId="6D38B93F" w14:textId="19439E13" w:rsidR="00BC6119" w:rsidRPr="00BC6119" w:rsidRDefault="002C1F88" w:rsidP="002C1F88">
      <w:pPr>
        <w:pStyle w:val="HChG"/>
      </w:pPr>
      <w:r>
        <w:tab/>
        <w:t>II.</w:t>
      </w:r>
      <w:r>
        <w:tab/>
      </w:r>
      <w:r w:rsidR="00BC6119" w:rsidRPr="00BC6119">
        <w:t>All Conventions: Historical Progress</w:t>
      </w:r>
    </w:p>
    <w:p w14:paraId="3427A617" w14:textId="77777777" w:rsidR="00BC6119" w:rsidRPr="00BC6119" w:rsidRDefault="00BC6119" w:rsidP="00BC6119">
      <w:pPr>
        <w:pStyle w:val="SingleTxtG"/>
      </w:pPr>
      <w:r w:rsidRPr="00BC6119">
        <w:t>6.</w:t>
      </w:r>
      <w:r w:rsidRPr="00BC6119">
        <w:tab/>
        <w:t>Analysis was done firstly for all conventions under the purview of the ITC, with a focus on progress per decade, as well as progress in individual regions.</w:t>
      </w:r>
    </w:p>
    <w:p w14:paraId="701B921A" w14:textId="77777777" w:rsidR="00BC6119" w:rsidRPr="00BC6119" w:rsidRDefault="00BC6119" w:rsidP="00BC6119">
      <w:pPr>
        <w:pStyle w:val="SingleTxtG"/>
      </w:pPr>
      <w:r w:rsidRPr="00BC6119">
        <w:t>7.</w:t>
      </w:r>
      <w:r w:rsidRPr="00BC6119">
        <w:tab/>
        <w:t xml:space="preserve">Two hundred and fifty-three accessions occurred to ITC transport instruments in the </w:t>
      </w:r>
      <w:r w:rsidRPr="00BC6119">
        <w:rPr>
          <w:b/>
          <w:bCs/>
        </w:rPr>
        <w:t>1950s</w:t>
      </w:r>
      <w:r w:rsidRPr="00BC6119">
        <w:t xml:space="preserve">, and of these 73 per cent were made by ECE countries. France (nineteen), and Austria and Sweden (fourteen each) led the way with the most accessions, while on the non-ECE side Cambodia (six), and Egypt, </w:t>
      </w:r>
      <w:proofErr w:type="gramStart"/>
      <w:r w:rsidRPr="00BC6119">
        <w:t>Ghana</w:t>
      </w:r>
      <w:proofErr w:type="gramEnd"/>
      <w:r w:rsidRPr="00BC6119">
        <w:t xml:space="preserve"> and Haiti (five each) were top. The most adhered to convention was the 1949 Road Traffic Convention, with nineteen accessions, followed by the 1954 Touring Facilities Agreement (fourteen).</w:t>
      </w:r>
    </w:p>
    <w:p w14:paraId="6CC0CFCD" w14:textId="77777777" w:rsidR="00BC6119" w:rsidRPr="00BC6119" w:rsidRDefault="00BC6119" w:rsidP="00BC6119">
      <w:pPr>
        <w:pStyle w:val="SingleTxtG"/>
      </w:pPr>
      <w:r w:rsidRPr="00BC6119">
        <w:t>8.</w:t>
      </w:r>
      <w:r w:rsidRPr="00BC6119">
        <w:tab/>
        <w:t xml:space="preserve">Three hundred and eight accessions took place in the </w:t>
      </w:r>
      <w:r w:rsidRPr="00BC6119">
        <w:rPr>
          <w:b/>
          <w:bCs/>
        </w:rPr>
        <w:t>1960s</w:t>
      </w:r>
      <w:r w:rsidRPr="00BC6119">
        <w:t xml:space="preserve">, with a decreased share (61 per cent) in the ECE region compared to the previous decade. This time Romania (fourteen) was the leading country, followed by Finland, </w:t>
      </w:r>
      <w:proofErr w:type="gramStart"/>
      <w:r w:rsidRPr="00BC6119">
        <w:t>Germany</w:t>
      </w:r>
      <w:proofErr w:type="gramEnd"/>
      <w:r w:rsidRPr="00BC6119">
        <w:t xml:space="preserve"> and Ireland (eleven each). On the non-ECE side, Cuba (eight), and Algeria and Sierra Leone (seven each) had most accessions. The 1949 Road Traffic Convention remained the most acceded to convention, followed by the 1954 Convention on the Temporary Import of Private Road Vehicles.</w:t>
      </w:r>
    </w:p>
    <w:p w14:paraId="3BF0DC17" w14:textId="77777777" w:rsidR="00BC6119" w:rsidRPr="00BC6119" w:rsidRDefault="00BC6119" w:rsidP="00BC6119">
      <w:pPr>
        <w:pStyle w:val="SingleTxtG"/>
      </w:pPr>
      <w:r w:rsidRPr="00BC6119">
        <w:t>9.</w:t>
      </w:r>
      <w:r w:rsidRPr="00BC6119">
        <w:tab/>
        <w:t xml:space="preserve">Two hundred and five accessions (71 percent of which by ECE countries) occurred in the </w:t>
      </w:r>
      <w:r w:rsidRPr="00BC6119">
        <w:rPr>
          <w:b/>
          <w:bCs/>
        </w:rPr>
        <w:t>1970s</w:t>
      </w:r>
      <w:r w:rsidRPr="00BC6119">
        <w:t xml:space="preserve">. Hungary (twelve), Bulgaria (eleven) and Germany (ten) had the most in the ECE region, whereas Senegal (five), and Barbados, Chile, </w:t>
      </w:r>
      <w:proofErr w:type="gramStart"/>
      <w:r w:rsidRPr="00BC6119">
        <w:t>Fiji</w:t>
      </w:r>
      <w:proofErr w:type="gramEnd"/>
      <w:r w:rsidRPr="00BC6119">
        <w:t xml:space="preserve"> and Tunisia (four each) were the highest acceders outside the region. This time the 1968 Convention on Road Traffic was the most popular convention.</w:t>
      </w:r>
    </w:p>
    <w:p w14:paraId="61DC2751" w14:textId="77777777" w:rsidR="00BC6119" w:rsidRPr="00BC6119" w:rsidRDefault="00BC6119" w:rsidP="00BC6119">
      <w:pPr>
        <w:pStyle w:val="SingleTxtG"/>
      </w:pPr>
      <w:r w:rsidRPr="00BC6119">
        <w:t>10.</w:t>
      </w:r>
      <w:r w:rsidRPr="00BC6119">
        <w:tab/>
        <w:t xml:space="preserve">One hundred and ninety accessions occurred in the </w:t>
      </w:r>
      <w:r w:rsidRPr="00BC6119">
        <w:rPr>
          <w:b/>
          <w:bCs/>
        </w:rPr>
        <w:t>1980s,</w:t>
      </w:r>
      <w:r w:rsidRPr="00BC6119">
        <w:t xml:space="preserve"> 77 per cent of which were by ECE member States. Denmark, Greece, </w:t>
      </w:r>
      <w:proofErr w:type="gramStart"/>
      <w:r w:rsidRPr="00BC6119">
        <w:t>Poland</w:t>
      </w:r>
      <w:proofErr w:type="gramEnd"/>
      <w:r w:rsidRPr="00BC6119">
        <w:t xml:space="preserve"> and Russian Federation jointly led the progress with ten accessions each. The 1975 TIR convention was now the leading convention, followed by the 1982 Harmonized Frontier Goods Controls convention. The best performing non-ECE countries were Morocco and Solomon Islands (five accessions each) and Kuwait (three).</w:t>
      </w:r>
    </w:p>
    <w:p w14:paraId="2394A564" w14:textId="2E488FD7" w:rsidR="00BC6119" w:rsidRPr="00BC6119" w:rsidRDefault="00BC6119" w:rsidP="00BC6119">
      <w:pPr>
        <w:pStyle w:val="SingleTxtG"/>
      </w:pPr>
      <w:r w:rsidRPr="00BC6119">
        <w:t>11.</w:t>
      </w:r>
      <w:r w:rsidRPr="00BC6119">
        <w:tab/>
        <w:t xml:space="preserve">Three hundred and seventy-eight accessions occurred in the </w:t>
      </w:r>
      <w:r w:rsidRPr="00BC6119">
        <w:rPr>
          <w:b/>
          <w:bCs/>
        </w:rPr>
        <w:t>1990s</w:t>
      </w:r>
      <w:r w:rsidRPr="00BC6119">
        <w:t xml:space="preserve">, with the </w:t>
      </w:r>
      <w:r w:rsidR="001F7CE9" w:rsidRPr="00BC6119">
        <w:t xml:space="preserve">1993 </w:t>
      </w:r>
      <w:r w:rsidRPr="00BC6119">
        <w:t>Protocol to the ADR with 24 accessions being the most popular. Ninety</w:t>
      </w:r>
      <w:r w:rsidR="001F7CE9">
        <w:t>-</w:t>
      </w:r>
      <w:r w:rsidRPr="00BC6119">
        <w:t xml:space="preserve">four per cent of </w:t>
      </w:r>
      <w:r w:rsidRPr="00BC6119">
        <w:lastRenderedPageBreak/>
        <w:t xml:space="preserve">accessions were ECE countries. Czechia, Slovakia and Bosnia and Herzegovina were leading acceders, with Cuba, Iran, </w:t>
      </w:r>
      <w:proofErr w:type="gramStart"/>
      <w:r w:rsidRPr="00BC6119">
        <w:t>Japan</w:t>
      </w:r>
      <w:proofErr w:type="gramEnd"/>
      <w:r w:rsidRPr="00BC6119">
        <w:t xml:space="preserve"> and Mongolia best non-ECE. This decade had the biggest proportion of ECE accessions, with only six per cent of conventions by non-ECE member States.</w:t>
      </w:r>
    </w:p>
    <w:p w14:paraId="5A41BEEB" w14:textId="77777777" w:rsidR="00BC6119" w:rsidRPr="00BC6119" w:rsidRDefault="00BC6119" w:rsidP="00BC6119">
      <w:pPr>
        <w:pStyle w:val="SingleTxtG"/>
      </w:pPr>
      <w:r w:rsidRPr="00BC6119">
        <w:t>12.</w:t>
      </w:r>
      <w:r w:rsidRPr="00BC6119">
        <w:tab/>
        <w:t xml:space="preserve">Three hundred and eight accessions, of which 92 per cent ECE member States, took place in the </w:t>
      </w:r>
      <w:r w:rsidRPr="00BC6119">
        <w:rPr>
          <w:b/>
          <w:bCs/>
        </w:rPr>
        <w:t>2000s</w:t>
      </w:r>
      <w:r w:rsidRPr="00BC6119">
        <w:t xml:space="preserve"> decade. This was led by Serbia (38), Montenegro (37), and Albania (24). The most popular convention was the 1998 Agreement on Global Vehicle Regulations. The best performing non-ECE countries were Liberia (ten accessions), Tunisia (eight) and United Arab Emirates (five).</w:t>
      </w:r>
    </w:p>
    <w:p w14:paraId="4922EB33" w14:textId="30C2E686" w:rsidR="00BC6119" w:rsidRPr="00BC6119" w:rsidRDefault="00BC6119" w:rsidP="00BC6119">
      <w:pPr>
        <w:pStyle w:val="SingleTxtG"/>
      </w:pPr>
      <w:r w:rsidRPr="00BC6119">
        <w:t>13.</w:t>
      </w:r>
      <w:r w:rsidRPr="00BC6119">
        <w:tab/>
        <w:t>One hundred and twenty</w:t>
      </w:r>
      <w:r w:rsidR="00D10453">
        <w:t>-</w:t>
      </w:r>
      <w:r w:rsidRPr="00BC6119">
        <w:t xml:space="preserve">six convention accessions, 73 per cent of which by ECE members, took place in the </w:t>
      </w:r>
      <w:r w:rsidRPr="00BC6119">
        <w:rPr>
          <w:b/>
          <w:bCs/>
        </w:rPr>
        <w:t>2010s</w:t>
      </w:r>
      <w:r w:rsidR="005E48BC">
        <w:rPr>
          <w:b/>
          <w:bCs/>
        </w:rPr>
        <w:t xml:space="preserve"> decade</w:t>
      </w:r>
      <w:r w:rsidRPr="00BC6119">
        <w:t xml:space="preserve">. Republic of Moldova (eight accessions), Nigeria (with seven accessions making it the first time a non-ECE country is in the top three), and Kazakhstan, </w:t>
      </w:r>
      <w:proofErr w:type="gramStart"/>
      <w:r w:rsidRPr="00BC6119">
        <w:t>Tajikistan</w:t>
      </w:r>
      <w:proofErr w:type="gramEnd"/>
      <w:r w:rsidRPr="00BC6119">
        <w:t xml:space="preserve"> and Turkey (six each) led the way. The most adhered to convention was the 2008 Additional protocol to CMR (e-CMR). </w:t>
      </w:r>
    </w:p>
    <w:p w14:paraId="5BA5E30F" w14:textId="0266EB4D" w:rsidR="00BC6119" w:rsidRPr="00BC6119" w:rsidRDefault="002C1F88" w:rsidP="002C1F88">
      <w:pPr>
        <w:pStyle w:val="HChG"/>
      </w:pPr>
      <w:r>
        <w:tab/>
        <w:t>III.</w:t>
      </w:r>
      <w:r>
        <w:tab/>
      </w:r>
      <w:r w:rsidR="00BC6119" w:rsidRPr="00BC6119">
        <w:t>The special case of road safety conventions: Analysis</w:t>
      </w:r>
    </w:p>
    <w:p w14:paraId="0604A6FF" w14:textId="77777777" w:rsidR="00BC6119" w:rsidRPr="00BC6119" w:rsidRDefault="00BC6119" w:rsidP="002C1F88">
      <w:pPr>
        <w:pStyle w:val="SingleTxtG"/>
      </w:pPr>
      <w:r w:rsidRPr="00BC6119">
        <w:t>14.</w:t>
      </w:r>
      <w:r w:rsidRPr="00BC6119">
        <w:tab/>
        <w:t>After observing these trends in total accessions to transport instruments, a specific analysis was conducted on core road safety conventions. The seven core United Nations road safety conventions and the 1970 legal instrument dealing with the work of crews engaged in international road transport (AETR</w:t>
      </w:r>
      <w:r w:rsidRPr="00BC6119">
        <w:rPr>
          <w:vertAlign w:val="superscript"/>
        </w:rPr>
        <w:footnoteReference w:id="3"/>
      </w:r>
      <w:r w:rsidRPr="00BC6119">
        <w:t xml:space="preserve">) were considered for the purposes of this analysis. </w:t>
      </w:r>
    </w:p>
    <w:p w14:paraId="7B87315E" w14:textId="77777777" w:rsidR="00BC6119" w:rsidRPr="00BC6119" w:rsidRDefault="00BC6119" w:rsidP="002C1F88">
      <w:pPr>
        <w:pStyle w:val="SingleTxtG"/>
      </w:pPr>
      <w:r w:rsidRPr="00BC6119">
        <w:t>15.</w:t>
      </w:r>
      <w:r w:rsidRPr="00BC6119">
        <w:tab/>
        <w:t xml:space="preserve">Analysis was conducted on the dynamics of the above eight conventions, which comprises 467 accessions by 140 different contracting parties. </w:t>
      </w:r>
    </w:p>
    <w:p w14:paraId="0C7DCDDA" w14:textId="2CA16C0E" w:rsidR="00BC6119" w:rsidRDefault="00BC6119" w:rsidP="002C1F88">
      <w:pPr>
        <w:pStyle w:val="SingleTxtG"/>
      </w:pPr>
      <w:r w:rsidRPr="00BC6119">
        <w:t>16.</w:t>
      </w:r>
      <w:r w:rsidRPr="00BC6119">
        <w:tab/>
        <w:t xml:space="preserve">Six member States have acceded to every one of these eight conventions: Finland, Hungary, Netherlands, Romania, Russian Federation and San Marino. Forty-seven ECE countries have 4 or more conventions, while Nigeria and Tunisia are the leading non-ECE countries on road safety conventions with seven each (both missing the AETR). Morocco and South Africa are the only other non-ECE countries with four or more accessions. </w:t>
      </w:r>
    </w:p>
    <w:p w14:paraId="4FBCC89C" w14:textId="71A11E1C" w:rsidR="00FF3127" w:rsidRDefault="00FF3127" w:rsidP="00FF3127">
      <w:pPr>
        <w:pStyle w:val="Heading1"/>
        <w:rPr>
          <w:lang w:val="en-US"/>
        </w:rPr>
      </w:pPr>
      <w:r w:rsidRPr="00BC6119">
        <w:t xml:space="preserve">Figure </w:t>
      </w:r>
      <w:r w:rsidRPr="00BC6119">
        <w:fldChar w:fldCharType="begin"/>
      </w:r>
      <w:r w:rsidRPr="00BC6119">
        <w:instrText xml:space="preserve"> SEQ Figure \* ARABIC </w:instrText>
      </w:r>
      <w:r w:rsidRPr="00BC6119">
        <w:fldChar w:fldCharType="separate"/>
      </w:r>
      <w:r w:rsidRPr="00BC6119">
        <w:t>1</w:t>
      </w:r>
      <w:r w:rsidRPr="00BC6119">
        <w:fldChar w:fldCharType="end"/>
      </w:r>
      <w:r w:rsidRPr="00BC6119">
        <w:rPr>
          <w:lang w:val="en-US"/>
        </w:rPr>
        <w:t xml:space="preserve"> </w:t>
      </w:r>
    </w:p>
    <w:p w14:paraId="47BB0F3B" w14:textId="27AB4C76" w:rsidR="00FF3127" w:rsidRPr="00FF3127" w:rsidRDefault="00FF3127" w:rsidP="00FF3127">
      <w:pPr>
        <w:pStyle w:val="Heading1"/>
        <w:rPr>
          <w:b/>
          <w:bCs/>
        </w:rPr>
      </w:pPr>
      <w:r w:rsidRPr="00FF3127">
        <w:rPr>
          <w:b/>
          <w:bCs/>
          <w:lang w:val="en-US"/>
        </w:rPr>
        <w:t>Core road safety conventions accessions, by year and convention.</w:t>
      </w:r>
    </w:p>
    <w:p w14:paraId="514ECA7C" w14:textId="77777777" w:rsidR="00BC6119" w:rsidRPr="00BC6119" w:rsidRDefault="00BC6119" w:rsidP="00BC6119">
      <w:pPr>
        <w:pStyle w:val="SingleTxtG"/>
      </w:pPr>
      <w:r w:rsidRPr="00BC6119">
        <w:rPr>
          <w:noProof/>
        </w:rPr>
        <w:drawing>
          <wp:inline distT="0" distB="0" distL="0" distR="0" wp14:anchorId="7A4E7936" wp14:editId="2F8D0614">
            <wp:extent cx="5311472" cy="2816860"/>
            <wp:effectExtent l="0" t="0" r="3810" b="2540"/>
            <wp:docPr id="6" name="Chart 6">
              <a:extLst xmlns:a="http://schemas.openxmlformats.org/drawingml/2006/main">
                <a:ext uri="{FF2B5EF4-FFF2-40B4-BE49-F238E27FC236}">
                  <a16:creationId xmlns:a16="http://schemas.microsoft.com/office/drawing/2014/main" id="{58E3C0BF-4585-48A0-8E38-5E9AAACB21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E1122A" w14:textId="3E61C3CC" w:rsidR="00BC6119" w:rsidRPr="00BC6119" w:rsidRDefault="002C1F88" w:rsidP="002C1F88">
      <w:pPr>
        <w:pStyle w:val="H23G"/>
      </w:pPr>
      <w:r>
        <w:lastRenderedPageBreak/>
        <w:tab/>
      </w:r>
      <w:r>
        <w:tab/>
      </w:r>
      <w:r w:rsidR="00BC6119" w:rsidRPr="00BC6119">
        <w:t>Development over time</w:t>
      </w:r>
    </w:p>
    <w:p w14:paraId="1382AE47" w14:textId="77777777" w:rsidR="00BC6119" w:rsidRPr="00BC6119" w:rsidRDefault="00BC6119" w:rsidP="002C1F88">
      <w:pPr>
        <w:pStyle w:val="SingleTxtG"/>
      </w:pPr>
      <w:r w:rsidRPr="00BC6119">
        <w:t>17.</w:t>
      </w:r>
      <w:r w:rsidRPr="00BC6119">
        <w:tab/>
        <w:t xml:space="preserve">The next stage of the analysis looked at how each road safety convention developed in terms of accessions over time. The 1949 Convention on Road Traffic grew the most among all road safety conventions in the dataset (see Figure 1). </w:t>
      </w:r>
    </w:p>
    <w:p w14:paraId="1764852E" w14:textId="0C334AF1" w:rsidR="00BC6119" w:rsidRDefault="00BC6119" w:rsidP="002C1F88">
      <w:pPr>
        <w:pStyle w:val="SingleTxtG"/>
      </w:pPr>
      <w:r w:rsidRPr="00BC6119">
        <w:t>18.</w:t>
      </w:r>
      <w:r w:rsidRPr="00BC6119">
        <w:tab/>
        <w:t>Ranking these conventions in terms of time it takes to get to 25 contracting parties, the 1998 Global Vehicle Regulations regulation was the fastest to achieve this (eight years), followed by the 1949 Road Traffic Convention and the 1968 Road Traffic Convention. These trends are evident in Figure 2.</w:t>
      </w:r>
    </w:p>
    <w:p w14:paraId="4B01ECE6" w14:textId="094A99C3" w:rsidR="00FF3127" w:rsidRDefault="00FF3127" w:rsidP="00FF3127">
      <w:pPr>
        <w:pStyle w:val="Heading1"/>
        <w:rPr>
          <w:lang w:val="en-US"/>
        </w:rPr>
      </w:pPr>
      <w:r w:rsidRPr="00BC6119">
        <w:t xml:space="preserve">Figure </w:t>
      </w:r>
      <w:r w:rsidRPr="00BC6119">
        <w:fldChar w:fldCharType="begin"/>
      </w:r>
      <w:r w:rsidRPr="00BC6119">
        <w:instrText xml:space="preserve"> SEQ Figure \* ARABIC </w:instrText>
      </w:r>
      <w:r w:rsidRPr="00BC6119">
        <w:fldChar w:fldCharType="separate"/>
      </w:r>
      <w:r w:rsidRPr="00BC6119">
        <w:t>2</w:t>
      </w:r>
      <w:r w:rsidRPr="00BC6119">
        <w:fldChar w:fldCharType="end"/>
      </w:r>
    </w:p>
    <w:p w14:paraId="26CEA5B1" w14:textId="14A4DEAE" w:rsidR="00FF3127" w:rsidRPr="00BC6119" w:rsidRDefault="00FF3127" w:rsidP="00FF3127">
      <w:pPr>
        <w:pStyle w:val="Heading1"/>
        <w:rPr>
          <w:lang w:val="en-US"/>
        </w:rPr>
      </w:pPr>
      <w:r w:rsidRPr="00FF3127">
        <w:rPr>
          <w:b/>
          <w:bCs/>
          <w:lang w:val="en-US"/>
        </w:rPr>
        <w:t>Road safety convention accessions over time</w:t>
      </w:r>
    </w:p>
    <w:p w14:paraId="0655EFB6" w14:textId="77777777" w:rsidR="00BC6119" w:rsidRPr="00BC6119" w:rsidRDefault="00BC6119" w:rsidP="00BC6119">
      <w:pPr>
        <w:pStyle w:val="SingleTxtG"/>
      </w:pPr>
      <w:r w:rsidRPr="00BC6119">
        <w:rPr>
          <w:noProof/>
        </w:rPr>
        <w:drawing>
          <wp:inline distT="0" distB="0" distL="0" distR="0" wp14:anchorId="502EF1AD" wp14:editId="33FA4D78">
            <wp:extent cx="5072932" cy="3020060"/>
            <wp:effectExtent l="0" t="0" r="13970" b="8890"/>
            <wp:docPr id="8" name="Chart 8">
              <a:extLst xmlns:a="http://schemas.openxmlformats.org/drawingml/2006/main">
                <a:ext uri="{FF2B5EF4-FFF2-40B4-BE49-F238E27FC236}">
                  <a16:creationId xmlns:a16="http://schemas.microsoft.com/office/drawing/2014/main" id="{01DE33D7-2328-4E63-A042-786C09228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878B2E" w14:textId="0941382B" w:rsidR="00BC6119" w:rsidRPr="00BC6119" w:rsidRDefault="00BC6119" w:rsidP="002C1F88">
      <w:pPr>
        <w:pStyle w:val="SingleTxtG"/>
      </w:pPr>
      <w:r w:rsidRPr="00BC6119">
        <w:t>19.</w:t>
      </w:r>
      <w:r w:rsidRPr="00BC6119">
        <w:tab/>
        <w:t xml:space="preserve">The ECE region did 23 safety accessions in the 1950s, 22 in </w:t>
      </w:r>
      <w:r w:rsidR="003F2947">
        <w:t>the 19</w:t>
      </w:r>
      <w:r w:rsidRPr="00BC6119">
        <w:t xml:space="preserve">60s, 53 in the </w:t>
      </w:r>
      <w:r w:rsidR="0000309B">
        <w:t>19</w:t>
      </w:r>
      <w:r w:rsidRPr="00BC6119">
        <w:t xml:space="preserve">70s, 23 in the </w:t>
      </w:r>
      <w:r w:rsidR="005A2F59">
        <w:t>19</w:t>
      </w:r>
      <w:r w:rsidRPr="00BC6119">
        <w:t xml:space="preserve">80s, 90 in the </w:t>
      </w:r>
      <w:r w:rsidR="005A2F59">
        <w:t>19</w:t>
      </w:r>
      <w:r w:rsidRPr="00BC6119">
        <w:t xml:space="preserve">90s, 68 in the </w:t>
      </w:r>
      <w:r w:rsidR="005A2F59">
        <w:t>20</w:t>
      </w:r>
      <w:r w:rsidRPr="00BC6119">
        <w:t xml:space="preserve">00s and 32 in the 2010s. </w:t>
      </w:r>
      <w:bookmarkStart w:id="0" w:name="_Hlk90213713"/>
      <w:r w:rsidRPr="00BC6119">
        <w:rPr>
          <w:b/>
          <w:bCs/>
        </w:rPr>
        <w:t xml:space="preserve">The most dynamic decade for ECE was </w:t>
      </w:r>
      <w:bookmarkEnd w:id="0"/>
      <w:r w:rsidRPr="00BC6119">
        <w:rPr>
          <w:b/>
          <w:bCs/>
        </w:rPr>
        <w:t>the 1970s.</w:t>
      </w:r>
    </w:p>
    <w:p w14:paraId="1B84D34E" w14:textId="575AA6C7" w:rsidR="00BC6119" w:rsidRPr="00BC6119" w:rsidRDefault="00BC6119" w:rsidP="002C1F88">
      <w:pPr>
        <w:pStyle w:val="SingleTxtG"/>
      </w:pPr>
      <w:r w:rsidRPr="00BC6119">
        <w:t>20.</w:t>
      </w:r>
      <w:r w:rsidRPr="00BC6119">
        <w:tab/>
        <w:t xml:space="preserve">The ECA region had five accessions in the 1950s, sixteen in the 1960s, nine in the </w:t>
      </w:r>
      <w:r w:rsidR="00BF6FFB">
        <w:t>19</w:t>
      </w:r>
      <w:r w:rsidRPr="00BC6119">
        <w:t xml:space="preserve">70s, seven in the </w:t>
      </w:r>
      <w:r w:rsidR="00BF6FFB">
        <w:t>19</w:t>
      </w:r>
      <w:r w:rsidRPr="00BC6119">
        <w:t xml:space="preserve">80s, two in the </w:t>
      </w:r>
      <w:r w:rsidR="00BF6FFB">
        <w:t>19</w:t>
      </w:r>
      <w:r w:rsidRPr="00BC6119">
        <w:t xml:space="preserve">90s, twelve in the </w:t>
      </w:r>
      <w:r w:rsidR="00BF6FFB">
        <w:t>20</w:t>
      </w:r>
      <w:r w:rsidRPr="00BC6119">
        <w:t xml:space="preserve">00s, and ten in the 2010s. </w:t>
      </w:r>
      <w:r w:rsidRPr="00BC6119">
        <w:rPr>
          <w:b/>
          <w:bCs/>
        </w:rPr>
        <w:t>ECA’s most dynamic decade was in the 1960s.</w:t>
      </w:r>
    </w:p>
    <w:p w14:paraId="2C45E2A8" w14:textId="2F91F0F6" w:rsidR="00BC6119" w:rsidRPr="00BC6119" w:rsidRDefault="00BC6119" w:rsidP="00BC6119">
      <w:pPr>
        <w:pStyle w:val="SingleTxtG"/>
        <w:rPr>
          <w:lang w:val="en-US"/>
        </w:rPr>
      </w:pPr>
      <w:r w:rsidRPr="00BC6119">
        <w:t>21.</w:t>
      </w:r>
      <w:r w:rsidRPr="00BC6119">
        <w:tab/>
        <w:t xml:space="preserve">The ESCAP region (excluding non-regional members) had eleven accessions in the 1950s, three in the 1960s, eleven in the 1970s, five in the </w:t>
      </w:r>
      <w:r w:rsidR="00BF6FFB">
        <w:t>19</w:t>
      </w:r>
      <w:r w:rsidRPr="00BC6119">
        <w:t xml:space="preserve">80s, 23 in the 1990s, 24 in the 2000s, and twenty in the 2010s. </w:t>
      </w:r>
      <w:r w:rsidRPr="00BC6119">
        <w:rPr>
          <w:b/>
          <w:bCs/>
        </w:rPr>
        <w:t>ESCAP’s most dynamic decade was in the 2000s.</w:t>
      </w:r>
    </w:p>
    <w:p w14:paraId="11482E7A" w14:textId="0343BF14" w:rsidR="00BC6119" w:rsidRPr="00BC6119" w:rsidRDefault="00BC6119" w:rsidP="00BC6119">
      <w:pPr>
        <w:pStyle w:val="SingleTxtG"/>
        <w:rPr>
          <w:b/>
          <w:bCs/>
        </w:rPr>
      </w:pPr>
      <w:r w:rsidRPr="00BC6119">
        <w:t>22.</w:t>
      </w:r>
      <w:r w:rsidRPr="00BC6119">
        <w:tab/>
        <w:t xml:space="preserve">The ESCWA region had four core safety accessions in the 1950s, two in the 1960s, two in the 1970s, five in the 1980s, zero in the 1990s, nine in the 2000s and six in the 2010s. </w:t>
      </w:r>
      <w:r w:rsidRPr="00BC6119">
        <w:rPr>
          <w:b/>
          <w:bCs/>
        </w:rPr>
        <w:t>The most dynamic decade for ESCWA was the 2000s.</w:t>
      </w:r>
    </w:p>
    <w:p w14:paraId="3E4D79E4" w14:textId="77777777" w:rsidR="00BC6119" w:rsidRPr="00BC6119" w:rsidRDefault="00BC6119" w:rsidP="00BC6119">
      <w:pPr>
        <w:pStyle w:val="SingleTxtG"/>
        <w:rPr>
          <w:b/>
          <w:bCs/>
        </w:rPr>
      </w:pPr>
      <w:r w:rsidRPr="00BC6119">
        <w:t>23.</w:t>
      </w:r>
      <w:r w:rsidRPr="00BC6119">
        <w:tab/>
        <w:t xml:space="preserve">The ECLAC region (excluding non-regional members had four safety accessions in the 1950s, eight in the 1960s, five in the 1970s, two in the 1980s, one in the 1990s, two in the 2000s and zero in the 2010s. </w:t>
      </w:r>
      <w:r w:rsidRPr="00BC6119">
        <w:rPr>
          <w:b/>
          <w:bCs/>
        </w:rPr>
        <w:t>ECLAC’s most dynamic decade was the 1960s.</w:t>
      </w:r>
    </w:p>
    <w:p w14:paraId="59D68879" w14:textId="5CB82049" w:rsidR="00BC6119" w:rsidRPr="00BC6119" w:rsidRDefault="00BC6119" w:rsidP="002C1F88">
      <w:pPr>
        <w:pStyle w:val="HChG"/>
      </w:pPr>
      <w:r w:rsidRPr="00BC6119">
        <w:tab/>
      </w:r>
      <w:r w:rsidR="00FF3127">
        <w:t>I</w:t>
      </w:r>
      <w:r w:rsidRPr="00BC6119">
        <w:t>V.</w:t>
      </w:r>
      <w:r w:rsidRPr="00BC6119">
        <w:tab/>
      </w:r>
      <w:r w:rsidRPr="00BC6119">
        <w:tab/>
        <w:t>General Conclusions</w:t>
      </w:r>
    </w:p>
    <w:p w14:paraId="163E728F" w14:textId="2AB32675" w:rsidR="00BC6119" w:rsidRPr="00BC6119" w:rsidRDefault="00BC6119" w:rsidP="00BC6119">
      <w:pPr>
        <w:pStyle w:val="SingleTxtG"/>
      </w:pPr>
      <w:r w:rsidRPr="00BC6119">
        <w:t>24.</w:t>
      </w:r>
      <w:r w:rsidRPr="00BC6119">
        <w:tab/>
        <w:t xml:space="preserve">A few general trends emerge from the above analysis of regional accession dynamics. The first point is that accession levels in 2021, most likely due to the impacts of COVID-19, dropped considerably compared to the years before. The second is that non-ECE accessions are clearly lagging compared to those of ECE overall. However, </w:t>
      </w:r>
      <w:r w:rsidR="00724C11">
        <w:t xml:space="preserve">one </w:t>
      </w:r>
      <w:r w:rsidRPr="00BC6119">
        <w:t>third of new accessions in 2021 were from non-ECE member States, including Ethiopia which became the thirty-</w:t>
      </w:r>
      <w:r w:rsidRPr="00BC6119">
        <w:lastRenderedPageBreak/>
        <w:t>sixth ECA member State</w:t>
      </w:r>
      <w:r w:rsidR="00724C11">
        <w:t xml:space="preserve"> and 151</w:t>
      </w:r>
      <w:r w:rsidR="00724C11" w:rsidRPr="00D03F13">
        <w:rPr>
          <w:vertAlign w:val="superscript"/>
        </w:rPr>
        <w:t>st</w:t>
      </w:r>
      <w:r w:rsidR="00724C11">
        <w:t xml:space="preserve"> UN Member State</w:t>
      </w:r>
      <w:r w:rsidRPr="00BC6119">
        <w:t xml:space="preserve"> to accede to an instrument. From 2019 onwards, 30 per cent of total accessions have been by non-ECE member States.</w:t>
      </w:r>
    </w:p>
    <w:p w14:paraId="74BDA14D" w14:textId="19B4652C" w:rsidR="00BC6119" w:rsidRPr="00BC6119" w:rsidRDefault="00BC6119" w:rsidP="00BC6119">
      <w:pPr>
        <w:pStyle w:val="SingleTxtG"/>
      </w:pPr>
      <w:r w:rsidRPr="00BC6119">
        <w:t>25.</w:t>
      </w:r>
      <w:r w:rsidRPr="00BC6119">
        <w:tab/>
        <w:t>It follows from this analysis that, as the impacts and disruptions caused by COVID-19 subside over time, there is still much room and urgency to strengthen the appeal of conventions under the purview of the Inland Transport Committee to all regions. Despite the ongoing uncertainty surrounding the development of the pandemic and post-pandemic dynamics, empirical evidence suggests that countries with a high-level of accession to road safety conventions perform better in fac</w:t>
      </w:r>
      <w:r w:rsidR="002A2F47">
        <w:t>ing</w:t>
      </w:r>
      <w:r w:rsidRPr="00BC6119">
        <w:t xml:space="preserve"> the ongoing road safety crisis. Countries with higher-level of accession to border-crossing facilitation conventions were able to record more successful responses to cross-border flow of goods during the pandemic emergency and its aftermath, despite many of them having suffered heavy epidemiological impacts on their population (see also ECE/TRANS/2022/14).</w:t>
      </w:r>
    </w:p>
    <w:p w14:paraId="29E20082" w14:textId="77777777" w:rsidR="00BC6119" w:rsidRPr="00BC6119" w:rsidRDefault="00BC6119" w:rsidP="00BC6119">
      <w:pPr>
        <w:pStyle w:val="SingleTxtG"/>
      </w:pPr>
      <w:r w:rsidRPr="00BC6119">
        <w:t>26.</w:t>
      </w:r>
      <w:r w:rsidRPr="00BC6119">
        <w:tab/>
      </w:r>
      <w:proofErr w:type="gramStart"/>
      <w:r w:rsidRPr="00BC6119">
        <w:t>In light of</w:t>
      </w:r>
      <w:proofErr w:type="gramEnd"/>
      <w:r w:rsidRPr="00BC6119">
        <w:t xml:space="preserve"> the above, the Committee </w:t>
      </w:r>
      <w:r w:rsidRPr="00BC6119">
        <w:rPr>
          <w:b/>
          <w:bCs/>
        </w:rPr>
        <w:t>may wish to take into consideration</w:t>
      </w:r>
      <w:r w:rsidRPr="00BC6119">
        <w:t xml:space="preserve"> the analysis of regional accession trends and dynamics in relation to key clusters of United Nations inland transport conventions and agreements.</w:t>
      </w:r>
    </w:p>
    <w:p w14:paraId="5E3A46AE" w14:textId="389A047A" w:rsidR="00BC6119" w:rsidRPr="00BC6119" w:rsidRDefault="00BC6119" w:rsidP="00BC6119">
      <w:pPr>
        <w:pStyle w:val="SingleTxtG"/>
      </w:pPr>
      <w:r w:rsidRPr="00BC6119">
        <w:t>27.</w:t>
      </w:r>
      <w:r w:rsidRPr="00BC6119">
        <w:tab/>
        <w:t xml:space="preserve">Furthermore, the Committee, mindful that improving implementation worldwide is a core element of the ITC Strategy and its vision in the run-up to 2030, is invited to </w:t>
      </w:r>
      <w:r w:rsidRPr="00BC6119">
        <w:rPr>
          <w:b/>
          <w:bCs/>
        </w:rPr>
        <w:t>take note</w:t>
      </w:r>
      <w:r w:rsidRPr="00BC6119">
        <w:t xml:space="preserve"> of this information and may wish to </w:t>
      </w:r>
      <w:r w:rsidRPr="00BC6119">
        <w:rPr>
          <w:b/>
          <w:bCs/>
        </w:rPr>
        <w:t>provide guidance to the secretariat</w:t>
      </w:r>
      <w:r w:rsidRPr="00BC6119">
        <w:t xml:space="preserve"> on ways to strengthen accession to and implementation of these legal instruments, as the post-pandemic recovery efforts accelerate and the global economic outlook will create enhanced needs for restoring the transition towards sustainable transport and mobility.</w:t>
      </w:r>
    </w:p>
    <w:p w14:paraId="08CBC995" w14:textId="50CDA79D" w:rsidR="00EF33DF" w:rsidRPr="00BC6119" w:rsidRDefault="002C1F88" w:rsidP="002C1F88">
      <w:pPr>
        <w:pStyle w:val="SingleTxtG"/>
        <w:spacing w:before="240" w:after="0"/>
        <w:jc w:val="center"/>
      </w:pPr>
      <w:r>
        <w:rPr>
          <w:u w:val="single"/>
        </w:rPr>
        <w:tab/>
      </w:r>
      <w:r>
        <w:rPr>
          <w:u w:val="single"/>
        </w:rPr>
        <w:tab/>
      </w:r>
      <w:r>
        <w:rPr>
          <w:u w:val="single"/>
        </w:rPr>
        <w:tab/>
      </w:r>
      <w:r>
        <w:rPr>
          <w:u w:val="single"/>
        </w:rPr>
        <w:tab/>
      </w:r>
    </w:p>
    <w:sectPr w:rsidR="00EF33DF" w:rsidRPr="00BC6119"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0B8C" w14:textId="77777777" w:rsidR="00F37BF0" w:rsidRDefault="00F37BF0"/>
  </w:endnote>
  <w:endnote w:type="continuationSeparator" w:id="0">
    <w:p w14:paraId="0CCCE858" w14:textId="77777777" w:rsidR="00F37BF0" w:rsidRDefault="00F37BF0"/>
  </w:endnote>
  <w:endnote w:type="continuationNotice" w:id="1">
    <w:p w14:paraId="35DD778C" w14:textId="77777777" w:rsidR="00F37BF0" w:rsidRDefault="00F37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B57D" w14:textId="5711E2EB" w:rsidR="003514D8" w:rsidRDefault="003514D8" w:rsidP="003514D8">
    <w:pPr>
      <w:pStyle w:val="Footer"/>
    </w:pPr>
    <w:r w:rsidRPr="0027112F">
      <w:rPr>
        <w:noProof/>
        <w:lang w:val="en-US"/>
      </w:rPr>
      <w:drawing>
        <wp:anchor distT="0" distB="0" distL="114300" distR="114300" simplePos="0" relativeHeight="251659264" behindDoc="0" locked="1" layoutInCell="1" allowOverlap="1" wp14:anchorId="73D1C1FE" wp14:editId="510C11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3B27FC" w14:textId="6EF2B94C" w:rsidR="003514D8" w:rsidRPr="003514D8" w:rsidRDefault="003514D8" w:rsidP="003514D8">
    <w:pPr>
      <w:pStyle w:val="Footer"/>
      <w:ind w:right="1134"/>
      <w:rPr>
        <w:sz w:val="20"/>
      </w:rPr>
    </w:pPr>
    <w:r>
      <w:rPr>
        <w:sz w:val="20"/>
      </w:rPr>
      <w:t>GE.21-18897(E)</w:t>
    </w:r>
    <w:r>
      <w:rPr>
        <w:noProof/>
        <w:sz w:val="20"/>
      </w:rPr>
      <w:drawing>
        <wp:anchor distT="0" distB="0" distL="114300" distR="114300" simplePos="0" relativeHeight="251660288" behindDoc="0" locked="0" layoutInCell="1" allowOverlap="1" wp14:anchorId="4CF76895" wp14:editId="7A6865D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E3C6" w14:textId="77777777" w:rsidR="00F37BF0" w:rsidRPr="000B175B" w:rsidRDefault="00F37BF0" w:rsidP="000B175B">
      <w:pPr>
        <w:tabs>
          <w:tab w:val="right" w:pos="2155"/>
        </w:tabs>
        <w:spacing w:after="80"/>
        <w:ind w:left="680"/>
        <w:rPr>
          <w:u w:val="single"/>
        </w:rPr>
      </w:pPr>
      <w:r>
        <w:rPr>
          <w:u w:val="single"/>
        </w:rPr>
        <w:tab/>
      </w:r>
    </w:p>
  </w:footnote>
  <w:footnote w:type="continuationSeparator" w:id="0">
    <w:p w14:paraId="0B7B47D3" w14:textId="77777777" w:rsidR="00F37BF0" w:rsidRPr="00FC68B7" w:rsidRDefault="00F37BF0" w:rsidP="00FC68B7">
      <w:pPr>
        <w:tabs>
          <w:tab w:val="left" w:pos="2155"/>
        </w:tabs>
        <w:spacing w:after="80"/>
        <w:ind w:left="680"/>
        <w:rPr>
          <w:u w:val="single"/>
        </w:rPr>
      </w:pPr>
      <w:r>
        <w:rPr>
          <w:u w:val="single"/>
        </w:rPr>
        <w:tab/>
      </w:r>
    </w:p>
  </w:footnote>
  <w:footnote w:type="continuationNotice" w:id="1">
    <w:p w14:paraId="0FC97E70" w14:textId="77777777" w:rsidR="00F37BF0" w:rsidRDefault="00F37BF0"/>
  </w:footnote>
  <w:footnote w:id="2">
    <w:p w14:paraId="247AC358" w14:textId="07AA9EB4" w:rsidR="00BC6119" w:rsidRPr="007B0DC1" w:rsidRDefault="00BC6119" w:rsidP="00704FBE">
      <w:pPr>
        <w:pStyle w:val="FootnoteText"/>
        <w:rPr>
          <w:lang w:val="en-US"/>
        </w:rPr>
      </w:pPr>
      <w:r>
        <w:tab/>
      </w:r>
      <w:r>
        <w:rPr>
          <w:rStyle w:val="FootnoteReference"/>
        </w:rPr>
        <w:footnoteRef/>
      </w:r>
      <w:r>
        <w:tab/>
        <w:t xml:space="preserve"> </w:t>
      </w:r>
      <w:r w:rsidRPr="007B0DC1">
        <w:rPr>
          <w:b/>
          <w:bCs/>
        </w:rPr>
        <w:t>Core United Nations Road Safety Conventions</w:t>
      </w:r>
      <w:r w:rsidRPr="008C09BA">
        <w:t xml:space="preserve">: 1949 Convention on </w:t>
      </w:r>
      <w:r>
        <w:t>R</w:t>
      </w:r>
      <w:r w:rsidRPr="008C09BA">
        <w:t xml:space="preserve">oad </w:t>
      </w:r>
      <w:r>
        <w:t>T</w:t>
      </w:r>
      <w:r w:rsidRPr="008C09BA">
        <w:t xml:space="preserve">raffic; 1968 Convention on </w:t>
      </w:r>
      <w:r>
        <w:t>R</w:t>
      </w:r>
      <w:r w:rsidRPr="008C09BA">
        <w:t xml:space="preserve">oad </w:t>
      </w:r>
      <w:r>
        <w:t>T</w:t>
      </w:r>
      <w:r w:rsidRPr="008C09BA">
        <w:t>raffic;</w:t>
      </w:r>
      <w:r>
        <w:t xml:space="preserve"> </w:t>
      </w:r>
      <w:r w:rsidRPr="008C09BA">
        <w:t xml:space="preserve">1968 Convention on </w:t>
      </w:r>
      <w:r>
        <w:t>R</w:t>
      </w:r>
      <w:r w:rsidRPr="008C09BA">
        <w:t xml:space="preserve">oad </w:t>
      </w:r>
      <w:r>
        <w:t>S</w:t>
      </w:r>
      <w:r w:rsidRPr="008C09BA">
        <w:t xml:space="preserve">igns and </w:t>
      </w:r>
      <w:r>
        <w:t>S</w:t>
      </w:r>
      <w:r w:rsidRPr="008C09BA">
        <w:t>ignals;</w:t>
      </w:r>
      <w:r>
        <w:t xml:space="preserve"> </w:t>
      </w:r>
      <w:r w:rsidRPr="008C09BA">
        <w:t xml:space="preserve">1958 Agreement on UN Regulations for </w:t>
      </w:r>
      <w:r>
        <w:t>V</w:t>
      </w:r>
      <w:r w:rsidRPr="008C09BA">
        <w:t xml:space="preserve">ehicle </w:t>
      </w:r>
      <w:r>
        <w:t>T</w:t>
      </w:r>
      <w:r w:rsidRPr="008C09BA">
        <w:t>ype-approval;</w:t>
      </w:r>
      <w:r>
        <w:t xml:space="preserve"> </w:t>
      </w:r>
      <w:r w:rsidRPr="008C09BA">
        <w:t xml:space="preserve">1997 Agreement on </w:t>
      </w:r>
      <w:r>
        <w:t>P</w:t>
      </w:r>
      <w:r w:rsidRPr="008C09BA">
        <w:t xml:space="preserve">eriodic </w:t>
      </w:r>
      <w:r w:rsidRPr="00704FBE">
        <w:t>Technical</w:t>
      </w:r>
      <w:r w:rsidRPr="008C09BA">
        <w:t xml:space="preserve"> </w:t>
      </w:r>
      <w:r>
        <w:t>I</w:t>
      </w:r>
      <w:r w:rsidRPr="008C09BA">
        <w:t>nspection;</w:t>
      </w:r>
      <w:r>
        <w:t xml:space="preserve"> </w:t>
      </w:r>
      <w:r w:rsidRPr="008C09BA">
        <w:t xml:space="preserve">1998 Agreement on UN Global Technical Regulations on </w:t>
      </w:r>
      <w:r>
        <w:t>V</w:t>
      </w:r>
      <w:r w:rsidRPr="008C09BA">
        <w:t xml:space="preserve">ehicle </w:t>
      </w:r>
      <w:r>
        <w:t>C</w:t>
      </w:r>
      <w:r w:rsidRPr="008C09BA">
        <w:t>onstruction;</w:t>
      </w:r>
      <w:r>
        <w:t xml:space="preserve"> </w:t>
      </w:r>
      <w:r w:rsidRPr="008C09BA">
        <w:t>1957 Agreement Concerning the International Carriage of Dangerous Goods by Road</w:t>
      </w:r>
      <w:r w:rsidR="00BE3508">
        <w:t xml:space="preserve"> (ADR)</w:t>
      </w:r>
      <w:r w:rsidR="005508AF">
        <w:t>.</w:t>
      </w:r>
    </w:p>
  </w:footnote>
  <w:footnote w:id="3">
    <w:p w14:paraId="14A4DD24" w14:textId="119D89ED" w:rsidR="00BC6119" w:rsidRPr="001F3D1B" w:rsidRDefault="002C1F88" w:rsidP="002C1F88">
      <w:pPr>
        <w:pStyle w:val="FootnoteText"/>
      </w:pPr>
      <w:r>
        <w:tab/>
      </w:r>
      <w:r w:rsidR="00BC6119">
        <w:rPr>
          <w:rStyle w:val="FootnoteReference"/>
        </w:rPr>
        <w:footnoteRef/>
      </w:r>
      <w:r w:rsidR="00BC6119">
        <w:t xml:space="preserve"> </w:t>
      </w:r>
      <w:r>
        <w:tab/>
      </w:r>
      <w:r w:rsidR="00BC6119" w:rsidRPr="002C1F88">
        <w:t>European</w:t>
      </w:r>
      <w:r w:rsidR="00BC6119">
        <w:t xml:space="preserve"> Agreement Concerning the Work of Crews of Vehicles Engaged in International Road Transport (AETR).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5BAB94F4" w:rsidR="00954785" w:rsidRPr="00954785" w:rsidRDefault="007E255B">
    <w:pPr>
      <w:pStyle w:val="Header"/>
    </w:pPr>
    <w:r>
      <w:t>ECE/TRANS/2022/1</w:t>
    </w:r>
    <w:r w:rsidR="0021409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2BB63455" w:rsidR="00954785" w:rsidRPr="00954785" w:rsidRDefault="007E255B" w:rsidP="00954785">
    <w:pPr>
      <w:pStyle w:val="Header"/>
      <w:jc w:val="right"/>
    </w:pPr>
    <w:r>
      <w:t>ECE/TRANS/2022/1</w:t>
    </w:r>
    <w:r w:rsidR="0021409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1B31B5"/>
    <w:multiLevelType w:val="hybridMultilevel"/>
    <w:tmpl w:val="670A7D30"/>
    <w:lvl w:ilvl="0" w:tplc="6E005EAC">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09B"/>
    <w:rsid w:val="000038A8"/>
    <w:rsid w:val="00006790"/>
    <w:rsid w:val="00027624"/>
    <w:rsid w:val="00050F6B"/>
    <w:rsid w:val="000678CD"/>
    <w:rsid w:val="00071D4D"/>
    <w:rsid w:val="00072C8C"/>
    <w:rsid w:val="00081CE0"/>
    <w:rsid w:val="00084D30"/>
    <w:rsid w:val="00090320"/>
    <w:rsid w:val="000931C0"/>
    <w:rsid w:val="000A2E09"/>
    <w:rsid w:val="000B175B"/>
    <w:rsid w:val="000B3A0F"/>
    <w:rsid w:val="000C7449"/>
    <w:rsid w:val="000E0415"/>
    <w:rsid w:val="000E0D07"/>
    <w:rsid w:val="000F7715"/>
    <w:rsid w:val="00156B99"/>
    <w:rsid w:val="00164ED5"/>
    <w:rsid w:val="00166124"/>
    <w:rsid w:val="00184DDA"/>
    <w:rsid w:val="001900CD"/>
    <w:rsid w:val="001A0452"/>
    <w:rsid w:val="001B4B04"/>
    <w:rsid w:val="001B5875"/>
    <w:rsid w:val="001B7F86"/>
    <w:rsid w:val="001C4B9C"/>
    <w:rsid w:val="001C6663"/>
    <w:rsid w:val="001C76CB"/>
    <w:rsid w:val="001C7895"/>
    <w:rsid w:val="001D26DF"/>
    <w:rsid w:val="001E5C93"/>
    <w:rsid w:val="001F1599"/>
    <w:rsid w:val="001F19C4"/>
    <w:rsid w:val="001F5316"/>
    <w:rsid w:val="001F7CE9"/>
    <w:rsid w:val="0020096A"/>
    <w:rsid w:val="002043F0"/>
    <w:rsid w:val="00211E0B"/>
    <w:rsid w:val="0021409F"/>
    <w:rsid w:val="0022137B"/>
    <w:rsid w:val="00232575"/>
    <w:rsid w:val="00247258"/>
    <w:rsid w:val="00250503"/>
    <w:rsid w:val="00257CAC"/>
    <w:rsid w:val="0027237A"/>
    <w:rsid w:val="00277E32"/>
    <w:rsid w:val="00280791"/>
    <w:rsid w:val="00286208"/>
    <w:rsid w:val="002974E9"/>
    <w:rsid w:val="002A2F47"/>
    <w:rsid w:val="002A7F94"/>
    <w:rsid w:val="002B109A"/>
    <w:rsid w:val="002C1F88"/>
    <w:rsid w:val="002C6D45"/>
    <w:rsid w:val="002D6E53"/>
    <w:rsid w:val="002F046D"/>
    <w:rsid w:val="002F3023"/>
    <w:rsid w:val="00301764"/>
    <w:rsid w:val="003229D8"/>
    <w:rsid w:val="003240BC"/>
    <w:rsid w:val="00336C97"/>
    <w:rsid w:val="00337F88"/>
    <w:rsid w:val="00342432"/>
    <w:rsid w:val="003514D8"/>
    <w:rsid w:val="0035223F"/>
    <w:rsid w:val="00352D4B"/>
    <w:rsid w:val="0035638C"/>
    <w:rsid w:val="0037452E"/>
    <w:rsid w:val="0039451F"/>
    <w:rsid w:val="003A46BB"/>
    <w:rsid w:val="003A4EC7"/>
    <w:rsid w:val="003A7295"/>
    <w:rsid w:val="003B1F60"/>
    <w:rsid w:val="003C2CC4"/>
    <w:rsid w:val="003C359D"/>
    <w:rsid w:val="003D4B23"/>
    <w:rsid w:val="003E278A"/>
    <w:rsid w:val="003F2947"/>
    <w:rsid w:val="0040185F"/>
    <w:rsid w:val="00413520"/>
    <w:rsid w:val="004325CB"/>
    <w:rsid w:val="00440A07"/>
    <w:rsid w:val="00462880"/>
    <w:rsid w:val="00476F24"/>
    <w:rsid w:val="004923A8"/>
    <w:rsid w:val="004C55B0"/>
    <w:rsid w:val="004D2755"/>
    <w:rsid w:val="004F6BA0"/>
    <w:rsid w:val="00503BEA"/>
    <w:rsid w:val="00510413"/>
    <w:rsid w:val="00515C72"/>
    <w:rsid w:val="00533616"/>
    <w:rsid w:val="00535ABA"/>
    <w:rsid w:val="0053768B"/>
    <w:rsid w:val="005420F2"/>
    <w:rsid w:val="0054285C"/>
    <w:rsid w:val="00542958"/>
    <w:rsid w:val="00544E38"/>
    <w:rsid w:val="005508AF"/>
    <w:rsid w:val="00584173"/>
    <w:rsid w:val="00595520"/>
    <w:rsid w:val="005A2F59"/>
    <w:rsid w:val="005A44B9"/>
    <w:rsid w:val="005B1BA0"/>
    <w:rsid w:val="005B245E"/>
    <w:rsid w:val="005B3DB3"/>
    <w:rsid w:val="005D15CA"/>
    <w:rsid w:val="005E419C"/>
    <w:rsid w:val="005E48BC"/>
    <w:rsid w:val="005E77A8"/>
    <w:rsid w:val="005F08DF"/>
    <w:rsid w:val="005F3066"/>
    <w:rsid w:val="005F3E61"/>
    <w:rsid w:val="00604DDD"/>
    <w:rsid w:val="006109A3"/>
    <w:rsid w:val="006115CC"/>
    <w:rsid w:val="00611FC4"/>
    <w:rsid w:val="006176FB"/>
    <w:rsid w:val="00620F69"/>
    <w:rsid w:val="00630FCB"/>
    <w:rsid w:val="00640B26"/>
    <w:rsid w:val="00654F6C"/>
    <w:rsid w:val="0065766B"/>
    <w:rsid w:val="006770B2"/>
    <w:rsid w:val="00686A48"/>
    <w:rsid w:val="006940E1"/>
    <w:rsid w:val="006A3C72"/>
    <w:rsid w:val="006A7392"/>
    <w:rsid w:val="006B03A1"/>
    <w:rsid w:val="006B3ABA"/>
    <w:rsid w:val="006B67D9"/>
    <w:rsid w:val="006C5535"/>
    <w:rsid w:val="006D0589"/>
    <w:rsid w:val="006E564B"/>
    <w:rsid w:val="006E7154"/>
    <w:rsid w:val="006F2D59"/>
    <w:rsid w:val="007003CD"/>
    <w:rsid w:val="00702771"/>
    <w:rsid w:val="00704FBE"/>
    <w:rsid w:val="0070701E"/>
    <w:rsid w:val="00724C11"/>
    <w:rsid w:val="0072632A"/>
    <w:rsid w:val="007358E8"/>
    <w:rsid w:val="00736ECE"/>
    <w:rsid w:val="0074533B"/>
    <w:rsid w:val="007643BC"/>
    <w:rsid w:val="00780C68"/>
    <w:rsid w:val="00795386"/>
    <w:rsid w:val="007959FE"/>
    <w:rsid w:val="007A0CF1"/>
    <w:rsid w:val="007A2C8E"/>
    <w:rsid w:val="007B6BA5"/>
    <w:rsid w:val="007C3390"/>
    <w:rsid w:val="007C42D8"/>
    <w:rsid w:val="007C4F4B"/>
    <w:rsid w:val="007D7362"/>
    <w:rsid w:val="007E255B"/>
    <w:rsid w:val="007F33B7"/>
    <w:rsid w:val="007F5CE2"/>
    <w:rsid w:val="007F6611"/>
    <w:rsid w:val="00810BAC"/>
    <w:rsid w:val="00815316"/>
    <w:rsid w:val="008175E9"/>
    <w:rsid w:val="008242D7"/>
    <w:rsid w:val="0082577B"/>
    <w:rsid w:val="008304E1"/>
    <w:rsid w:val="00866893"/>
    <w:rsid w:val="00866F02"/>
    <w:rsid w:val="00867D18"/>
    <w:rsid w:val="00870BF7"/>
    <w:rsid w:val="00871F9A"/>
    <w:rsid w:val="00871FD5"/>
    <w:rsid w:val="00872533"/>
    <w:rsid w:val="0088172E"/>
    <w:rsid w:val="00881EFA"/>
    <w:rsid w:val="0088370B"/>
    <w:rsid w:val="008879CB"/>
    <w:rsid w:val="008979B1"/>
    <w:rsid w:val="008A2866"/>
    <w:rsid w:val="008A6B25"/>
    <w:rsid w:val="008A6C4F"/>
    <w:rsid w:val="008B389E"/>
    <w:rsid w:val="008C6230"/>
    <w:rsid w:val="008D045E"/>
    <w:rsid w:val="008D3F25"/>
    <w:rsid w:val="008D4D82"/>
    <w:rsid w:val="008E01BD"/>
    <w:rsid w:val="008E0E46"/>
    <w:rsid w:val="008E4C3A"/>
    <w:rsid w:val="008E7116"/>
    <w:rsid w:val="008F143B"/>
    <w:rsid w:val="008F3882"/>
    <w:rsid w:val="008F4B7C"/>
    <w:rsid w:val="00915871"/>
    <w:rsid w:val="00926E47"/>
    <w:rsid w:val="00930925"/>
    <w:rsid w:val="00943748"/>
    <w:rsid w:val="00947162"/>
    <w:rsid w:val="00954785"/>
    <w:rsid w:val="009610D0"/>
    <w:rsid w:val="0096375C"/>
    <w:rsid w:val="009662E6"/>
    <w:rsid w:val="009679D0"/>
    <w:rsid w:val="0097095E"/>
    <w:rsid w:val="00983869"/>
    <w:rsid w:val="0098592B"/>
    <w:rsid w:val="00985FC4"/>
    <w:rsid w:val="00990766"/>
    <w:rsid w:val="00991261"/>
    <w:rsid w:val="009964C4"/>
    <w:rsid w:val="009A7B81"/>
    <w:rsid w:val="009C73C8"/>
    <w:rsid w:val="009D01C0"/>
    <w:rsid w:val="009D6A08"/>
    <w:rsid w:val="009D7B0B"/>
    <w:rsid w:val="009E0A16"/>
    <w:rsid w:val="009E6CB7"/>
    <w:rsid w:val="009E7970"/>
    <w:rsid w:val="009F2EAC"/>
    <w:rsid w:val="009F57E3"/>
    <w:rsid w:val="00A06F27"/>
    <w:rsid w:val="00A10F4F"/>
    <w:rsid w:val="00A11067"/>
    <w:rsid w:val="00A1704A"/>
    <w:rsid w:val="00A425EB"/>
    <w:rsid w:val="00A72F22"/>
    <w:rsid w:val="00A733BC"/>
    <w:rsid w:val="00A748A6"/>
    <w:rsid w:val="00A76A69"/>
    <w:rsid w:val="00A879A4"/>
    <w:rsid w:val="00AA0FF8"/>
    <w:rsid w:val="00AA15BB"/>
    <w:rsid w:val="00AC0F2C"/>
    <w:rsid w:val="00AC502A"/>
    <w:rsid w:val="00AF0CA8"/>
    <w:rsid w:val="00AF58C1"/>
    <w:rsid w:val="00B04A3F"/>
    <w:rsid w:val="00B06643"/>
    <w:rsid w:val="00B15055"/>
    <w:rsid w:val="00B20551"/>
    <w:rsid w:val="00B30179"/>
    <w:rsid w:val="00B33FC7"/>
    <w:rsid w:val="00B37B15"/>
    <w:rsid w:val="00B4120A"/>
    <w:rsid w:val="00B43FF0"/>
    <w:rsid w:val="00B45C02"/>
    <w:rsid w:val="00B70B63"/>
    <w:rsid w:val="00B72A1E"/>
    <w:rsid w:val="00B81E12"/>
    <w:rsid w:val="00B847EA"/>
    <w:rsid w:val="00B85924"/>
    <w:rsid w:val="00B95404"/>
    <w:rsid w:val="00B95E74"/>
    <w:rsid w:val="00BA339B"/>
    <w:rsid w:val="00BB23CC"/>
    <w:rsid w:val="00BC1E7E"/>
    <w:rsid w:val="00BC6119"/>
    <w:rsid w:val="00BC6C26"/>
    <w:rsid w:val="00BC74E9"/>
    <w:rsid w:val="00BE3508"/>
    <w:rsid w:val="00BE36A9"/>
    <w:rsid w:val="00BE618E"/>
    <w:rsid w:val="00BE7A2E"/>
    <w:rsid w:val="00BE7BEC"/>
    <w:rsid w:val="00BF0A5A"/>
    <w:rsid w:val="00BF0E63"/>
    <w:rsid w:val="00BF12A3"/>
    <w:rsid w:val="00BF16D7"/>
    <w:rsid w:val="00BF2373"/>
    <w:rsid w:val="00BF6FFB"/>
    <w:rsid w:val="00C044E2"/>
    <w:rsid w:val="00C048CB"/>
    <w:rsid w:val="00C066F3"/>
    <w:rsid w:val="00C463DD"/>
    <w:rsid w:val="00C745C3"/>
    <w:rsid w:val="00C978CF"/>
    <w:rsid w:val="00C978F5"/>
    <w:rsid w:val="00CA24A4"/>
    <w:rsid w:val="00CA703B"/>
    <w:rsid w:val="00CB0EAD"/>
    <w:rsid w:val="00CB348D"/>
    <w:rsid w:val="00CB42AE"/>
    <w:rsid w:val="00CD3488"/>
    <w:rsid w:val="00CD46F5"/>
    <w:rsid w:val="00CE0612"/>
    <w:rsid w:val="00CE4A8F"/>
    <w:rsid w:val="00CE7202"/>
    <w:rsid w:val="00CF071D"/>
    <w:rsid w:val="00CF331B"/>
    <w:rsid w:val="00D0123D"/>
    <w:rsid w:val="00D03F13"/>
    <w:rsid w:val="00D10453"/>
    <w:rsid w:val="00D15B04"/>
    <w:rsid w:val="00D2031B"/>
    <w:rsid w:val="00D25FE2"/>
    <w:rsid w:val="00D37DA9"/>
    <w:rsid w:val="00D406A7"/>
    <w:rsid w:val="00D43252"/>
    <w:rsid w:val="00D44D86"/>
    <w:rsid w:val="00D50B7D"/>
    <w:rsid w:val="00D52012"/>
    <w:rsid w:val="00D704E5"/>
    <w:rsid w:val="00D72727"/>
    <w:rsid w:val="00D83C37"/>
    <w:rsid w:val="00D978C6"/>
    <w:rsid w:val="00DA0956"/>
    <w:rsid w:val="00DA357F"/>
    <w:rsid w:val="00DA3E12"/>
    <w:rsid w:val="00DC18AD"/>
    <w:rsid w:val="00DF7CAE"/>
    <w:rsid w:val="00E11BD6"/>
    <w:rsid w:val="00E423C0"/>
    <w:rsid w:val="00E45AFC"/>
    <w:rsid w:val="00E6414C"/>
    <w:rsid w:val="00E65204"/>
    <w:rsid w:val="00E7260F"/>
    <w:rsid w:val="00E8702D"/>
    <w:rsid w:val="00E905F4"/>
    <w:rsid w:val="00E916A9"/>
    <w:rsid w:val="00E916DE"/>
    <w:rsid w:val="00E925AD"/>
    <w:rsid w:val="00E959FD"/>
    <w:rsid w:val="00E96630"/>
    <w:rsid w:val="00EA2B64"/>
    <w:rsid w:val="00EC49C3"/>
    <w:rsid w:val="00ED18DC"/>
    <w:rsid w:val="00ED6201"/>
    <w:rsid w:val="00ED7A2A"/>
    <w:rsid w:val="00EF1D7F"/>
    <w:rsid w:val="00EF33DF"/>
    <w:rsid w:val="00F0137E"/>
    <w:rsid w:val="00F060D1"/>
    <w:rsid w:val="00F20C10"/>
    <w:rsid w:val="00F21786"/>
    <w:rsid w:val="00F3742B"/>
    <w:rsid w:val="00F37BF0"/>
    <w:rsid w:val="00F41FDB"/>
    <w:rsid w:val="00F56D63"/>
    <w:rsid w:val="00F609A9"/>
    <w:rsid w:val="00F65422"/>
    <w:rsid w:val="00F80C99"/>
    <w:rsid w:val="00F867EC"/>
    <w:rsid w:val="00F91B2B"/>
    <w:rsid w:val="00FA5516"/>
    <w:rsid w:val="00FC03CD"/>
    <w:rsid w:val="00FC0595"/>
    <w:rsid w:val="00FC0646"/>
    <w:rsid w:val="00FC68B7"/>
    <w:rsid w:val="00FD78EB"/>
    <w:rsid w:val="00FE567D"/>
    <w:rsid w:val="00FE6985"/>
    <w:rsid w:val="00FF02F5"/>
    <w:rsid w:val="00FF312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AA15BB"/>
    <w:rPr>
      <w:lang w:val="en-GB"/>
    </w:rPr>
  </w:style>
  <w:style w:type="character" w:styleId="CommentReference">
    <w:name w:val="annotation reference"/>
    <w:basedOn w:val="DefaultParagraphFont"/>
    <w:semiHidden/>
    <w:unhideWhenUsed/>
    <w:rsid w:val="0020096A"/>
    <w:rPr>
      <w:sz w:val="16"/>
      <w:szCs w:val="16"/>
    </w:rPr>
  </w:style>
  <w:style w:type="paragraph" w:styleId="CommentText">
    <w:name w:val="annotation text"/>
    <w:basedOn w:val="Normal"/>
    <w:link w:val="CommentTextChar"/>
    <w:semiHidden/>
    <w:unhideWhenUsed/>
    <w:rsid w:val="0020096A"/>
    <w:pPr>
      <w:spacing w:line="240" w:lineRule="auto"/>
    </w:pPr>
  </w:style>
  <w:style w:type="character" w:customStyle="1" w:styleId="CommentTextChar">
    <w:name w:val="Comment Text Char"/>
    <w:basedOn w:val="DefaultParagraphFont"/>
    <w:link w:val="CommentText"/>
    <w:semiHidden/>
    <w:rsid w:val="0020096A"/>
    <w:rPr>
      <w:lang w:val="en-GB"/>
    </w:rPr>
  </w:style>
  <w:style w:type="paragraph" w:styleId="CommentSubject">
    <w:name w:val="annotation subject"/>
    <w:basedOn w:val="CommentText"/>
    <w:next w:val="CommentText"/>
    <w:link w:val="CommentSubjectChar"/>
    <w:semiHidden/>
    <w:unhideWhenUsed/>
    <w:rsid w:val="0020096A"/>
    <w:rPr>
      <w:b/>
      <w:bCs/>
    </w:rPr>
  </w:style>
  <w:style w:type="character" w:customStyle="1" w:styleId="CommentSubjectChar">
    <w:name w:val="Comment Subject Char"/>
    <w:basedOn w:val="CommentTextChar"/>
    <w:link w:val="CommentSubject"/>
    <w:semiHidden/>
    <w:rsid w:val="0020096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unitednations.sharepoint.com/sites/ECE_TD2/Shared%20Documents/Section%20TNLS/WP6/ITC+Transport%20Division/ITC/2022%20session/Accession%20dynamics%20anniversary/Safety%20conventions%20graph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temp\smallsafe.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Sheet4!$B$1</c:f>
              <c:strCache>
                <c:ptCount val="1"/>
                <c:pt idx="0">
                  <c:v>Dang. Goods by Road (ADR), 1957</c:v>
                </c:pt>
              </c:strCache>
            </c:strRef>
          </c:tx>
          <c:spPr>
            <a:solidFill>
              <a:schemeClr val="accent1"/>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Sheet4!$B$2:$B$70</c:f>
              <c:numCache>
                <c:formatCode>General</c:formatCode>
                <c:ptCount val="69"/>
                <c:pt idx="10">
                  <c:v>2</c:v>
                </c:pt>
                <c:pt idx="13">
                  <c:v>2</c:v>
                </c:pt>
                <c:pt idx="17">
                  <c:v>1</c:v>
                </c:pt>
                <c:pt idx="18">
                  <c:v>1</c:v>
                </c:pt>
                <c:pt idx="19">
                  <c:v>1</c:v>
                </c:pt>
                <c:pt idx="20">
                  <c:v>1</c:v>
                </c:pt>
                <c:pt idx="22">
                  <c:v>2</c:v>
                </c:pt>
                <c:pt idx="23">
                  <c:v>1</c:v>
                </c:pt>
                <c:pt idx="24">
                  <c:v>1</c:v>
                </c:pt>
                <c:pt idx="25">
                  <c:v>1</c:v>
                </c:pt>
                <c:pt idx="26">
                  <c:v>1</c:v>
                </c:pt>
                <c:pt idx="29">
                  <c:v>2</c:v>
                </c:pt>
                <c:pt idx="31">
                  <c:v>1</c:v>
                </c:pt>
                <c:pt idx="37">
                  <c:v>1</c:v>
                </c:pt>
                <c:pt idx="39">
                  <c:v>2</c:v>
                </c:pt>
                <c:pt idx="40">
                  <c:v>4</c:v>
                </c:pt>
                <c:pt idx="41">
                  <c:v>3</c:v>
                </c:pt>
                <c:pt idx="42">
                  <c:v>2</c:v>
                </c:pt>
                <c:pt idx="43">
                  <c:v>2</c:v>
                </c:pt>
                <c:pt idx="44">
                  <c:v>1</c:v>
                </c:pt>
                <c:pt idx="45">
                  <c:v>1</c:v>
                </c:pt>
                <c:pt idx="47">
                  <c:v>2</c:v>
                </c:pt>
                <c:pt idx="48">
                  <c:v>3</c:v>
                </c:pt>
                <c:pt idx="51">
                  <c:v>1</c:v>
                </c:pt>
                <c:pt idx="52">
                  <c:v>1</c:v>
                </c:pt>
                <c:pt idx="53">
                  <c:v>2</c:v>
                </c:pt>
                <c:pt idx="54">
                  <c:v>1</c:v>
                </c:pt>
                <c:pt idx="55">
                  <c:v>1</c:v>
                </c:pt>
                <c:pt idx="56">
                  <c:v>1</c:v>
                </c:pt>
                <c:pt idx="57">
                  <c:v>1</c:v>
                </c:pt>
                <c:pt idx="58">
                  <c:v>2</c:v>
                </c:pt>
                <c:pt idx="63">
                  <c:v>1</c:v>
                </c:pt>
                <c:pt idx="65">
                  <c:v>2</c:v>
                </c:pt>
                <c:pt idx="67">
                  <c:v>1</c:v>
                </c:pt>
              </c:numCache>
            </c:numRef>
          </c:val>
          <c:extLst>
            <c:ext xmlns:c16="http://schemas.microsoft.com/office/drawing/2014/chart" uri="{C3380CC4-5D6E-409C-BE32-E72D297353CC}">
              <c16:uniqueId val="{00000000-07B4-442F-9C81-504BA819DD26}"/>
            </c:ext>
          </c:extLst>
        </c:ser>
        <c:ser>
          <c:idx val="1"/>
          <c:order val="1"/>
          <c:tx>
            <c:strRef>
              <c:f>Sheet4!$C$1</c:f>
              <c:strCache>
                <c:ptCount val="1"/>
                <c:pt idx="0">
                  <c:v>Global Vehicle Regulations, 1998</c:v>
                </c:pt>
              </c:strCache>
            </c:strRef>
          </c:tx>
          <c:spPr>
            <a:solidFill>
              <a:schemeClr val="accent2"/>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Sheet4!$C$2:$C$70</c:f>
              <c:numCache>
                <c:formatCode>General</c:formatCode>
                <c:ptCount val="69"/>
                <c:pt idx="46">
                  <c:v>3</c:v>
                </c:pt>
                <c:pt idx="47">
                  <c:v>8</c:v>
                </c:pt>
                <c:pt idx="48">
                  <c:v>6</c:v>
                </c:pt>
                <c:pt idx="49">
                  <c:v>5</c:v>
                </c:pt>
                <c:pt idx="51">
                  <c:v>1</c:v>
                </c:pt>
                <c:pt idx="52">
                  <c:v>2</c:v>
                </c:pt>
                <c:pt idx="53">
                  <c:v>3</c:v>
                </c:pt>
                <c:pt idx="54">
                  <c:v>2</c:v>
                </c:pt>
                <c:pt idx="55">
                  <c:v>1</c:v>
                </c:pt>
                <c:pt idx="58">
                  <c:v>2</c:v>
                </c:pt>
                <c:pt idx="61">
                  <c:v>1</c:v>
                </c:pt>
                <c:pt idx="62">
                  <c:v>2</c:v>
                </c:pt>
                <c:pt idx="65">
                  <c:v>2</c:v>
                </c:pt>
              </c:numCache>
            </c:numRef>
          </c:val>
          <c:extLst>
            <c:ext xmlns:c16="http://schemas.microsoft.com/office/drawing/2014/chart" uri="{C3380CC4-5D6E-409C-BE32-E72D297353CC}">
              <c16:uniqueId val="{00000001-07B4-442F-9C81-504BA819DD26}"/>
            </c:ext>
          </c:extLst>
        </c:ser>
        <c:ser>
          <c:idx val="2"/>
          <c:order val="2"/>
          <c:tx>
            <c:strRef>
              <c:f>Sheet4!$D$1</c:f>
              <c:strCache>
                <c:ptCount val="1"/>
                <c:pt idx="0">
                  <c:v>Road Signs &amp; Signals, 1968</c:v>
                </c:pt>
              </c:strCache>
            </c:strRef>
          </c:tx>
          <c:spPr>
            <a:solidFill>
              <a:schemeClr val="accent3"/>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Sheet4!$D$2:$D$70</c:f>
              <c:numCache>
                <c:formatCode>General</c:formatCode>
                <c:ptCount val="69"/>
                <c:pt idx="20">
                  <c:v>1</c:v>
                </c:pt>
                <c:pt idx="21">
                  <c:v>1</c:v>
                </c:pt>
                <c:pt idx="22">
                  <c:v>1</c:v>
                </c:pt>
                <c:pt idx="23">
                  <c:v>2</c:v>
                </c:pt>
                <c:pt idx="24">
                  <c:v>4</c:v>
                </c:pt>
                <c:pt idx="25">
                  <c:v>1</c:v>
                </c:pt>
                <c:pt idx="26">
                  <c:v>2</c:v>
                </c:pt>
                <c:pt idx="27">
                  <c:v>3</c:v>
                </c:pt>
                <c:pt idx="28">
                  <c:v>2</c:v>
                </c:pt>
                <c:pt idx="30">
                  <c:v>4</c:v>
                </c:pt>
                <c:pt idx="31">
                  <c:v>1</c:v>
                </c:pt>
                <c:pt idx="32">
                  <c:v>1</c:v>
                </c:pt>
                <c:pt idx="34">
                  <c:v>1</c:v>
                </c:pt>
                <c:pt idx="35">
                  <c:v>4</c:v>
                </c:pt>
                <c:pt idx="36">
                  <c:v>2</c:v>
                </c:pt>
                <c:pt idx="37">
                  <c:v>3</c:v>
                </c:pt>
                <c:pt idx="38">
                  <c:v>2</c:v>
                </c:pt>
                <c:pt idx="39">
                  <c:v>2</c:v>
                </c:pt>
                <c:pt idx="40">
                  <c:v>4</c:v>
                </c:pt>
                <c:pt idx="41">
                  <c:v>3</c:v>
                </c:pt>
                <c:pt idx="42">
                  <c:v>1</c:v>
                </c:pt>
                <c:pt idx="44">
                  <c:v>2</c:v>
                </c:pt>
                <c:pt idx="46">
                  <c:v>1</c:v>
                </c:pt>
                <c:pt idx="48">
                  <c:v>2</c:v>
                </c:pt>
                <c:pt idx="51">
                  <c:v>2</c:v>
                </c:pt>
                <c:pt idx="52">
                  <c:v>1</c:v>
                </c:pt>
                <c:pt idx="53">
                  <c:v>2</c:v>
                </c:pt>
                <c:pt idx="54">
                  <c:v>1</c:v>
                </c:pt>
                <c:pt idx="55">
                  <c:v>2</c:v>
                </c:pt>
                <c:pt idx="56">
                  <c:v>1</c:v>
                </c:pt>
                <c:pt idx="58">
                  <c:v>3</c:v>
                </c:pt>
                <c:pt idx="61">
                  <c:v>1</c:v>
                </c:pt>
                <c:pt idx="62">
                  <c:v>1</c:v>
                </c:pt>
                <c:pt idx="63">
                  <c:v>1</c:v>
                </c:pt>
                <c:pt idx="65">
                  <c:v>1</c:v>
                </c:pt>
                <c:pt idx="66">
                  <c:v>1</c:v>
                </c:pt>
                <c:pt idx="67">
                  <c:v>1</c:v>
                </c:pt>
              </c:numCache>
            </c:numRef>
          </c:val>
          <c:extLst>
            <c:ext xmlns:c16="http://schemas.microsoft.com/office/drawing/2014/chart" uri="{C3380CC4-5D6E-409C-BE32-E72D297353CC}">
              <c16:uniqueId val="{00000002-07B4-442F-9C81-504BA819DD26}"/>
            </c:ext>
          </c:extLst>
        </c:ser>
        <c:ser>
          <c:idx val="3"/>
          <c:order val="3"/>
          <c:tx>
            <c:strRef>
              <c:f>Sheet4!$E$1</c:f>
              <c:strCache>
                <c:ptCount val="1"/>
                <c:pt idx="0">
                  <c:v>Road Traffic, 1949</c:v>
                </c:pt>
              </c:strCache>
            </c:strRef>
          </c:tx>
          <c:spPr>
            <a:solidFill>
              <a:schemeClr val="accent4"/>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Sheet4!$E$2:$E$70</c:f>
              <c:numCache>
                <c:formatCode>General</c:formatCode>
                <c:ptCount val="69"/>
                <c:pt idx="0">
                  <c:v>2</c:v>
                </c:pt>
                <c:pt idx="1">
                  <c:v>1</c:v>
                </c:pt>
                <c:pt idx="2">
                  <c:v>8</c:v>
                </c:pt>
                <c:pt idx="3">
                  <c:v>3</c:v>
                </c:pt>
                <c:pt idx="4">
                  <c:v>2</c:v>
                </c:pt>
                <c:pt idx="5">
                  <c:v>3</c:v>
                </c:pt>
                <c:pt idx="6">
                  <c:v>4</c:v>
                </c:pt>
                <c:pt idx="7">
                  <c:v>7</c:v>
                </c:pt>
                <c:pt idx="8">
                  <c:v>6</c:v>
                </c:pt>
                <c:pt idx="9">
                  <c:v>3</c:v>
                </c:pt>
                <c:pt idx="10">
                  <c:v>3</c:v>
                </c:pt>
                <c:pt idx="11">
                  <c:v>5</c:v>
                </c:pt>
                <c:pt idx="12">
                  <c:v>16</c:v>
                </c:pt>
                <c:pt idx="13">
                  <c:v>4</c:v>
                </c:pt>
                <c:pt idx="14">
                  <c:v>3</c:v>
                </c:pt>
                <c:pt idx="15">
                  <c:v>4</c:v>
                </c:pt>
                <c:pt idx="16">
                  <c:v>1</c:v>
                </c:pt>
                <c:pt idx="17">
                  <c:v>1</c:v>
                </c:pt>
                <c:pt idx="19">
                  <c:v>1</c:v>
                </c:pt>
                <c:pt idx="21">
                  <c:v>2</c:v>
                </c:pt>
                <c:pt idx="22">
                  <c:v>2</c:v>
                </c:pt>
                <c:pt idx="23">
                  <c:v>1</c:v>
                </c:pt>
                <c:pt idx="28">
                  <c:v>1</c:v>
                </c:pt>
                <c:pt idx="31">
                  <c:v>1</c:v>
                </c:pt>
                <c:pt idx="33">
                  <c:v>1</c:v>
                </c:pt>
                <c:pt idx="40">
                  <c:v>4</c:v>
                </c:pt>
                <c:pt idx="41">
                  <c:v>1</c:v>
                </c:pt>
                <c:pt idx="45">
                  <c:v>1</c:v>
                </c:pt>
                <c:pt idx="48">
                  <c:v>1</c:v>
                </c:pt>
                <c:pt idx="53">
                  <c:v>1</c:v>
                </c:pt>
                <c:pt idx="54">
                  <c:v>1</c:v>
                </c:pt>
                <c:pt idx="56">
                  <c:v>1</c:v>
                </c:pt>
                <c:pt idx="58">
                  <c:v>1</c:v>
                </c:pt>
                <c:pt idx="64">
                  <c:v>1</c:v>
                </c:pt>
                <c:pt idx="66">
                  <c:v>1</c:v>
                </c:pt>
                <c:pt idx="67">
                  <c:v>3</c:v>
                </c:pt>
                <c:pt idx="68">
                  <c:v>1</c:v>
                </c:pt>
              </c:numCache>
            </c:numRef>
          </c:val>
          <c:extLst>
            <c:ext xmlns:c16="http://schemas.microsoft.com/office/drawing/2014/chart" uri="{C3380CC4-5D6E-409C-BE32-E72D297353CC}">
              <c16:uniqueId val="{00000003-07B4-442F-9C81-504BA819DD26}"/>
            </c:ext>
          </c:extLst>
        </c:ser>
        <c:ser>
          <c:idx val="4"/>
          <c:order val="4"/>
          <c:tx>
            <c:strRef>
              <c:f>Sheet4!$F$1</c:f>
              <c:strCache>
                <c:ptCount val="1"/>
                <c:pt idx="0">
                  <c:v>Road Traffic, 1968</c:v>
                </c:pt>
              </c:strCache>
            </c:strRef>
          </c:tx>
          <c:spPr>
            <a:solidFill>
              <a:schemeClr val="accent5"/>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Sheet4!$F$2:$F$70</c:f>
              <c:numCache>
                <c:formatCode>General</c:formatCode>
                <c:ptCount val="69"/>
                <c:pt idx="20">
                  <c:v>1</c:v>
                </c:pt>
                <c:pt idx="21">
                  <c:v>2</c:v>
                </c:pt>
                <c:pt idx="22">
                  <c:v>1</c:v>
                </c:pt>
                <c:pt idx="23">
                  <c:v>3</c:v>
                </c:pt>
                <c:pt idx="24">
                  <c:v>3</c:v>
                </c:pt>
                <c:pt idx="25">
                  <c:v>2</c:v>
                </c:pt>
                <c:pt idx="26">
                  <c:v>2</c:v>
                </c:pt>
                <c:pt idx="27">
                  <c:v>4</c:v>
                </c:pt>
                <c:pt idx="28">
                  <c:v>3</c:v>
                </c:pt>
                <c:pt idx="30">
                  <c:v>3</c:v>
                </c:pt>
                <c:pt idx="31">
                  <c:v>3</c:v>
                </c:pt>
                <c:pt idx="32">
                  <c:v>1</c:v>
                </c:pt>
                <c:pt idx="34">
                  <c:v>1</c:v>
                </c:pt>
                <c:pt idx="35">
                  <c:v>4</c:v>
                </c:pt>
                <c:pt idx="36">
                  <c:v>3</c:v>
                </c:pt>
                <c:pt idx="37">
                  <c:v>2</c:v>
                </c:pt>
                <c:pt idx="38">
                  <c:v>3</c:v>
                </c:pt>
                <c:pt idx="39">
                  <c:v>4</c:v>
                </c:pt>
                <c:pt idx="40">
                  <c:v>7</c:v>
                </c:pt>
                <c:pt idx="41">
                  <c:v>2</c:v>
                </c:pt>
                <c:pt idx="42">
                  <c:v>1</c:v>
                </c:pt>
                <c:pt idx="43">
                  <c:v>1</c:v>
                </c:pt>
                <c:pt idx="44">
                  <c:v>1</c:v>
                </c:pt>
                <c:pt idx="47">
                  <c:v>1</c:v>
                </c:pt>
                <c:pt idx="48">
                  <c:v>1</c:v>
                </c:pt>
                <c:pt idx="49">
                  <c:v>1</c:v>
                </c:pt>
                <c:pt idx="51">
                  <c:v>1</c:v>
                </c:pt>
                <c:pt idx="52">
                  <c:v>2</c:v>
                </c:pt>
                <c:pt idx="53">
                  <c:v>3</c:v>
                </c:pt>
                <c:pt idx="54">
                  <c:v>1</c:v>
                </c:pt>
                <c:pt idx="55">
                  <c:v>1</c:v>
                </c:pt>
                <c:pt idx="56">
                  <c:v>1</c:v>
                </c:pt>
                <c:pt idx="57">
                  <c:v>1</c:v>
                </c:pt>
                <c:pt idx="60">
                  <c:v>2</c:v>
                </c:pt>
                <c:pt idx="61">
                  <c:v>1</c:v>
                </c:pt>
                <c:pt idx="63">
                  <c:v>1</c:v>
                </c:pt>
                <c:pt idx="64">
                  <c:v>1</c:v>
                </c:pt>
                <c:pt idx="65">
                  <c:v>3</c:v>
                </c:pt>
                <c:pt idx="66">
                  <c:v>2</c:v>
                </c:pt>
                <c:pt idx="67">
                  <c:v>4</c:v>
                </c:pt>
                <c:pt idx="68">
                  <c:v>1</c:v>
                </c:pt>
              </c:numCache>
            </c:numRef>
          </c:val>
          <c:extLst>
            <c:ext xmlns:c16="http://schemas.microsoft.com/office/drawing/2014/chart" uri="{C3380CC4-5D6E-409C-BE32-E72D297353CC}">
              <c16:uniqueId val="{00000004-07B4-442F-9C81-504BA819DD26}"/>
            </c:ext>
          </c:extLst>
        </c:ser>
        <c:ser>
          <c:idx val="5"/>
          <c:order val="5"/>
          <c:tx>
            <c:strRef>
              <c:f>Sheet4!$G$1</c:f>
              <c:strCache>
                <c:ptCount val="1"/>
                <c:pt idx="0">
                  <c:v>Techn. Inspect. Vehicles, 1997</c:v>
                </c:pt>
              </c:strCache>
            </c:strRef>
          </c:tx>
          <c:spPr>
            <a:solidFill>
              <a:schemeClr val="accent6"/>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Sheet4!$G$2:$G$70</c:f>
              <c:numCache>
                <c:formatCode>General</c:formatCode>
                <c:ptCount val="69"/>
                <c:pt idx="44">
                  <c:v>1</c:v>
                </c:pt>
                <c:pt idx="45">
                  <c:v>1</c:v>
                </c:pt>
                <c:pt idx="46">
                  <c:v>2</c:v>
                </c:pt>
                <c:pt idx="47">
                  <c:v>1</c:v>
                </c:pt>
                <c:pt idx="48">
                  <c:v>1</c:v>
                </c:pt>
                <c:pt idx="50">
                  <c:v>1</c:v>
                </c:pt>
                <c:pt idx="51">
                  <c:v>2</c:v>
                </c:pt>
                <c:pt idx="54">
                  <c:v>2</c:v>
                </c:pt>
                <c:pt idx="58">
                  <c:v>1</c:v>
                </c:pt>
                <c:pt idx="62">
                  <c:v>1</c:v>
                </c:pt>
                <c:pt idx="63">
                  <c:v>1</c:v>
                </c:pt>
                <c:pt idx="65">
                  <c:v>1</c:v>
                </c:pt>
                <c:pt idx="66">
                  <c:v>1</c:v>
                </c:pt>
              </c:numCache>
            </c:numRef>
          </c:val>
          <c:extLst>
            <c:ext xmlns:c16="http://schemas.microsoft.com/office/drawing/2014/chart" uri="{C3380CC4-5D6E-409C-BE32-E72D297353CC}">
              <c16:uniqueId val="{00000005-07B4-442F-9C81-504BA819DD26}"/>
            </c:ext>
          </c:extLst>
        </c:ser>
        <c:ser>
          <c:idx val="6"/>
          <c:order val="6"/>
          <c:tx>
            <c:strRef>
              <c:f>Sheet4!$H$1</c:f>
              <c:strCache>
                <c:ptCount val="1"/>
                <c:pt idx="0">
                  <c:v>Vehicle Regulations, 1958</c:v>
                </c:pt>
              </c:strCache>
            </c:strRef>
          </c:tx>
          <c:spPr>
            <a:solidFill>
              <a:schemeClr val="accent1">
                <a:lumMod val="60000"/>
              </a:schemeClr>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Sheet4!$H$2:$H$70</c:f>
              <c:numCache>
                <c:formatCode>General</c:formatCode>
                <c:ptCount val="69"/>
                <c:pt idx="8">
                  <c:v>1</c:v>
                </c:pt>
                <c:pt idx="9">
                  <c:v>2</c:v>
                </c:pt>
                <c:pt idx="10">
                  <c:v>2</c:v>
                </c:pt>
                <c:pt idx="11">
                  <c:v>1</c:v>
                </c:pt>
                <c:pt idx="13">
                  <c:v>2</c:v>
                </c:pt>
                <c:pt idx="15">
                  <c:v>1</c:v>
                </c:pt>
                <c:pt idx="21">
                  <c:v>2</c:v>
                </c:pt>
                <c:pt idx="23">
                  <c:v>1</c:v>
                </c:pt>
                <c:pt idx="25">
                  <c:v>1</c:v>
                </c:pt>
                <c:pt idx="26">
                  <c:v>3</c:v>
                </c:pt>
                <c:pt idx="29">
                  <c:v>1</c:v>
                </c:pt>
                <c:pt idx="30">
                  <c:v>1</c:v>
                </c:pt>
                <c:pt idx="36">
                  <c:v>1</c:v>
                </c:pt>
                <c:pt idx="39">
                  <c:v>2</c:v>
                </c:pt>
                <c:pt idx="40">
                  <c:v>2</c:v>
                </c:pt>
                <c:pt idx="41">
                  <c:v>2</c:v>
                </c:pt>
                <c:pt idx="42">
                  <c:v>3</c:v>
                </c:pt>
                <c:pt idx="45">
                  <c:v>4</c:v>
                </c:pt>
                <c:pt idx="46">
                  <c:v>1</c:v>
                </c:pt>
                <c:pt idx="47">
                  <c:v>2</c:v>
                </c:pt>
                <c:pt idx="48">
                  <c:v>3</c:v>
                </c:pt>
                <c:pt idx="49">
                  <c:v>2</c:v>
                </c:pt>
                <c:pt idx="51">
                  <c:v>1</c:v>
                </c:pt>
                <c:pt idx="53">
                  <c:v>3</c:v>
                </c:pt>
                <c:pt idx="54">
                  <c:v>1</c:v>
                </c:pt>
                <c:pt idx="57">
                  <c:v>1</c:v>
                </c:pt>
                <c:pt idx="58">
                  <c:v>1</c:v>
                </c:pt>
                <c:pt idx="59">
                  <c:v>1</c:v>
                </c:pt>
                <c:pt idx="62">
                  <c:v>2</c:v>
                </c:pt>
                <c:pt idx="63">
                  <c:v>1</c:v>
                </c:pt>
                <c:pt idx="65">
                  <c:v>2</c:v>
                </c:pt>
                <c:pt idx="67">
                  <c:v>1</c:v>
                </c:pt>
              </c:numCache>
            </c:numRef>
          </c:val>
          <c:extLst>
            <c:ext xmlns:c16="http://schemas.microsoft.com/office/drawing/2014/chart" uri="{C3380CC4-5D6E-409C-BE32-E72D297353CC}">
              <c16:uniqueId val="{00000006-07B4-442F-9C81-504BA819DD26}"/>
            </c:ext>
          </c:extLst>
        </c:ser>
        <c:ser>
          <c:idx val="7"/>
          <c:order val="7"/>
          <c:tx>
            <c:strRef>
              <c:f>Sheet4!$I$1</c:f>
              <c:strCache>
                <c:ptCount val="1"/>
                <c:pt idx="0">
                  <c:v>Work of Crews Int. Road Transport (AETR), 1970</c:v>
                </c:pt>
              </c:strCache>
            </c:strRef>
          </c:tx>
          <c:spPr>
            <a:solidFill>
              <a:schemeClr val="accent2">
                <a:lumMod val="60000"/>
              </a:schemeClr>
            </a:solidFill>
            <a:ln>
              <a:noFill/>
            </a:ln>
            <a:effectLst/>
          </c:spPr>
          <c:invertIfNegative val="0"/>
          <c:cat>
            <c:strRef>
              <c:f>Sheet4!$A$2:$A$70</c:f>
              <c:strCach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1988</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pt idx="61">
                  <c:v>2014</c:v>
                </c:pt>
                <c:pt idx="62">
                  <c:v>2015</c:v>
                </c:pt>
                <c:pt idx="63">
                  <c:v>2016</c:v>
                </c:pt>
                <c:pt idx="64">
                  <c:v>2017</c:v>
                </c:pt>
                <c:pt idx="65">
                  <c:v>2018</c:v>
                </c:pt>
                <c:pt idx="66">
                  <c:v>2019</c:v>
                </c:pt>
                <c:pt idx="67">
                  <c:v>2020</c:v>
                </c:pt>
                <c:pt idx="68">
                  <c:v>2021</c:v>
                </c:pt>
              </c:strCache>
            </c:strRef>
          </c:cat>
          <c:val>
            <c:numRef>
              <c:f>Sheet4!$I$2:$I$70</c:f>
              <c:numCache>
                <c:formatCode>General</c:formatCode>
                <c:ptCount val="69"/>
                <c:pt idx="21">
                  <c:v>1</c:v>
                </c:pt>
                <c:pt idx="23">
                  <c:v>3</c:v>
                </c:pt>
                <c:pt idx="24">
                  <c:v>1</c:v>
                </c:pt>
                <c:pt idx="25">
                  <c:v>2</c:v>
                </c:pt>
                <c:pt idx="27">
                  <c:v>4</c:v>
                </c:pt>
                <c:pt idx="28">
                  <c:v>4</c:v>
                </c:pt>
                <c:pt idx="29">
                  <c:v>1</c:v>
                </c:pt>
                <c:pt idx="39">
                  <c:v>2</c:v>
                </c:pt>
                <c:pt idx="40">
                  <c:v>6</c:v>
                </c:pt>
                <c:pt idx="41">
                  <c:v>3</c:v>
                </c:pt>
                <c:pt idx="42">
                  <c:v>2</c:v>
                </c:pt>
                <c:pt idx="43">
                  <c:v>3</c:v>
                </c:pt>
                <c:pt idx="44">
                  <c:v>1</c:v>
                </c:pt>
                <c:pt idx="45">
                  <c:v>2</c:v>
                </c:pt>
                <c:pt idx="46">
                  <c:v>3</c:v>
                </c:pt>
                <c:pt idx="47">
                  <c:v>1</c:v>
                </c:pt>
                <c:pt idx="48">
                  <c:v>2</c:v>
                </c:pt>
                <c:pt idx="50">
                  <c:v>1</c:v>
                </c:pt>
                <c:pt idx="51">
                  <c:v>1</c:v>
                </c:pt>
                <c:pt idx="53">
                  <c:v>4</c:v>
                </c:pt>
                <c:pt idx="54">
                  <c:v>1</c:v>
                </c:pt>
                <c:pt idx="55">
                  <c:v>1</c:v>
                </c:pt>
                <c:pt idx="58">
                  <c:v>2</c:v>
                </c:pt>
                <c:pt idx="68">
                  <c:v>1</c:v>
                </c:pt>
              </c:numCache>
            </c:numRef>
          </c:val>
          <c:extLst>
            <c:ext xmlns:c16="http://schemas.microsoft.com/office/drawing/2014/chart" uri="{C3380CC4-5D6E-409C-BE32-E72D297353CC}">
              <c16:uniqueId val="{00000007-07B4-442F-9C81-504BA819DD26}"/>
            </c:ext>
          </c:extLst>
        </c:ser>
        <c:dLbls>
          <c:showLegendKey val="0"/>
          <c:showVal val="0"/>
          <c:showCatName val="0"/>
          <c:showSerName val="0"/>
          <c:showPercent val="0"/>
          <c:showBubbleSize val="0"/>
        </c:dLbls>
        <c:gapWidth val="219"/>
        <c:overlap val="100"/>
        <c:axId val="592755648"/>
        <c:axId val="592752696"/>
      </c:barChart>
      <c:catAx>
        <c:axId val="59275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92752696"/>
        <c:crosses val="autoZero"/>
        <c:auto val="1"/>
        <c:lblAlgn val="ctr"/>
        <c:lblOffset val="100"/>
        <c:noMultiLvlLbl val="0"/>
      </c:catAx>
      <c:valAx>
        <c:axId val="59275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2755648"/>
        <c:crosses val="autoZero"/>
        <c:crossBetween val="between"/>
      </c:valAx>
      <c:spPr>
        <a:noFill/>
        <a:ln>
          <a:noFill/>
        </a:ln>
        <a:effectLst/>
      </c:spPr>
    </c:plotArea>
    <c:legend>
      <c:legendPos val="b"/>
      <c:layout>
        <c:manualLayout>
          <c:xMode val="edge"/>
          <c:yMode val="edge"/>
          <c:x val="1.7602435635287347E-2"/>
          <c:y val="0.78206584636794163"/>
          <c:w val="0.96931430916902961"/>
          <c:h val="0.1908827559765128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29979615091926E-2"/>
          <c:y val="4.6257359125315388E-2"/>
          <c:w val="0.90102870841695615"/>
          <c:h val="0.70861307391243877"/>
        </c:manualLayout>
      </c:layout>
      <c:lineChart>
        <c:grouping val="standard"/>
        <c:varyColors val="0"/>
        <c:ser>
          <c:idx val="0"/>
          <c:order val="0"/>
          <c:tx>
            <c:strRef>
              <c:f>Sheet1!$L$4</c:f>
              <c:strCache>
                <c:ptCount val="1"/>
                <c:pt idx="0">
                  <c:v>Dang. Goods by Road (ADR), 1957</c:v>
                </c:pt>
              </c:strCache>
            </c:strRef>
          </c:tx>
          <c:spPr>
            <a:ln w="28575" cap="rnd">
              <a:solidFill>
                <a:schemeClr val="accent1"/>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Sheet1!$L$5:$L$76</c:f>
              <c:numCache>
                <c:formatCode>General</c:formatCode>
                <c:ptCount val="72"/>
                <c:pt idx="10">
                  <c:v>2</c:v>
                </c:pt>
                <c:pt idx="11">
                  <c:v>2</c:v>
                </c:pt>
                <c:pt idx="12">
                  <c:v>2</c:v>
                </c:pt>
                <c:pt idx="13">
                  <c:v>4</c:v>
                </c:pt>
                <c:pt idx="14">
                  <c:v>4</c:v>
                </c:pt>
                <c:pt idx="15">
                  <c:v>4</c:v>
                </c:pt>
                <c:pt idx="16">
                  <c:v>4</c:v>
                </c:pt>
                <c:pt idx="17">
                  <c:v>5</c:v>
                </c:pt>
                <c:pt idx="18">
                  <c:v>6</c:v>
                </c:pt>
                <c:pt idx="19">
                  <c:v>7</c:v>
                </c:pt>
                <c:pt idx="20">
                  <c:v>8</c:v>
                </c:pt>
                <c:pt idx="21">
                  <c:v>8</c:v>
                </c:pt>
                <c:pt idx="22">
                  <c:v>10</c:v>
                </c:pt>
                <c:pt idx="23">
                  <c:v>11</c:v>
                </c:pt>
                <c:pt idx="24">
                  <c:v>12</c:v>
                </c:pt>
                <c:pt idx="25">
                  <c:v>13</c:v>
                </c:pt>
                <c:pt idx="26">
                  <c:v>14</c:v>
                </c:pt>
                <c:pt idx="27">
                  <c:v>14</c:v>
                </c:pt>
                <c:pt idx="28">
                  <c:v>14</c:v>
                </c:pt>
                <c:pt idx="29">
                  <c:v>16</c:v>
                </c:pt>
                <c:pt idx="30">
                  <c:v>16</c:v>
                </c:pt>
                <c:pt idx="31">
                  <c:v>17</c:v>
                </c:pt>
                <c:pt idx="32">
                  <c:v>17</c:v>
                </c:pt>
                <c:pt idx="33">
                  <c:v>17</c:v>
                </c:pt>
                <c:pt idx="34">
                  <c:v>17</c:v>
                </c:pt>
                <c:pt idx="35">
                  <c:v>17</c:v>
                </c:pt>
                <c:pt idx="36">
                  <c:v>17</c:v>
                </c:pt>
                <c:pt idx="37">
                  <c:v>17</c:v>
                </c:pt>
                <c:pt idx="38">
                  <c:v>18</c:v>
                </c:pt>
                <c:pt idx="39">
                  <c:v>18</c:v>
                </c:pt>
                <c:pt idx="40">
                  <c:v>18</c:v>
                </c:pt>
                <c:pt idx="41">
                  <c:v>18</c:v>
                </c:pt>
                <c:pt idx="42">
                  <c:v>20</c:v>
                </c:pt>
                <c:pt idx="43">
                  <c:v>24</c:v>
                </c:pt>
                <c:pt idx="44">
                  <c:v>27</c:v>
                </c:pt>
                <c:pt idx="45">
                  <c:v>29</c:v>
                </c:pt>
                <c:pt idx="46">
                  <c:v>31</c:v>
                </c:pt>
                <c:pt idx="47">
                  <c:v>32</c:v>
                </c:pt>
                <c:pt idx="48">
                  <c:v>33</c:v>
                </c:pt>
                <c:pt idx="49">
                  <c:v>33</c:v>
                </c:pt>
                <c:pt idx="50">
                  <c:v>35</c:v>
                </c:pt>
                <c:pt idx="51">
                  <c:v>38</c:v>
                </c:pt>
                <c:pt idx="52">
                  <c:v>38</c:v>
                </c:pt>
                <c:pt idx="53">
                  <c:v>38</c:v>
                </c:pt>
                <c:pt idx="54">
                  <c:v>39</c:v>
                </c:pt>
                <c:pt idx="55">
                  <c:v>40</c:v>
                </c:pt>
                <c:pt idx="56">
                  <c:v>42</c:v>
                </c:pt>
                <c:pt idx="57">
                  <c:v>43</c:v>
                </c:pt>
                <c:pt idx="58">
                  <c:v>44</c:v>
                </c:pt>
                <c:pt idx="59">
                  <c:v>45</c:v>
                </c:pt>
                <c:pt idx="60">
                  <c:v>46</c:v>
                </c:pt>
                <c:pt idx="61">
                  <c:v>48</c:v>
                </c:pt>
                <c:pt idx="62">
                  <c:v>48</c:v>
                </c:pt>
                <c:pt idx="63">
                  <c:v>48</c:v>
                </c:pt>
                <c:pt idx="64">
                  <c:v>48</c:v>
                </c:pt>
                <c:pt idx="65">
                  <c:v>48</c:v>
                </c:pt>
                <c:pt idx="66">
                  <c:v>49</c:v>
                </c:pt>
                <c:pt idx="67">
                  <c:v>49</c:v>
                </c:pt>
                <c:pt idx="68">
                  <c:v>51</c:v>
                </c:pt>
                <c:pt idx="69">
                  <c:v>51</c:v>
                </c:pt>
                <c:pt idx="70">
                  <c:v>52</c:v>
                </c:pt>
                <c:pt idx="71">
                  <c:v>52</c:v>
                </c:pt>
              </c:numCache>
            </c:numRef>
          </c:val>
          <c:smooth val="0"/>
          <c:extLst>
            <c:ext xmlns:c16="http://schemas.microsoft.com/office/drawing/2014/chart" uri="{C3380CC4-5D6E-409C-BE32-E72D297353CC}">
              <c16:uniqueId val="{00000000-8D79-4EEC-B5AE-119B70C2D985}"/>
            </c:ext>
          </c:extLst>
        </c:ser>
        <c:ser>
          <c:idx val="1"/>
          <c:order val="1"/>
          <c:tx>
            <c:strRef>
              <c:f>Sheet1!$M$4</c:f>
              <c:strCache>
                <c:ptCount val="1"/>
                <c:pt idx="0">
                  <c:v>Global Vehicle Regulations, 1998</c:v>
                </c:pt>
              </c:strCache>
            </c:strRef>
          </c:tx>
          <c:spPr>
            <a:ln w="28575" cap="rnd">
              <a:solidFill>
                <a:schemeClr val="accent2"/>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Sheet1!$M$5:$M$76</c:f>
              <c:numCache>
                <c:formatCode>General</c:formatCode>
                <c:ptCount val="72"/>
                <c:pt idx="49">
                  <c:v>3</c:v>
                </c:pt>
                <c:pt idx="50">
                  <c:v>11</c:v>
                </c:pt>
                <c:pt idx="51">
                  <c:v>17</c:v>
                </c:pt>
                <c:pt idx="52">
                  <c:v>22</c:v>
                </c:pt>
                <c:pt idx="53">
                  <c:v>22</c:v>
                </c:pt>
                <c:pt idx="54">
                  <c:v>23</c:v>
                </c:pt>
                <c:pt idx="55">
                  <c:v>25</c:v>
                </c:pt>
                <c:pt idx="56">
                  <c:v>28</c:v>
                </c:pt>
                <c:pt idx="57">
                  <c:v>30</c:v>
                </c:pt>
                <c:pt idx="58">
                  <c:v>31</c:v>
                </c:pt>
                <c:pt idx="59">
                  <c:v>31</c:v>
                </c:pt>
                <c:pt idx="60">
                  <c:v>31</c:v>
                </c:pt>
                <c:pt idx="61">
                  <c:v>33</c:v>
                </c:pt>
                <c:pt idx="62">
                  <c:v>33</c:v>
                </c:pt>
                <c:pt idx="63">
                  <c:v>33</c:v>
                </c:pt>
                <c:pt idx="64">
                  <c:v>34</c:v>
                </c:pt>
                <c:pt idx="65">
                  <c:v>36</c:v>
                </c:pt>
                <c:pt idx="66">
                  <c:v>36</c:v>
                </c:pt>
                <c:pt idx="67">
                  <c:v>36</c:v>
                </c:pt>
                <c:pt idx="68">
                  <c:v>38</c:v>
                </c:pt>
                <c:pt idx="69">
                  <c:v>38</c:v>
                </c:pt>
                <c:pt idx="70">
                  <c:v>38</c:v>
                </c:pt>
                <c:pt idx="71">
                  <c:v>38</c:v>
                </c:pt>
              </c:numCache>
            </c:numRef>
          </c:val>
          <c:smooth val="0"/>
          <c:extLst>
            <c:ext xmlns:c16="http://schemas.microsoft.com/office/drawing/2014/chart" uri="{C3380CC4-5D6E-409C-BE32-E72D297353CC}">
              <c16:uniqueId val="{00000001-8D79-4EEC-B5AE-119B70C2D985}"/>
            </c:ext>
          </c:extLst>
        </c:ser>
        <c:ser>
          <c:idx val="2"/>
          <c:order val="2"/>
          <c:tx>
            <c:strRef>
              <c:f>Sheet1!$N$4</c:f>
              <c:strCache>
                <c:ptCount val="1"/>
                <c:pt idx="0">
                  <c:v>Road Signs &amp; Signals, 1968</c:v>
                </c:pt>
              </c:strCache>
            </c:strRef>
          </c:tx>
          <c:spPr>
            <a:ln w="28575" cap="rnd">
              <a:solidFill>
                <a:schemeClr val="accent3"/>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Sheet1!$N$5:$N$76</c:f>
              <c:numCache>
                <c:formatCode>General</c:formatCode>
                <c:ptCount val="72"/>
                <c:pt idx="20">
                  <c:v>1</c:v>
                </c:pt>
                <c:pt idx="21">
                  <c:v>2</c:v>
                </c:pt>
                <c:pt idx="22">
                  <c:v>3</c:v>
                </c:pt>
                <c:pt idx="23">
                  <c:v>5</c:v>
                </c:pt>
                <c:pt idx="24">
                  <c:v>9</c:v>
                </c:pt>
                <c:pt idx="25">
                  <c:v>10</c:v>
                </c:pt>
                <c:pt idx="26">
                  <c:v>12</c:v>
                </c:pt>
                <c:pt idx="27">
                  <c:v>15</c:v>
                </c:pt>
                <c:pt idx="28">
                  <c:v>17</c:v>
                </c:pt>
                <c:pt idx="29">
                  <c:v>17</c:v>
                </c:pt>
                <c:pt idx="30">
                  <c:v>21</c:v>
                </c:pt>
                <c:pt idx="31">
                  <c:v>22</c:v>
                </c:pt>
                <c:pt idx="32">
                  <c:v>23</c:v>
                </c:pt>
                <c:pt idx="33">
                  <c:v>23</c:v>
                </c:pt>
                <c:pt idx="34">
                  <c:v>24</c:v>
                </c:pt>
                <c:pt idx="35">
                  <c:v>28</c:v>
                </c:pt>
                <c:pt idx="36">
                  <c:v>30</c:v>
                </c:pt>
                <c:pt idx="37">
                  <c:v>30</c:v>
                </c:pt>
                <c:pt idx="38">
                  <c:v>33</c:v>
                </c:pt>
                <c:pt idx="39">
                  <c:v>33</c:v>
                </c:pt>
                <c:pt idx="40">
                  <c:v>33</c:v>
                </c:pt>
                <c:pt idx="41">
                  <c:v>35</c:v>
                </c:pt>
                <c:pt idx="42">
                  <c:v>37</c:v>
                </c:pt>
                <c:pt idx="43">
                  <c:v>41</c:v>
                </c:pt>
                <c:pt idx="44">
                  <c:v>44</c:v>
                </c:pt>
                <c:pt idx="45">
                  <c:v>45</c:v>
                </c:pt>
                <c:pt idx="46">
                  <c:v>45</c:v>
                </c:pt>
                <c:pt idx="47">
                  <c:v>47</c:v>
                </c:pt>
                <c:pt idx="48">
                  <c:v>47</c:v>
                </c:pt>
                <c:pt idx="49">
                  <c:v>48</c:v>
                </c:pt>
                <c:pt idx="50">
                  <c:v>48</c:v>
                </c:pt>
                <c:pt idx="51">
                  <c:v>50</c:v>
                </c:pt>
                <c:pt idx="52">
                  <c:v>50</c:v>
                </c:pt>
                <c:pt idx="53">
                  <c:v>50</c:v>
                </c:pt>
                <c:pt idx="54">
                  <c:v>52</c:v>
                </c:pt>
                <c:pt idx="55">
                  <c:v>53</c:v>
                </c:pt>
                <c:pt idx="56">
                  <c:v>55</c:v>
                </c:pt>
                <c:pt idx="57">
                  <c:v>56</c:v>
                </c:pt>
                <c:pt idx="58">
                  <c:v>58</c:v>
                </c:pt>
                <c:pt idx="59">
                  <c:v>59</c:v>
                </c:pt>
                <c:pt idx="60">
                  <c:v>59</c:v>
                </c:pt>
                <c:pt idx="61">
                  <c:v>62</c:v>
                </c:pt>
                <c:pt idx="62">
                  <c:v>62</c:v>
                </c:pt>
                <c:pt idx="63">
                  <c:v>62</c:v>
                </c:pt>
                <c:pt idx="64">
                  <c:v>63</c:v>
                </c:pt>
                <c:pt idx="65">
                  <c:v>64</c:v>
                </c:pt>
                <c:pt idx="66">
                  <c:v>65</c:v>
                </c:pt>
                <c:pt idx="67">
                  <c:v>65</c:v>
                </c:pt>
                <c:pt idx="68">
                  <c:v>66</c:v>
                </c:pt>
                <c:pt idx="69">
                  <c:v>67</c:v>
                </c:pt>
                <c:pt idx="70">
                  <c:v>68</c:v>
                </c:pt>
                <c:pt idx="71">
                  <c:v>68</c:v>
                </c:pt>
              </c:numCache>
            </c:numRef>
          </c:val>
          <c:smooth val="0"/>
          <c:extLst>
            <c:ext xmlns:c16="http://schemas.microsoft.com/office/drawing/2014/chart" uri="{C3380CC4-5D6E-409C-BE32-E72D297353CC}">
              <c16:uniqueId val="{00000002-8D79-4EEC-B5AE-119B70C2D985}"/>
            </c:ext>
          </c:extLst>
        </c:ser>
        <c:ser>
          <c:idx val="3"/>
          <c:order val="3"/>
          <c:tx>
            <c:strRef>
              <c:f>Sheet1!$O$4</c:f>
              <c:strCache>
                <c:ptCount val="1"/>
                <c:pt idx="0">
                  <c:v>Road Traffic, 1949</c:v>
                </c:pt>
              </c:strCache>
            </c:strRef>
          </c:tx>
          <c:spPr>
            <a:ln w="28575" cap="rnd">
              <a:solidFill>
                <a:schemeClr val="accent4"/>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Sheet1!$O$5:$O$76</c:f>
              <c:numCache>
                <c:formatCode>General</c:formatCode>
                <c:ptCount val="72"/>
                <c:pt idx="0">
                  <c:v>2</c:v>
                </c:pt>
                <c:pt idx="1">
                  <c:v>3</c:v>
                </c:pt>
                <c:pt idx="2">
                  <c:v>11</c:v>
                </c:pt>
                <c:pt idx="3">
                  <c:v>14</c:v>
                </c:pt>
                <c:pt idx="4">
                  <c:v>16</c:v>
                </c:pt>
                <c:pt idx="5">
                  <c:v>19</c:v>
                </c:pt>
                <c:pt idx="6">
                  <c:v>23</c:v>
                </c:pt>
                <c:pt idx="7">
                  <c:v>30</c:v>
                </c:pt>
                <c:pt idx="8">
                  <c:v>36</c:v>
                </c:pt>
                <c:pt idx="9">
                  <c:v>39</c:v>
                </c:pt>
                <c:pt idx="10">
                  <c:v>42</c:v>
                </c:pt>
                <c:pt idx="11">
                  <c:v>47</c:v>
                </c:pt>
                <c:pt idx="12">
                  <c:v>63</c:v>
                </c:pt>
                <c:pt idx="13">
                  <c:v>67</c:v>
                </c:pt>
                <c:pt idx="14">
                  <c:v>70</c:v>
                </c:pt>
                <c:pt idx="15">
                  <c:v>74</c:v>
                </c:pt>
                <c:pt idx="16">
                  <c:v>75</c:v>
                </c:pt>
                <c:pt idx="17">
                  <c:v>76</c:v>
                </c:pt>
                <c:pt idx="18">
                  <c:v>76</c:v>
                </c:pt>
                <c:pt idx="19">
                  <c:v>77</c:v>
                </c:pt>
                <c:pt idx="20">
                  <c:v>77</c:v>
                </c:pt>
                <c:pt idx="21">
                  <c:v>79</c:v>
                </c:pt>
                <c:pt idx="22">
                  <c:v>81</c:v>
                </c:pt>
                <c:pt idx="23">
                  <c:v>82</c:v>
                </c:pt>
                <c:pt idx="24">
                  <c:v>82</c:v>
                </c:pt>
                <c:pt idx="25">
                  <c:v>82</c:v>
                </c:pt>
                <c:pt idx="26">
                  <c:v>82</c:v>
                </c:pt>
                <c:pt idx="27">
                  <c:v>82</c:v>
                </c:pt>
                <c:pt idx="28">
                  <c:v>83</c:v>
                </c:pt>
                <c:pt idx="29">
                  <c:v>83</c:v>
                </c:pt>
                <c:pt idx="30">
                  <c:v>83</c:v>
                </c:pt>
                <c:pt idx="31">
                  <c:v>84</c:v>
                </c:pt>
                <c:pt idx="32">
                  <c:v>84</c:v>
                </c:pt>
                <c:pt idx="33">
                  <c:v>85</c:v>
                </c:pt>
                <c:pt idx="34">
                  <c:v>85</c:v>
                </c:pt>
                <c:pt idx="35">
                  <c:v>85</c:v>
                </c:pt>
                <c:pt idx="36">
                  <c:v>85</c:v>
                </c:pt>
                <c:pt idx="37">
                  <c:v>85</c:v>
                </c:pt>
                <c:pt idx="38">
                  <c:v>85</c:v>
                </c:pt>
                <c:pt idx="39">
                  <c:v>85</c:v>
                </c:pt>
                <c:pt idx="40">
                  <c:v>85</c:v>
                </c:pt>
                <c:pt idx="41">
                  <c:v>85</c:v>
                </c:pt>
                <c:pt idx="42">
                  <c:v>85</c:v>
                </c:pt>
                <c:pt idx="43">
                  <c:v>89</c:v>
                </c:pt>
                <c:pt idx="44">
                  <c:v>90</c:v>
                </c:pt>
                <c:pt idx="45">
                  <c:v>90</c:v>
                </c:pt>
                <c:pt idx="46">
                  <c:v>90</c:v>
                </c:pt>
                <c:pt idx="47">
                  <c:v>90</c:v>
                </c:pt>
                <c:pt idx="48">
                  <c:v>91</c:v>
                </c:pt>
                <c:pt idx="49">
                  <c:v>91</c:v>
                </c:pt>
                <c:pt idx="50">
                  <c:v>91</c:v>
                </c:pt>
                <c:pt idx="51">
                  <c:v>92</c:v>
                </c:pt>
                <c:pt idx="52">
                  <c:v>92</c:v>
                </c:pt>
                <c:pt idx="53">
                  <c:v>92</c:v>
                </c:pt>
                <c:pt idx="54">
                  <c:v>92</c:v>
                </c:pt>
                <c:pt idx="55">
                  <c:v>92</c:v>
                </c:pt>
                <c:pt idx="56">
                  <c:v>93</c:v>
                </c:pt>
                <c:pt idx="57">
                  <c:v>94</c:v>
                </c:pt>
                <c:pt idx="58">
                  <c:v>94</c:v>
                </c:pt>
                <c:pt idx="59">
                  <c:v>95</c:v>
                </c:pt>
                <c:pt idx="60">
                  <c:v>95</c:v>
                </c:pt>
                <c:pt idx="61">
                  <c:v>96</c:v>
                </c:pt>
                <c:pt idx="62">
                  <c:v>96</c:v>
                </c:pt>
                <c:pt idx="63">
                  <c:v>96</c:v>
                </c:pt>
                <c:pt idx="64">
                  <c:v>96</c:v>
                </c:pt>
                <c:pt idx="65">
                  <c:v>96</c:v>
                </c:pt>
                <c:pt idx="66">
                  <c:v>96</c:v>
                </c:pt>
                <c:pt idx="67">
                  <c:v>97</c:v>
                </c:pt>
                <c:pt idx="68">
                  <c:v>97</c:v>
                </c:pt>
                <c:pt idx="69">
                  <c:v>98</c:v>
                </c:pt>
                <c:pt idx="70">
                  <c:v>101</c:v>
                </c:pt>
                <c:pt idx="71">
                  <c:v>102</c:v>
                </c:pt>
              </c:numCache>
            </c:numRef>
          </c:val>
          <c:smooth val="0"/>
          <c:extLst>
            <c:ext xmlns:c16="http://schemas.microsoft.com/office/drawing/2014/chart" uri="{C3380CC4-5D6E-409C-BE32-E72D297353CC}">
              <c16:uniqueId val="{00000003-8D79-4EEC-B5AE-119B70C2D985}"/>
            </c:ext>
          </c:extLst>
        </c:ser>
        <c:ser>
          <c:idx val="4"/>
          <c:order val="4"/>
          <c:tx>
            <c:strRef>
              <c:f>Sheet1!$P$4</c:f>
              <c:strCache>
                <c:ptCount val="1"/>
                <c:pt idx="0">
                  <c:v>Road Traffic, 1968</c:v>
                </c:pt>
              </c:strCache>
            </c:strRef>
          </c:tx>
          <c:spPr>
            <a:ln w="28575" cap="rnd">
              <a:solidFill>
                <a:schemeClr val="accent5"/>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Sheet1!$P$5:$P$76</c:f>
              <c:numCache>
                <c:formatCode>General</c:formatCode>
                <c:ptCount val="72"/>
                <c:pt idx="20">
                  <c:v>1</c:v>
                </c:pt>
                <c:pt idx="21">
                  <c:v>3</c:v>
                </c:pt>
                <c:pt idx="22">
                  <c:v>4</c:v>
                </c:pt>
                <c:pt idx="23">
                  <c:v>7</c:v>
                </c:pt>
                <c:pt idx="24">
                  <c:v>10</c:v>
                </c:pt>
                <c:pt idx="25">
                  <c:v>12</c:v>
                </c:pt>
                <c:pt idx="26">
                  <c:v>14</c:v>
                </c:pt>
                <c:pt idx="27">
                  <c:v>18</c:v>
                </c:pt>
                <c:pt idx="28">
                  <c:v>21</c:v>
                </c:pt>
                <c:pt idx="29">
                  <c:v>21</c:v>
                </c:pt>
                <c:pt idx="30">
                  <c:v>24</c:v>
                </c:pt>
                <c:pt idx="31">
                  <c:v>27</c:v>
                </c:pt>
                <c:pt idx="32">
                  <c:v>28</c:v>
                </c:pt>
                <c:pt idx="33">
                  <c:v>28</c:v>
                </c:pt>
                <c:pt idx="34">
                  <c:v>29</c:v>
                </c:pt>
                <c:pt idx="35">
                  <c:v>33</c:v>
                </c:pt>
                <c:pt idx="36">
                  <c:v>36</c:v>
                </c:pt>
                <c:pt idx="37">
                  <c:v>36</c:v>
                </c:pt>
                <c:pt idx="38">
                  <c:v>38</c:v>
                </c:pt>
                <c:pt idx="39">
                  <c:v>38</c:v>
                </c:pt>
                <c:pt idx="40">
                  <c:v>38</c:v>
                </c:pt>
                <c:pt idx="41">
                  <c:v>41</c:v>
                </c:pt>
                <c:pt idx="42">
                  <c:v>45</c:v>
                </c:pt>
                <c:pt idx="43">
                  <c:v>52</c:v>
                </c:pt>
                <c:pt idx="44">
                  <c:v>54</c:v>
                </c:pt>
                <c:pt idx="45">
                  <c:v>55</c:v>
                </c:pt>
                <c:pt idx="46">
                  <c:v>56</c:v>
                </c:pt>
                <c:pt idx="47">
                  <c:v>57</c:v>
                </c:pt>
                <c:pt idx="48">
                  <c:v>57</c:v>
                </c:pt>
                <c:pt idx="49">
                  <c:v>57</c:v>
                </c:pt>
                <c:pt idx="50">
                  <c:v>58</c:v>
                </c:pt>
                <c:pt idx="51">
                  <c:v>59</c:v>
                </c:pt>
                <c:pt idx="52">
                  <c:v>60</c:v>
                </c:pt>
                <c:pt idx="53">
                  <c:v>60</c:v>
                </c:pt>
                <c:pt idx="54">
                  <c:v>61</c:v>
                </c:pt>
                <c:pt idx="55">
                  <c:v>63</c:v>
                </c:pt>
                <c:pt idx="56">
                  <c:v>66</c:v>
                </c:pt>
                <c:pt idx="57">
                  <c:v>67</c:v>
                </c:pt>
                <c:pt idx="58">
                  <c:v>68</c:v>
                </c:pt>
                <c:pt idx="59">
                  <c:v>69</c:v>
                </c:pt>
                <c:pt idx="60">
                  <c:v>70</c:v>
                </c:pt>
                <c:pt idx="61">
                  <c:v>70</c:v>
                </c:pt>
                <c:pt idx="62">
                  <c:v>70</c:v>
                </c:pt>
                <c:pt idx="63">
                  <c:v>72</c:v>
                </c:pt>
                <c:pt idx="64">
                  <c:v>73</c:v>
                </c:pt>
                <c:pt idx="65">
                  <c:v>73</c:v>
                </c:pt>
                <c:pt idx="66">
                  <c:v>74</c:v>
                </c:pt>
                <c:pt idx="67">
                  <c:v>75</c:v>
                </c:pt>
                <c:pt idx="68">
                  <c:v>78</c:v>
                </c:pt>
                <c:pt idx="69">
                  <c:v>80</c:v>
                </c:pt>
                <c:pt idx="70">
                  <c:v>84</c:v>
                </c:pt>
                <c:pt idx="71">
                  <c:v>85</c:v>
                </c:pt>
              </c:numCache>
            </c:numRef>
          </c:val>
          <c:smooth val="0"/>
          <c:extLst>
            <c:ext xmlns:c16="http://schemas.microsoft.com/office/drawing/2014/chart" uri="{C3380CC4-5D6E-409C-BE32-E72D297353CC}">
              <c16:uniqueId val="{00000004-8D79-4EEC-B5AE-119B70C2D985}"/>
            </c:ext>
          </c:extLst>
        </c:ser>
        <c:ser>
          <c:idx val="5"/>
          <c:order val="5"/>
          <c:tx>
            <c:strRef>
              <c:f>Sheet1!$Q$4</c:f>
              <c:strCache>
                <c:ptCount val="1"/>
                <c:pt idx="0">
                  <c:v>Techn. Inspect. Vehicles, 1997</c:v>
                </c:pt>
              </c:strCache>
            </c:strRef>
          </c:tx>
          <c:spPr>
            <a:ln w="28575" cap="rnd">
              <a:solidFill>
                <a:schemeClr val="accent6"/>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Sheet1!$Q$5:$Q$76</c:f>
              <c:numCache>
                <c:formatCode>General</c:formatCode>
                <c:ptCount val="72"/>
                <c:pt idx="47">
                  <c:v>1</c:v>
                </c:pt>
                <c:pt idx="48">
                  <c:v>2</c:v>
                </c:pt>
                <c:pt idx="49">
                  <c:v>4</c:v>
                </c:pt>
                <c:pt idx="50">
                  <c:v>5</c:v>
                </c:pt>
                <c:pt idx="51">
                  <c:v>6</c:v>
                </c:pt>
                <c:pt idx="52">
                  <c:v>6</c:v>
                </c:pt>
                <c:pt idx="53">
                  <c:v>7</c:v>
                </c:pt>
                <c:pt idx="54">
                  <c:v>9</c:v>
                </c:pt>
                <c:pt idx="55">
                  <c:v>9</c:v>
                </c:pt>
                <c:pt idx="56">
                  <c:v>9</c:v>
                </c:pt>
                <c:pt idx="57">
                  <c:v>11</c:v>
                </c:pt>
                <c:pt idx="58">
                  <c:v>11</c:v>
                </c:pt>
                <c:pt idx="59">
                  <c:v>11</c:v>
                </c:pt>
                <c:pt idx="60">
                  <c:v>11</c:v>
                </c:pt>
                <c:pt idx="61">
                  <c:v>12</c:v>
                </c:pt>
                <c:pt idx="62">
                  <c:v>12</c:v>
                </c:pt>
                <c:pt idx="63">
                  <c:v>12</c:v>
                </c:pt>
                <c:pt idx="64">
                  <c:v>12</c:v>
                </c:pt>
                <c:pt idx="65">
                  <c:v>13</c:v>
                </c:pt>
                <c:pt idx="66">
                  <c:v>14</c:v>
                </c:pt>
                <c:pt idx="67">
                  <c:v>14</c:v>
                </c:pt>
                <c:pt idx="68">
                  <c:v>15</c:v>
                </c:pt>
                <c:pt idx="69">
                  <c:v>16</c:v>
                </c:pt>
                <c:pt idx="70">
                  <c:v>16</c:v>
                </c:pt>
                <c:pt idx="71">
                  <c:v>16</c:v>
                </c:pt>
              </c:numCache>
            </c:numRef>
          </c:val>
          <c:smooth val="0"/>
          <c:extLst>
            <c:ext xmlns:c16="http://schemas.microsoft.com/office/drawing/2014/chart" uri="{C3380CC4-5D6E-409C-BE32-E72D297353CC}">
              <c16:uniqueId val="{00000005-8D79-4EEC-B5AE-119B70C2D985}"/>
            </c:ext>
          </c:extLst>
        </c:ser>
        <c:ser>
          <c:idx val="6"/>
          <c:order val="6"/>
          <c:tx>
            <c:strRef>
              <c:f>Sheet1!$R$4</c:f>
              <c:strCache>
                <c:ptCount val="1"/>
                <c:pt idx="0">
                  <c:v>Vehicle Regulations, 1958</c:v>
                </c:pt>
              </c:strCache>
            </c:strRef>
          </c:tx>
          <c:spPr>
            <a:ln w="28575" cap="rnd">
              <a:solidFill>
                <a:schemeClr val="accent1">
                  <a:lumMod val="60000"/>
                </a:schemeClr>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Sheet1!$R$5:$R$76</c:f>
              <c:numCache>
                <c:formatCode>General</c:formatCode>
                <c:ptCount val="72"/>
                <c:pt idx="8">
                  <c:v>1</c:v>
                </c:pt>
                <c:pt idx="9">
                  <c:v>3</c:v>
                </c:pt>
                <c:pt idx="10">
                  <c:v>5</c:v>
                </c:pt>
                <c:pt idx="11">
                  <c:v>6</c:v>
                </c:pt>
                <c:pt idx="12">
                  <c:v>6</c:v>
                </c:pt>
                <c:pt idx="13">
                  <c:v>8</c:v>
                </c:pt>
                <c:pt idx="14">
                  <c:v>8</c:v>
                </c:pt>
                <c:pt idx="15">
                  <c:v>9</c:v>
                </c:pt>
                <c:pt idx="16">
                  <c:v>9</c:v>
                </c:pt>
                <c:pt idx="17">
                  <c:v>9</c:v>
                </c:pt>
                <c:pt idx="18">
                  <c:v>9</c:v>
                </c:pt>
                <c:pt idx="19">
                  <c:v>9</c:v>
                </c:pt>
                <c:pt idx="20">
                  <c:v>9</c:v>
                </c:pt>
                <c:pt idx="21">
                  <c:v>11</c:v>
                </c:pt>
                <c:pt idx="22">
                  <c:v>11</c:v>
                </c:pt>
                <c:pt idx="23">
                  <c:v>12</c:v>
                </c:pt>
                <c:pt idx="24">
                  <c:v>12</c:v>
                </c:pt>
                <c:pt idx="25">
                  <c:v>13</c:v>
                </c:pt>
                <c:pt idx="26">
                  <c:v>16</c:v>
                </c:pt>
                <c:pt idx="27">
                  <c:v>16</c:v>
                </c:pt>
                <c:pt idx="28">
                  <c:v>16</c:v>
                </c:pt>
                <c:pt idx="29">
                  <c:v>17</c:v>
                </c:pt>
                <c:pt idx="30">
                  <c:v>18</c:v>
                </c:pt>
                <c:pt idx="31">
                  <c:v>18</c:v>
                </c:pt>
                <c:pt idx="32">
                  <c:v>18</c:v>
                </c:pt>
                <c:pt idx="33">
                  <c:v>18</c:v>
                </c:pt>
                <c:pt idx="34">
                  <c:v>18</c:v>
                </c:pt>
                <c:pt idx="35">
                  <c:v>18</c:v>
                </c:pt>
                <c:pt idx="36">
                  <c:v>19</c:v>
                </c:pt>
                <c:pt idx="37">
                  <c:v>19</c:v>
                </c:pt>
                <c:pt idx="38">
                  <c:v>19</c:v>
                </c:pt>
                <c:pt idx="39">
                  <c:v>19</c:v>
                </c:pt>
                <c:pt idx="40">
                  <c:v>19</c:v>
                </c:pt>
                <c:pt idx="41">
                  <c:v>19</c:v>
                </c:pt>
                <c:pt idx="42">
                  <c:v>21</c:v>
                </c:pt>
                <c:pt idx="43">
                  <c:v>23</c:v>
                </c:pt>
                <c:pt idx="44">
                  <c:v>25</c:v>
                </c:pt>
                <c:pt idx="45">
                  <c:v>28</c:v>
                </c:pt>
                <c:pt idx="46">
                  <c:v>28</c:v>
                </c:pt>
                <c:pt idx="47">
                  <c:v>28</c:v>
                </c:pt>
                <c:pt idx="48">
                  <c:v>32</c:v>
                </c:pt>
                <c:pt idx="49">
                  <c:v>33</c:v>
                </c:pt>
                <c:pt idx="50">
                  <c:v>35</c:v>
                </c:pt>
                <c:pt idx="51">
                  <c:v>38</c:v>
                </c:pt>
                <c:pt idx="52">
                  <c:v>40</c:v>
                </c:pt>
                <c:pt idx="53">
                  <c:v>40</c:v>
                </c:pt>
                <c:pt idx="54">
                  <c:v>41</c:v>
                </c:pt>
                <c:pt idx="55">
                  <c:v>41</c:v>
                </c:pt>
                <c:pt idx="56">
                  <c:v>44</c:v>
                </c:pt>
                <c:pt idx="57">
                  <c:v>45</c:v>
                </c:pt>
                <c:pt idx="58">
                  <c:v>45</c:v>
                </c:pt>
                <c:pt idx="59">
                  <c:v>45</c:v>
                </c:pt>
                <c:pt idx="60">
                  <c:v>46</c:v>
                </c:pt>
                <c:pt idx="61">
                  <c:v>47</c:v>
                </c:pt>
                <c:pt idx="62">
                  <c:v>48</c:v>
                </c:pt>
                <c:pt idx="63">
                  <c:v>48</c:v>
                </c:pt>
                <c:pt idx="64">
                  <c:v>48</c:v>
                </c:pt>
                <c:pt idx="65">
                  <c:v>50</c:v>
                </c:pt>
                <c:pt idx="66">
                  <c:v>51</c:v>
                </c:pt>
                <c:pt idx="67">
                  <c:v>51</c:v>
                </c:pt>
                <c:pt idx="68">
                  <c:v>53</c:v>
                </c:pt>
                <c:pt idx="69">
                  <c:v>53</c:v>
                </c:pt>
                <c:pt idx="70">
                  <c:v>54</c:v>
                </c:pt>
                <c:pt idx="71">
                  <c:v>54</c:v>
                </c:pt>
              </c:numCache>
            </c:numRef>
          </c:val>
          <c:smooth val="0"/>
          <c:extLst>
            <c:ext xmlns:c16="http://schemas.microsoft.com/office/drawing/2014/chart" uri="{C3380CC4-5D6E-409C-BE32-E72D297353CC}">
              <c16:uniqueId val="{00000006-8D79-4EEC-B5AE-119B70C2D985}"/>
            </c:ext>
          </c:extLst>
        </c:ser>
        <c:ser>
          <c:idx val="7"/>
          <c:order val="7"/>
          <c:tx>
            <c:strRef>
              <c:f>Sheet1!$S$4</c:f>
              <c:strCache>
                <c:ptCount val="1"/>
                <c:pt idx="0">
                  <c:v>Work of Crews Int. Road Transport (AETR), 1970</c:v>
                </c:pt>
              </c:strCache>
            </c:strRef>
          </c:tx>
          <c:spPr>
            <a:ln w="28575" cap="rnd">
              <a:solidFill>
                <a:schemeClr val="accent2">
                  <a:lumMod val="60000"/>
                </a:schemeClr>
              </a:solidFill>
              <a:round/>
            </a:ln>
            <a:effectLst/>
          </c:spPr>
          <c:marker>
            <c:symbol val="none"/>
          </c:marker>
          <c:cat>
            <c:numRef>
              <c:f>Sheet1!$K$5:$K$76</c:f>
              <c:numCache>
                <c:formatCode>General</c:formatCode>
                <c:ptCount val="72"/>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numCache>
            </c:numRef>
          </c:cat>
          <c:val>
            <c:numRef>
              <c:f>Sheet1!$S$5:$S$76</c:f>
              <c:numCache>
                <c:formatCode>General</c:formatCode>
                <c:ptCount val="72"/>
                <c:pt idx="21">
                  <c:v>1</c:v>
                </c:pt>
                <c:pt idx="22">
                  <c:v>1</c:v>
                </c:pt>
                <c:pt idx="23">
                  <c:v>4</c:v>
                </c:pt>
                <c:pt idx="24">
                  <c:v>5</c:v>
                </c:pt>
                <c:pt idx="25">
                  <c:v>7</c:v>
                </c:pt>
                <c:pt idx="26">
                  <c:v>7</c:v>
                </c:pt>
                <c:pt idx="27">
                  <c:v>11</c:v>
                </c:pt>
                <c:pt idx="28">
                  <c:v>15</c:v>
                </c:pt>
                <c:pt idx="29">
                  <c:v>16</c:v>
                </c:pt>
                <c:pt idx="30">
                  <c:v>16</c:v>
                </c:pt>
                <c:pt idx="31">
                  <c:v>16</c:v>
                </c:pt>
                <c:pt idx="32">
                  <c:v>16</c:v>
                </c:pt>
                <c:pt idx="33">
                  <c:v>16</c:v>
                </c:pt>
                <c:pt idx="34">
                  <c:v>16</c:v>
                </c:pt>
                <c:pt idx="35">
                  <c:v>16</c:v>
                </c:pt>
                <c:pt idx="36">
                  <c:v>16</c:v>
                </c:pt>
                <c:pt idx="37">
                  <c:v>16</c:v>
                </c:pt>
                <c:pt idx="38">
                  <c:v>16</c:v>
                </c:pt>
                <c:pt idx="39">
                  <c:v>16</c:v>
                </c:pt>
                <c:pt idx="40">
                  <c:v>16</c:v>
                </c:pt>
                <c:pt idx="41">
                  <c:v>16</c:v>
                </c:pt>
                <c:pt idx="42">
                  <c:v>18</c:v>
                </c:pt>
                <c:pt idx="43">
                  <c:v>24</c:v>
                </c:pt>
                <c:pt idx="44">
                  <c:v>27</c:v>
                </c:pt>
                <c:pt idx="45">
                  <c:v>29</c:v>
                </c:pt>
                <c:pt idx="46">
                  <c:v>32</c:v>
                </c:pt>
                <c:pt idx="47">
                  <c:v>33</c:v>
                </c:pt>
                <c:pt idx="48">
                  <c:v>35</c:v>
                </c:pt>
                <c:pt idx="49">
                  <c:v>38</c:v>
                </c:pt>
                <c:pt idx="50">
                  <c:v>39</c:v>
                </c:pt>
                <c:pt idx="51">
                  <c:v>41</c:v>
                </c:pt>
                <c:pt idx="52">
                  <c:v>41</c:v>
                </c:pt>
                <c:pt idx="53">
                  <c:v>42</c:v>
                </c:pt>
                <c:pt idx="54">
                  <c:v>43</c:v>
                </c:pt>
                <c:pt idx="55">
                  <c:v>43</c:v>
                </c:pt>
                <c:pt idx="56">
                  <c:v>47</c:v>
                </c:pt>
                <c:pt idx="57">
                  <c:v>48</c:v>
                </c:pt>
                <c:pt idx="58">
                  <c:v>49</c:v>
                </c:pt>
                <c:pt idx="59">
                  <c:v>49</c:v>
                </c:pt>
                <c:pt idx="60">
                  <c:v>49</c:v>
                </c:pt>
                <c:pt idx="61">
                  <c:v>51</c:v>
                </c:pt>
                <c:pt idx="62">
                  <c:v>51</c:v>
                </c:pt>
                <c:pt idx="63">
                  <c:v>51</c:v>
                </c:pt>
                <c:pt idx="64">
                  <c:v>51</c:v>
                </c:pt>
                <c:pt idx="65">
                  <c:v>51</c:v>
                </c:pt>
                <c:pt idx="66">
                  <c:v>51</c:v>
                </c:pt>
                <c:pt idx="67">
                  <c:v>51</c:v>
                </c:pt>
                <c:pt idx="68">
                  <c:v>51</c:v>
                </c:pt>
                <c:pt idx="69">
                  <c:v>51</c:v>
                </c:pt>
                <c:pt idx="70">
                  <c:v>51</c:v>
                </c:pt>
                <c:pt idx="71">
                  <c:v>52</c:v>
                </c:pt>
              </c:numCache>
            </c:numRef>
          </c:val>
          <c:smooth val="0"/>
          <c:extLst>
            <c:ext xmlns:c16="http://schemas.microsoft.com/office/drawing/2014/chart" uri="{C3380CC4-5D6E-409C-BE32-E72D297353CC}">
              <c16:uniqueId val="{00000007-8D79-4EEC-B5AE-119B70C2D985}"/>
            </c:ext>
          </c:extLst>
        </c:ser>
        <c:dLbls>
          <c:showLegendKey val="0"/>
          <c:showVal val="0"/>
          <c:showCatName val="0"/>
          <c:showSerName val="0"/>
          <c:showPercent val="0"/>
          <c:showBubbleSize val="0"/>
        </c:dLbls>
        <c:smooth val="0"/>
        <c:axId val="529155008"/>
        <c:axId val="529159272"/>
      </c:lineChart>
      <c:catAx>
        <c:axId val="52915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159272"/>
        <c:crosses val="autoZero"/>
        <c:auto val="1"/>
        <c:lblAlgn val="ctr"/>
        <c:lblOffset val="100"/>
        <c:noMultiLvlLbl val="0"/>
      </c:catAx>
      <c:valAx>
        <c:axId val="529159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155008"/>
        <c:crosses val="autoZero"/>
        <c:crossBetween val="between"/>
      </c:valAx>
      <c:spPr>
        <a:noFill/>
        <a:ln>
          <a:noFill/>
        </a:ln>
        <a:effectLst/>
      </c:spPr>
    </c:plotArea>
    <c:legend>
      <c:legendPos val="b"/>
      <c:layout>
        <c:manualLayout>
          <c:xMode val="edge"/>
          <c:yMode val="edge"/>
          <c:x val="2.4109952616779173E-2"/>
          <c:y val="0.85812129888722588"/>
          <c:w val="0.95042083042371994"/>
          <c:h val="0.125349775492939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10126</Characters>
  <Application>Microsoft Office Word</Application>
  <DocSecurity>0</DocSecurity>
  <Lines>173</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ECE/TRANS/2019/1</vt:lpstr>
      <vt:lpstr/>
    </vt:vector>
  </TitlesOfParts>
  <Company>CSD</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ECE/TRANS/2022/13</dc:title>
  <dc:subject>2118897</dc:subject>
  <dc:creator>Anastasia Barinova</dc:creator>
  <cp:keywords/>
  <dc:description/>
  <cp:lastModifiedBy>Pauline Anne Princesa ESCALANTE</cp:lastModifiedBy>
  <cp:revision>2</cp:revision>
  <cp:lastPrinted>2009-02-18T09:36:00Z</cp:lastPrinted>
  <dcterms:created xsi:type="dcterms:W3CDTF">2021-12-14T14:47:00Z</dcterms:created>
  <dcterms:modified xsi:type="dcterms:W3CDTF">2021-12-14T14:47:00Z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