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7E05B4" w14:paraId="596D2CF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EF66816" w14:textId="77777777" w:rsidR="002D5AAC" w:rsidRDefault="002D5AAC" w:rsidP="007E05B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E03F6D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20C688" w14:textId="66024799" w:rsidR="002D5AAC" w:rsidRPr="007E05B4" w:rsidRDefault="007E05B4" w:rsidP="007E05B4">
            <w:pPr>
              <w:jc w:val="right"/>
              <w:rPr>
                <w:lang w:val="en-US"/>
              </w:rPr>
            </w:pPr>
            <w:r w:rsidRPr="007E05B4">
              <w:rPr>
                <w:sz w:val="40"/>
                <w:lang w:val="en-US"/>
              </w:rPr>
              <w:t>ECE</w:t>
            </w:r>
            <w:r w:rsidRPr="007E05B4">
              <w:rPr>
                <w:lang w:val="en-US"/>
              </w:rPr>
              <w:t>/TRANS/WP.15/AC.1/162/Add.1</w:t>
            </w:r>
          </w:p>
        </w:tc>
      </w:tr>
      <w:tr w:rsidR="002D5AAC" w:rsidRPr="007E05B4" w14:paraId="08D5649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63E11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D75309F" wp14:editId="03D70F2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BF20E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1F24A8C" w14:textId="77777777" w:rsidR="002D5AAC" w:rsidRDefault="007E05B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A6694EF" w14:textId="77777777" w:rsidR="007E05B4" w:rsidRDefault="007E05B4" w:rsidP="007E05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October 2021</w:t>
            </w:r>
          </w:p>
          <w:p w14:paraId="35D2D1D4" w14:textId="77777777" w:rsidR="007E05B4" w:rsidRDefault="007E05B4" w:rsidP="007E05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5CEBF7" w14:textId="6DE9B667" w:rsidR="007E05B4" w:rsidRPr="008D53B6" w:rsidRDefault="007E05B4" w:rsidP="007E05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D8079B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F28742F" w14:textId="77777777" w:rsidR="007E05B4" w:rsidRPr="00B32817" w:rsidRDefault="007E05B4" w:rsidP="007E05B4">
      <w:pPr>
        <w:spacing w:before="120"/>
        <w:outlineLvl w:val="0"/>
        <w:rPr>
          <w:sz w:val="28"/>
          <w:szCs w:val="28"/>
        </w:rPr>
      </w:pPr>
      <w:r w:rsidRPr="00B32817">
        <w:rPr>
          <w:sz w:val="28"/>
          <w:szCs w:val="28"/>
        </w:rPr>
        <w:t>Комитет по внутреннему транспорту</w:t>
      </w:r>
    </w:p>
    <w:p w14:paraId="1DFDE241" w14:textId="77777777" w:rsidR="007E05B4" w:rsidRPr="00B32817" w:rsidRDefault="007E05B4" w:rsidP="0048166C">
      <w:pPr>
        <w:spacing w:before="120" w:after="120"/>
        <w:outlineLvl w:val="0"/>
        <w:rPr>
          <w:b/>
          <w:sz w:val="24"/>
          <w:szCs w:val="24"/>
        </w:rPr>
      </w:pPr>
      <w:r w:rsidRPr="00B32817">
        <w:rPr>
          <w:b/>
          <w:bCs/>
          <w:sz w:val="24"/>
          <w:szCs w:val="24"/>
        </w:rPr>
        <w:t>Рабочая группа по перевозкам опасных грузов</w:t>
      </w:r>
    </w:p>
    <w:p w14:paraId="2F0D46C7" w14:textId="2CDDD26B" w:rsidR="00E12C5F" w:rsidRDefault="007E05B4" w:rsidP="007E05B4">
      <w:r>
        <w:rPr>
          <w:b/>
          <w:bCs/>
        </w:rPr>
        <w:t xml:space="preserve">Совместное совещание Комиссии экспертов МПОГ </w:t>
      </w:r>
      <w:r w:rsidR="0048166C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496E496B" w14:textId="3EB868AB" w:rsidR="007E05B4" w:rsidRPr="00F96DC7" w:rsidRDefault="007E05B4" w:rsidP="007E05B4">
      <w:pPr>
        <w:pStyle w:val="HChG"/>
      </w:pPr>
      <w:r>
        <w:tab/>
      </w:r>
      <w:r>
        <w:tab/>
      </w:r>
      <w:r>
        <w:rPr>
          <w:bCs/>
        </w:rPr>
        <w:t>Доклад Совместного совещания Комиссии экспертов МПОГ и Рабочей группы по перевозкам опасных грузов о работе его осенней сессии 2021 го</w:t>
      </w:r>
      <w:r w:rsidRPr="00CD34E9">
        <w:rPr>
          <w:bCs/>
          <w:szCs w:val="28"/>
        </w:rPr>
        <w:t>да</w:t>
      </w:r>
      <w:bookmarkStart w:id="0" w:name="_Hlk86492114"/>
      <w:r w:rsidR="0007290A" w:rsidRPr="0007290A">
        <w:rPr>
          <w:rStyle w:val="FootnoteReference"/>
          <w:b w:val="0"/>
          <w:sz w:val="20"/>
          <w:szCs w:val="28"/>
          <w:vertAlign w:val="baseline"/>
        </w:rPr>
        <w:footnoteReference w:customMarkFollows="1" w:id="1"/>
        <w:t>*</w:t>
      </w:r>
      <w:bookmarkEnd w:id="0"/>
      <w:r w:rsidRPr="00CD34E9">
        <w:rPr>
          <w:bCs/>
          <w:szCs w:val="28"/>
        </w:rPr>
        <w:t>,</w:t>
      </w:r>
    </w:p>
    <w:p w14:paraId="27036AC9" w14:textId="77777777" w:rsidR="007E05B4" w:rsidRPr="00F96DC7" w:rsidRDefault="007E05B4" w:rsidP="007E05B4">
      <w:pPr>
        <w:pStyle w:val="H56G"/>
      </w:pPr>
      <w:r>
        <w:tab/>
      </w:r>
      <w:r>
        <w:tab/>
        <w:t>состоявшейся в Женеве 21 сентября — 1 октября 2021 года</w:t>
      </w:r>
    </w:p>
    <w:p w14:paraId="49245D7D" w14:textId="046EB40E" w:rsidR="007E05B4" w:rsidRPr="007E05B4" w:rsidRDefault="007E05B4" w:rsidP="0048166C">
      <w:pPr>
        <w:pStyle w:val="H1G"/>
      </w:pPr>
      <w:r>
        <w:tab/>
      </w:r>
      <w:r>
        <w:tab/>
      </w:r>
      <w:r w:rsidRPr="00CD34E9">
        <w:t>Добавление</w:t>
      </w:r>
      <w:r w:rsidR="0007290A" w:rsidRPr="0007290A">
        <w:rPr>
          <w:rStyle w:val="FootnoteReference"/>
          <w:sz w:val="20"/>
          <w:vertAlign w:val="baseline"/>
        </w:rPr>
        <w:footnoteReference w:customMarkFollows="1" w:id="2"/>
        <w:t>**</w:t>
      </w:r>
    </w:p>
    <w:p w14:paraId="13234E4B" w14:textId="77777777" w:rsidR="007E05B4" w:rsidRPr="004A59F9" w:rsidRDefault="007E05B4" w:rsidP="0048166C">
      <w:pPr>
        <w:pStyle w:val="H1G"/>
      </w:pPr>
      <w:r>
        <w:tab/>
      </w:r>
      <w:r>
        <w:tab/>
      </w:r>
      <w:r w:rsidRPr="004A59F9">
        <w:t>Приложение I</w:t>
      </w:r>
    </w:p>
    <w:p w14:paraId="4C7F4A78" w14:textId="77777777" w:rsidR="007E05B4" w:rsidRPr="004A59F9" w:rsidRDefault="007E05B4" w:rsidP="0048166C">
      <w:pPr>
        <w:pStyle w:val="H1G"/>
      </w:pPr>
      <w:r>
        <w:tab/>
      </w:r>
      <w:r>
        <w:tab/>
      </w:r>
      <w:r w:rsidRPr="004A59F9">
        <w:t>Доклад Рабочей группы по цистернам</w:t>
      </w:r>
    </w:p>
    <w:p w14:paraId="4A58B26A" w14:textId="77777777" w:rsidR="007E05B4" w:rsidRPr="00F96DC7" w:rsidRDefault="007E05B4" w:rsidP="007E05B4">
      <w:pPr>
        <w:pStyle w:val="SingleTxtG"/>
      </w:pPr>
      <w:r>
        <w:t>1.</w:t>
      </w:r>
      <w:r>
        <w:tab/>
        <w:t xml:space="preserve">Рабочая группа по цистернам провела совещание 27–29 сентября 2021 года в виртуальной форме на основе мандата, предоставленного Совместным совещанием МПОГ/ДОПОГ/ВОПОГ, под председательством г-на Арне </w:t>
      </w:r>
      <w:proofErr w:type="spellStart"/>
      <w:r>
        <w:t>Бейла</w:t>
      </w:r>
      <w:proofErr w:type="spellEnd"/>
      <w:r>
        <w:t xml:space="preserve"> (Соединенное Королевство); обязанности секретаря исполнял г-н </w:t>
      </w:r>
      <w:proofErr w:type="spellStart"/>
      <w:r>
        <w:t>Кес</w:t>
      </w:r>
      <w:proofErr w:type="spellEnd"/>
      <w:r>
        <w:t xml:space="preserve"> де </w:t>
      </w:r>
      <w:proofErr w:type="spellStart"/>
      <w:r>
        <w:t>Путтер</w:t>
      </w:r>
      <w:proofErr w:type="spellEnd"/>
      <w:r>
        <w:t xml:space="preserve"> (Нидерланды). Соответствующие документы были представлены на пленарной сессии и переданы на рассмотрение Рабочей группы.</w:t>
      </w:r>
    </w:p>
    <w:p w14:paraId="47C157A9" w14:textId="41597C08" w:rsidR="007E05B4" w:rsidRPr="00F96DC7" w:rsidRDefault="007E05B4" w:rsidP="007E05B4">
      <w:pPr>
        <w:pStyle w:val="SingleTxtG"/>
        <w:ind w:right="973"/>
      </w:pPr>
      <w:r>
        <w:t>2.</w:t>
      </w:r>
      <w:r>
        <w:tab/>
        <w:t>Для участия в совещании Рабочей группы по цистернам зарегистрировался 41</w:t>
      </w:r>
      <w:r w:rsidR="0048166C">
        <w:rPr>
          <w:lang w:val="en-US"/>
        </w:rPr>
        <w:t> </w:t>
      </w:r>
      <w:r>
        <w:t>эксперт от 14 стран и 6 неправительственных организаций и Европейской комиссии. Они рассмотрели следующие официальные и неофициальные документы:</w:t>
      </w:r>
    </w:p>
    <w:p w14:paraId="5F4CCF5A" w14:textId="732DDE11" w:rsidR="007E05B4" w:rsidRPr="00F96DC7" w:rsidRDefault="007E05B4" w:rsidP="0048166C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  <w:ind w:left="3686" w:hanging="2552"/>
      </w:pPr>
      <w:r>
        <w:rPr>
          <w:i/>
          <w:iCs/>
        </w:rPr>
        <w:t>Документы</w:t>
      </w:r>
      <w:r>
        <w:t>:</w:t>
      </w:r>
      <w:r>
        <w:tab/>
        <w:t xml:space="preserve">ECE/TRANS/WP.15/AC.1/2021/23/Rev.1 </w:t>
      </w:r>
      <w:r w:rsidR="0048166C">
        <w:br/>
      </w:r>
      <w:r>
        <w:t>(Соединенное Королевство)</w:t>
      </w:r>
    </w:p>
    <w:p w14:paraId="20BB8B2F" w14:textId="77777777" w:rsidR="007E05B4" w:rsidRPr="007E05B4" w:rsidRDefault="007E05B4" w:rsidP="0048166C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  <w:rPr>
          <w:lang w:val="en-US"/>
        </w:rPr>
      </w:pPr>
      <w:r>
        <w:tab/>
      </w:r>
      <w:r w:rsidRPr="00F96DC7">
        <w:rPr>
          <w:lang w:val="en-US"/>
        </w:rPr>
        <w:t>ECE/TRANS/WP.15/AC.1/2021/24/Add.1 (</w:t>
      </w:r>
      <w:r>
        <w:t>секретариат</w:t>
      </w:r>
      <w:r w:rsidRPr="00F96DC7">
        <w:rPr>
          <w:lang w:val="en-US"/>
        </w:rPr>
        <w:t>)</w:t>
      </w:r>
    </w:p>
    <w:p w14:paraId="55D75B98" w14:textId="77777777" w:rsidR="007E05B4" w:rsidRPr="007E05B4" w:rsidRDefault="007E05B4" w:rsidP="0048166C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  <w:rPr>
          <w:lang w:val="en-US"/>
        </w:rPr>
      </w:pPr>
      <w:r w:rsidRPr="00F96DC7">
        <w:rPr>
          <w:lang w:val="en-US"/>
        </w:rPr>
        <w:tab/>
        <w:t>ECE/TRANS/WP.15/AC.1/2021/27 (</w:t>
      </w:r>
      <w:r>
        <w:t>МСАГВ</w:t>
      </w:r>
      <w:r w:rsidRPr="00F96DC7">
        <w:rPr>
          <w:lang w:val="en-US"/>
        </w:rPr>
        <w:t>)</w:t>
      </w:r>
    </w:p>
    <w:p w14:paraId="41E1C809" w14:textId="77777777" w:rsidR="007E05B4" w:rsidRPr="0048166C" w:rsidRDefault="007E05B4" w:rsidP="0048166C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</w:pPr>
      <w:r w:rsidRPr="00F96DC7">
        <w:rPr>
          <w:lang w:val="en-US"/>
        </w:rPr>
        <w:tab/>
      </w:r>
      <w:r w:rsidRPr="0048166C">
        <w:t>ECE/TRANS/WP.15/AC.1/2021/34 (</w:t>
      </w:r>
      <w:r>
        <w:t>Швейцария</w:t>
      </w:r>
      <w:r w:rsidRPr="0048166C">
        <w:t>)</w:t>
      </w:r>
    </w:p>
    <w:p w14:paraId="0DC3D7BD" w14:textId="55C1C978" w:rsidR="007E05B4" w:rsidRPr="00F96DC7" w:rsidRDefault="007E05B4" w:rsidP="0048166C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  <w:ind w:left="3686" w:hanging="2552"/>
        <w:jc w:val="left"/>
      </w:pPr>
      <w:r w:rsidRPr="0048166C">
        <w:lastRenderedPageBreak/>
        <w:tab/>
      </w:r>
      <w:r>
        <w:t xml:space="preserve">ECE/TRANS/WP.15/AC.1/2021/36 </w:t>
      </w:r>
      <w:r w:rsidR="0048166C">
        <w:br/>
      </w:r>
      <w:r>
        <w:t>(Ассоциация «Сжиженный газ — Европа»)</w:t>
      </w:r>
    </w:p>
    <w:p w14:paraId="2D3838AA" w14:textId="77777777" w:rsidR="007E05B4" w:rsidRPr="007E05B4" w:rsidRDefault="007E05B4" w:rsidP="0048166C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rPr>
          <w:lang w:val="en-US"/>
        </w:rPr>
      </w:pPr>
      <w:r>
        <w:tab/>
      </w:r>
      <w:r w:rsidRPr="0048166C">
        <w:t>E</w:t>
      </w:r>
      <w:r w:rsidRPr="00F96DC7">
        <w:rPr>
          <w:lang w:val="en-US"/>
        </w:rPr>
        <w:t>CE/TRANS/WP.15/AC.1/2021/43 (</w:t>
      </w:r>
      <w:r>
        <w:t>Франция</w:t>
      </w:r>
      <w:r w:rsidRPr="00F96DC7">
        <w:rPr>
          <w:lang w:val="en-US"/>
        </w:rPr>
        <w:t>)</w:t>
      </w:r>
    </w:p>
    <w:p w14:paraId="60E2A4C7" w14:textId="2A271322" w:rsidR="007E05B4" w:rsidRPr="00F96DC7" w:rsidRDefault="007E05B4" w:rsidP="0048166C">
      <w:pPr>
        <w:pStyle w:val="SingleTxtG"/>
        <w:tabs>
          <w:tab w:val="left" w:pos="3686"/>
        </w:tabs>
        <w:spacing w:after="0"/>
      </w:pPr>
      <w:r w:rsidRPr="0048166C">
        <w:rPr>
          <w:i/>
          <w:iCs/>
        </w:rPr>
        <w:t>Неофициальные документы:</w:t>
      </w:r>
      <w:r w:rsidR="0048166C">
        <w:tab/>
      </w:r>
      <w:r>
        <w:t>INF.10 (Польша)</w:t>
      </w:r>
    </w:p>
    <w:p w14:paraId="71D84A05" w14:textId="77777777" w:rsidR="007E05B4" w:rsidRPr="0048166C" w:rsidRDefault="007E05B4" w:rsidP="0048166C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</w:pPr>
      <w:r>
        <w:tab/>
      </w:r>
      <w:r w:rsidRPr="0048166C">
        <w:t>INF.28 (Германия)</w:t>
      </w:r>
    </w:p>
    <w:p w14:paraId="119C98F5" w14:textId="77777777" w:rsidR="007E05B4" w:rsidRPr="0048166C" w:rsidRDefault="007E05B4" w:rsidP="0048166C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</w:pPr>
      <w:r w:rsidRPr="0048166C">
        <w:tab/>
        <w:t>INF.35 (Франция)</w:t>
      </w:r>
    </w:p>
    <w:p w14:paraId="3FA49B49" w14:textId="77777777" w:rsidR="007E05B4" w:rsidRPr="0048166C" w:rsidRDefault="007E05B4" w:rsidP="0048166C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</w:pPr>
      <w:r w:rsidRPr="0048166C">
        <w:tab/>
        <w:t>INF.38 (Швейцария)</w:t>
      </w:r>
    </w:p>
    <w:p w14:paraId="28E626C6" w14:textId="77777777" w:rsidR="007E05B4" w:rsidRPr="0048166C" w:rsidRDefault="007E05B4" w:rsidP="0048166C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</w:pPr>
      <w:r w:rsidRPr="0048166C">
        <w:tab/>
        <w:t>INF.40 и INF.42 (Соединенное Королевство)</w:t>
      </w:r>
    </w:p>
    <w:p w14:paraId="206A38F2" w14:textId="77777777" w:rsidR="007E05B4" w:rsidRPr="00F96DC7" w:rsidRDefault="007E05B4" w:rsidP="0048166C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</w:pPr>
      <w:r w:rsidRPr="0048166C">
        <w:tab/>
        <w:t>INF</w:t>
      </w:r>
      <w:r>
        <w:t>.43 (Франция)</w:t>
      </w:r>
    </w:p>
    <w:p w14:paraId="26176C8A" w14:textId="77777777" w:rsidR="007E05B4" w:rsidRPr="00F96DC7" w:rsidRDefault="007E05B4" w:rsidP="007E05B4">
      <w:pPr>
        <w:pStyle w:val="SingleTxtG"/>
        <w:spacing w:before="120"/>
      </w:pPr>
      <w:r>
        <w:t>3.</w:t>
      </w:r>
      <w:r>
        <w:tab/>
        <w:t>В связи с определением приоритетности документа ECE/TRANS/WP.15/AC.1/2021/23/Rev.1 нижеследующие документы не удалось рассмотреть из-за нехватки времени. Секретариату предлагается сохранить их в повестке дня для рассмотрения на следующей сессии.</w:t>
      </w:r>
    </w:p>
    <w:p w14:paraId="6BABAEB1" w14:textId="77777777" w:rsidR="007E05B4" w:rsidRPr="00F96DC7" w:rsidRDefault="007E05B4" w:rsidP="0007290A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  <w:ind w:left="3686" w:hanging="2552"/>
        <w:jc w:val="left"/>
      </w:pPr>
      <w:r>
        <w:rPr>
          <w:i/>
          <w:iCs/>
        </w:rPr>
        <w:t>Документы</w:t>
      </w:r>
      <w:r>
        <w:t>:</w:t>
      </w:r>
      <w:r>
        <w:tab/>
        <w:t>ECE/TRANS/WP.15/AC.1/2021/29 (МСЖД)</w:t>
      </w:r>
    </w:p>
    <w:p w14:paraId="34599DDC" w14:textId="77777777" w:rsidR="007E05B4" w:rsidRPr="007E05B4" w:rsidRDefault="007E05B4" w:rsidP="0007290A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rPr>
          <w:lang w:val="en-US"/>
        </w:rPr>
      </w:pPr>
      <w:r>
        <w:tab/>
      </w:r>
      <w:r w:rsidRPr="00F96DC7">
        <w:rPr>
          <w:lang w:val="en-US"/>
        </w:rPr>
        <w:t>ECE/TRANS/WP.15/AC.1/2021/42 (</w:t>
      </w:r>
      <w:r>
        <w:t>Нидерланды</w:t>
      </w:r>
      <w:r w:rsidRPr="00F96DC7">
        <w:rPr>
          <w:lang w:val="en-US"/>
        </w:rPr>
        <w:t>)</w:t>
      </w:r>
    </w:p>
    <w:p w14:paraId="6D09C794" w14:textId="0F8E024C" w:rsidR="007E05B4" w:rsidRPr="00F96DC7" w:rsidRDefault="007E05B4" w:rsidP="0007290A">
      <w:pPr>
        <w:pStyle w:val="SingleTxtG"/>
        <w:tabs>
          <w:tab w:val="left" w:pos="3686"/>
        </w:tabs>
        <w:spacing w:after="0"/>
        <w:ind w:left="3686" w:hanging="2552"/>
        <w:jc w:val="left"/>
      </w:pPr>
      <w:r>
        <w:rPr>
          <w:i/>
          <w:iCs/>
        </w:rPr>
        <w:t>Неофициальные документы</w:t>
      </w:r>
      <w:r>
        <w:t>:</w:t>
      </w:r>
      <w:r>
        <w:tab/>
        <w:t xml:space="preserve">INF.11 (Соединенное Королевство) </w:t>
      </w:r>
      <w:r w:rsidR="0007290A">
        <w:br/>
      </w:r>
      <w:r>
        <w:t>(весенняя сессия 2021 года)</w:t>
      </w:r>
    </w:p>
    <w:p w14:paraId="2B3A5D9F" w14:textId="3757D1A4" w:rsidR="007E05B4" w:rsidRPr="00F96DC7" w:rsidRDefault="007E05B4" w:rsidP="0007290A">
      <w:pPr>
        <w:pStyle w:val="SingleTxtG"/>
        <w:tabs>
          <w:tab w:val="clear" w:pos="1701"/>
          <w:tab w:val="clear" w:pos="2268"/>
          <w:tab w:val="left" w:pos="3686"/>
        </w:tabs>
        <w:spacing w:after="0"/>
        <w:ind w:left="3686" w:hanging="2552"/>
        <w:jc w:val="left"/>
      </w:pPr>
      <w:r>
        <w:tab/>
      </w:r>
      <w:r w:rsidR="0007290A">
        <w:tab/>
      </w:r>
      <w:r>
        <w:t xml:space="preserve">INF.15 (Соединенное Королевство) </w:t>
      </w:r>
      <w:r w:rsidR="0007290A">
        <w:br/>
      </w:r>
      <w:r>
        <w:t>(весенняя сессия 2021 года)</w:t>
      </w:r>
    </w:p>
    <w:p w14:paraId="7926631E" w14:textId="77777777" w:rsidR="007E05B4" w:rsidRPr="00F96DC7" w:rsidRDefault="007E05B4" w:rsidP="0007290A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</w:pPr>
      <w:r>
        <w:tab/>
        <w:t>INF.3 (Нидерланды)</w:t>
      </w:r>
    </w:p>
    <w:p w14:paraId="50B5653E" w14:textId="77777777" w:rsidR="007E05B4" w:rsidRPr="00F96DC7" w:rsidRDefault="007E05B4" w:rsidP="0007290A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</w:pPr>
      <w:r>
        <w:tab/>
        <w:t>INF.6 (ККПКП)</w:t>
      </w:r>
    </w:p>
    <w:p w14:paraId="59F9D25D" w14:textId="77777777" w:rsidR="007E05B4" w:rsidRPr="00F96DC7" w:rsidRDefault="007E05B4" w:rsidP="0007290A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</w:pPr>
      <w:r>
        <w:tab/>
        <w:t>INF.11 (МСАГВ)</w:t>
      </w:r>
    </w:p>
    <w:p w14:paraId="600827A1" w14:textId="77777777" w:rsidR="007E05B4" w:rsidRDefault="007E05B4" w:rsidP="0007290A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</w:pPr>
      <w:r>
        <w:tab/>
        <w:t>INF.17 (Швейцария)</w:t>
      </w:r>
    </w:p>
    <w:p w14:paraId="33E53045" w14:textId="77777777" w:rsidR="007E05B4" w:rsidRDefault="007E05B4" w:rsidP="0007290A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</w:pPr>
      <w:r>
        <w:tab/>
        <w:t>INF.23 (Соединенное Королевство)</w:t>
      </w:r>
    </w:p>
    <w:p w14:paraId="7A79864D" w14:textId="77777777" w:rsidR="007E05B4" w:rsidRDefault="007E05B4" w:rsidP="0007290A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</w:pPr>
      <w:r>
        <w:tab/>
        <w:t>INF.27 (Германия)</w:t>
      </w:r>
    </w:p>
    <w:p w14:paraId="232243DE" w14:textId="77777777" w:rsidR="007E05B4" w:rsidRDefault="007E05B4" w:rsidP="0007290A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</w:pPr>
      <w:r>
        <w:tab/>
        <w:t>INF.32 (Председатель Специальной рабочей группы)</w:t>
      </w:r>
    </w:p>
    <w:p w14:paraId="749253EB" w14:textId="77777777" w:rsidR="007E05B4" w:rsidRPr="00F96DC7" w:rsidRDefault="007E05B4" w:rsidP="0007290A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</w:pPr>
      <w:r>
        <w:tab/>
        <w:t>INF.41 (Соединенное Королевство)</w:t>
      </w:r>
    </w:p>
    <w:p w14:paraId="2CAA4806" w14:textId="6F3C00A4" w:rsidR="007E05B4" w:rsidRPr="0007290A" w:rsidRDefault="0007290A" w:rsidP="0007290A">
      <w:pPr>
        <w:pStyle w:val="H23G"/>
        <w:rPr>
          <w:spacing w:val="-2"/>
          <w:sz w:val="22"/>
          <w:szCs w:val="22"/>
        </w:rPr>
      </w:pPr>
      <w:r>
        <w:tab/>
      </w:r>
      <w:r>
        <w:tab/>
      </w:r>
      <w:r w:rsidR="007E05B4">
        <w:t>Пункт 1:</w:t>
      </w:r>
      <w:r w:rsidR="007E05B4">
        <w:tab/>
      </w:r>
      <w:r w:rsidR="007E05B4" w:rsidRPr="0007290A">
        <w:rPr>
          <w:spacing w:val="-2"/>
        </w:rPr>
        <w:t>Неофициальная рабочая группа по проверке и утверждению цистерн</w:t>
      </w:r>
    </w:p>
    <w:p w14:paraId="1B99C627" w14:textId="4539812A" w:rsidR="007E05B4" w:rsidRPr="00F96DC7" w:rsidRDefault="007E05B4" w:rsidP="0007290A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spacing w:after="0"/>
        <w:ind w:left="3686" w:hanging="2552"/>
        <w:jc w:val="left"/>
        <w:rPr>
          <w:bCs/>
        </w:rPr>
      </w:pPr>
      <w:r>
        <w:rPr>
          <w:i/>
          <w:iCs/>
        </w:rPr>
        <w:t>Документы:</w:t>
      </w:r>
      <w:r>
        <w:tab/>
        <w:t xml:space="preserve">ECE/TRANS/WP.15/AC.1/2021/23/Rev.1 </w:t>
      </w:r>
      <w:r w:rsidR="00AA56C4">
        <w:br/>
      </w:r>
      <w:r>
        <w:t>(Соединенное Королевство)</w:t>
      </w:r>
    </w:p>
    <w:p w14:paraId="755393F1" w14:textId="2BDE5F72" w:rsidR="007E05B4" w:rsidRPr="007E05B4" w:rsidRDefault="0007290A" w:rsidP="0007290A">
      <w:pPr>
        <w:pStyle w:val="SingleTxtG"/>
        <w:tabs>
          <w:tab w:val="clear" w:pos="1701"/>
          <w:tab w:val="clear" w:pos="2268"/>
          <w:tab w:val="clear" w:pos="2835"/>
          <w:tab w:val="left" w:pos="3686"/>
        </w:tabs>
        <w:rPr>
          <w:bCs/>
          <w:lang w:val="en-US"/>
        </w:rPr>
      </w:pPr>
      <w:r>
        <w:rPr>
          <w:lang w:val="en-US"/>
        </w:rPr>
        <w:tab/>
      </w:r>
      <w:r w:rsidR="007E05B4" w:rsidRPr="00F96DC7">
        <w:rPr>
          <w:lang w:val="en-US"/>
        </w:rPr>
        <w:t>ECE/TRANS/WP.15/AC.1/2021/34 (</w:t>
      </w:r>
      <w:r w:rsidR="007E05B4">
        <w:t>Швейцария</w:t>
      </w:r>
      <w:r w:rsidR="007E05B4" w:rsidRPr="00F96DC7">
        <w:rPr>
          <w:lang w:val="en-US"/>
        </w:rPr>
        <w:t>)</w:t>
      </w:r>
    </w:p>
    <w:p w14:paraId="225F7339" w14:textId="5C8714E5" w:rsidR="007E05B4" w:rsidRPr="00F96DC7" w:rsidRDefault="007E05B4" w:rsidP="00AA56C4">
      <w:pPr>
        <w:pStyle w:val="SingleTxtG"/>
        <w:tabs>
          <w:tab w:val="clear" w:pos="1701"/>
          <w:tab w:val="clear" w:pos="2268"/>
          <w:tab w:val="left" w:pos="3686"/>
        </w:tabs>
        <w:ind w:left="3686" w:hanging="2552"/>
        <w:jc w:val="left"/>
        <w:rPr>
          <w:bCs/>
        </w:rPr>
      </w:pPr>
      <w:r>
        <w:rPr>
          <w:i/>
          <w:iCs/>
        </w:rPr>
        <w:t>Неофициальные документы:</w:t>
      </w:r>
      <w:r>
        <w:tab/>
        <w:t xml:space="preserve">INF.28 (Германия), INF.35 (Франция), </w:t>
      </w:r>
      <w:r w:rsidR="0007290A">
        <w:br/>
      </w:r>
      <w:r>
        <w:t>INF.38 (Швейцария), INF.40 (Соединенное Королевство), INF.42 (Соединенное Королевство) и INF.43 (Франция)</w:t>
      </w:r>
    </w:p>
    <w:p w14:paraId="42D4101F" w14:textId="3118702D" w:rsidR="007E05B4" w:rsidRPr="00F96DC7" w:rsidRDefault="007E05B4" w:rsidP="007E05B4">
      <w:pPr>
        <w:pStyle w:val="SingleTxtG"/>
      </w:pPr>
      <w:r>
        <w:t>4.</w:t>
      </w:r>
      <w:r>
        <w:tab/>
        <w:t>В ходе общего обсуждения и последующих дискуссий по предложениям и вопросам, содержащимся в неофициальном документе INF.38, стало ясно (за</w:t>
      </w:r>
      <w:r w:rsidR="00AA56C4">
        <w:rPr>
          <w:lang w:val="en-US"/>
        </w:rPr>
        <w:t> </w:t>
      </w:r>
      <w:r>
        <w:t>исключением некоторых текстов, приведенных в квадратных скобках), что трудно будет принять отдельные разделы предложений, сформулированных в документе ECE/TRANS/WP.15/AC.1/2021/23/Rev.1, поскольку они тесно взаимосвязаны.</w:t>
      </w:r>
    </w:p>
    <w:p w14:paraId="5C7B5ADD" w14:textId="77777777" w:rsidR="007E05B4" w:rsidRPr="00087421" w:rsidRDefault="007E05B4" w:rsidP="007E05B4">
      <w:pPr>
        <w:pStyle w:val="SingleTxtG"/>
      </w:pPr>
      <w:r>
        <w:t>5.</w:t>
      </w:r>
      <w:r>
        <w:tab/>
        <w:t>Можно сделать вывод, что трудности при принятии предложений будут обусловлены различными аспектами, включая взаимное признание работы, проделанной проверяющими органами, различия между МПОГ и ДОПОГ, а также неопределенности и последствия введения новой системы. Для понимания новой системы полезен пояснительный документ ECE/TRANS/WP.15/AC.1/2021/34. Цель по-прежнему заключается в создании надежной системы взаимного признания проверяющих органов.</w:t>
      </w:r>
    </w:p>
    <w:p w14:paraId="0359B5D1" w14:textId="77777777" w:rsidR="007E05B4" w:rsidRPr="00F96DC7" w:rsidRDefault="007E05B4" w:rsidP="007E05B4">
      <w:pPr>
        <w:pStyle w:val="SingleTxtG"/>
      </w:pPr>
      <w:r>
        <w:t>6.</w:t>
      </w:r>
      <w:r>
        <w:tab/>
        <w:t xml:space="preserve">Была выражена обеспокоенность по поводу справедливого введения системы, поскольку было отмечено, что договаривающиеся стороны находятся на разных этапах аккредитации проверяющих органов и экспертов. Это различие в этапах приведет к тому, что одни страны получат выгоду сразу же, а другим предстоит еще долгий путь. Для обеспечения справедливого введения новой системы было предложено рассмотреть вопрос об уточнении (переходных) мер, чтобы обеспечить поэтапное </w:t>
      </w:r>
      <w:r>
        <w:lastRenderedPageBreak/>
        <w:t>выполнение новых задач, признавая при этом, что пункт 1.8.6.2.4.3 может быть применен.</w:t>
      </w:r>
    </w:p>
    <w:p w14:paraId="23A0CB20" w14:textId="4608248A" w:rsidR="007E05B4" w:rsidRPr="00F96DC7" w:rsidRDefault="007E05B4" w:rsidP="007E05B4">
      <w:pPr>
        <w:pStyle w:val="SingleTxtG"/>
      </w:pPr>
      <w:r>
        <w:t>7.</w:t>
      </w:r>
      <w:r>
        <w:tab/>
        <w:t>Исправления, изложенные в неофициальном документе INF.40, были приняты, за исключением исправления, касающегося пункта 1.8.7.1.5. После обсуждения неофициального документа INF.42 было решено оставить формулировку в пунктах</w:t>
      </w:r>
      <w:r w:rsidR="00AA56C4">
        <w:rPr>
          <w:lang w:val="en-US"/>
        </w:rPr>
        <w:t> </w:t>
      </w:r>
      <w:r>
        <w:t>6.8.1.5.3 b) и 6.8.1.5.4 b), касающуюся внутренних инспекционных служб, в</w:t>
      </w:r>
      <w:r w:rsidR="00AA56C4">
        <w:rPr>
          <w:lang w:val="en-US"/>
        </w:rPr>
        <w:t> </w:t>
      </w:r>
      <w:r>
        <w:t>квадратных скобках до дальнейшего обсуждения.</w:t>
      </w:r>
    </w:p>
    <w:p w14:paraId="6A9D46F1" w14:textId="77777777" w:rsidR="007E05B4" w:rsidRPr="00F96DC7" w:rsidRDefault="007E05B4" w:rsidP="007E05B4">
      <w:pPr>
        <w:pStyle w:val="SingleTxtG"/>
      </w:pPr>
      <w:r>
        <w:t>8.</w:t>
      </w:r>
      <w:r>
        <w:tab/>
        <w:t>На основе обсуждения неофициальных документов были предложены следующие поправки к текстам, приведенным в документе ECE/TRANS/WP.15/AC.1/2021/23/Rev.1 (новый текст подчеркнут, исключенный текст зачеркнут):</w:t>
      </w:r>
    </w:p>
    <w:p w14:paraId="2EB76DDC" w14:textId="4AFDD5A8" w:rsidR="007E05B4" w:rsidRPr="00F96DC7" w:rsidRDefault="007E05B4" w:rsidP="00C73EC0">
      <w:pPr>
        <w:pStyle w:val="SingleTxtG"/>
      </w:pPr>
      <w:r>
        <w:t xml:space="preserve">Предложение 1 </w:t>
      </w:r>
      <w:r w:rsidR="00AA56C4" w:rsidRPr="00AA56C4">
        <w:t>—</w:t>
      </w:r>
      <w:r>
        <w:t xml:space="preserve"> (INF.28</w:t>
      </w:r>
      <w:proofErr w:type="gramStart"/>
      <w:r>
        <w:t>)</w:t>
      </w:r>
      <w:proofErr w:type="gramEnd"/>
      <w:r>
        <w:t xml:space="preserve"> Заменить примечание к пункту 1.8.6.3.3 следующим текстом:</w:t>
      </w:r>
    </w:p>
    <w:p w14:paraId="4DFE5063" w14:textId="4DFCD85E" w:rsidR="007E05B4" w:rsidRPr="00F96DC7" w:rsidRDefault="007E05B4" w:rsidP="007E05B4">
      <w:pPr>
        <w:spacing w:before="120" w:after="120"/>
        <w:ind w:left="1701" w:right="1134"/>
        <w:jc w:val="both"/>
        <w:rPr>
          <w:rFonts w:asciiTheme="majorBidi" w:hAnsiTheme="majorBidi" w:cstheme="majorBidi"/>
          <w:bCs/>
        </w:rPr>
      </w:pPr>
      <w:r>
        <w:t>«</w:t>
      </w:r>
      <w:r>
        <w:rPr>
          <w:i/>
          <w:iCs/>
          <w:u w:val="single"/>
        </w:rPr>
        <w:t>ПРИМЕЧАНИЕ:</w:t>
      </w:r>
      <w:r w:rsidRPr="007430F3">
        <w:rPr>
          <w:u w:val="single"/>
        </w:rPr>
        <w:tab/>
      </w:r>
      <w:r>
        <w:rPr>
          <w:i/>
          <w:iCs/>
          <w:u w:val="single"/>
        </w:rPr>
        <w:t>Нижеследующие положения применяются только в отношении</w:t>
      </w:r>
      <w:r w:rsidRPr="00CA1DD9">
        <w:rPr>
          <w:i/>
          <w:iCs/>
          <w:u w:val="single"/>
        </w:rPr>
        <w:t xml:space="preserve"> проверяющих органов ти</w:t>
      </w:r>
      <w:r>
        <w:rPr>
          <w:i/>
          <w:iCs/>
          <w:u w:val="single"/>
        </w:rPr>
        <w:t>па А.</w:t>
      </w:r>
      <w:r>
        <w:t xml:space="preserve"> </w:t>
      </w:r>
      <w:r>
        <w:rPr>
          <w:i/>
          <w:iCs/>
          <w:u w:val="single"/>
        </w:rPr>
        <w:t>Проверяющим органам типа В не разрешается передавать виды деятельности, для которых они были утверждены</w:t>
      </w:r>
      <w:r w:rsidRPr="008501CA">
        <w:rPr>
          <w:i/>
          <w:iCs/>
          <w:u w:val="single"/>
        </w:rPr>
        <w:t>.</w:t>
      </w:r>
      <w:r w:rsidRPr="008501CA">
        <w:rPr>
          <w:u w:val="single"/>
        </w:rPr>
        <w:t xml:space="preserve"> </w:t>
      </w:r>
      <w:r w:rsidRPr="008501CA">
        <w:rPr>
          <w:i/>
          <w:iCs/>
          <w:u w:val="single"/>
        </w:rPr>
        <w:t>В отношении внутренних инспекционных служб см. пункт</w:t>
      </w:r>
      <w:r w:rsidR="00AA56C4">
        <w:rPr>
          <w:i/>
          <w:iCs/>
          <w:u w:val="single"/>
          <w:lang w:val="en-US"/>
        </w:rPr>
        <w:t> </w:t>
      </w:r>
      <w:r w:rsidRPr="008501CA">
        <w:rPr>
          <w:i/>
          <w:iCs/>
          <w:u w:val="single"/>
        </w:rPr>
        <w:t>1.8.7.7.2.</w:t>
      </w:r>
      <w:r>
        <w:t>».</w:t>
      </w:r>
    </w:p>
    <w:p w14:paraId="305EBA09" w14:textId="019010CE" w:rsidR="007E05B4" w:rsidRPr="00F96DC7" w:rsidRDefault="007E05B4" w:rsidP="00C73EC0">
      <w:pPr>
        <w:pStyle w:val="SingleTxtG"/>
      </w:pPr>
      <w:r>
        <w:t xml:space="preserve">Предложение 2 </w:t>
      </w:r>
      <w:r w:rsidR="00AA56C4" w:rsidRPr="00AA56C4">
        <w:t>—</w:t>
      </w:r>
      <w:r>
        <w:t xml:space="preserve"> (INF.28</w:t>
      </w:r>
      <w:proofErr w:type="gramStart"/>
      <w:r>
        <w:t>)</w:t>
      </w:r>
      <w:proofErr w:type="gramEnd"/>
      <w:r>
        <w:t xml:space="preserve"> Изменить последний абзац пункта 1.8.7.7.2 следующим образом:</w:t>
      </w:r>
    </w:p>
    <w:p w14:paraId="3D13BD77" w14:textId="77777777" w:rsidR="007E05B4" w:rsidRPr="00F96DC7" w:rsidRDefault="007E05B4" w:rsidP="007E05B4">
      <w:pPr>
        <w:tabs>
          <w:tab w:val="left" w:pos="708"/>
        </w:tabs>
        <w:snapToGrid w:val="0"/>
        <w:spacing w:before="120" w:after="120"/>
        <w:ind w:left="1701" w:right="1134"/>
        <w:jc w:val="both"/>
        <w:rPr>
          <w:rFonts w:asciiTheme="majorBidi" w:hAnsiTheme="majorBidi" w:cstheme="majorBidi"/>
          <w:bCs/>
          <w:i/>
          <w:iCs/>
        </w:rPr>
      </w:pPr>
      <w:r>
        <w:t>«</w:t>
      </w:r>
      <w:r>
        <w:rPr>
          <w:i/>
          <w:iCs/>
        </w:rPr>
        <w:t xml:space="preserve">Внутренняя инспекционная служба </w:t>
      </w:r>
      <w:r>
        <w:rPr>
          <w:i/>
          <w:iCs/>
          <w:u w:val="single"/>
        </w:rPr>
        <w:t>может, только в особых случаях, передавать на субподряд определенные части своей деятельности, если это одобрено уполномочившим ее проверяющим органом.</w:t>
      </w:r>
      <w:r w:rsidRPr="00C73EC0">
        <w:rPr>
          <w:u w:val="single"/>
        </w:rPr>
        <w:t xml:space="preserve"> </w:t>
      </w:r>
      <w:r>
        <w:rPr>
          <w:i/>
          <w:iCs/>
          <w:u w:val="single"/>
        </w:rPr>
        <w:t>Субподрядчик должен быть дополнительно аккредитован в соответствии со стандартом EN ISO/IEC 17025:2017 (за исключением пункта 8.1.3) или со стандартом EN ISO/IEC 17020:2012 (за исключением пункта 8.1.3) в качестве независимой и беспристрастной испытательной лаборатории или проверяющего органа для осуществления функций по проведению испытаний в соответствии с его аккредитацией.</w:t>
      </w:r>
      <w:r>
        <w:t>».</w:t>
      </w:r>
    </w:p>
    <w:p w14:paraId="39586209" w14:textId="610C68AA" w:rsidR="007E05B4" w:rsidRPr="00F96DC7" w:rsidRDefault="007E05B4" w:rsidP="00C73EC0">
      <w:pPr>
        <w:pStyle w:val="SingleTxtG"/>
      </w:pPr>
      <w:r>
        <w:t xml:space="preserve">Предложение 3 </w:t>
      </w:r>
      <w:r w:rsidR="00C73EC0" w:rsidRPr="00C73EC0">
        <w:t>—</w:t>
      </w:r>
      <w:r>
        <w:t xml:space="preserve"> (INF.28</w:t>
      </w:r>
      <w:proofErr w:type="gramStart"/>
      <w:r>
        <w:t>)</w:t>
      </w:r>
      <w:proofErr w:type="gramEnd"/>
      <w:r>
        <w:t xml:space="preserve"> Изменить первый абзац пункта 1.8.7.1.5 следующим образом:</w:t>
      </w:r>
    </w:p>
    <w:p w14:paraId="0EB5CB04" w14:textId="77777777" w:rsidR="007E05B4" w:rsidRPr="00F96DC7" w:rsidRDefault="007E05B4" w:rsidP="007E05B4">
      <w:pPr>
        <w:pStyle w:val="Bullet1G"/>
        <w:numPr>
          <w:ilvl w:val="0"/>
          <w:numId w:val="0"/>
        </w:numPr>
        <w:snapToGrid w:val="0"/>
        <w:spacing w:before="120"/>
        <w:ind w:left="2268" w:hanging="1134"/>
        <w:rPr>
          <w:rFonts w:asciiTheme="majorBidi" w:hAnsiTheme="majorBidi" w:cstheme="majorBidi"/>
        </w:rPr>
      </w:pPr>
      <w:r>
        <w:t>«</w:t>
      </w:r>
      <w:r>
        <w:rPr>
          <w:b/>
          <w:bCs/>
        </w:rPr>
        <w:t>1.8.7.1.5</w:t>
      </w:r>
      <w:r>
        <w:tab/>
      </w:r>
      <w:r>
        <w:rPr>
          <w:i/>
          <w:iCs/>
        </w:rPr>
        <w:t xml:space="preserve">Свидетельства об официальном утверждении типа, свидетельства о проверке и отчеты о проверке изделий (сосудов под давлением, цистерн, </w:t>
      </w:r>
      <w:r>
        <w:rPr>
          <w:i/>
          <w:iCs/>
          <w:u w:val="single"/>
        </w:rPr>
        <w:t>эксплуатационного оборудования и комплекта элементов, конструктивного оборудования и эксплуатационного оборудования</w:t>
      </w:r>
      <w:r>
        <w:rPr>
          <w:i/>
          <w:iCs/>
        </w:rPr>
        <w:t xml:space="preserve"> вагонов-батарей/транспортных средств-батарей или МЭГК), включая техническую документацию, должны храниться:</w:t>
      </w:r>
      <w:r>
        <w:t>».</w:t>
      </w:r>
      <w:bookmarkStart w:id="1" w:name="_Hlk82187835"/>
      <w:bookmarkStart w:id="2" w:name="_Hlk83653881"/>
      <w:bookmarkEnd w:id="1"/>
      <w:bookmarkEnd w:id="2"/>
    </w:p>
    <w:p w14:paraId="6F3A0076" w14:textId="1CC4E44C" w:rsidR="007E05B4" w:rsidRPr="00F96DC7" w:rsidRDefault="007E05B4" w:rsidP="00C73EC0">
      <w:pPr>
        <w:pStyle w:val="SingleTxtG"/>
      </w:pPr>
      <w:r>
        <w:t xml:space="preserve">Предложение 4 </w:t>
      </w:r>
      <w:r w:rsidR="00C73EC0" w:rsidRPr="00C73EC0">
        <w:t>—</w:t>
      </w:r>
      <w:r>
        <w:t xml:space="preserve"> (INF.28</w:t>
      </w:r>
      <w:proofErr w:type="gramStart"/>
      <w:r>
        <w:t>)</w:t>
      </w:r>
      <w:proofErr w:type="gramEnd"/>
      <w:r>
        <w:t xml:space="preserve"> Изменить «Примечание 2» к разделу 1.8.7 следующим образом: </w:t>
      </w:r>
    </w:p>
    <w:p w14:paraId="1F30AEEC" w14:textId="77777777" w:rsidR="007E05B4" w:rsidRPr="00F96DC7" w:rsidRDefault="007E05B4" w:rsidP="007E05B4">
      <w:pPr>
        <w:numPr>
          <w:ilvl w:val="0"/>
          <w:numId w:val="23"/>
        </w:numPr>
        <w:tabs>
          <w:tab w:val="left" w:pos="720"/>
        </w:tabs>
        <w:snapToGrid w:val="0"/>
        <w:spacing w:before="120" w:after="120" w:line="240" w:lineRule="exact"/>
        <w:ind w:left="1701" w:right="1134" w:firstLine="0"/>
        <w:jc w:val="both"/>
        <w:outlineLvl w:val="2"/>
      </w:pPr>
      <w:r w:rsidRPr="00027EBD">
        <w:t>«</w:t>
      </w:r>
      <w:r>
        <w:rPr>
          <w:i/>
          <w:iCs/>
        </w:rPr>
        <w:t xml:space="preserve">ПРИМЕЧАНИЕ 2: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настоящем разделе “изготовитель” означает предприятие, отвечающее перед компетентным органом за все аспекты оценки соответствия и за обеспечение соответствия изготовления, название и знак которого указаны в официальных утверждениях и в маркировке.</w:t>
      </w:r>
      <w:r>
        <w:t xml:space="preserve"> </w:t>
      </w:r>
      <w:r>
        <w:rPr>
          <w:i/>
          <w:iCs/>
        </w:rPr>
        <w:t xml:space="preserve">Необязательно, чтобы это предприятие непосредственно участвовало во всех этапах изготовления </w:t>
      </w:r>
      <w:r>
        <w:rPr>
          <w:i/>
          <w:iCs/>
          <w:u w:val="single"/>
        </w:rPr>
        <w:t>изделия (см. пункт 1.8.7.1.5)</w:t>
      </w:r>
      <w:r>
        <w:rPr>
          <w:i/>
          <w:iCs/>
          <w:strike/>
        </w:rPr>
        <w:t xml:space="preserve"> цистерн, элементов вагонов-батарей/транспортных средств-батарей, МЭГК или сосудов под давлением, конструктивного или эксплуатационного оборудования</w:t>
      </w:r>
      <w:r>
        <w:rPr>
          <w:i/>
          <w:iCs/>
        </w:rPr>
        <w:t>, которое подлежит оценке соответствия.</w:t>
      </w:r>
      <w:r>
        <w:t>»</w:t>
      </w:r>
      <w:r>
        <w:rPr>
          <w:i/>
          <w:iCs/>
        </w:rPr>
        <w:t>.</w:t>
      </w:r>
    </w:p>
    <w:p w14:paraId="29B3578C" w14:textId="19446D34" w:rsidR="007E05B4" w:rsidRPr="00F96DC7" w:rsidRDefault="007E05B4" w:rsidP="00C73EC0">
      <w:pPr>
        <w:pStyle w:val="SingleTxtG"/>
      </w:pPr>
      <w:r>
        <w:t xml:space="preserve">Предложение 5 </w:t>
      </w:r>
      <w:r w:rsidR="00C73EC0" w:rsidRPr="00C73EC0">
        <w:t>—</w:t>
      </w:r>
      <w:r>
        <w:t xml:space="preserve"> (INF.28</w:t>
      </w:r>
      <w:proofErr w:type="gramStart"/>
      <w:r>
        <w:t>)</w:t>
      </w:r>
      <w:proofErr w:type="gramEnd"/>
      <w:r>
        <w:t xml:space="preserve"> Изменить второе предложение пункта 1.8.7.2.2.2 следующим образом:</w:t>
      </w:r>
    </w:p>
    <w:p w14:paraId="60325818" w14:textId="77777777" w:rsidR="007E05B4" w:rsidRPr="00F96DC7" w:rsidRDefault="007E05B4" w:rsidP="007E05B4">
      <w:pPr>
        <w:snapToGrid w:val="0"/>
        <w:spacing w:before="120" w:after="120"/>
        <w:ind w:left="1701" w:right="1134"/>
        <w:jc w:val="both"/>
        <w:rPr>
          <w:rFonts w:asciiTheme="majorBidi" w:hAnsiTheme="majorBidi" w:cstheme="majorBidi"/>
          <w:i/>
          <w:iCs/>
        </w:rPr>
      </w:pPr>
      <w:r>
        <w:t>«</w:t>
      </w:r>
      <w:r>
        <w:rPr>
          <w:i/>
          <w:iCs/>
        </w:rPr>
        <w:t>Если в течение этого срока соответствующие технические требования МПОГ/ДОПОГ</w:t>
      </w:r>
      <w:r>
        <w:rPr>
          <w:i/>
          <w:iCs/>
          <w:strike/>
        </w:rPr>
        <w:t xml:space="preserve"> (включая стандарты, на которые сделаны ссылки)</w:t>
      </w:r>
      <w:r>
        <w:rPr>
          <w:i/>
          <w:iCs/>
        </w:rPr>
        <w:t xml:space="preserve"> изменились </w:t>
      </w:r>
      <w:r>
        <w:rPr>
          <w:i/>
          <w:iCs/>
        </w:rPr>
        <w:lastRenderedPageBreak/>
        <w:t>таким образом, что официально утвержденный тип более не соответствует им, то официальное утверждение типа более не является действительным.</w:t>
      </w:r>
      <w:r>
        <w:t>».</w:t>
      </w:r>
    </w:p>
    <w:p w14:paraId="066A8071" w14:textId="2EFDB8E1" w:rsidR="007E05B4" w:rsidRPr="00F96DC7" w:rsidRDefault="007E05B4" w:rsidP="00C73EC0">
      <w:pPr>
        <w:pStyle w:val="SingleTxtG"/>
      </w:pPr>
      <w:r>
        <w:t xml:space="preserve">Предложение 6 </w:t>
      </w:r>
      <w:r w:rsidR="00C73EC0" w:rsidRPr="00C73EC0">
        <w:t>—</w:t>
      </w:r>
      <w:r>
        <w:t xml:space="preserve"> (INF.28</w:t>
      </w:r>
      <w:proofErr w:type="gramStart"/>
      <w:r>
        <w:t>)</w:t>
      </w:r>
      <w:proofErr w:type="gramEnd"/>
      <w:r>
        <w:t xml:space="preserve"> Изменить второй абзац после таблицы в подразделе</w:t>
      </w:r>
      <w:r w:rsidR="00C73EC0">
        <w:rPr>
          <w:lang w:val="en-US"/>
        </w:rPr>
        <w:t> </w:t>
      </w:r>
      <w:r>
        <w:t>6.2.2.12 следующим образом:</w:t>
      </w:r>
    </w:p>
    <w:p w14:paraId="3ECE1BDC" w14:textId="77777777" w:rsidR="007E05B4" w:rsidRPr="00F96DC7" w:rsidRDefault="007E05B4" w:rsidP="007E05B4">
      <w:pPr>
        <w:pStyle w:val="Bullet1G"/>
        <w:numPr>
          <w:ilvl w:val="0"/>
          <w:numId w:val="0"/>
        </w:numPr>
        <w:snapToGrid w:val="0"/>
        <w:spacing w:before="120"/>
        <w:ind w:left="1701"/>
        <w:rPr>
          <w:rFonts w:asciiTheme="majorBidi" w:hAnsiTheme="majorBidi" w:cstheme="majorBidi"/>
          <w:i/>
          <w:iCs/>
        </w:rPr>
      </w:pPr>
      <w:r>
        <w:t>«</w:t>
      </w:r>
      <w:r>
        <w:rPr>
          <w:i/>
          <w:iCs/>
          <w:u w:val="single"/>
        </w:rPr>
        <w:t>В отношении отдельных оценок соответствия (например, корпуса баллона и затвора) см. пункт 6.2.1.4.4.</w:t>
      </w:r>
      <w:r>
        <w:t>».</w:t>
      </w:r>
    </w:p>
    <w:p w14:paraId="040F923B" w14:textId="04BB1A59" w:rsidR="007E05B4" w:rsidRPr="00F96DC7" w:rsidRDefault="007E05B4" w:rsidP="00C73EC0">
      <w:pPr>
        <w:pStyle w:val="SingleTxtG"/>
      </w:pPr>
      <w:r>
        <w:t xml:space="preserve">Предложение 7 </w:t>
      </w:r>
      <w:r w:rsidR="00C73EC0" w:rsidRPr="00C73EC0">
        <w:t>—</w:t>
      </w:r>
      <w:r>
        <w:t xml:space="preserve"> (INF.28</w:t>
      </w:r>
      <w:proofErr w:type="gramStart"/>
      <w:r>
        <w:t>)</w:t>
      </w:r>
      <w:proofErr w:type="gramEnd"/>
      <w:r>
        <w:t xml:space="preserve"> Изменить второй абзац после таблицы в пункте 6.2.3.6.1 следующим образом:</w:t>
      </w:r>
    </w:p>
    <w:p w14:paraId="64698399" w14:textId="77777777" w:rsidR="007E05B4" w:rsidRPr="00F96DC7" w:rsidRDefault="007E05B4" w:rsidP="007E05B4">
      <w:pPr>
        <w:pStyle w:val="Bullet1G"/>
        <w:numPr>
          <w:ilvl w:val="0"/>
          <w:numId w:val="0"/>
        </w:numPr>
        <w:snapToGrid w:val="0"/>
        <w:spacing w:before="120"/>
        <w:ind w:left="1701"/>
        <w:rPr>
          <w:rFonts w:asciiTheme="majorBidi" w:hAnsiTheme="majorBidi" w:cstheme="majorBidi"/>
          <w:i/>
          <w:iCs/>
          <w:u w:val="single"/>
        </w:rPr>
      </w:pPr>
      <w:r>
        <w:t>«</w:t>
      </w:r>
      <w:r>
        <w:rPr>
          <w:i/>
          <w:iCs/>
          <w:u w:val="single"/>
        </w:rPr>
        <w:t>В отношении отдельных оценок соответствия (например, корпуса баллона и затвора) см. пункт 6.2.1.4.4.</w:t>
      </w:r>
      <w:r w:rsidRPr="00110FB6">
        <w:rPr>
          <w:u w:val="single"/>
        </w:rPr>
        <w:t xml:space="preserve"> </w:t>
      </w:r>
      <w:r>
        <w:rPr>
          <w:i/>
          <w:iCs/>
          <w:u w:val="single"/>
        </w:rPr>
        <w:t>Для сосудов под давлением одноразового использования отдельные свидетельства об официальном утверждении типа в отношении корпуса или затвора не выдаются.</w:t>
      </w:r>
      <w:r>
        <w:t>».</w:t>
      </w:r>
      <w:bookmarkStart w:id="3" w:name="_Hlk83857280"/>
      <w:bookmarkEnd w:id="3"/>
    </w:p>
    <w:p w14:paraId="3EEA7E31" w14:textId="269E3735" w:rsidR="007E05B4" w:rsidRPr="00F96DC7" w:rsidRDefault="007E05B4" w:rsidP="00C73EC0">
      <w:pPr>
        <w:pStyle w:val="SingleTxtG"/>
      </w:pPr>
      <w:r>
        <w:t xml:space="preserve">Предложение 8 </w:t>
      </w:r>
      <w:r w:rsidR="00C73EC0" w:rsidRPr="00C73EC0">
        <w:t>—</w:t>
      </w:r>
      <w:r>
        <w:t xml:space="preserve"> (INF.28</w:t>
      </w:r>
      <w:proofErr w:type="gramStart"/>
      <w:r>
        <w:t>)</w:t>
      </w:r>
      <w:proofErr w:type="gramEnd"/>
      <w:r>
        <w:t xml:space="preserve"> Изменить пятый абзац пункта 6.8.2.3.2 следующим образом:</w:t>
      </w:r>
    </w:p>
    <w:p w14:paraId="44F7F012" w14:textId="77777777" w:rsidR="007E05B4" w:rsidRPr="00F96DC7" w:rsidRDefault="007E05B4" w:rsidP="007E05B4">
      <w:pPr>
        <w:pStyle w:val="Bullet1G"/>
        <w:numPr>
          <w:ilvl w:val="0"/>
          <w:numId w:val="0"/>
        </w:numPr>
        <w:snapToGrid w:val="0"/>
        <w:spacing w:before="120"/>
        <w:ind w:left="1701"/>
        <w:rPr>
          <w:rFonts w:asciiTheme="majorBidi" w:hAnsiTheme="majorBidi" w:cstheme="majorBidi"/>
          <w:i/>
          <w:iCs/>
        </w:rPr>
      </w:pPr>
      <w:r>
        <w:t>«</w:t>
      </w:r>
      <w:r>
        <w:rPr>
          <w:i/>
          <w:iCs/>
        </w:rPr>
        <w:t xml:space="preserve">Если изготовитель эксплуатационного оборудования осуществил отдельную проверку типа конструкции </w:t>
      </w:r>
      <w:proofErr w:type="gramStart"/>
      <w:r>
        <w:rPr>
          <w:i/>
          <w:iCs/>
        </w:rPr>
        <w:t>и</w:t>
      </w:r>
      <w:proofErr w:type="gramEnd"/>
      <w:r>
        <w:rPr>
          <w:i/>
          <w:iCs/>
        </w:rPr>
        <w:t xml:space="preserve"> если </w:t>
      </w:r>
      <w:r>
        <w:rPr>
          <w:i/>
          <w:iCs/>
          <w:strike/>
        </w:rPr>
        <w:t xml:space="preserve">он </w:t>
      </w:r>
      <w:r>
        <w:rPr>
          <w:i/>
          <w:iCs/>
          <w:u w:val="single"/>
        </w:rPr>
        <w:t xml:space="preserve">изготовитель </w:t>
      </w:r>
      <w:r>
        <w:rPr>
          <w:i/>
          <w:iCs/>
        </w:rPr>
        <w:t>просит об этом, компетентный орган выдает свидетельство, удостоверяющее, что проверенный тип конструкции соответствует стандарту, указанному в таблице в пункте 6.8.2.6.1 или подразделе 6.8.3.6.</w:t>
      </w:r>
      <w:r>
        <w:t>».</w:t>
      </w:r>
    </w:p>
    <w:p w14:paraId="76C1CD4F" w14:textId="13D6B853" w:rsidR="007E05B4" w:rsidRPr="00F96DC7" w:rsidRDefault="007E05B4" w:rsidP="00C73EC0">
      <w:pPr>
        <w:pStyle w:val="SingleTxtG"/>
      </w:pPr>
      <w:r>
        <w:t xml:space="preserve">Предложение 9 </w:t>
      </w:r>
      <w:r w:rsidR="00C73EC0" w:rsidRPr="00C73EC0">
        <w:t>—</w:t>
      </w:r>
      <w:r>
        <w:t xml:space="preserve"> (INF.35</w:t>
      </w:r>
      <w:proofErr w:type="gramStart"/>
      <w:r>
        <w:t>)</w:t>
      </w:r>
      <w:proofErr w:type="gramEnd"/>
      <w:r>
        <w:t xml:space="preserve"> Исключить примечание после пункта 6.8.1.5.5 и добавить после первого абзаца подраздела 6.8.1.5 новое примечание следующего содержания:</w:t>
      </w:r>
    </w:p>
    <w:p w14:paraId="03EE49B0" w14:textId="77777777" w:rsidR="007E05B4" w:rsidRPr="00F96DC7" w:rsidRDefault="007E05B4" w:rsidP="007E05B4">
      <w:pPr>
        <w:pStyle w:val="SingleTxtG"/>
        <w:snapToGrid w:val="0"/>
        <w:spacing w:before="120"/>
        <w:ind w:left="1701"/>
        <w:rPr>
          <w:noProof/>
        </w:rPr>
      </w:pPr>
      <w:r>
        <w:t>«</w:t>
      </w:r>
      <w:r>
        <w:rPr>
          <w:i/>
          <w:iCs/>
          <w:u w:val="single"/>
        </w:rPr>
        <w:t>ПРИМЕЧАНИЕ: Эти положения применяются при условии соблюдения проверяющими органами положений раздела 1.8.6 и без ущерба для прав и обязанностей, в частности в отношении уведомления и признания, закрепленных за ними соглашениями или правовыми актами (например, Директивой 2010/35/EU), имеющими в других отношениях обязательную силу для Договаривающихся государств МПОГ/Договаривающихся сторон ДОПОГ.</w:t>
      </w:r>
      <w:r>
        <w:t>».</w:t>
      </w:r>
    </w:p>
    <w:p w14:paraId="678D8D52" w14:textId="770E4FF8" w:rsidR="007E05B4" w:rsidRPr="00F96DC7" w:rsidRDefault="007E05B4" w:rsidP="00C73EC0">
      <w:pPr>
        <w:pStyle w:val="SingleTxtG"/>
      </w:pPr>
      <w:r>
        <w:t xml:space="preserve">Предложение 10 </w:t>
      </w:r>
      <w:r w:rsidR="00C73EC0" w:rsidRPr="00C73EC0">
        <w:t>—</w:t>
      </w:r>
      <w:r>
        <w:t xml:space="preserve"> (INF.35</w:t>
      </w:r>
      <w:proofErr w:type="gramStart"/>
      <w:r>
        <w:t>)</w:t>
      </w:r>
      <w:proofErr w:type="gramEnd"/>
      <w:r>
        <w:t xml:space="preserve"> Изменить пункт 1.8.6.2.2.2 следующим образом:</w:t>
      </w:r>
    </w:p>
    <w:p w14:paraId="3C737F52" w14:textId="77777777" w:rsidR="007E05B4" w:rsidRPr="00F96DC7" w:rsidRDefault="007E05B4" w:rsidP="007E05B4">
      <w:pPr>
        <w:pStyle w:val="SingleTxtG"/>
        <w:snapToGrid w:val="0"/>
        <w:spacing w:before="120"/>
        <w:ind w:left="1701"/>
        <w:rPr>
          <w:i/>
          <w:iCs/>
        </w:rPr>
      </w:pPr>
      <w:r>
        <w:t>«</w:t>
      </w:r>
      <w:r>
        <w:rPr>
          <w:i/>
          <w:iCs/>
        </w:rPr>
        <w:t>Компетентный орган должен удостовериться в том, что проверяющий орган постоянно удовлетворяет условиям, необходимым для его утверждения, и должен отменить его, если эти условия не удовлетворяются.</w:t>
      </w:r>
      <w:r>
        <w:t xml:space="preserve"> </w:t>
      </w:r>
      <w:r>
        <w:rPr>
          <w:i/>
          <w:iCs/>
        </w:rPr>
        <w:t>Однако в случае приостановления аккредитации действие утверждения приостанавливается только на период такого приостановления аккредитации.</w:t>
      </w:r>
      <w:r>
        <w:t>».</w:t>
      </w:r>
    </w:p>
    <w:p w14:paraId="35E84248" w14:textId="79D80C86" w:rsidR="007E05B4" w:rsidRPr="007C4C6F" w:rsidRDefault="007E05B4" w:rsidP="00C73EC0">
      <w:pPr>
        <w:pStyle w:val="SingleTxtG"/>
        <w:rPr>
          <w:i/>
          <w:iCs/>
        </w:rPr>
      </w:pPr>
      <w:r>
        <w:t xml:space="preserve">Предложение 11 </w:t>
      </w:r>
      <w:r w:rsidR="00C73EC0" w:rsidRPr="00C73EC0">
        <w:t>—</w:t>
      </w:r>
      <w:r>
        <w:t xml:space="preserve"> (INF.38) В пунктах 1.6.3.x и 1.6.4.x изменить последнюю ссылку на главу 6.8: вместо «</w:t>
      </w:r>
      <w:r>
        <w:rPr>
          <w:i/>
          <w:iCs/>
        </w:rPr>
        <w:t>главы 6.8</w:t>
      </w:r>
      <w:r>
        <w:t>» читать «</w:t>
      </w:r>
      <w:r>
        <w:rPr>
          <w:i/>
          <w:iCs/>
        </w:rPr>
        <w:t>раздела 1.8.6</w:t>
      </w:r>
      <w:r>
        <w:t>».</w:t>
      </w:r>
    </w:p>
    <w:p w14:paraId="2A43A7AA" w14:textId="40121785" w:rsidR="007E05B4" w:rsidRPr="00F96DC7" w:rsidRDefault="007E05B4" w:rsidP="00024EF4">
      <w:pPr>
        <w:pStyle w:val="SingleTxtG"/>
        <w:rPr>
          <w:b/>
        </w:rPr>
      </w:pPr>
      <w:r>
        <w:t xml:space="preserve">Предложение 12 </w:t>
      </w:r>
      <w:r w:rsidR="00024EF4" w:rsidRPr="00024EF4">
        <w:t>—</w:t>
      </w:r>
      <w:r>
        <w:t xml:space="preserve"> (INF.38</w:t>
      </w:r>
      <w:proofErr w:type="gramStart"/>
      <w:r>
        <w:t>)</w:t>
      </w:r>
      <w:proofErr w:type="gramEnd"/>
      <w:r>
        <w:t xml:space="preserve"> Изменить второй абзац пункта 1.8.6.2.4.3 следующим образом:</w:t>
      </w:r>
    </w:p>
    <w:p w14:paraId="0083E0A1" w14:textId="2755F622" w:rsidR="007E05B4" w:rsidRPr="00F96DC7" w:rsidRDefault="007E05B4" w:rsidP="007E05B4">
      <w:pPr>
        <w:snapToGrid w:val="0"/>
        <w:spacing w:before="120" w:after="120"/>
        <w:ind w:left="1701" w:right="1134"/>
        <w:jc w:val="both"/>
        <w:rPr>
          <w:i/>
          <w:iCs/>
        </w:rPr>
      </w:pPr>
      <w:r>
        <w:t>«</w:t>
      </w:r>
      <w:r>
        <w:rPr>
          <w:i/>
          <w:iCs/>
        </w:rPr>
        <w:t>Если компетентный орган намерен воспользоваться услугами проверяющего органа, уже утвержденного другим компетентным органом, для осуществления деятельности, связанной с оценкой соответствия и проверками от его имени, то данный компетентный орган должен включить этот проверяющий орган, сферу деятельности, для которой он признан, и</w:t>
      </w:r>
      <w:r w:rsidR="00024EF4">
        <w:rPr>
          <w:i/>
          <w:iCs/>
          <w:lang w:val="en-US"/>
        </w:rPr>
        <w:t> </w:t>
      </w:r>
      <w:r>
        <w:rPr>
          <w:i/>
          <w:iCs/>
        </w:rPr>
        <w:t>компетентный орган, утвердивший проверяющий орган, в перечень, упомянутый в пункте 1.8.6.2.4.2, и проинформировать об этом секретариат ОТИФ/ЕЭК ООН.</w:t>
      </w:r>
      <w:r>
        <w:t xml:space="preserve"> </w:t>
      </w:r>
      <w:r>
        <w:rPr>
          <w:i/>
          <w:iCs/>
        </w:rPr>
        <w:t>В случае отзыва или приостановления действия утверждения признание более не является действительным.</w:t>
      </w:r>
      <w:r>
        <w:t>».</w:t>
      </w:r>
    </w:p>
    <w:p w14:paraId="5E4D38FC" w14:textId="034BCB34" w:rsidR="007E05B4" w:rsidRPr="00F96DC7" w:rsidRDefault="007E05B4" w:rsidP="00024EF4">
      <w:pPr>
        <w:pStyle w:val="SingleTxtG"/>
        <w:keepNext/>
        <w:keepLines/>
      </w:pPr>
      <w:r>
        <w:lastRenderedPageBreak/>
        <w:t xml:space="preserve">Предложение 13 </w:t>
      </w:r>
      <w:r w:rsidR="00024EF4" w:rsidRPr="00024EF4">
        <w:t>—</w:t>
      </w:r>
      <w:r>
        <w:t xml:space="preserve"> (INF.43) В пункте 6.8.1.5.6 добавить в левую колонку только для ДОПОГ новый абзац следующего содержания:</w:t>
      </w:r>
    </w:p>
    <w:p w14:paraId="538FF3BD" w14:textId="77777777" w:rsidR="007E05B4" w:rsidRPr="00F96DC7" w:rsidRDefault="007E05B4" w:rsidP="007E05B4">
      <w:pPr>
        <w:pStyle w:val="SingleTxtG"/>
        <w:keepNext/>
        <w:keepLines/>
        <w:snapToGrid w:val="0"/>
        <w:spacing w:before="120"/>
        <w:ind w:left="1701"/>
        <w:rPr>
          <w:bCs/>
          <w:i/>
          <w:iCs/>
        </w:rPr>
      </w:pPr>
      <w:r>
        <w:t>«</w:t>
      </w:r>
      <w:r>
        <w:rPr>
          <w:i/>
          <w:iCs/>
          <w:u w:val="single"/>
        </w:rPr>
        <w:t>Внеплановые проверки в качестве альтернативы могут проводиться в стране изготовления проверяющим органом, утвержденным или признанным компетентным органом страны изготовления или страны регистрации.</w:t>
      </w:r>
      <w:r>
        <w:t>».</w:t>
      </w:r>
    </w:p>
    <w:p w14:paraId="548676F2" w14:textId="77777777" w:rsidR="007E05B4" w:rsidRPr="00087421" w:rsidRDefault="007E05B4" w:rsidP="00024EF4">
      <w:pPr>
        <w:pStyle w:val="H23G"/>
        <w:rPr>
          <w:b w:val="0"/>
          <w:sz w:val="22"/>
          <w:szCs w:val="22"/>
        </w:rPr>
      </w:pPr>
      <w:r>
        <w:tab/>
      </w:r>
      <w:r>
        <w:tab/>
        <w:t>Пункт 2:</w:t>
      </w:r>
      <w:r>
        <w:tab/>
        <w:t>Доклад Специальной рабочей группы по согласованию МПОГ/ДОПОГ/ВОПОГ с Рекомендациями Организации Объединенных Наций по перевозке опасных грузов</w:t>
      </w:r>
      <w:bookmarkStart w:id="4" w:name="_Hlk50936435"/>
      <w:bookmarkEnd w:id="4"/>
    </w:p>
    <w:p w14:paraId="458E0139" w14:textId="77777777" w:rsidR="007E05B4" w:rsidRPr="00F96DC7" w:rsidRDefault="007E05B4" w:rsidP="00024EF4">
      <w:pPr>
        <w:tabs>
          <w:tab w:val="left" w:pos="2977"/>
        </w:tabs>
        <w:snapToGrid w:val="0"/>
        <w:spacing w:before="120" w:after="120"/>
        <w:ind w:left="1134"/>
        <w:rPr>
          <w:bCs/>
        </w:rPr>
      </w:pPr>
      <w:r>
        <w:rPr>
          <w:i/>
          <w:iCs/>
        </w:rPr>
        <w:t>Документ:</w:t>
      </w:r>
      <w:r>
        <w:tab/>
        <w:t>ECE/TRANS/WP.15/AC.1/2021/24/Add.1 (секретариат)</w:t>
      </w:r>
    </w:p>
    <w:p w14:paraId="73D1C357" w14:textId="77777777" w:rsidR="007E05B4" w:rsidRPr="00F96DC7" w:rsidRDefault="007E05B4" w:rsidP="00024EF4">
      <w:pPr>
        <w:pStyle w:val="SingleTxtG"/>
        <w:rPr>
          <w:bCs/>
          <w:u w:val="single"/>
        </w:rPr>
      </w:pPr>
      <w:r>
        <w:t>9.</w:t>
      </w:r>
      <w:r>
        <w:tab/>
        <w:t>Рабочей группе по цистернам было предложено проверить правильность кода цистерны и специальных положений для новой позиции «№ ООН 3550 КОБАЛЬТА ДИГИДРОКСИДА ПОРОШОК». На основе рационализированного подхода главы 4.3 и сравнения с другими аналогичными веществами подтверждается, что указанные коды цистерн и специальные положения по цистернам являются правильными.</w:t>
      </w:r>
    </w:p>
    <w:p w14:paraId="513FE66D" w14:textId="0EDBCF80" w:rsidR="007E05B4" w:rsidRPr="00F96DC7" w:rsidRDefault="00024EF4" w:rsidP="00024EF4">
      <w:pPr>
        <w:pStyle w:val="H23G"/>
        <w:rPr>
          <w:i/>
          <w:iCs/>
        </w:rPr>
      </w:pPr>
      <w:r>
        <w:tab/>
      </w:r>
      <w:r>
        <w:tab/>
      </w:r>
      <w:r w:rsidR="007E05B4">
        <w:t>Пункт 3:</w:t>
      </w:r>
      <w:r w:rsidR="007E05B4">
        <w:tab/>
        <w:t>Разработка требований, касающихся цистерн из армированных волокном пластмасс</w:t>
      </w:r>
    </w:p>
    <w:p w14:paraId="1B77CD53" w14:textId="77777777" w:rsidR="007E05B4" w:rsidRPr="00F96DC7" w:rsidRDefault="007E05B4" w:rsidP="00024EF4">
      <w:pPr>
        <w:tabs>
          <w:tab w:val="left" w:pos="2977"/>
        </w:tabs>
        <w:snapToGrid w:val="0"/>
        <w:spacing w:before="120" w:after="120"/>
        <w:ind w:left="1134"/>
        <w:rPr>
          <w:bCs/>
          <w:iCs/>
        </w:rPr>
      </w:pPr>
      <w:r>
        <w:rPr>
          <w:i/>
          <w:iCs/>
        </w:rPr>
        <w:t>Документ:</w:t>
      </w:r>
      <w:r>
        <w:tab/>
        <w:t>ECE/TRANS/WP.15/AC.1/2021/43 (Франция)</w:t>
      </w:r>
    </w:p>
    <w:p w14:paraId="5E0CA7F1" w14:textId="4EA68DA5" w:rsidR="007E05B4" w:rsidRPr="00087421" w:rsidRDefault="007E05B4" w:rsidP="007E05B4">
      <w:pPr>
        <w:pStyle w:val="SingleTxtG"/>
        <w:snapToGrid w:val="0"/>
        <w:spacing w:before="120"/>
      </w:pPr>
      <w:r>
        <w:t>10.</w:t>
      </w:r>
      <w:r>
        <w:tab/>
        <w:t>Рабочая группа по цистернам подтвердила предложенный</w:t>
      </w:r>
      <w:r w:rsidRPr="00B07E74">
        <w:t xml:space="preserve"> </w:t>
      </w:r>
      <w:r>
        <w:t>только для ДОПОГ текст</w:t>
      </w:r>
      <w:r w:rsidRPr="00970D67">
        <w:t xml:space="preserve"> </w:t>
      </w:r>
      <w:r>
        <w:t>новой главы 6.13, касающейся цистерн из армированных волокном пластмасс (АВП), с учетом внесенных в него</w:t>
      </w:r>
      <w:r w:rsidRPr="00EC2038">
        <w:t xml:space="preserve"> </w:t>
      </w:r>
      <w:r>
        <w:t>секретариатом поправок, принятых на последней сессии Подкомитета Организации Объединенных Наций по перевозке опасных грузов. Было решено, что предпоследний абзац пункта 6.13.2.5 должен быть изменен в соответствии с пунктом 6.9.2.3.4. Было также решено изменить нумерацию пункта</w:t>
      </w:r>
      <w:r w:rsidR="00024EF4">
        <w:rPr>
          <w:lang w:val="en-US"/>
        </w:rPr>
        <w:t> </w:t>
      </w:r>
      <w:r>
        <w:t>6.13.2.x и последующих пунктов.</w:t>
      </w:r>
    </w:p>
    <w:p w14:paraId="2693AAA2" w14:textId="77777777" w:rsidR="007E05B4" w:rsidRPr="00F96DC7" w:rsidRDefault="007E05B4" w:rsidP="007E05B4">
      <w:pPr>
        <w:pStyle w:val="SingleTxtG"/>
        <w:snapToGrid w:val="0"/>
        <w:spacing w:before="120"/>
      </w:pPr>
      <w:r>
        <w:t>11.</w:t>
      </w:r>
      <w:r>
        <w:tab/>
        <w:t>Поскольку требования были изменены в соответствии с новой главой 6.9, было сочтено, что необходимо включить переходные меры. Переходные меры позволят продолжить эксплуатацию существующих цистерн из АВП и цистерн из АВП, которые будут изготовлены в ближайшем будущем, на основании существующих и все еще действующих официальных утверждений типа. Окончательная дата изготовления нуждается в проверке и поэтому приводится в квадратных скобках.</w:t>
      </w:r>
    </w:p>
    <w:p w14:paraId="0A05D9C7" w14:textId="2006AEF1" w:rsidR="007E05B4" w:rsidRPr="00F96DC7" w:rsidRDefault="007E05B4" w:rsidP="00024EF4">
      <w:pPr>
        <w:pStyle w:val="SingleTxtG"/>
        <w:rPr>
          <w:b/>
          <w:bCs/>
        </w:rPr>
      </w:pPr>
      <w:r>
        <w:t xml:space="preserve">Предложение 14 </w:t>
      </w:r>
      <w:r w:rsidR="00024EF4" w:rsidRPr="00024EF4">
        <w:t>—</w:t>
      </w:r>
      <w:r>
        <w:t xml:space="preserve"> Включить новую переходную меру 1.6.</w:t>
      </w:r>
      <w:proofErr w:type="gramStart"/>
      <w:r>
        <w:t>3.xy</w:t>
      </w:r>
      <w:proofErr w:type="gramEnd"/>
      <w:r>
        <w:t xml:space="preserve"> (только ДОПОГ) следующего содержания:</w:t>
      </w:r>
    </w:p>
    <w:p w14:paraId="1D80615D" w14:textId="3231CF1F" w:rsidR="007E05B4" w:rsidRPr="00F96DC7" w:rsidRDefault="00024EF4" w:rsidP="00024EF4">
      <w:pPr>
        <w:pStyle w:val="SingleTxtG"/>
        <w:ind w:left="1701" w:hanging="567"/>
        <w:rPr>
          <w:i/>
        </w:rPr>
      </w:pPr>
      <w:r>
        <w:tab/>
      </w:r>
      <w:r w:rsidR="007E05B4">
        <w:t>«</w:t>
      </w:r>
      <w:r w:rsidR="007E05B4">
        <w:rPr>
          <w:i/>
          <w:iCs/>
        </w:rPr>
        <w:t>1.6.3.xy</w:t>
      </w:r>
      <w:r w:rsidR="007E05B4">
        <w:tab/>
      </w:r>
      <w:r w:rsidR="007E05B4">
        <w:rPr>
          <w:i/>
          <w:iCs/>
        </w:rPr>
        <w:t>Встроенные цистерны (автоцистерны) и съемные цистерны, изготовленные до [1 июля 2033 года] в соответствии с требованиями главы</w:t>
      </w:r>
      <w:r>
        <w:rPr>
          <w:i/>
          <w:iCs/>
          <w:lang w:val="en-US"/>
        </w:rPr>
        <w:t> </w:t>
      </w:r>
      <w:r w:rsidR="007E05B4">
        <w:rPr>
          <w:i/>
          <w:iCs/>
        </w:rPr>
        <w:t>6.9, действовавшими до 31 декабря 2022 года, но не отвечающие, однако, требованиям главы 6.13, применяемым с 1 января 2023 года, могут по</w:t>
      </w:r>
      <w:r>
        <w:rPr>
          <w:i/>
          <w:iCs/>
        </w:rPr>
        <w:noBreakHyphen/>
      </w:r>
      <w:r w:rsidR="007E05B4">
        <w:rPr>
          <w:i/>
          <w:iCs/>
        </w:rPr>
        <w:t>прежнему эксплуатироваться.</w:t>
      </w:r>
      <w:r w:rsidR="007E05B4">
        <w:t>»</w:t>
      </w:r>
      <w:r w:rsidR="007E05B4">
        <w:rPr>
          <w:i/>
          <w:iCs/>
        </w:rPr>
        <w:t>.</w:t>
      </w:r>
    </w:p>
    <w:p w14:paraId="6123FDDB" w14:textId="7A3C6685" w:rsidR="007E05B4" w:rsidRPr="00F96DC7" w:rsidRDefault="007E05B4" w:rsidP="00024EF4">
      <w:pPr>
        <w:pStyle w:val="SingleTxtG"/>
      </w:pPr>
      <w:r>
        <w:t xml:space="preserve">Предложение 15 </w:t>
      </w:r>
      <w:r w:rsidR="00024EF4" w:rsidRPr="00024EF4">
        <w:t>—</w:t>
      </w:r>
      <w:r>
        <w:t xml:space="preserve"> Включить новую переходную меру 1.6.</w:t>
      </w:r>
      <w:proofErr w:type="gramStart"/>
      <w:r>
        <w:t>4.xy</w:t>
      </w:r>
      <w:proofErr w:type="gramEnd"/>
      <w:r>
        <w:t xml:space="preserve"> (МПОГ/ДОПОГ) следующего содержания:</w:t>
      </w:r>
    </w:p>
    <w:p w14:paraId="3CCEA8EE" w14:textId="6D20628E" w:rsidR="007E05B4" w:rsidRPr="00F96DC7" w:rsidRDefault="00024EF4" w:rsidP="00024EF4">
      <w:pPr>
        <w:pStyle w:val="SingleTxtG"/>
        <w:ind w:left="1701" w:hanging="567"/>
        <w:rPr>
          <w:i/>
          <w:iCs/>
        </w:rPr>
      </w:pPr>
      <w:r>
        <w:tab/>
      </w:r>
      <w:r w:rsidR="007E05B4">
        <w:t>«</w:t>
      </w:r>
      <w:r w:rsidR="007E05B4">
        <w:rPr>
          <w:i/>
          <w:iCs/>
        </w:rPr>
        <w:t>1.6.</w:t>
      </w:r>
      <w:proofErr w:type="gramStart"/>
      <w:r w:rsidR="007E05B4">
        <w:rPr>
          <w:i/>
          <w:iCs/>
        </w:rPr>
        <w:t>4.xy</w:t>
      </w:r>
      <w:proofErr w:type="gramEnd"/>
      <w:r w:rsidR="007E05B4">
        <w:tab/>
      </w:r>
      <w:r w:rsidR="007E05B4">
        <w:rPr>
          <w:i/>
          <w:iCs/>
        </w:rPr>
        <w:t>Контейнеры-цистерны, изготовленные до [1 июля 2033 года] в соответствии с требованиями главы 6.9, действовавшими до 31 декабря 2022</w:t>
      </w:r>
      <w:r>
        <w:rPr>
          <w:i/>
          <w:iCs/>
          <w:lang w:val="en-US"/>
        </w:rPr>
        <w:t> </w:t>
      </w:r>
      <w:r w:rsidR="007E05B4">
        <w:rPr>
          <w:i/>
          <w:iCs/>
        </w:rPr>
        <w:t>года, могут по-прежнему эксплуатироваться.</w:t>
      </w:r>
      <w:r w:rsidR="007E05B4">
        <w:t>».</w:t>
      </w:r>
    </w:p>
    <w:p w14:paraId="5F337B4A" w14:textId="09E11DE1" w:rsidR="007E05B4" w:rsidRPr="00F96DC7" w:rsidRDefault="00024EF4" w:rsidP="00024EF4">
      <w:pPr>
        <w:pStyle w:val="H23G"/>
      </w:pPr>
      <w:r>
        <w:tab/>
      </w:r>
      <w:r w:rsidR="007E05B4">
        <w:tab/>
        <w:t>Пункт 4:</w:t>
      </w:r>
      <w:r w:rsidR="007E05B4">
        <w:tab/>
        <w:t>Разъяснения в отношении использования цистерн после истечения срока, установленного для следующего испытания или проверки</w:t>
      </w:r>
    </w:p>
    <w:p w14:paraId="550DB500" w14:textId="318DE47D" w:rsidR="007E05B4" w:rsidRPr="007E05B4" w:rsidRDefault="007E05B4" w:rsidP="00024EF4">
      <w:pPr>
        <w:keepLines/>
        <w:tabs>
          <w:tab w:val="left" w:pos="2977"/>
          <w:tab w:val="left" w:pos="3686"/>
        </w:tabs>
        <w:snapToGrid w:val="0"/>
        <w:spacing w:before="120" w:after="120"/>
        <w:ind w:left="1134"/>
        <w:rPr>
          <w:lang w:val="en-US"/>
        </w:rPr>
      </w:pPr>
      <w:r>
        <w:rPr>
          <w:i/>
          <w:iCs/>
        </w:rPr>
        <w:t>Документ</w:t>
      </w:r>
      <w:r w:rsidRPr="007E05B4">
        <w:rPr>
          <w:i/>
          <w:iCs/>
          <w:lang w:val="en-US"/>
        </w:rPr>
        <w:t>:</w:t>
      </w:r>
      <w:r w:rsidRPr="007E05B4">
        <w:rPr>
          <w:lang w:val="en-US"/>
        </w:rPr>
        <w:tab/>
      </w:r>
      <w:r w:rsidRPr="007E05B4">
        <w:rPr>
          <w:lang w:val="en-US"/>
        </w:rPr>
        <w:tab/>
        <w:t>ECE/TRANS/WP.15/AC.1/2021/27 (</w:t>
      </w:r>
      <w:r>
        <w:t>МСАГВ</w:t>
      </w:r>
      <w:r w:rsidRPr="007E05B4">
        <w:rPr>
          <w:lang w:val="en-US"/>
        </w:rPr>
        <w:t>)</w:t>
      </w:r>
    </w:p>
    <w:p w14:paraId="09E5A927" w14:textId="77777777" w:rsidR="007E05B4" w:rsidRPr="00F96DC7" w:rsidRDefault="007E05B4" w:rsidP="00024EF4">
      <w:pPr>
        <w:keepLines/>
        <w:tabs>
          <w:tab w:val="left" w:pos="2977"/>
          <w:tab w:val="left" w:pos="3686"/>
        </w:tabs>
        <w:snapToGrid w:val="0"/>
        <w:spacing w:before="120" w:after="120"/>
        <w:ind w:left="1134"/>
      </w:pPr>
      <w:r>
        <w:rPr>
          <w:i/>
          <w:iCs/>
        </w:rPr>
        <w:t>Неофициальный документ:</w:t>
      </w:r>
      <w:r>
        <w:t xml:space="preserve"> </w:t>
      </w:r>
      <w:r>
        <w:tab/>
        <w:t>INF.10 (Польша)</w:t>
      </w:r>
    </w:p>
    <w:p w14:paraId="4A970313" w14:textId="77777777" w:rsidR="007E05B4" w:rsidRPr="00F96DC7" w:rsidRDefault="007E05B4" w:rsidP="007E05B4">
      <w:pPr>
        <w:pStyle w:val="SingleTxtG"/>
        <w:snapToGrid w:val="0"/>
        <w:spacing w:before="120"/>
      </w:pPr>
      <w:r>
        <w:t>12.</w:t>
      </w:r>
      <w:r>
        <w:tab/>
        <w:t xml:space="preserve">На предыдущих сессиях Рабочей группы по цистернам не удалось достичь консенсуса по соответствующему решению этого вопроса. Пленарную сессию просили принять принципиальное решение. Решение принято не было, и Рабочей </w:t>
      </w:r>
      <w:r>
        <w:lastRenderedPageBreak/>
        <w:t>группе по цистернам было предложено подготовить два варианта, чтобы можно было принять решение.</w:t>
      </w:r>
    </w:p>
    <w:p w14:paraId="1E5DDBCD" w14:textId="77777777" w:rsidR="007E05B4" w:rsidRPr="00F96DC7" w:rsidRDefault="007E05B4" w:rsidP="00486A95">
      <w:pPr>
        <w:pStyle w:val="SingleTxtG"/>
      </w:pPr>
      <w:r>
        <w:t>13.</w:t>
      </w:r>
      <w:r>
        <w:tab/>
        <w:t>Ниже приведены поправки для обоих вариантов, включая сопутствующие поправки к пункту 6.8.2.4.3, которые потребуются внести в случае принятия любого из вариантов:</w:t>
      </w:r>
    </w:p>
    <w:p w14:paraId="11C61088" w14:textId="77777777" w:rsidR="007E05B4" w:rsidRPr="00F96DC7" w:rsidRDefault="007E05B4" w:rsidP="00486A95">
      <w:pPr>
        <w:pStyle w:val="SingleTxtG"/>
      </w:pPr>
      <w:r>
        <w:rPr>
          <w:b/>
          <w:bCs/>
        </w:rPr>
        <w:t>Вариант 1:</w:t>
      </w:r>
      <w:r w:rsidRPr="000C5E00">
        <w:t xml:space="preserve"> </w:t>
      </w:r>
      <w:r>
        <w:t>разрешается наполнять, перевозить и опорожнять цистерны в обычном режиме в течение трех месяцев после указанной даты промежуточной проверки.</w:t>
      </w:r>
    </w:p>
    <w:p w14:paraId="7674E8B3" w14:textId="77777777" w:rsidR="007E05B4" w:rsidRPr="00F96DC7" w:rsidRDefault="007E05B4" w:rsidP="00486A95">
      <w:pPr>
        <w:pStyle w:val="SingleTxtG"/>
        <w:rPr>
          <w:bCs/>
        </w:rPr>
      </w:pPr>
      <w:r>
        <w:t>Изменить пункт 4.3.2.3.7 следующим образом (новый текст подчеркнут, исключенный текст зачеркнут):</w:t>
      </w:r>
    </w:p>
    <w:p w14:paraId="7E101D2D" w14:textId="77777777" w:rsidR="007E05B4" w:rsidRPr="00F96DC7" w:rsidRDefault="007E05B4" w:rsidP="007E05B4">
      <w:pPr>
        <w:keepNext/>
        <w:keepLines/>
        <w:snapToGrid w:val="0"/>
        <w:spacing w:before="120" w:after="120"/>
        <w:ind w:left="2268" w:right="1134" w:hanging="1134"/>
        <w:jc w:val="both"/>
        <w:rPr>
          <w:i/>
          <w:iCs/>
        </w:rPr>
      </w:pPr>
      <w:r>
        <w:t>«</w:t>
      </w:r>
      <w:r>
        <w:rPr>
          <w:i/>
          <w:iCs/>
        </w:rPr>
        <w:t>4.3.2.3.7</w:t>
      </w:r>
      <w:r>
        <w:tab/>
      </w:r>
      <w:r>
        <w:rPr>
          <w:i/>
          <w:iCs/>
        </w:rPr>
        <w:t xml:space="preserve">Вагоны-цистерны, съемные цистерны, вагоны-батареи (МПОГ)/Встроенные цистерны (автоцистерны), съемные цистерны, транспортные средства-батареи (ДОПОГ), контейнеры-цистерны, съемные кузова-цистерны и МЭГК не могут наполняться или предъявляться к перевозке после </w:t>
      </w:r>
      <w:r>
        <w:rPr>
          <w:i/>
          <w:iCs/>
          <w:u w:val="single"/>
        </w:rPr>
        <w:t xml:space="preserve">даты, указанной для </w:t>
      </w:r>
      <w:r>
        <w:rPr>
          <w:i/>
          <w:iCs/>
          <w:strike/>
        </w:rPr>
        <w:t xml:space="preserve">истечения срока действия испытания или </w:t>
      </w:r>
      <w:r>
        <w:rPr>
          <w:i/>
          <w:iCs/>
        </w:rPr>
        <w:t xml:space="preserve">проверки, </w:t>
      </w:r>
      <w:proofErr w:type="spellStart"/>
      <w:r>
        <w:rPr>
          <w:i/>
          <w:iCs/>
        </w:rPr>
        <w:t>предписанн</w:t>
      </w:r>
      <w:r>
        <w:rPr>
          <w:i/>
          <w:iCs/>
          <w:u w:val="single"/>
        </w:rPr>
        <w:t>ой</w:t>
      </w:r>
      <w:r>
        <w:rPr>
          <w:i/>
          <w:iCs/>
          <w:strike/>
        </w:rPr>
        <w:t>ых</w:t>
      </w:r>
      <w:proofErr w:type="spellEnd"/>
      <w:r>
        <w:rPr>
          <w:i/>
          <w:iCs/>
        </w:rPr>
        <w:t xml:space="preserve"> в пунктах 6.8.2.4.2, 6.8.3.4.6 </w:t>
      </w:r>
      <w:r>
        <w:rPr>
          <w:i/>
          <w:iCs/>
          <w:u w:val="single"/>
        </w:rPr>
        <w:t>a)</w:t>
      </w:r>
      <w:r>
        <w:rPr>
          <w:i/>
          <w:iCs/>
        </w:rPr>
        <w:t xml:space="preserve"> и 6.8.3.4.12.</w:t>
      </w:r>
    </w:p>
    <w:p w14:paraId="4B3C34D1" w14:textId="0F6BD66C" w:rsidR="007E05B4" w:rsidRPr="00F96DC7" w:rsidRDefault="007E05B4" w:rsidP="007E05B4">
      <w:pPr>
        <w:snapToGrid w:val="0"/>
        <w:spacing w:before="120" w:after="120"/>
        <w:ind w:left="2268" w:right="1134"/>
        <w:jc w:val="both"/>
        <w:rPr>
          <w:i/>
          <w:iCs/>
        </w:rPr>
      </w:pPr>
      <w:r>
        <w:rPr>
          <w:i/>
          <w:iCs/>
        </w:rPr>
        <w:t>Однако вагоны-цистерны, съемные цистерны, вагоны-батареи (МПОГ)/</w:t>
      </w:r>
      <w:r w:rsidR="00486A95" w:rsidRPr="00486A95">
        <w:rPr>
          <w:i/>
          <w:iCs/>
        </w:rPr>
        <w:t xml:space="preserve"> </w:t>
      </w:r>
      <w:r>
        <w:rPr>
          <w:i/>
          <w:iCs/>
        </w:rPr>
        <w:t xml:space="preserve">встроенные цистерны (автоцистерны), съемные цистерны, транспортные средства-батареи (ДОПОГ), контейнеры-цистерны, съемные кузова-цистерны и МЭГК, наполненные до </w:t>
      </w:r>
      <w:r>
        <w:rPr>
          <w:i/>
          <w:iCs/>
          <w:strike/>
        </w:rPr>
        <w:t xml:space="preserve">даты истечения срока действия </w:t>
      </w:r>
      <w:r>
        <w:rPr>
          <w:i/>
          <w:iCs/>
          <w:u w:val="single"/>
        </w:rPr>
        <w:t xml:space="preserve">даты, указанной для </w:t>
      </w:r>
      <w:r>
        <w:rPr>
          <w:i/>
          <w:iCs/>
          <w:strike/>
        </w:rPr>
        <w:t xml:space="preserve">последней </w:t>
      </w:r>
      <w:r>
        <w:rPr>
          <w:i/>
          <w:iCs/>
        </w:rPr>
        <w:t>периодической проверки, могут перевозиться:</w:t>
      </w:r>
    </w:p>
    <w:p w14:paraId="5FC31E4D" w14:textId="77777777" w:rsidR="007E05B4" w:rsidRPr="00F96DC7" w:rsidRDefault="007E05B4" w:rsidP="007E05B4">
      <w:pPr>
        <w:snapToGrid w:val="0"/>
        <w:spacing w:before="120" w:after="120"/>
        <w:ind w:left="2268" w:right="1134"/>
        <w:jc w:val="both"/>
        <w:rPr>
          <w:i/>
          <w:iCs/>
        </w:rPr>
      </w:pPr>
      <w:r>
        <w:rPr>
          <w:i/>
          <w:iCs/>
        </w:rPr>
        <w:t>a)</w:t>
      </w:r>
      <w:r>
        <w:tab/>
      </w:r>
      <w:r>
        <w:rPr>
          <w:i/>
          <w:iCs/>
        </w:rPr>
        <w:t xml:space="preserve">в течение периода, не превышающего одного месяца, после </w:t>
      </w:r>
      <w:r>
        <w:rPr>
          <w:i/>
          <w:iCs/>
          <w:strike/>
        </w:rPr>
        <w:t xml:space="preserve">истечения данного срока </w:t>
      </w:r>
      <w:r>
        <w:rPr>
          <w:i/>
          <w:iCs/>
          <w:u w:val="single"/>
        </w:rPr>
        <w:t>этой даты</w:t>
      </w:r>
      <w:r>
        <w:rPr>
          <w:i/>
          <w:iCs/>
        </w:rPr>
        <w:t>;</w:t>
      </w:r>
    </w:p>
    <w:p w14:paraId="5B6E4AC9" w14:textId="77777777" w:rsidR="007E05B4" w:rsidRPr="00F96DC7" w:rsidRDefault="007E05B4" w:rsidP="007E05B4">
      <w:pPr>
        <w:snapToGrid w:val="0"/>
        <w:spacing w:before="120" w:after="120"/>
        <w:ind w:left="2268" w:right="1134"/>
        <w:jc w:val="both"/>
        <w:rPr>
          <w:bCs/>
          <w:i/>
          <w:iCs/>
        </w:rPr>
      </w:pPr>
      <w:r>
        <w:rPr>
          <w:i/>
          <w:iCs/>
        </w:rPr>
        <w:t>b)</w:t>
      </w:r>
      <w:r>
        <w:tab/>
      </w:r>
      <w:r>
        <w:rPr>
          <w:i/>
          <w:iCs/>
        </w:rPr>
        <w:t xml:space="preserve">если компетентным органом не предписано иное, в течение периода, не превышающего трех месяцев, после </w:t>
      </w:r>
      <w:r>
        <w:rPr>
          <w:i/>
          <w:iCs/>
          <w:strike/>
        </w:rPr>
        <w:t xml:space="preserve">истечения данного срока </w:t>
      </w:r>
      <w:r>
        <w:rPr>
          <w:i/>
          <w:iCs/>
          <w:u w:val="single"/>
        </w:rPr>
        <w:t>этой даты</w:t>
      </w:r>
      <w:r>
        <w:rPr>
          <w:i/>
          <w:iCs/>
        </w:rPr>
        <w:t xml:space="preserve"> с целью возвращения опасных грузов для их надлежащей утилизации или переработки.</w:t>
      </w:r>
      <w:r>
        <w:t xml:space="preserve"> </w:t>
      </w:r>
      <w:r>
        <w:rPr>
          <w:i/>
          <w:iCs/>
        </w:rPr>
        <w:t>Информация об освобождении от действия соответствующего требования заносится в транспортный документ.</w:t>
      </w:r>
      <w:r>
        <w:t>».</w:t>
      </w:r>
    </w:p>
    <w:p w14:paraId="3137E08E" w14:textId="77777777" w:rsidR="007E05B4" w:rsidRPr="00F96DC7" w:rsidRDefault="007E05B4" w:rsidP="007E05B4">
      <w:pPr>
        <w:pStyle w:val="SingleTxtG"/>
        <w:snapToGrid w:val="0"/>
        <w:spacing w:before="120"/>
        <w:ind w:right="567"/>
      </w:pPr>
      <w:r>
        <w:t>Включить новый пункт 4.3.2.3.8 следующего содержания:</w:t>
      </w:r>
    </w:p>
    <w:p w14:paraId="47AE71C4" w14:textId="370DB158" w:rsidR="007E05B4" w:rsidRPr="00F96DC7" w:rsidRDefault="007E05B4" w:rsidP="007E05B4">
      <w:pPr>
        <w:snapToGrid w:val="0"/>
        <w:spacing w:before="120" w:after="120"/>
        <w:ind w:left="2268" w:right="1134" w:hanging="1134"/>
        <w:jc w:val="both"/>
        <w:rPr>
          <w:bCs/>
          <w:i/>
          <w:iCs/>
        </w:rPr>
      </w:pPr>
      <w:r>
        <w:t>«</w:t>
      </w:r>
      <w:r>
        <w:rPr>
          <w:i/>
          <w:iCs/>
        </w:rPr>
        <w:t>4.3.2.3.8</w:t>
      </w:r>
      <w:r>
        <w:tab/>
      </w:r>
      <w:r>
        <w:tab/>
      </w:r>
      <w:r>
        <w:rPr>
          <w:i/>
          <w:iCs/>
        </w:rPr>
        <w:t>Вагоны-цистерны, съемные цистерны, вагоны-батареи (МПОГ)/</w:t>
      </w:r>
      <w:r w:rsidR="00486A95" w:rsidRPr="00486A95">
        <w:rPr>
          <w:i/>
          <w:iCs/>
        </w:rPr>
        <w:t xml:space="preserve"> </w:t>
      </w:r>
      <w:r>
        <w:rPr>
          <w:i/>
          <w:iCs/>
        </w:rPr>
        <w:t>Встроенные цистерны (автоцистерны), съемные цистерны, транспортные средства-батареи (ДОПОГ), контейнеры-цистерны, съемные кузова-цистерны и МЭГК могут по-прежнему эксплуатироваться после даты, указанной для промежуточной проверки, предписанной в пунктах 6.8.2.4.3, 6.8.3.4.6 b) и 6.8.3.4.12:</w:t>
      </w:r>
    </w:p>
    <w:p w14:paraId="0A4F3F4D" w14:textId="77777777" w:rsidR="007E05B4" w:rsidRPr="00F96DC7" w:rsidRDefault="007E05B4" w:rsidP="007E05B4">
      <w:pPr>
        <w:snapToGrid w:val="0"/>
        <w:spacing w:before="120" w:after="120"/>
        <w:ind w:left="2268" w:right="1134"/>
        <w:jc w:val="both"/>
        <w:rPr>
          <w:bCs/>
          <w:i/>
          <w:iCs/>
        </w:rPr>
      </w:pPr>
      <w:r>
        <w:rPr>
          <w:i/>
          <w:iCs/>
        </w:rPr>
        <w:t>a)</w:t>
      </w:r>
      <w:r>
        <w:tab/>
      </w:r>
      <w:r>
        <w:rPr>
          <w:i/>
          <w:iCs/>
        </w:rPr>
        <w:t>в течение периода, не превышающего трех месяцев, после этой даты;</w:t>
      </w:r>
    </w:p>
    <w:p w14:paraId="1D3C314F" w14:textId="77777777" w:rsidR="007E05B4" w:rsidRPr="00F96DC7" w:rsidRDefault="007E05B4" w:rsidP="007E05B4">
      <w:pPr>
        <w:snapToGrid w:val="0"/>
        <w:spacing w:before="120" w:after="120"/>
        <w:ind w:left="2268" w:right="1134"/>
        <w:jc w:val="both"/>
        <w:rPr>
          <w:bCs/>
        </w:rPr>
      </w:pPr>
      <w:r>
        <w:rPr>
          <w:i/>
          <w:iCs/>
        </w:rPr>
        <w:t>b)</w:t>
      </w:r>
      <w:r>
        <w:tab/>
      </w:r>
      <w:r>
        <w:rPr>
          <w:i/>
          <w:iCs/>
        </w:rPr>
        <w:t>если компетентным органом не предписано иное, в течение периода, не превышающего пяти месяцев, после этой даты с целью возвращения опасных грузов для их надлежащей утилизации или переработки.</w:t>
      </w:r>
      <w:r>
        <w:t xml:space="preserve"> </w:t>
      </w:r>
      <w:r>
        <w:rPr>
          <w:i/>
          <w:iCs/>
        </w:rPr>
        <w:t>Информация об освобождении от действия соответствующего требования заносится в транспортный документ.</w:t>
      </w:r>
      <w:r>
        <w:t>».</w:t>
      </w:r>
    </w:p>
    <w:p w14:paraId="293C705A" w14:textId="77777777" w:rsidR="007E05B4" w:rsidRPr="00F96DC7" w:rsidRDefault="007E05B4" w:rsidP="00486A95">
      <w:pPr>
        <w:pStyle w:val="SingleTxtG"/>
      </w:pPr>
      <w:r>
        <w:t>Изменить пункт 1.4.2.2.1 d) следующим образом (новый текст подчеркнут, исключенный текст зачеркнут):</w:t>
      </w:r>
    </w:p>
    <w:p w14:paraId="0EAEFF92" w14:textId="77777777" w:rsidR="007E05B4" w:rsidRPr="00F96DC7" w:rsidRDefault="007E05B4" w:rsidP="007E05B4">
      <w:pPr>
        <w:snapToGrid w:val="0"/>
        <w:spacing w:before="120" w:after="120"/>
        <w:ind w:left="2268" w:right="1134"/>
        <w:jc w:val="both"/>
        <w:rPr>
          <w:i/>
          <w:iCs/>
        </w:rPr>
      </w:pPr>
      <w:bookmarkStart w:id="5" w:name="_Hlk67388848"/>
      <w:r>
        <w:t>«</w:t>
      </w:r>
      <w:r>
        <w:rPr>
          <w:i/>
          <w:iCs/>
        </w:rPr>
        <w:t>d)</w:t>
      </w:r>
      <w:r>
        <w:tab/>
      </w:r>
      <w:r>
        <w:rPr>
          <w:i/>
          <w:iCs/>
        </w:rPr>
        <w:t xml:space="preserve">удостовериться в том, что </w:t>
      </w:r>
      <w:r>
        <w:rPr>
          <w:i/>
          <w:iCs/>
          <w:strike/>
        </w:rPr>
        <w:t xml:space="preserve">срок </w:t>
      </w:r>
      <w:r>
        <w:rPr>
          <w:i/>
          <w:iCs/>
          <w:u w:val="single"/>
        </w:rPr>
        <w:t>дата, указанная для</w:t>
      </w:r>
      <w:r>
        <w:rPr>
          <w:i/>
          <w:iCs/>
        </w:rPr>
        <w:t xml:space="preserve"> следующей проверки вагонов-цистерн, вагонов-батарей, вагонов со съемными цистернами (МПОГ)/автоцистерн, транспортных средств-батарей, съемных цистерн (ДОПОГ), переносных цистерн, контейнеров-цистерн и МЭГК</w:t>
      </w:r>
      <w:r>
        <w:rPr>
          <w:i/>
          <w:iCs/>
          <w:u w:val="single"/>
        </w:rPr>
        <w:t>, с учетом положений пунктов 4.3.2.3.7 и 4.3.2.3.8</w:t>
      </w:r>
      <w:r>
        <w:rPr>
          <w:i/>
          <w:iCs/>
        </w:rPr>
        <w:t>, не просрочен</w:t>
      </w:r>
      <w:r>
        <w:rPr>
          <w:i/>
          <w:iCs/>
          <w:u w:val="single"/>
        </w:rPr>
        <w:t>а</w:t>
      </w:r>
      <w:r>
        <w:rPr>
          <w:i/>
          <w:iCs/>
        </w:rPr>
        <w:t>;</w:t>
      </w:r>
    </w:p>
    <w:p w14:paraId="6A8F3377" w14:textId="77777777" w:rsidR="007E05B4" w:rsidRPr="00F96DC7" w:rsidRDefault="007E05B4" w:rsidP="007E05B4">
      <w:pPr>
        <w:snapToGrid w:val="0"/>
        <w:spacing w:before="120" w:after="120"/>
        <w:ind w:left="2268" w:right="1134"/>
      </w:pPr>
      <w:r>
        <w:lastRenderedPageBreak/>
        <w:t>(Изменить примечание, исключив ссылку на пункт 4.3.2.3.7)».</w:t>
      </w:r>
    </w:p>
    <w:p w14:paraId="12B65B9D" w14:textId="77777777" w:rsidR="007E05B4" w:rsidRPr="00F96DC7" w:rsidRDefault="007E05B4" w:rsidP="00486A95">
      <w:pPr>
        <w:pStyle w:val="SingleTxtG"/>
      </w:pPr>
      <w:r>
        <w:t>Изменить пункт 1.4.3.3 b) следующим образом (новый текст подчеркнут, исключенный текст зачеркнут):</w:t>
      </w:r>
      <w:bookmarkStart w:id="6" w:name="_Hlk83823748"/>
      <w:bookmarkEnd w:id="6"/>
    </w:p>
    <w:p w14:paraId="78E5416A" w14:textId="77777777" w:rsidR="007E05B4" w:rsidRPr="00F96DC7" w:rsidRDefault="007E05B4" w:rsidP="007E05B4">
      <w:pPr>
        <w:snapToGrid w:val="0"/>
        <w:spacing w:before="120" w:after="120"/>
        <w:ind w:left="2268" w:right="1134"/>
        <w:jc w:val="both"/>
        <w:rPr>
          <w:i/>
          <w:iCs/>
        </w:rPr>
      </w:pPr>
      <w:r>
        <w:t>«</w:t>
      </w:r>
      <w:r>
        <w:rPr>
          <w:i/>
          <w:iCs/>
        </w:rPr>
        <w:t>b)</w:t>
      </w:r>
      <w:r>
        <w:tab/>
      </w:r>
      <w:r>
        <w:rPr>
          <w:i/>
          <w:iCs/>
        </w:rPr>
        <w:t xml:space="preserve">он должен удостовериться в том, что </w:t>
      </w:r>
      <w:r>
        <w:rPr>
          <w:i/>
          <w:iCs/>
          <w:strike/>
        </w:rPr>
        <w:t xml:space="preserve">дата </w:t>
      </w:r>
      <w:proofErr w:type="spellStart"/>
      <w:r>
        <w:rPr>
          <w:i/>
          <w:iCs/>
          <w:u w:val="single"/>
        </w:rPr>
        <w:t>дата</w:t>
      </w:r>
      <w:proofErr w:type="spellEnd"/>
      <w:r>
        <w:rPr>
          <w:i/>
          <w:iCs/>
          <w:u w:val="single"/>
        </w:rPr>
        <w:t xml:space="preserve">, указанная для следующей </w:t>
      </w:r>
      <w:r>
        <w:rPr>
          <w:i/>
          <w:iCs/>
        </w:rPr>
        <w:t>проверки вагонов-цистерн, вагонов-батарей, вагонов со съемными цистернами (МПОГ)/автоцистерн, транспортных средств-батарей, съемных цистерн (ДОПОГ), переносных цистерн, контейнеров-цистерн и МЭГК</w:t>
      </w:r>
      <w:r w:rsidRPr="0045265A">
        <w:rPr>
          <w:i/>
          <w:iCs/>
          <w:u w:val="single"/>
        </w:rPr>
        <w:t>, с учетом положений пункта 4.3.2.3.8,</w:t>
      </w:r>
      <w:r>
        <w:rPr>
          <w:i/>
          <w:iCs/>
        </w:rPr>
        <w:t xml:space="preserve"> не просрочена;</w:t>
      </w:r>
      <w:r>
        <w:t>».</w:t>
      </w:r>
    </w:p>
    <w:p w14:paraId="0E0B863B" w14:textId="77777777" w:rsidR="007E05B4" w:rsidRPr="00F96DC7" w:rsidRDefault="007E05B4" w:rsidP="00486A95">
      <w:pPr>
        <w:pStyle w:val="SingleTxtG"/>
      </w:pPr>
      <w:r>
        <w:t>Изменить пункт 5.4.1.1.11 следующим образом:</w:t>
      </w:r>
    </w:p>
    <w:p w14:paraId="6B294FAF" w14:textId="77777777" w:rsidR="007E05B4" w:rsidRPr="00F96DC7" w:rsidRDefault="007E05B4" w:rsidP="007E05B4">
      <w:pPr>
        <w:snapToGrid w:val="0"/>
        <w:spacing w:before="120" w:after="120"/>
        <w:ind w:left="2268" w:right="567"/>
        <w:jc w:val="both"/>
      </w:pPr>
      <w:r>
        <w:t>– в заголовке исключить слово «периодического»;</w:t>
      </w:r>
    </w:p>
    <w:p w14:paraId="2AE2ED01" w14:textId="77777777" w:rsidR="007E05B4" w:rsidRPr="00F96DC7" w:rsidRDefault="007E05B4" w:rsidP="007E05B4">
      <w:pPr>
        <w:snapToGrid w:val="0"/>
        <w:spacing w:before="120" w:after="120"/>
        <w:ind w:left="2268" w:right="567"/>
        <w:jc w:val="both"/>
      </w:pPr>
      <w:r>
        <w:t>– в первом абзаце добавить «</w:t>
      </w:r>
      <w:r>
        <w:rPr>
          <w:i/>
          <w:iCs/>
          <w:u w:val="single"/>
        </w:rPr>
        <w:t>4.3.2.3.8 b)</w:t>
      </w:r>
      <w:r>
        <w:t>»;</w:t>
      </w:r>
    </w:p>
    <w:p w14:paraId="5EAAFFBA" w14:textId="77777777" w:rsidR="007E05B4" w:rsidRPr="00F96DC7" w:rsidRDefault="007E05B4" w:rsidP="007E05B4">
      <w:pPr>
        <w:snapToGrid w:val="0"/>
        <w:spacing w:before="120" w:after="120"/>
        <w:ind w:left="2268" w:right="1134"/>
        <w:jc w:val="both"/>
        <w:rPr>
          <w:bCs/>
          <w:i/>
          <w:iCs/>
          <w:u w:val="single"/>
        </w:rPr>
      </w:pPr>
      <w:r>
        <w:rPr>
          <w:i/>
          <w:iCs/>
        </w:rPr>
        <w:t xml:space="preserve">– </w:t>
      </w:r>
      <w:r>
        <w:rPr>
          <w:i/>
          <w:iCs/>
          <w:u w:val="single"/>
        </w:rPr>
        <w:t>включить новую строку с отступом, гласящую «ПЕРЕВОЗКА В СООТВЕТСТВИИ С ПУНКТОМ 4.3.2.3.8 b)»</w:t>
      </w:r>
      <w:r>
        <w:rPr>
          <w:i/>
          <w:iCs/>
        </w:rPr>
        <w:t>.</w:t>
      </w:r>
    </w:p>
    <w:bookmarkEnd w:id="5"/>
    <w:p w14:paraId="61215D88" w14:textId="77777777" w:rsidR="007E05B4" w:rsidRPr="00F96DC7" w:rsidRDefault="007E05B4" w:rsidP="00486A95">
      <w:pPr>
        <w:pStyle w:val="SingleTxtG"/>
      </w:pPr>
      <w:r>
        <w:rPr>
          <w:b/>
          <w:bCs/>
        </w:rPr>
        <w:t>Вариант 2:</w:t>
      </w:r>
      <w:r>
        <w:t xml:space="preserve"> разрешается наполнение цистерн до указанной</w:t>
      </w:r>
      <w:r w:rsidRPr="00A12DB9">
        <w:t xml:space="preserve"> </w:t>
      </w:r>
      <w:r>
        <w:t>даты следующей проверки и завершение перевозки в течение не более трех месяцев после этой даты. В этом случае не предусматривается дополнительного периода для перевозки с целью возвращения опасных грузов для их надлежащей утилизации или переработки.</w:t>
      </w:r>
    </w:p>
    <w:p w14:paraId="580E17E0" w14:textId="77777777" w:rsidR="007E05B4" w:rsidRPr="00F96DC7" w:rsidRDefault="007E05B4" w:rsidP="00787F0D">
      <w:pPr>
        <w:pStyle w:val="SingleTxtG"/>
      </w:pPr>
      <w:r>
        <w:t>Изменить пункт 4.3.2.3.7 следующим образом (новый текст подчеркнут, исключенный текст зачеркнут):</w:t>
      </w:r>
    </w:p>
    <w:p w14:paraId="2FB6D4AD" w14:textId="3A8C4E8E" w:rsidR="007E05B4" w:rsidRPr="00F96DC7" w:rsidRDefault="007E05B4" w:rsidP="007E05B4">
      <w:pPr>
        <w:keepNext/>
        <w:keepLines/>
        <w:snapToGrid w:val="0"/>
        <w:spacing w:before="120" w:after="120"/>
        <w:ind w:left="2268" w:right="1134" w:hanging="1134"/>
        <w:jc w:val="both"/>
        <w:rPr>
          <w:i/>
          <w:iCs/>
        </w:rPr>
      </w:pPr>
      <w:r>
        <w:t>«</w:t>
      </w:r>
      <w:r>
        <w:rPr>
          <w:i/>
          <w:iCs/>
        </w:rPr>
        <w:t>4.3.2.3.7</w:t>
      </w:r>
      <w:r>
        <w:tab/>
      </w:r>
      <w:r>
        <w:tab/>
      </w:r>
      <w:r>
        <w:rPr>
          <w:i/>
          <w:iCs/>
        </w:rPr>
        <w:t>Вагоны-цистерны, съемные цистерны, вагоны-батареи (МПОГ)/</w:t>
      </w:r>
      <w:r w:rsidR="00486A95" w:rsidRPr="00486A95">
        <w:rPr>
          <w:i/>
          <w:iCs/>
        </w:rPr>
        <w:t xml:space="preserve"> </w:t>
      </w:r>
      <w:r>
        <w:rPr>
          <w:i/>
          <w:iCs/>
        </w:rPr>
        <w:t xml:space="preserve">Встроенные цистерны (автоцистерны), съемные цистерны, транспортные средства-батареи (ДОПОГ), контейнеры-цистерны, съемные кузова-цистерны и МЭГК не могут наполняться или предъявляться к перевозке после </w:t>
      </w:r>
      <w:r>
        <w:rPr>
          <w:i/>
          <w:iCs/>
          <w:u w:val="single"/>
        </w:rPr>
        <w:t xml:space="preserve">даты, указанной для </w:t>
      </w:r>
      <w:r>
        <w:rPr>
          <w:i/>
          <w:iCs/>
          <w:strike/>
        </w:rPr>
        <w:t xml:space="preserve">истечения срока действия испытания или </w:t>
      </w:r>
      <w:r>
        <w:rPr>
          <w:i/>
          <w:iCs/>
        </w:rPr>
        <w:t xml:space="preserve">проверки, </w:t>
      </w:r>
      <w:proofErr w:type="spellStart"/>
      <w:r>
        <w:rPr>
          <w:i/>
          <w:iCs/>
        </w:rPr>
        <w:t>предписанн</w:t>
      </w:r>
      <w:r>
        <w:rPr>
          <w:i/>
          <w:iCs/>
          <w:u w:val="single"/>
        </w:rPr>
        <w:t>ой</w:t>
      </w:r>
      <w:r>
        <w:rPr>
          <w:i/>
          <w:iCs/>
          <w:strike/>
        </w:rPr>
        <w:t>ых</w:t>
      </w:r>
      <w:proofErr w:type="spellEnd"/>
      <w:r>
        <w:rPr>
          <w:i/>
          <w:iCs/>
        </w:rPr>
        <w:t xml:space="preserve"> в пунктах 6.8.2.4.2, </w:t>
      </w:r>
      <w:r>
        <w:rPr>
          <w:i/>
          <w:iCs/>
          <w:u w:val="single"/>
        </w:rPr>
        <w:t xml:space="preserve">6.8.2.4.3, </w:t>
      </w:r>
      <w:r>
        <w:rPr>
          <w:i/>
          <w:iCs/>
        </w:rPr>
        <w:t>6.8.3.4.6 и 6.8.3.4.12.</w:t>
      </w:r>
    </w:p>
    <w:p w14:paraId="1409C4B2" w14:textId="33AE7A46" w:rsidR="007E05B4" w:rsidRPr="00F96DC7" w:rsidRDefault="007E05B4" w:rsidP="007E05B4">
      <w:pPr>
        <w:snapToGrid w:val="0"/>
        <w:spacing w:before="120" w:after="120"/>
        <w:ind w:left="2268" w:right="1134"/>
        <w:jc w:val="both"/>
        <w:rPr>
          <w:i/>
          <w:iCs/>
        </w:rPr>
      </w:pPr>
      <w:r>
        <w:rPr>
          <w:i/>
          <w:iCs/>
        </w:rPr>
        <w:t>Однако вагоны-цистерны, съемные цистерны, вагоны-батареи (МПОГ)/</w:t>
      </w:r>
      <w:r w:rsidR="00486A95" w:rsidRPr="00486A95">
        <w:rPr>
          <w:i/>
          <w:iCs/>
        </w:rPr>
        <w:t xml:space="preserve"> </w:t>
      </w:r>
      <w:r>
        <w:rPr>
          <w:i/>
          <w:iCs/>
        </w:rPr>
        <w:t xml:space="preserve">встроенные цистерны (автоцистерны), съемные цистерны, транспортные средства-батареи (ДОПОГ), контейнеры-цистерны, съемные кузова-цистерны и МЭГК, наполненные до </w:t>
      </w:r>
      <w:r>
        <w:rPr>
          <w:i/>
          <w:iCs/>
          <w:strike/>
        </w:rPr>
        <w:t xml:space="preserve">даты истечения срока действия </w:t>
      </w:r>
      <w:r>
        <w:rPr>
          <w:i/>
          <w:iCs/>
          <w:u w:val="single"/>
        </w:rPr>
        <w:t xml:space="preserve">даты, указанной для </w:t>
      </w:r>
      <w:r>
        <w:rPr>
          <w:i/>
          <w:iCs/>
          <w:strike/>
        </w:rPr>
        <w:t xml:space="preserve">последней периодической </w:t>
      </w:r>
      <w:r>
        <w:rPr>
          <w:i/>
          <w:iCs/>
          <w:u w:val="single"/>
        </w:rPr>
        <w:t xml:space="preserve">следующей </w:t>
      </w:r>
      <w:r>
        <w:rPr>
          <w:i/>
          <w:iCs/>
        </w:rPr>
        <w:t>проверки, могут перевозиться:</w:t>
      </w:r>
    </w:p>
    <w:p w14:paraId="55CB9DF4" w14:textId="77777777" w:rsidR="007E05B4" w:rsidRPr="00F96DC7" w:rsidRDefault="007E05B4" w:rsidP="007E05B4">
      <w:pPr>
        <w:snapToGrid w:val="0"/>
        <w:spacing w:before="120" w:after="120"/>
        <w:ind w:left="2268" w:right="1134"/>
        <w:jc w:val="both"/>
        <w:rPr>
          <w:i/>
          <w:iCs/>
        </w:rPr>
      </w:pPr>
      <w:r>
        <w:rPr>
          <w:i/>
          <w:iCs/>
        </w:rPr>
        <w:t>a)</w:t>
      </w:r>
      <w:r>
        <w:tab/>
      </w:r>
      <w:r>
        <w:rPr>
          <w:i/>
          <w:iCs/>
        </w:rPr>
        <w:t xml:space="preserve">в течение периода, не превышающего одного месяца, после </w:t>
      </w:r>
      <w:r>
        <w:rPr>
          <w:i/>
          <w:iCs/>
          <w:strike/>
        </w:rPr>
        <w:t xml:space="preserve">истечения данного срока </w:t>
      </w:r>
      <w:r>
        <w:rPr>
          <w:i/>
          <w:iCs/>
          <w:u w:val="single"/>
        </w:rPr>
        <w:t>указанной даты, если требуемая проверка является периодической проверкой в соответствии с пунктами 6.8.2.4.2, 6.8.3.4.6 a) и 6.8.3.4.12</w:t>
      </w:r>
      <w:r>
        <w:rPr>
          <w:i/>
          <w:iCs/>
        </w:rPr>
        <w:t>;</w:t>
      </w:r>
    </w:p>
    <w:p w14:paraId="7F7789CE" w14:textId="77777777" w:rsidR="007E05B4" w:rsidRPr="00F96DC7" w:rsidRDefault="007E05B4" w:rsidP="007E05B4">
      <w:pPr>
        <w:snapToGrid w:val="0"/>
        <w:spacing w:before="120" w:after="120"/>
        <w:ind w:left="2268" w:right="1134"/>
        <w:jc w:val="both"/>
        <w:rPr>
          <w:b/>
          <w:bCs/>
          <w:i/>
          <w:iCs/>
        </w:rPr>
      </w:pPr>
      <w:r>
        <w:rPr>
          <w:i/>
          <w:iCs/>
        </w:rPr>
        <w:t>b)</w:t>
      </w:r>
      <w:r>
        <w:tab/>
      </w:r>
      <w:r>
        <w:rPr>
          <w:i/>
          <w:iCs/>
        </w:rPr>
        <w:t xml:space="preserve">если компетентным органом не предписано иное, в течение периода, не превышающего трех месяцев, после </w:t>
      </w:r>
      <w:r>
        <w:rPr>
          <w:i/>
          <w:iCs/>
          <w:strike/>
        </w:rPr>
        <w:t xml:space="preserve">истечения данного срока </w:t>
      </w:r>
      <w:r>
        <w:rPr>
          <w:i/>
          <w:iCs/>
          <w:u w:val="single"/>
        </w:rPr>
        <w:t>указанной даты, если требуемая проверка является периодической проверкой в соответствии с пунктами 6.8.2.4.2, 6.8.3.4.6 a) и 6.8.3.4.12,</w:t>
      </w:r>
      <w:r>
        <w:rPr>
          <w:i/>
          <w:iCs/>
        </w:rPr>
        <w:t xml:space="preserve"> с целью возвращения опасных грузов для их надлежащей утилизации или переработки.</w:t>
      </w:r>
      <w:r>
        <w:t xml:space="preserve"> </w:t>
      </w:r>
      <w:r>
        <w:rPr>
          <w:i/>
          <w:iCs/>
        </w:rPr>
        <w:t>Информация об освобождении от действия соответствующего требования заносится в транспортный документ;</w:t>
      </w:r>
    </w:p>
    <w:p w14:paraId="27EEA0D1" w14:textId="77777777" w:rsidR="007E05B4" w:rsidRPr="00F96DC7" w:rsidRDefault="007E05B4" w:rsidP="007E05B4">
      <w:pPr>
        <w:snapToGrid w:val="0"/>
        <w:spacing w:before="120" w:after="120"/>
        <w:ind w:left="2268" w:right="1134"/>
        <w:jc w:val="both"/>
        <w:rPr>
          <w:bCs/>
          <w:i/>
          <w:iCs/>
          <w:u w:val="single"/>
        </w:rPr>
      </w:pPr>
      <w:r>
        <w:rPr>
          <w:i/>
          <w:iCs/>
        </w:rPr>
        <w:t>c)</w:t>
      </w:r>
      <w:r>
        <w:tab/>
      </w:r>
      <w:r w:rsidRPr="00D20D93">
        <w:rPr>
          <w:i/>
          <w:iCs/>
          <w:u w:val="single"/>
        </w:rPr>
        <w:t>в течение периода, не превышающего трех месяцев, после указанной даты, если требуемая проверка является промежуточной проверкой в соответствии с пунктами 6.8.2.4.3, 6.8.3.4.6 b) и 6.8.3.4.12.</w:t>
      </w:r>
      <w:r>
        <w:t>».</w:t>
      </w:r>
    </w:p>
    <w:p w14:paraId="089C4ADF" w14:textId="77777777" w:rsidR="007E05B4" w:rsidRPr="00F96DC7" w:rsidRDefault="007E05B4" w:rsidP="00787F0D">
      <w:pPr>
        <w:pStyle w:val="SingleTxtG"/>
      </w:pPr>
      <w:r>
        <w:t>Изменить пункт 1.4.2.2.1 d) следующим образом (новый текст подчеркнут, исключенный текст зачеркнут):</w:t>
      </w:r>
    </w:p>
    <w:p w14:paraId="6EF0F16D" w14:textId="77777777" w:rsidR="007E05B4" w:rsidRPr="00F96DC7" w:rsidRDefault="007E05B4" w:rsidP="007E05B4">
      <w:pPr>
        <w:snapToGrid w:val="0"/>
        <w:spacing w:before="120" w:after="120"/>
        <w:ind w:left="2268" w:right="1134"/>
        <w:jc w:val="both"/>
        <w:rPr>
          <w:i/>
          <w:iCs/>
        </w:rPr>
      </w:pPr>
      <w:r>
        <w:t>«</w:t>
      </w:r>
      <w:r>
        <w:rPr>
          <w:i/>
          <w:iCs/>
        </w:rPr>
        <w:t>d)</w:t>
      </w:r>
      <w:r>
        <w:tab/>
      </w:r>
      <w:r>
        <w:rPr>
          <w:i/>
          <w:iCs/>
        </w:rPr>
        <w:t xml:space="preserve">удостовериться в том, что </w:t>
      </w:r>
      <w:r>
        <w:rPr>
          <w:i/>
          <w:iCs/>
          <w:strike/>
        </w:rPr>
        <w:t xml:space="preserve">срок </w:t>
      </w:r>
      <w:r>
        <w:rPr>
          <w:i/>
          <w:iCs/>
          <w:u w:val="single"/>
        </w:rPr>
        <w:t xml:space="preserve">дата, указанная для </w:t>
      </w:r>
      <w:r>
        <w:rPr>
          <w:i/>
          <w:iCs/>
        </w:rPr>
        <w:t xml:space="preserve">следующей проверки вагонов-цистерн, вагонов-батарей, вагонов со съемными цистернами (МПОГ)/автоцистерн, транспортных средств-батарей, </w:t>
      </w:r>
      <w:r>
        <w:rPr>
          <w:i/>
          <w:iCs/>
        </w:rPr>
        <w:lastRenderedPageBreak/>
        <w:t>съемных цистерн (ДОПОГ), переносных цистерн, контейнеров-цистерн и МЭГК, не просрочена;</w:t>
      </w:r>
      <w:r>
        <w:t>».</w:t>
      </w:r>
    </w:p>
    <w:p w14:paraId="2C6AC714" w14:textId="77777777" w:rsidR="007E05B4" w:rsidRPr="00F96DC7" w:rsidRDefault="007E05B4" w:rsidP="007E05B4">
      <w:pPr>
        <w:pStyle w:val="SingleTxtG"/>
        <w:snapToGrid w:val="0"/>
        <w:spacing w:before="120"/>
      </w:pPr>
      <w:r>
        <w:t>Изменить пункт 1.4.3.3 b) следующим образом (новый текст подчеркнут, исключенный текст зачеркнут):</w:t>
      </w:r>
    </w:p>
    <w:p w14:paraId="17641413" w14:textId="77777777" w:rsidR="007E05B4" w:rsidRPr="00F96DC7" w:rsidRDefault="007E05B4" w:rsidP="007E05B4">
      <w:pPr>
        <w:snapToGrid w:val="0"/>
        <w:spacing w:before="120" w:after="120"/>
        <w:ind w:left="2268" w:right="1134"/>
        <w:jc w:val="both"/>
        <w:rPr>
          <w:i/>
          <w:iCs/>
        </w:rPr>
      </w:pPr>
      <w:r>
        <w:t>«</w:t>
      </w:r>
      <w:r>
        <w:rPr>
          <w:i/>
          <w:iCs/>
        </w:rPr>
        <w:t>b)</w:t>
      </w:r>
      <w:r>
        <w:tab/>
      </w:r>
      <w:r>
        <w:rPr>
          <w:i/>
          <w:iCs/>
        </w:rPr>
        <w:t xml:space="preserve">он должен удостовериться в том, что </w:t>
      </w:r>
      <w:r>
        <w:rPr>
          <w:i/>
          <w:iCs/>
          <w:strike/>
        </w:rPr>
        <w:t xml:space="preserve">дата </w:t>
      </w:r>
      <w:proofErr w:type="spellStart"/>
      <w:r>
        <w:rPr>
          <w:i/>
          <w:iCs/>
          <w:u w:val="single"/>
        </w:rPr>
        <w:t>дата</w:t>
      </w:r>
      <w:proofErr w:type="spellEnd"/>
      <w:r>
        <w:rPr>
          <w:i/>
          <w:iCs/>
          <w:u w:val="single"/>
        </w:rPr>
        <w:t xml:space="preserve">, указанная для </w:t>
      </w:r>
      <w:r>
        <w:rPr>
          <w:i/>
          <w:iCs/>
        </w:rPr>
        <w:t>следующей проверки вагонов-цистерн, вагонов-батарей, вагонов со съемными цистернами (МПОГ)/автоцистерн, транспортных средств-батарей, съемных цистерн (ДОПОГ), переносных цистерн, контейнеров-цистерн и МЭГК, не просрочена;</w:t>
      </w:r>
      <w:r>
        <w:t>».</w:t>
      </w:r>
    </w:p>
    <w:p w14:paraId="7562CD27" w14:textId="6517C9B8" w:rsidR="007E05B4" w:rsidRPr="00F96DC7" w:rsidRDefault="00787F0D" w:rsidP="00787F0D">
      <w:pPr>
        <w:pStyle w:val="H23G"/>
      </w:pPr>
      <w:r>
        <w:tab/>
      </w:r>
      <w:r>
        <w:tab/>
      </w:r>
      <w:r w:rsidR="007E05B4">
        <w:t>Сопутствующие поправки для обоих вариантов:</w:t>
      </w:r>
    </w:p>
    <w:p w14:paraId="6A655078" w14:textId="77777777" w:rsidR="007E05B4" w:rsidRPr="00F96DC7" w:rsidRDefault="007E05B4" w:rsidP="007E05B4">
      <w:pPr>
        <w:pStyle w:val="SingleTxtG"/>
        <w:snapToGrid w:val="0"/>
        <w:spacing w:before="120"/>
        <w:rPr>
          <w:bCs/>
        </w:rPr>
      </w:pPr>
      <w:r>
        <w:t>14.</w:t>
      </w:r>
      <w:r>
        <w:tab/>
        <w:t>В пункте 6.8.2.4.3 изменить первые три абзаца следующим образом с учетом поправок, принятых Совместным совещанием в марте 2021 года (см. доклад ECE/TRANS/WP.15/AC.1/160, приложение II) (новый текст подчеркнут, исключенный текст зачеркнут):</w:t>
      </w:r>
    </w:p>
    <w:p w14:paraId="4BCCFCCF" w14:textId="77777777" w:rsidR="007E05B4" w:rsidRPr="00F96DC7" w:rsidRDefault="007E05B4" w:rsidP="007E05B4">
      <w:pPr>
        <w:snapToGrid w:val="0"/>
        <w:spacing w:before="120" w:after="120"/>
        <w:ind w:left="2268" w:right="1134" w:hanging="1134"/>
        <w:jc w:val="both"/>
        <w:rPr>
          <w:strike/>
        </w:rPr>
      </w:pPr>
      <w:r>
        <w:t>«6.8.2.4.3</w:t>
      </w:r>
      <w:r>
        <w:tab/>
      </w:r>
      <w:r>
        <w:tab/>
        <w:t xml:space="preserve">Корпуса и их оборудование должны подвергаться промежуточным проверкам не позднее чем через четыре (МПОГ)/три (ДОПОГ)/два с половиной года после первоначальной проверки и каждой периодической проверки. </w:t>
      </w:r>
      <w:r>
        <w:rPr>
          <w:strike/>
        </w:rPr>
        <w:t>Эти промежуточные проверки могут проводиться в течение трех месяцев до или после указанной даты.</w:t>
      </w:r>
    </w:p>
    <w:p w14:paraId="120B7CA6" w14:textId="77777777" w:rsidR="007E05B4" w:rsidRPr="00F96DC7" w:rsidRDefault="007E05B4" w:rsidP="007E05B4">
      <w:pPr>
        <w:snapToGrid w:val="0"/>
        <w:spacing w:before="120" w:after="120"/>
        <w:ind w:left="2268" w:right="1134"/>
        <w:jc w:val="both"/>
      </w:pPr>
      <w:r>
        <w:t>Однако промежуточная проверка может быть проведена в любое время до указанной даты.</w:t>
      </w:r>
    </w:p>
    <w:p w14:paraId="5DB9B1E9" w14:textId="77777777" w:rsidR="007E05B4" w:rsidRPr="00F96DC7" w:rsidRDefault="007E05B4" w:rsidP="007E05B4">
      <w:pPr>
        <w:snapToGrid w:val="0"/>
        <w:spacing w:before="120" w:after="120"/>
        <w:ind w:left="2268" w:right="1134"/>
        <w:jc w:val="both"/>
        <w:rPr>
          <w:strike/>
        </w:rPr>
      </w:pPr>
      <w:r>
        <w:t xml:space="preserve">Если промежуточная проверка проводится более чем за три месяца до указанной даты, то очередная промежуточная проверка должна проводиться не позднее чем через четыре (МПОГ)/три (ДОПОГ)/два с половиной года после этой более ранней даты, </w:t>
      </w:r>
      <w:r>
        <w:rPr>
          <w:u w:val="single"/>
        </w:rPr>
        <w:t>или в качестве альтернативы может проводиться периодическая проверка в соответствии с пунктом 6.8.2.4.2</w:t>
      </w:r>
      <w:r>
        <w:t>.».</w:t>
      </w:r>
    </w:p>
    <w:p w14:paraId="37EB2E08" w14:textId="1EDFDB4D" w:rsidR="007E05B4" w:rsidRPr="00F96DC7" w:rsidRDefault="00787F0D" w:rsidP="00787F0D">
      <w:pPr>
        <w:pStyle w:val="H23G"/>
        <w:rPr>
          <w:sz w:val="22"/>
          <w:szCs w:val="22"/>
        </w:rPr>
      </w:pPr>
      <w:r>
        <w:tab/>
      </w:r>
      <w:r>
        <w:tab/>
      </w:r>
      <w:r w:rsidR="007E05B4">
        <w:t>Пункт 5:</w:t>
      </w:r>
      <w:r w:rsidR="007E05B4">
        <w:tab/>
        <w:t xml:space="preserve">Обязательное оборудование предохранительными клапанами цистерн, перевозящих воспламеняющиеся сжиженные </w:t>
      </w:r>
      <w:proofErr w:type="spellStart"/>
      <w:r w:rsidR="007E05B4">
        <w:t>газы</w:t>
      </w:r>
      <w:proofErr w:type="spellEnd"/>
    </w:p>
    <w:p w14:paraId="5451C272" w14:textId="27BBDF32" w:rsidR="007E05B4" w:rsidRPr="00F96DC7" w:rsidRDefault="007E05B4" w:rsidP="008041C5">
      <w:pPr>
        <w:pStyle w:val="SingleTxtG"/>
        <w:tabs>
          <w:tab w:val="clear" w:pos="2268"/>
          <w:tab w:val="clear" w:pos="2835"/>
          <w:tab w:val="left" w:pos="3686"/>
        </w:tabs>
        <w:ind w:left="3686" w:hanging="2552"/>
        <w:jc w:val="left"/>
        <w:rPr>
          <w:bCs/>
        </w:rPr>
      </w:pPr>
      <w:r>
        <w:rPr>
          <w:i/>
          <w:iCs/>
        </w:rPr>
        <w:t>Документ:</w:t>
      </w:r>
      <w:r>
        <w:tab/>
        <w:t xml:space="preserve">ECE/TRANS/WP.15/AC.1/2021/36 </w:t>
      </w:r>
      <w:r w:rsidR="008041C5">
        <w:br/>
      </w:r>
      <w:r>
        <w:t>(Ассоциация «Сжиженный газ — Европа»)</w:t>
      </w:r>
    </w:p>
    <w:p w14:paraId="5F9D6B93" w14:textId="77777777" w:rsidR="007E05B4" w:rsidRPr="00F96DC7" w:rsidRDefault="007E05B4" w:rsidP="007E05B4">
      <w:pPr>
        <w:pStyle w:val="SingleTxtG"/>
        <w:snapToGrid w:val="0"/>
        <w:spacing w:before="120"/>
      </w:pPr>
      <w:r>
        <w:t>15.</w:t>
      </w:r>
      <w:r>
        <w:tab/>
        <w:t>Эти предложения были приняты с некоторыми изменениями, в частности по разрывным мембранам при их использовании в сочетании с предохранительными клапанами и по защите предохранительных клапанов.</w:t>
      </w:r>
    </w:p>
    <w:p w14:paraId="3534D047" w14:textId="2E1F71B6" w:rsidR="007E05B4" w:rsidRPr="00F96DC7" w:rsidRDefault="007E05B4" w:rsidP="007E05B4">
      <w:pPr>
        <w:pStyle w:val="SingleTxtG"/>
        <w:snapToGrid w:val="0"/>
        <w:spacing w:before="120"/>
      </w:pPr>
      <w:r>
        <w:t xml:space="preserve">Предложение 16 </w:t>
      </w:r>
      <w:r w:rsidR="008041C5" w:rsidRPr="008041C5">
        <w:t>—</w:t>
      </w:r>
      <w:r>
        <w:t xml:space="preserve"> Изменить текст пункта 6.8.3.2.9 в ДОПОГ по всей странице и в МПОГ только в правой колонке следующим образом (новый текст подчеркнут, исключенный текст зачеркнут):</w:t>
      </w:r>
    </w:p>
    <w:p w14:paraId="46270085" w14:textId="77777777" w:rsidR="007E05B4" w:rsidRPr="00F96DC7" w:rsidRDefault="007E05B4" w:rsidP="007E05B4">
      <w:pPr>
        <w:snapToGrid w:val="0"/>
        <w:spacing w:before="120" w:after="120"/>
        <w:ind w:left="2268" w:right="1134" w:hanging="1134"/>
        <w:jc w:val="both"/>
        <w:rPr>
          <w:i/>
          <w:iCs/>
          <w:u w:val="single"/>
        </w:rPr>
      </w:pPr>
      <w:r>
        <w:t>«</w:t>
      </w:r>
      <w:r>
        <w:rPr>
          <w:i/>
          <w:iCs/>
        </w:rPr>
        <w:t>6.8.3.2.9</w:t>
      </w:r>
      <w:r>
        <w:tab/>
      </w:r>
      <w:r>
        <w:rPr>
          <w:i/>
          <w:iCs/>
        </w:rPr>
        <w:t xml:space="preserve">Цистерны, предназначенные для перевозки </w:t>
      </w:r>
      <w:r>
        <w:rPr>
          <w:i/>
          <w:iCs/>
          <w:u w:val="single"/>
        </w:rPr>
        <w:t xml:space="preserve">воспламеняющихся </w:t>
      </w:r>
      <w:r>
        <w:rPr>
          <w:i/>
          <w:iCs/>
          <w:strike/>
        </w:rPr>
        <w:t xml:space="preserve">сжатых или </w:t>
      </w:r>
      <w:r>
        <w:rPr>
          <w:i/>
          <w:iCs/>
        </w:rPr>
        <w:t>сжиженных газов</w:t>
      </w:r>
      <w:r>
        <w:rPr>
          <w:i/>
          <w:iCs/>
          <w:strike/>
        </w:rPr>
        <w:t xml:space="preserve"> либо растворенных газов</w:t>
      </w:r>
      <w:r>
        <w:rPr>
          <w:i/>
          <w:iCs/>
        </w:rPr>
        <w:t xml:space="preserve">, </w:t>
      </w:r>
      <w:r>
        <w:rPr>
          <w:i/>
          <w:iCs/>
          <w:u w:val="single"/>
        </w:rPr>
        <w:t xml:space="preserve">должны </w:t>
      </w:r>
      <w:r>
        <w:rPr>
          <w:i/>
          <w:iCs/>
          <w:strike/>
        </w:rPr>
        <w:t xml:space="preserve">могут </w:t>
      </w:r>
      <w:r>
        <w:rPr>
          <w:i/>
          <w:iCs/>
        </w:rPr>
        <w:t xml:space="preserve">быть оборудованы </w:t>
      </w:r>
      <w:r>
        <w:rPr>
          <w:i/>
          <w:iCs/>
          <w:strike/>
        </w:rPr>
        <w:t xml:space="preserve">подпружиненными </w:t>
      </w:r>
      <w:r>
        <w:rPr>
          <w:i/>
          <w:iCs/>
        </w:rPr>
        <w:t>предохранительными клапанами.</w:t>
      </w:r>
      <w:r>
        <w:t xml:space="preserve"> </w:t>
      </w:r>
      <w:r>
        <w:rPr>
          <w:i/>
          <w:iCs/>
          <w:u w:val="single"/>
        </w:rPr>
        <w:t>Цистерны, предназначенные для перевозки сжатых или невоспламеняющихся сжиженных газов либо растворенных газов, могут быть оборудованы предохранительными клапанами.</w:t>
      </w:r>
      <w:r>
        <w:t xml:space="preserve"> </w:t>
      </w:r>
      <w:r>
        <w:rPr>
          <w:i/>
          <w:iCs/>
          <w:u w:val="single"/>
        </w:rPr>
        <w:t>Предохранительные клапаны, если они установлены, должны отвечать требованиям пунктов 6.8.3.2.9.1–6.8.3.2.9.5.</w:t>
      </w:r>
    </w:p>
    <w:p w14:paraId="614BC827" w14:textId="075A2DEF" w:rsidR="007E05B4" w:rsidRPr="00F96DC7" w:rsidRDefault="007E05B4" w:rsidP="007E05B4">
      <w:pPr>
        <w:snapToGrid w:val="0"/>
        <w:spacing w:before="120" w:after="120"/>
        <w:ind w:left="2268" w:right="1134" w:hanging="1134"/>
        <w:jc w:val="both"/>
        <w:rPr>
          <w:i/>
          <w:iCs/>
        </w:rPr>
      </w:pPr>
      <w:r w:rsidRPr="00097AB9">
        <w:rPr>
          <w:i/>
          <w:iCs/>
          <w:u w:val="single"/>
        </w:rPr>
        <w:t>6.8.3.2.9.1</w:t>
      </w:r>
      <w:r>
        <w:tab/>
      </w:r>
      <w:r>
        <w:rPr>
          <w:i/>
          <w:iCs/>
          <w:u w:val="single"/>
        </w:rPr>
        <w:t xml:space="preserve">Предохранительные </w:t>
      </w:r>
      <w:r>
        <w:rPr>
          <w:i/>
          <w:iCs/>
          <w:strike/>
        </w:rPr>
        <w:t xml:space="preserve">Эти </w:t>
      </w:r>
      <w:r>
        <w:rPr>
          <w:i/>
          <w:iCs/>
        </w:rPr>
        <w:t xml:space="preserve">клапаны должны быть способны автоматически открываться при давлении, составляющем </w:t>
      </w:r>
      <w:r w:rsidR="008041C5">
        <w:rPr>
          <w:i/>
          <w:iCs/>
        </w:rPr>
        <w:br/>
      </w:r>
      <w:r>
        <w:rPr>
          <w:i/>
          <w:iCs/>
        </w:rPr>
        <w:t>0,9−1,0 испытательного давления цистерны, на которой они установлены.</w:t>
      </w:r>
      <w:r>
        <w:t xml:space="preserve"> </w:t>
      </w:r>
      <w:r>
        <w:rPr>
          <w:i/>
          <w:iCs/>
        </w:rPr>
        <w:t>Клапаны должны быть такого типа, чтобы они могли выдерживать динамические нагрузки, включая волновой удар жидкости.</w:t>
      </w:r>
      <w:r>
        <w:t xml:space="preserve"> </w:t>
      </w:r>
      <w:r>
        <w:rPr>
          <w:i/>
          <w:iCs/>
        </w:rPr>
        <w:t>Использование клапанов, срабатывающих под воздействием собственного веса, или клапанов с противовесом запрещается.</w:t>
      </w:r>
      <w:r>
        <w:t xml:space="preserve"> </w:t>
      </w:r>
      <w:r>
        <w:rPr>
          <w:i/>
          <w:iCs/>
        </w:rPr>
        <w:lastRenderedPageBreak/>
        <w:t>Требуемая пропускная способность предохранительных клапанов рассчитывается по формуле, приведенной в пункте 6.7.3.8.1.1.</w:t>
      </w:r>
    </w:p>
    <w:p w14:paraId="334A7834" w14:textId="77777777" w:rsidR="007E05B4" w:rsidRPr="00F96DC7" w:rsidRDefault="007E05B4" w:rsidP="007E05B4">
      <w:pPr>
        <w:snapToGrid w:val="0"/>
        <w:spacing w:before="120" w:after="120"/>
        <w:ind w:left="2268" w:right="1134"/>
        <w:jc w:val="both"/>
        <w:rPr>
          <w:i/>
          <w:iCs/>
        </w:rPr>
      </w:pPr>
      <w:r>
        <w:rPr>
          <w:i/>
          <w:iCs/>
        </w:rPr>
        <w:t>Предохранительные клапаны должны быть сконструированы или защищены таким образом, чтобы предотвращать проникновение воды и других посторонних веществ, которые могут помешать их надлежащему функционированию.</w:t>
      </w:r>
      <w:r>
        <w:t xml:space="preserve"> </w:t>
      </w:r>
      <w:r>
        <w:rPr>
          <w:i/>
          <w:iCs/>
        </w:rPr>
        <w:t>Наличие защиты не должно сказываться на рабочих характеристиках клапана.</w:t>
      </w:r>
    </w:p>
    <w:p w14:paraId="4AF23C48" w14:textId="77777777" w:rsidR="007E05B4" w:rsidRPr="00F96DC7" w:rsidRDefault="007E05B4" w:rsidP="008041C5">
      <w:pPr>
        <w:snapToGrid w:val="0"/>
        <w:spacing w:before="120" w:after="120"/>
        <w:ind w:left="2268" w:right="1134" w:hanging="1134"/>
        <w:jc w:val="both"/>
        <w:rPr>
          <w:i/>
          <w:iCs/>
          <w:u w:val="single"/>
        </w:rPr>
      </w:pPr>
      <w:r w:rsidRPr="00BF7A7D">
        <w:rPr>
          <w:i/>
          <w:iCs/>
          <w:u w:val="single"/>
        </w:rPr>
        <w:t>6.8.3.2.9.2</w:t>
      </w:r>
      <w:r>
        <w:tab/>
      </w:r>
      <w:r>
        <w:rPr>
          <w:i/>
          <w:iCs/>
          <w:u w:val="single"/>
        </w:rPr>
        <w:t>Если цистерны, которые должны закрываться герметически, оборудованы предохранительными клапанами, то перед ними должна устанавливаться разрывная мембрана и должны выполняться следующие условия:</w:t>
      </w:r>
    </w:p>
    <w:p w14:paraId="49FF6462" w14:textId="77777777" w:rsidR="007E05B4" w:rsidRPr="00F96DC7" w:rsidRDefault="007E05B4" w:rsidP="008041C5">
      <w:pPr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before="120" w:after="120"/>
        <w:ind w:left="2694" w:right="1134" w:hanging="426"/>
        <w:jc w:val="both"/>
        <w:rPr>
          <w:i/>
          <w:iCs/>
          <w:u w:val="single"/>
        </w:rPr>
      </w:pPr>
      <w:r>
        <w:rPr>
          <w:i/>
          <w:iCs/>
          <w:u w:val="single"/>
        </w:rPr>
        <w:t>минимальное давление разрыва при 20 °С, включая допуски, должно составлять не менее 1,0 испытательного давления;</w:t>
      </w:r>
    </w:p>
    <w:p w14:paraId="65BACF5A" w14:textId="77777777" w:rsidR="007E05B4" w:rsidRPr="00F96DC7" w:rsidRDefault="007E05B4" w:rsidP="008041C5">
      <w:pPr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before="120" w:after="120"/>
        <w:ind w:left="2694" w:right="1134" w:hanging="426"/>
        <w:jc w:val="both"/>
        <w:rPr>
          <w:i/>
          <w:iCs/>
          <w:u w:val="single"/>
        </w:rPr>
      </w:pPr>
      <w:r>
        <w:rPr>
          <w:i/>
          <w:iCs/>
          <w:u w:val="single"/>
        </w:rPr>
        <w:t>максимальное давление разрыва при 20 °С, включая допуски, должно составлять 1,1 испытательного давления</w:t>
      </w:r>
      <w:r w:rsidRPr="008041C5">
        <w:rPr>
          <w:i/>
          <w:iCs/>
          <w:u w:val="single"/>
        </w:rPr>
        <w:t>;</w:t>
      </w:r>
      <w:r w:rsidRPr="008041C5">
        <w:rPr>
          <w:u w:val="single"/>
        </w:rPr>
        <w:t xml:space="preserve"> </w:t>
      </w:r>
      <w:r w:rsidRPr="008041C5">
        <w:rPr>
          <w:i/>
          <w:iCs/>
          <w:u w:val="single"/>
        </w:rPr>
        <w:t>и</w:t>
      </w:r>
    </w:p>
    <w:p w14:paraId="4AB1A209" w14:textId="77777777" w:rsidR="007E05B4" w:rsidRPr="00F96DC7" w:rsidRDefault="007E05B4" w:rsidP="008041C5">
      <w:pPr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before="120" w:after="120"/>
        <w:ind w:left="2693" w:right="1134" w:hanging="425"/>
        <w:jc w:val="both"/>
        <w:rPr>
          <w:i/>
          <w:iCs/>
          <w:u w:val="single"/>
        </w:rPr>
      </w:pPr>
      <w:r>
        <w:rPr>
          <w:i/>
          <w:iCs/>
          <w:u w:val="single"/>
        </w:rPr>
        <w:t>разрывная мембрана не должна снижать требуемую пропускную способность предохранительного клапана или мешать его надлежащему функционированию.</w:t>
      </w:r>
    </w:p>
    <w:p w14:paraId="1BA21428" w14:textId="77777777" w:rsidR="007E05B4" w:rsidRPr="00F96DC7" w:rsidRDefault="007E05B4" w:rsidP="008041C5">
      <w:pPr>
        <w:widowControl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i/>
          <w:iCs/>
          <w:u w:val="single"/>
        </w:rPr>
      </w:pPr>
      <w:r>
        <w:rPr>
          <w:i/>
          <w:iCs/>
          <w:u w:val="single"/>
        </w:rPr>
        <w:t>Между разрывной мембраной и предохранительным клапаном должен быть установлен манометр или другой подходящий измерительный прибор, с тем чтобы можно было обнаружить разрыв или перфорацию мембраны или утечку через нее.</w:t>
      </w:r>
      <w:r>
        <w:t xml:space="preserve"> </w:t>
      </w:r>
    </w:p>
    <w:p w14:paraId="33EBF0B0" w14:textId="77777777" w:rsidR="007E05B4" w:rsidRPr="00F96DC7" w:rsidRDefault="007E05B4" w:rsidP="007E05B4">
      <w:pPr>
        <w:snapToGrid w:val="0"/>
        <w:spacing w:before="120" w:after="120"/>
        <w:ind w:left="2268" w:right="1134" w:hanging="1134"/>
        <w:jc w:val="both"/>
        <w:rPr>
          <w:i/>
          <w:iCs/>
          <w:u w:val="single"/>
        </w:rPr>
      </w:pPr>
      <w:r w:rsidRPr="006C5C45">
        <w:rPr>
          <w:i/>
          <w:iCs/>
          <w:u w:val="single"/>
        </w:rPr>
        <w:t>6.8.3.2.9.3</w:t>
      </w:r>
      <w:r>
        <w:tab/>
      </w:r>
      <w:r>
        <w:rPr>
          <w:i/>
          <w:iCs/>
          <w:u w:val="single"/>
        </w:rPr>
        <w:t>Предохранительные клапаны должны быть непосредственно соединены с корпусом или с выходным отверстием разрывной мембраны.</w:t>
      </w:r>
    </w:p>
    <w:p w14:paraId="7D7D6594" w14:textId="77777777" w:rsidR="007E05B4" w:rsidRPr="00F96DC7" w:rsidRDefault="007E05B4" w:rsidP="007E05B4">
      <w:pPr>
        <w:snapToGrid w:val="0"/>
        <w:spacing w:before="120" w:after="120"/>
        <w:ind w:left="2268" w:right="1134" w:hanging="1134"/>
        <w:jc w:val="both"/>
        <w:rPr>
          <w:i/>
          <w:iCs/>
        </w:rPr>
      </w:pPr>
      <w:r w:rsidRPr="00DC1DD3">
        <w:rPr>
          <w:i/>
          <w:iCs/>
          <w:u w:val="single"/>
        </w:rPr>
        <w:t>6.8.3.2.9.4</w:t>
      </w:r>
      <w:r>
        <w:tab/>
      </w:r>
      <w:r>
        <w:rPr>
          <w:i/>
          <w:iCs/>
          <w:u w:val="single"/>
        </w:rPr>
        <w:t>Входные отверстия предохранительных клапанов должны располагаться в верхней части корпуса, как можно ближе к его поперечному центру.</w:t>
      </w:r>
      <w:r w:rsidRPr="00512909">
        <w:rPr>
          <w:u w:val="single"/>
        </w:rPr>
        <w:t xml:space="preserve"> </w:t>
      </w:r>
      <w:r>
        <w:rPr>
          <w:i/>
          <w:iCs/>
          <w:u w:val="single"/>
        </w:rPr>
        <w:t>Все входные отверстия предохранительных клапанов должны быть расположены — в условиях максимального наполнения — в паровом пространстве корпуса, и устройства должны быть установлены таким образом, чтобы обеспечивать беспрепятственное удаление выпускаемых паров.</w:t>
      </w:r>
      <w:r w:rsidRPr="00BD3548">
        <w:rPr>
          <w:u w:val="single"/>
        </w:rPr>
        <w:t xml:space="preserve"> </w:t>
      </w:r>
      <w:r>
        <w:rPr>
          <w:i/>
          <w:iCs/>
          <w:u w:val="single"/>
        </w:rPr>
        <w:t>В случае воспламеняющихся сжиженных газов выпускаемый пар должен быть направлен в сторону от корпуса таким образом, чтобы не сталкиваться с корпусом.</w:t>
      </w:r>
      <w:r w:rsidRPr="00BD3548">
        <w:rPr>
          <w:u w:val="single"/>
        </w:rPr>
        <w:t xml:space="preserve"> </w:t>
      </w:r>
      <w:r w:rsidRPr="00BD3548">
        <w:rPr>
          <w:i/>
          <w:iCs/>
          <w:u w:val="single"/>
        </w:rPr>
        <w:t>Защитные устройства, изменяющие направление потока паров, допускаются при условии, что требуемая пропускная способность предохранительных клапанов не снижается.</w:t>
      </w:r>
    </w:p>
    <w:p w14:paraId="4EAED035" w14:textId="77777777" w:rsidR="007E05B4" w:rsidRPr="00F96DC7" w:rsidRDefault="007E05B4" w:rsidP="007E05B4">
      <w:pPr>
        <w:snapToGrid w:val="0"/>
        <w:spacing w:before="120" w:after="120"/>
        <w:ind w:left="2259" w:right="1134" w:hanging="1125"/>
        <w:jc w:val="both"/>
        <w:rPr>
          <w:i/>
          <w:iCs/>
          <w:u w:val="single"/>
        </w:rPr>
      </w:pPr>
      <w:r w:rsidRPr="00356E67">
        <w:rPr>
          <w:i/>
          <w:iCs/>
          <w:u w:val="single"/>
        </w:rPr>
        <w:t>6.8.3.2.9.5</w:t>
      </w:r>
      <w:r>
        <w:tab/>
      </w:r>
      <w:r>
        <w:rPr>
          <w:i/>
          <w:iCs/>
          <w:u w:val="single"/>
        </w:rPr>
        <w:t>Должны быть предусмотрены меры по защите предохранительных клапанов от повреждений, вызванных опрокидыванием цистерны или ударом о нависающие препятствия</w:t>
      </w:r>
      <w:r w:rsidRPr="00356E67">
        <w:rPr>
          <w:i/>
          <w:iCs/>
          <w:u w:val="single"/>
        </w:rPr>
        <w:t>.</w:t>
      </w:r>
      <w:r w:rsidRPr="00356E67">
        <w:rPr>
          <w:u w:val="single"/>
        </w:rPr>
        <w:t xml:space="preserve"> </w:t>
      </w:r>
      <w:r w:rsidRPr="00356E67">
        <w:rPr>
          <w:i/>
          <w:iCs/>
          <w:u w:val="single"/>
        </w:rPr>
        <w:t>По возможности предохранительные клапаны не должны выступать за предельные габариты корпуса.</w:t>
      </w:r>
      <w:r>
        <w:t>».</w:t>
      </w:r>
    </w:p>
    <w:p w14:paraId="23765B65" w14:textId="456BFB2A" w:rsidR="007E05B4" w:rsidRPr="00F96DC7" w:rsidRDefault="007E05B4" w:rsidP="008041C5">
      <w:pPr>
        <w:pStyle w:val="SingleTxtG"/>
      </w:pPr>
      <w:r>
        <w:t xml:space="preserve">Предложение 17 </w:t>
      </w:r>
      <w:r w:rsidR="008041C5" w:rsidRPr="008041C5">
        <w:t>—</w:t>
      </w:r>
      <w:r>
        <w:t xml:space="preserve"> Включить в раздел 1.6.3 ДОПОГ и в раздел 1.6.4 МПОГ и ДОПОГ новые переходные меры следующего содержания:</w:t>
      </w:r>
    </w:p>
    <w:p w14:paraId="0E9CF8E0" w14:textId="77777777" w:rsidR="007E05B4" w:rsidRPr="00F96DC7" w:rsidRDefault="007E05B4" w:rsidP="008041C5">
      <w:pPr>
        <w:pStyle w:val="SingleTxtG"/>
        <w:rPr>
          <w:bCs/>
        </w:rPr>
      </w:pPr>
      <w:r>
        <w:t>(Только ДОПОГ)</w:t>
      </w:r>
    </w:p>
    <w:p w14:paraId="37047248" w14:textId="77777777" w:rsidR="007E05B4" w:rsidRPr="00F96DC7" w:rsidRDefault="007E05B4" w:rsidP="008041C5">
      <w:pPr>
        <w:pStyle w:val="SingleTxtG"/>
        <w:tabs>
          <w:tab w:val="clear" w:pos="1701"/>
        </w:tabs>
        <w:rPr>
          <w:bCs/>
        </w:rPr>
      </w:pPr>
      <w:r>
        <w:t>1.6.3</w:t>
      </w:r>
      <w:r>
        <w:tab/>
        <w:t>Включить новое переходное положение следующего содержания:</w:t>
      </w:r>
    </w:p>
    <w:p w14:paraId="40A103E1" w14:textId="77777777" w:rsidR="007E05B4" w:rsidRPr="00F96DC7" w:rsidRDefault="007E05B4" w:rsidP="008041C5">
      <w:pPr>
        <w:snapToGrid w:val="0"/>
        <w:spacing w:before="120" w:after="120"/>
        <w:ind w:left="2259" w:right="1134" w:hanging="1125"/>
        <w:jc w:val="both"/>
        <w:rPr>
          <w:i/>
          <w:iCs/>
          <w:u w:val="single"/>
        </w:rPr>
      </w:pPr>
      <w:r>
        <w:t>«</w:t>
      </w:r>
      <w:r>
        <w:rPr>
          <w:i/>
          <w:iCs/>
          <w:u w:val="single"/>
        </w:rPr>
        <w:t>1.6.3.xx</w:t>
      </w:r>
      <w:r>
        <w:tab/>
      </w:r>
      <w:r>
        <w:rPr>
          <w:i/>
          <w:iCs/>
          <w:u w:val="single"/>
        </w:rPr>
        <w:t>Встроенные цистерны (автоцистерны) и съемные цистерны, изготовленные до 1 января 2024 года в соответствии с требованиями, действовавшими до 31 декабря 2022 года, но не отвечающие, однако, требованиям в отношении установки предохранительных клапанов в соответствии с пунктом 6.8.3.2.9, применяемым с 1 января 2023 года, могут по-прежнему эксплуатироваться.</w:t>
      </w:r>
      <w:r>
        <w:t>».</w:t>
      </w:r>
    </w:p>
    <w:p w14:paraId="7C1EB2C4" w14:textId="77777777" w:rsidR="007E05B4" w:rsidRPr="00F96DC7" w:rsidRDefault="007E05B4" w:rsidP="008041C5">
      <w:pPr>
        <w:pStyle w:val="SingleTxtG"/>
        <w:rPr>
          <w:u w:val="single"/>
        </w:rPr>
      </w:pPr>
      <w:r>
        <w:rPr>
          <w:u w:val="single"/>
        </w:rPr>
        <w:t>(МПОГ/ДОПОГ)</w:t>
      </w:r>
    </w:p>
    <w:p w14:paraId="40BCF5D9" w14:textId="77777777" w:rsidR="007E05B4" w:rsidRPr="00F96DC7" w:rsidRDefault="007E05B4" w:rsidP="008041C5">
      <w:pPr>
        <w:pStyle w:val="SingleTxtG"/>
        <w:tabs>
          <w:tab w:val="clear" w:pos="1701"/>
        </w:tabs>
        <w:rPr>
          <w:bCs/>
        </w:rPr>
      </w:pPr>
      <w:r>
        <w:lastRenderedPageBreak/>
        <w:t>1.6.4</w:t>
      </w:r>
      <w:r>
        <w:tab/>
        <w:t>Включить новое переходное положение следующего содержания:</w:t>
      </w:r>
    </w:p>
    <w:p w14:paraId="2C306E5C" w14:textId="1B2EFEA0" w:rsidR="007E05B4" w:rsidRPr="00F96DC7" w:rsidRDefault="007E05B4" w:rsidP="008041C5">
      <w:pPr>
        <w:snapToGrid w:val="0"/>
        <w:spacing w:before="120" w:after="120"/>
        <w:ind w:left="2259" w:right="1134" w:hanging="1125"/>
        <w:jc w:val="both"/>
        <w:rPr>
          <w:i/>
          <w:iCs/>
        </w:rPr>
      </w:pPr>
      <w:r>
        <w:t>«</w:t>
      </w:r>
      <w:r>
        <w:rPr>
          <w:i/>
          <w:iCs/>
          <w:u w:val="single"/>
        </w:rPr>
        <w:t>1.6.4.хх</w:t>
      </w:r>
      <w:r>
        <w:tab/>
      </w:r>
      <w:r>
        <w:rPr>
          <w:i/>
          <w:iCs/>
          <w:u w:val="single"/>
        </w:rPr>
        <w:t>Контейнеры-цистерны, изготовленные до 1 января 2024 года в соответствии с требованиями, действовавшими до 31 декабря 2022</w:t>
      </w:r>
      <w:r w:rsidR="008041C5">
        <w:rPr>
          <w:i/>
          <w:iCs/>
          <w:u w:val="single"/>
          <w:lang w:val="en-US"/>
        </w:rPr>
        <w:t> </w:t>
      </w:r>
      <w:r>
        <w:rPr>
          <w:i/>
          <w:iCs/>
          <w:u w:val="single"/>
        </w:rPr>
        <w:t>года, но не отвечающие, однако, требованиям в отношении установки предохранительных клапанов в соответствии с пунктом 6.8.3.2.9, применяемым с 1 января 2023 года, могут по</w:t>
      </w:r>
      <w:r w:rsidR="000C120F">
        <w:rPr>
          <w:i/>
          <w:iCs/>
          <w:u w:val="single"/>
        </w:rPr>
        <w:noBreakHyphen/>
      </w:r>
      <w:r>
        <w:rPr>
          <w:i/>
          <w:iCs/>
          <w:u w:val="single"/>
        </w:rPr>
        <w:t>прежнему эксплуатироваться.</w:t>
      </w:r>
      <w:r>
        <w:t>».</w:t>
      </w:r>
    </w:p>
    <w:p w14:paraId="590681CF" w14:textId="75032771" w:rsidR="007E05B4" w:rsidRPr="00F96DC7" w:rsidRDefault="007E05B4" w:rsidP="008041C5">
      <w:pPr>
        <w:pStyle w:val="SingleTxtG"/>
        <w:tabs>
          <w:tab w:val="clear" w:pos="1701"/>
        </w:tabs>
      </w:pPr>
      <w:r>
        <w:t xml:space="preserve">Предложение 18 </w:t>
      </w:r>
      <w:r w:rsidR="000C120F" w:rsidRPr="000C120F">
        <w:t>—</w:t>
      </w:r>
      <w:r>
        <w:t xml:space="preserve"> Сопутствующая поправка ко второму абзацу пункта 6.8.2.2.10 следующего содержания (новый текст подчеркнут, исключенный текст зачеркнут):</w:t>
      </w:r>
    </w:p>
    <w:p w14:paraId="3BCA89E6" w14:textId="69AEB97D" w:rsidR="007E05B4" w:rsidRDefault="007E05B4" w:rsidP="000C120F">
      <w:pPr>
        <w:widowControl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</w:pPr>
      <w:r>
        <w:t>«</w:t>
      </w:r>
      <w:r>
        <w:rPr>
          <w:i/>
          <w:iCs/>
        </w:rPr>
        <w:t>За исключением цистерн, предназначенных для перевозки сжатых, сжиженных или растворенных газов, когда компоновка разрывной мембраны и предохранительного клапана должна удовлетворять требованиям</w:t>
      </w:r>
      <w:r>
        <w:rPr>
          <w:i/>
          <w:iCs/>
          <w:strike/>
        </w:rPr>
        <w:t xml:space="preserve"> компетентного органа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пункта 6.8.3.9.2</w:t>
      </w:r>
      <w:r>
        <w:rPr>
          <w:i/>
          <w:iCs/>
        </w:rPr>
        <w:t>, давление разрыва разрывных мембран должно отвечать следующим требованиям:</w:t>
      </w:r>
      <w:r>
        <w:t>».</w:t>
      </w:r>
    </w:p>
    <w:p w14:paraId="10F5DBFB" w14:textId="1F5A251C" w:rsidR="007E05B4" w:rsidRPr="007E05B4" w:rsidRDefault="007E05B4" w:rsidP="007E05B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E05B4" w:rsidRPr="007E05B4" w:rsidSect="007E05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303A3" w14:textId="77777777" w:rsidR="00B70355" w:rsidRPr="00A312BC" w:rsidRDefault="00B70355" w:rsidP="00A312BC"/>
  </w:endnote>
  <w:endnote w:type="continuationSeparator" w:id="0">
    <w:p w14:paraId="6CE6C2E1" w14:textId="77777777" w:rsidR="00B70355" w:rsidRPr="00A312BC" w:rsidRDefault="00B7035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9EF0F" w14:textId="01355A27" w:rsidR="007E05B4" w:rsidRPr="007E05B4" w:rsidRDefault="007E05B4">
    <w:pPr>
      <w:pStyle w:val="Footer"/>
    </w:pPr>
    <w:r w:rsidRPr="007E05B4">
      <w:rPr>
        <w:b/>
        <w:sz w:val="18"/>
      </w:rPr>
      <w:fldChar w:fldCharType="begin"/>
    </w:r>
    <w:r w:rsidRPr="007E05B4">
      <w:rPr>
        <w:b/>
        <w:sz w:val="18"/>
      </w:rPr>
      <w:instrText xml:space="preserve"> PAGE  \* MERGEFORMAT </w:instrText>
    </w:r>
    <w:r w:rsidRPr="007E05B4">
      <w:rPr>
        <w:b/>
        <w:sz w:val="18"/>
      </w:rPr>
      <w:fldChar w:fldCharType="separate"/>
    </w:r>
    <w:r w:rsidRPr="007E05B4">
      <w:rPr>
        <w:b/>
        <w:noProof/>
        <w:sz w:val="18"/>
      </w:rPr>
      <w:t>2</w:t>
    </w:r>
    <w:r w:rsidRPr="007E05B4">
      <w:rPr>
        <w:b/>
        <w:sz w:val="18"/>
      </w:rPr>
      <w:fldChar w:fldCharType="end"/>
    </w:r>
    <w:r>
      <w:rPr>
        <w:b/>
        <w:sz w:val="18"/>
      </w:rPr>
      <w:tab/>
    </w:r>
    <w:r>
      <w:t>GE.21-15383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2BDE" w14:textId="10467197" w:rsidR="007E05B4" w:rsidRPr="007E05B4" w:rsidRDefault="007E05B4" w:rsidP="007E05B4">
    <w:pPr>
      <w:pStyle w:val="Footer"/>
      <w:tabs>
        <w:tab w:val="clear" w:pos="9639"/>
        <w:tab w:val="right" w:pos="9638"/>
      </w:tabs>
      <w:rPr>
        <w:b/>
        <w:sz w:val="18"/>
      </w:rPr>
    </w:pPr>
    <w:r>
      <w:t>GE.21-15383</w:t>
    </w:r>
    <w:r>
      <w:tab/>
    </w:r>
    <w:r w:rsidRPr="007E05B4">
      <w:rPr>
        <w:b/>
        <w:sz w:val="18"/>
      </w:rPr>
      <w:fldChar w:fldCharType="begin"/>
    </w:r>
    <w:r w:rsidRPr="007E05B4">
      <w:rPr>
        <w:b/>
        <w:sz w:val="18"/>
      </w:rPr>
      <w:instrText xml:space="preserve"> PAGE  \* MERGEFORMAT </w:instrText>
    </w:r>
    <w:r w:rsidRPr="007E05B4">
      <w:rPr>
        <w:b/>
        <w:sz w:val="18"/>
      </w:rPr>
      <w:fldChar w:fldCharType="separate"/>
    </w:r>
    <w:r w:rsidRPr="007E05B4">
      <w:rPr>
        <w:b/>
        <w:noProof/>
        <w:sz w:val="18"/>
      </w:rPr>
      <w:t>3</w:t>
    </w:r>
    <w:r w:rsidRPr="007E05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41145" w14:textId="7488E175" w:rsidR="00042B72" w:rsidRPr="00F708BB" w:rsidRDefault="007E05B4" w:rsidP="007E05B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1B16D5" wp14:editId="07A99E8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15383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757A8B" wp14:editId="65DC07A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8BB">
      <w:rPr>
        <w:lang w:val="en-US"/>
      </w:rPr>
      <w:t xml:space="preserve">  011121  011121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CA793" w14:textId="77777777" w:rsidR="00B70355" w:rsidRPr="001075E9" w:rsidRDefault="00B7035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E6A87A" w14:textId="77777777" w:rsidR="00B70355" w:rsidRDefault="00B7035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C86510" w14:textId="1DBEE087" w:rsidR="0007290A" w:rsidRPr="0007290A" w:rsidRDefault="0007290A">
      <w:pPr>
        <w:pStyle w:val="FootnoteText"/>
        <w:rPr>
          <w:sz w:val="20"/>
          <w:lang w:val="en-US"/>
        </w:rPr>
      </w:pPr>
      <w:r>
        <w:tab/>
      </w:r>
      <w:r w:rsidRPr="0007290A">
        <w:rPr>
          <w:rStyle w:val="FootnoteReference"/>
          <w:sz w:val="20"/>
          <w:vertAlign w:val="baseline"/>
        </w:rPr>
        <w:t>*</w:t>
      </w:r>
      <w:r w:rsidRPr="0007290A">
        <w:rPr>
          <w:rStyle w:val="FootnoteReference"/>
          <w:vertAlign w:val="baseline"/>
        </w:rP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OTIF/RID/RC/2021-B. Если не указано иное, другие документы, упоминаемые в настоящем докладе под условным обозначением ECE/TRANS/WP.15/AC.1/, после которого указаны год и порядковый номер, были распространены ОТИФ под условным обозначением OTIF/RID/RC/, после которого указаны год и тот же порядковый номер.</w:t>
      </w:r>
    </w:p>
  </w:footnote>
  <w:footnote w:id="2">
    <w:p w14:paraId="25FE215A" w14:textId="7E029BAE" w:rsidR="0007290A" w:rsidRPr="0007290A" w:rsidRDefault="0007290A">
      <w:pPr>
        <w:pStyle w:val="FootnoteText"/>
        <w:rPr>
          <w:sz w:val="20"/>
        </w:rPr>
      </w:pPr>
      <w:r>
        <w:tab/>
      </w:r>
      <w:r w:rsidRPr="0007290A">
        <w:rPr>
          <w:rStyle w:val="FootnoteReference"/>
          <w:sz w:val="20"/>
          <w:vertAlign w:val="baseline"/>
        </w:rPr>
        <w:t>**</w:t>
      </w:r>
      <w:r w:rsidRPr="0007290A">
        <w:rPr>
          <w:rStyle w:val="FootnoteReference"/>
          <w:vertAlign w:val="baseline"/>
        </w:rP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OTIF/RID/RC/2021-B/Add.1</w:t>
      </w:r>
      <w:r w:rsidRPr="0007290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7963" w14:textId="41DDA44E" w:rsidR="007E05B4" w:rsidRPr="007E05B4" w:rsidRDefault="0052744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11F3B">
      <w:t>ECE/TRANS/WP.15/AC.1/162/Add.1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96979" w14:textId="4C48B962" w:rsidR="007E05B4" w:rsidRPr="007E05B4" w:rsidRDefault="00527446" w:rsidP="007E05B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11F3B">
      <w:t>ECE/TRANS/WP.15/AC.1/162/Add.1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119E4"/>
    <w:multiLevelType w:val="multilevel"/>
    <w:tmpl w:val="F650E6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FB032B4"/>
    <w:multiLevelType w:val="hybridMultilevel"/>
    <w:tmpl w:val="A016FD72"/>
    <w:lvl w:ilvl="0" w:tplc="D5E2DCC0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18"/>
  </w:num>
  <w:num w:numId="20">
    <w:abstractNumId w:val="14"/>
  </w:num>
  <w:num w:numId="21">
    <w:abstractNumId w:val="16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55"/>
    <w:rsid w:val="00024EF4"/>
    <w:rsid w:val="00033EE1"/>
    <w:rsid w:val="00042B72"/>
    <w:rsid w:val="000558BD"/>
    <w:rsid w:val="0007290A"/>
    <w:rsid w:val="000B57E7"/>
    <w:rsid w:val="000B6373"/>
    <w:rsid w:val="000C120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166C"/>
    <w:rsid w:val="00485F8A"/>
    <w:rsid w:val="00486A95"/>
    <w:rsid w:val="004E05B7"/>
    <w:rsid w:val="0050108D"/>
    <w:rsid w:val="00513081"/>
    <w:rsid w:val="00517901"/>
    <w:rsid w:val="00526683"/>
    <w:rsid w:val="00526DB8"/>
    <w:rsid w:val="00527446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7F0D"/>
    <w:rsid w:val="00792497"/>
    <w:rsid w:val="007E05B4"/>
    <w:rsid w:val="008041C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56C4"/>
    <w:rsid w:val="00AB4B51"/>
    <w:rsid w:val="00B10CC7"/>
    <w:rsid w:val="00B36DF7"/>
    <w:rsid w:val="00B539E7"/>
    <w:rsid w:val="00B62458"/>
    <w:rsid w:val="00B70355"/>
    <w:rsid w:val="00BC18B2"/>
    <w:rsid w:val="00BD33EE"/>
    <w:rsid w:val="00BE1CC7"/>
    <w:rsid w:val="00C106D6"/>
    <w:rsid w:val="00C119AE"/>
    <w:rsid w:val="00C60F0C"/>
    <w:rsid w:val="00C71E84"/>
    <w:rsid w:val="00C73EC0"/>
    <w:rsid w:val="00C805C9"/>
    <w:rsid w:val="00C92939"/>
    <w:rsid w:val="00CA1679"/>
    <w:rsid w:val="00CB151C"/>
    <w:rsid w:val="00CE5A1A"/>
    <w:rsid w:val="00CF55F6"/>
    <w:rsid w:val="00D11F3B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08B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E15116"/>
  <w15:docId w15:val="{3AE1B75F-69F1-45A3-AA34-1B9DAD06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7E05B4"/>
    <w:rPr>
      <w:lang w:val="ru-RU" w:eastAsia="en-US"/>
    </w:rPr>
  </w:style>
  <w:style w:type="character" w:customStyle="1" w:styleId="HChGChar">
    <w:name w:val="_ H _Ch_G Char"/>
    <w:link w:val="HChG"/>
    <w:qFormat/>
    <w:rsid w:val="007E05B4"/>
    <w:rPr>
      <w:b/>
      <w:sz w:val="28"/>
      <w:lang w:val="ru-RU" w:eastAsia="ru-RU"/>
    </w:rPr>
  </w:style>
  <w:style w:type="character" w:customStyle="1" w:styleId="H23GChar">
    <w:name w:val="_ H_2/3_G Char"/>
    <w:link w:val="H23G"/>
    <w:locked/>
    <w:rsid w:val="007E05B4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3829</Words>
  <Characters>21826</Characters>
  <Application>Microsoft Office Word</Application>
  <DocSecurity>0</DocSecurity>
  <Lines>181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ECE/TRANS/WP.15/AC.1/162/Add.1</vt:lpstr>
      <vt:lpstr>A/</vt:lpstr>
      <vt:lpstr>A/</vt:lpstr>
    </vt:vector>
  </TitlesOfParts>
  <Company>DCM</Company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ECE/TRANS/WP.15/AC.1/162/Add.1</dc:title>
  <dc:subject/>
  <dc:creator>Marina KOROTKOVA</dc:creator>
  <cp:keywords/>
  <cp:lastModifiedBy>Christine Barrio-Champeau</cp:lastModifiedBy>
  <cp:revision>2</cp:revision>
  <cp:lastPrinted>2021-11-01T14:39:00Z</cp:lastPrinted>
  <dcterms:created xsi:type="dcterms:W3CDTF">2022-01-17T10:33:00Z</dcterms:created>
  <dcterms:modified xsi:type="dcterms:W3CDTF">2022-01-17T10:33:00Z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