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FA0F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05D09CB5" w:rsidR="00717408" w:rsidRPr="00FA0F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FA0F0E">
              <w:rPr>
                <w:b/>
                <w:sz w:val="40"/>
                <w:szCs w:val="40"/>
              </w:rPr>
              <w:t>UN/SCEGHS/</w:t>
            </w:r>
            <w:r w:rsidR="00260117" w:rsidRPr="00FA0F0E">
              <w:rPr>
                <w:b/>
                <w:sz w:val="40"/>
                <w:szCs w:val="40"/>
              </w:rPr>
              <w:t>4</w:t>
            </w:r>
            <w:r w:rsidR="00496520">
              <w:rPr>
                <w:b/>
                <w:sz w:val="40"/>
                <w:szCs w:val="40"/>
              </w:rPr>
              <w:t>1</w:t>
            </w:r>
            <w:r w:rsidRPr="00FA0F0E">
              <w:rPr>
                <w:b/>
                <w:sz w:val="40"/>
                <w:szCs w:val="40"/>
              </w:rPr>
              <w:t>/INF.</w:t>
            </w:r>
            <w:r w:rsidR="00F32B41">
              <w:rPr>
                <w:b/>
                <w:sz w:val="40"/>
                <w:szCs w:val="40"/>
              </w:rPr>
              <w:t>11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392246F5" w:rsidR="00717408" w:rsidRPr="00951EBC" w:rsidRDefault="00FA63B2" w:rsidP="00496520">
            <w:pPr>
              <w:tabs>
                <w:tab w:val="left" w:pos="7371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426B05" w:rsidRPr="00426B05">
              <w:rPr>
                <w:b/>
                <w:bCs/>
              </w:rPr>
              <w:t>01</w:t>
            </w:r>
            <w:r w:rsidR="00426B05" w:rsidRPr="00764A83">
              <w:rPr>
                <w:b/>
                <w:bCs/>
              </w:rPr>
              <w:t xml:space="preserve"> </w:t>
            </w:r>
            <w:r w:rsidR="007F6C08">
              <w:rPr>
                <w:b/>
                <w:bCs/>
              </w:rPr>
              <w:t>December</w:t>
            </w:r>
            <w:r w:rsidR="007F6C08" w:rsidRPr="00764A83">
              <w:rPr>
                <w:b/>
                <w:bCs/>
              </w:rPr>
              <w:t xml:space="preserve"> </w:t>
            </w:r>
            <w:r w:rsidR="009B11B2" w:rsidRPr="00764A83">
              <w:rPr>
                <w:b/>
                <w:bCs/>
              </w:rPr>
              <w:t>2021</w:t>
            </w:r>
          </w:p>
          <w:p w14:paraId="4F6387B0" w14:textId="7266E336" w:rsidR="000B6ACF" w:rsidRDefault="003C425A" w:rsidP="000B6ACF">
            <w:pPr>
              <w:spacing w:before="120"/>
              <w:rPr>
                <w:b/>
              </w:rPr>
            </w:pPr>
            <w:bookmarkStart w:id="0" w:name="_Hlk35441056"/>
            <w:r>
              <w:rPr>
                <w:b/>
              </w:rPr>
              <w:t>Fortieth</w:t>
            </w:r>
            <w:r w:rsidR="000B6ACF">
              <w:rPr>
                <w:b/>
              </w:rPr>
              <w:t xml:space="preserve"> session</w:t>
            </w:r>
          </w:p>
          <w:bookmarkEnd w:id="0"/>
          <w:p w14:paraId="629A7D1E" w14:textId="41F606B7" w:rsidR="003C425A" w:rsidRPr="009103F3" w:rsidRDefault="003C425A" w:rsidP="003C425A">
            <w:pPr>
              <w:spacing w:before="40"/>
            </w:pPr>
            <w:r w:rsidRPr="009103F3">
              <w:t xml:space="preserve">Geneva, </w:t>
            </w:r>
            <w:r w:rsidR="00136BAB">
              <w:t>8-10 December</w:t>
            </w:r>
            <w:r w:rsidRPr="009103F3">
              <w:t xml:space="preserve"> 2021</w:t>
            </w:r>
          </w:p>
          <w:p w14:paraId="5BBEE255" w14:textId="7131C26C" w:rsidR="003C425A" w:rsidRPr="0030509D" w:rsidRDefault="003C425A" w:rsidP="003C425A">
            <w:pPr>
              <w:spacing w:before="40"/>
            </w:pPr>
            <w:r w:rsidRPr="0030509D">
              <w:t xml:space="preserve">Item </w:t>
            </w:r>
            <w:r w:rsidR="005F22CC" w:rsidRPr="00EF35EF">
              <w:t>2</w:t>
            </w:r>
            <w:r w:rsidR="00D718E5" w:rsidRPr="00EF35EF">
              <w:t xml:space="preserve"> (</w:t>
            </w:r>
            <w:r w:rsidR="005F22CC" w:rsidRPr="00EF35EF">
              <w:t>c</w:t>
            </w:r>
            <w:r w:rsidR="00D718E5" w:rsidRPr="00EF35EF">
              <w:t>)</w:t>
            </w:r>
            <w:r w:rsidRPr="0030509D">
              <w:t xml:space="preserve"> of the provisional agenda</w:t>
            </w:r>
          </w:p>
          <w:p w14:paraId="7F67E7DF" w14:textId="1B95583E" w:rsidR="00717408" w:rsidRPr="00AC7597" w:rsidRDefault="00F32B41" w:rsidP="003C425A">
            <w:pPr>
              <w:spacing w:line="240" w:lineRule="exact"/>
              <w:rPr>
                <w:b/>
                <w:bCs/>
              </w:rPr>
            </w:pPr>
            <w:r w:rsidRPr="00F32B41">
              <w:rPr>
                <w:b/>
                <w:bCs/>
              </w:rPr>
              <w:t>Work on the Globally Harmonized System (GHS)</w:t>
            </w:r>
            <w:r w:rsidR="00E11ECF" w:rsidRPr="00F32B41">
              <w:rPr>
                <w:b/>
                <w:bCs/>
              </w:rPr>
              <w:t>:</w:t>
            </w:r>
            <w:r w:rsidR="00E11ECF" w:rsidRPr="005E5074">
              <w:rPr>
                <w:b/>
              </w:rPr>
              <w:t xml:space="preserve"> </w:t>
            </w:r>
            <w:r w:rsidR="00E11ECF" w:rsidRPr="005E5074">
              <w:rPr>
                <w:b/>
              </w:rPr>
              <w:br/>
              <w:t>use of non-animal testing methods for classification of health hazards</w:t>
            </w:r>
          </w:p>
        </w:tc>
      </w:tr>
    </w:tbl>
    <w:p w14:paraId="28164E0B" w14:textId="77777777" w:rsidR="00932AAB" w:rsidRPr="004768CC" w:rsidRDefault="00932AAB" w:rsidP="00932AAB">
      <w:pPr>
        <w:pStyle w:val="HChG"/>
        <w:rPr>
          <w:szCs w:val="28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2D4870">
        <w:rPr>
          <w:szCs w:val="28"/>
        </w:rPr>
        <w:t>Use of non-animal testing methods for classification of health hazards</w:t>
      </w:r>
      <w:r>
        <w:rPr>
          <w:szCs w:val="28"/>
        </w:rPr>
        <w:t xml:space="preserve">: Status report </w:t>
      </w:r>
    </w:p>
    <w:p w14:paraId="7ABCC86B" w14:textId="77777777" w:rsidR="00932AAB" w:rsidRDefault="00932AAB" w:rsidP="00F32B41">
      <w:pPr>
        <w:pStyle w:val="H1G"/>
      </w:pPr>
      <w:r>
        <w:tab/>
      </w:r>
      <w:r>
        <w:tab/>
      </w:r>
      <w:r w:rsidRPr="00AE4DC1">
        <w:t xml:space="preserve">Transmitted by </w:t>
      </w:r>
      <w:r w:rsidRPr="00AE4DC1">
        <w:rPr>
          <w:lang w:eastAsia="ja-JP"/>
        </w:rPr>
        <w:t>the expert</w:t>
      </w:r>
      <w:r>
        <w:rPr>
          <w:lang w:eastAsia="ja-JP"/>
        </w:rPr>
        <w:t>s</w:t>
      </w:r>
      <w:r w:rsidRPr="00AE4DC1">
        <w:rPr>
          <w:lang w:eastAsia="ja-JP"/>
        </w:rPr>
        <w:t xml:space="preserve"> </w:t>
      </w:r>
      <w:r w:rsidRPr="00AE4DC1">
        <w:t xml:space="preserve">from the United </w:t>
      </w:r>
      <w:r w:rsidRPr="0064644C">
        <w:t>Kingdom</w:t>
      </w:r>
      <w:r>
        <w:t xml:space="preserve"> and the Netherlands</w:t>
      </w:r>
      <w:r w:rsidRPr="00AE4DC1">
        <w:t xml:space="preserve"> </w:t>
      </w:r>
      <w:r w:rsidRPr="00AE4DC1">
        <w:rPr>
          <w:lang w:eastAsia="de-DE"/>
        </w:rPr>
        <w:t xml:space="preserve">on behalf of the </w:t>
      </w:r>
      <w:r w:rsidRPr="00F32B41">
        <w:t>informal</w:t>
      </w:r>
      <w:r w:rsidRPr="00AE4DC1">
        <w:rPr>
          <w:lang w:eastAsia="de-DE"/>
        </w:rPr>
        <w:t xml:space="preserve"> </w:t>
      </w:r>
      <w:r>
        <w:rPr>
          <w:lang w:eastAsia="de-DE"/>
        </w:rPr>
        <w:t>working</w:t>
      </w:r>
      <w:r w:rsidRPr="00AE4DC1">
        <w:rPr>
          <w:lang w:eastAsia="de-DE"/>
        </w:rPr>
        <w:t xml:space="preserve"> </w:t>
      </w:r>
      <w:r w:rsidRPr="0097163C">
        <w:t>group</w:t>
      </w:r>
    </w:p>
    <w:p w14:paraId="3761BB90" w14:textId="77777777" w:rsidR="00932AAB" w:rsidRDefault="00932AAB" w:rsidP="00932AAB">
      <w:pPr>
        <w:pStyle w:val="HChG"/>
      </w:pPr>
      <w:r>
        <w:tab/>
      </w:r>
      <w:r>
        <w:tab/>
        <w:t>Introduction</w:t>
      </w:r>
    </w:p>
    <w:p w14:paraId="3B65658B" w14:textId="433FDD6A" w:rsidR="00932AAB" w:rsidRDefault="00932AAB" w:rsidP="00AE35F2">
      <w:pPr>
        <w:pStyle w:val="SingleTxtG"/>
        <w:tabs>
          <w:tab w:val="left" w:pos="1701"/>
        </w:tabs>
        <w:ind w:right="237"/>
      </w:pPr>
      <w:r>
        <w:t>1.</w:t>
      </w:r>
      <w:r>
        <w:tab/>
        <w:t xml:space="preserve">This informal document provides an update on the work performed by the Informal Working Group </w:t>
      </w:r>
      <w:r>
        <w:rPr>
          <w:szCs w:val="24"/>
          <w:lang w:eastAsia="de-DE"/>
        </w:rPr>
        <w:t xml:space="preserve">on “Use of non-animal testing methods for classification of health hazards” </w:t>
      </w:r>
      <w:r>
        <w:t xml:space="preserve">since the last update provided to the Sub-Committee at the </w:t>
      </w:r>
      <w:r w:rsidR="00136BAB">
        <w:t>fortie</w:t>
      </w:r>
      <w:r>
        <w:t xml:space="preserve">th session in </w:t>
      </w:r>
      <w:r w:rsidR="00501BA0">
        <w:t>July</w:t>
      </w:r>
      <w:r>
        <w:t xml:space="preserve"> 202</w:t>
      </w:r>
      <w:r w:rsidR="00501BA0">
        <w:t>1</w:t>
      </w:r>
      <w:r>
        <w:t>.</w:t>
      </w:r>
    </w:p>
    <w:p w14:paraId="3BF5645B" w14:textId="3CADEDAC" w:rsidR="00932AAB" w:rsidRDefault="00932AAB" w:rsidP="00AE35F2">
      <w:pPr>
        <w:pStyle w:val="HChG"/>
        <w:ind w:right="237"/>
        <w:rPr>
          <w:highlight w:val="lightGray"/>
        </w:rPr>
      </w:pPr>
      <w:r>
        <w:tab/>
      </w:r>
      <w:r w:rsidR="0064644C">
        <w:tab/>
      </w:r>
      <w:r>
        <w:t>Background</w:t>
      </w:r>
    </w:p>
    <w:p w14:paraId="157DC638" w14:textId="2A726933" w:rsidR="00FD4302" w:rsidRDefault="00932AAB" w:rsidP="00AE35F2">
      <w:pPr>
        <w:pStyle w:val="SingleTxtG"/>
        <w:tabs>
          <w:tab w:val="left" w:pos="1701"/>
        </w:tabs>
        <w:ind w:right="237"/>
      </w:pPr>
      <w:r w:rsidRPr="0010697D">
        <w:rPr>
          <w:bCs/>
          <w:color w:val="000000"/>
          <w:spacing w:val="-4"/>
        </w:rPr>
        <w:t>2.</w:t>
      </w:r>
      <w:r w:rsidRPr="0010697D">
        <w:rPr>
          <w:bCs/>
          <w:color w:val="000000"/>
          <w:spacing w:val="-4"/>
        </w:rPr>
        <w:tab/>
      </w:r>
      <w:r>
        <w:t>At the thirty-ninth session,</w:t>
      </w:r>
      <w:r w:rsidRPr="00087DCD">
        <w:t xml:space="preserve"> </w:t>
      </w:r>
      <w:r>
        <w:t>t</w:t>
      </w:r>
      <w:r w:rsidRPr="00087DCD">
        <w:t xml:space="preserve">he Sub-Committee agreed to keep the work on the use of non-animal testing methods for classification of health </w:t>
      </w:r>
      <w:r>
        <w:t xml:space="preserve">and environmental </w:t>
      </w:r>
      <w:r w:rsidRPr="00087DCD">
        <w:t>hazard</w:t>
      </w:r>
      <w:r>
        <w:t xml:space="preserve"> classe</w:t>
      </w:r>
      <w:r w:rsidRPr="00087DCD">
        <w:t>s on its programme of work for the 20</w:t>
      </w:r>
      <w:r>
        <w:t>2</w:t>
      </w:r>
      <w:r w:rsidR="00A812D4">
        <w:t>1</w:t>
      </w:r>
      <w:r w:rsidRPr="00087DCD">
        <w:t>-</w:t>
      </w:r>
      <w:r w:rsidR="00A812D4" w:rsidRPr="00087DCD">
        <w:t>202</w:t>
      </w:r>
      <w:r w:rsidR="00A812D4">
        <w:t>2</w:t>
      </w:r>
      <w:r w:rsidR="00A812D4" w:rsidRPr="00087DCD">
        <w:t xml:space="preserve"> </w:t>
      </w:r>
      <w:r w:rsidRPr="00087DCD">
        <w:t>biennium</w:t>
      </w:r>
      <w:r w:rsidRPr="002C5734">
        <w:t xml:space="preserve"> </w:t>
      </w:r>
      <w:r>
        <w:t xml:space="preserve">and </w:t>
      </w:r>
      <w:r w:rsidRPr="00FB126D">
        <w:t xml:space="preserve">agreed with the proposal </w:t>
      </w:r>
      <w:r>
        <w:t xml:space="preserve">for the group to continue the </w:t>
      </w:r>
      <w:r w:rsidRPr="00FB126D">
        <w:t xml:space="preserve">review </w:t>
      </w:r>
      <w:r>
        <w:t xml:space="preserve">of </w:t>
      </w:r>
      <w:r w:rsidRPr="00FB126D">
        <w:t>Chapter 3.3 on serious eye damage</w:t>
      </w:r>
      <w:r w:rsidR="00B5674A">
        <w:t>/eye irritation</w:t>
      </w:r>
      <w:r w:rsidR="0030626F">
        <w:t xml:space="preserve"> followed by commencing their work on Chapter 3.4 in relation to skin sensitization</w:t>
      </w:r>
      <w:r w:rsidR="00332450">
        <w:rPr>
          <w:rStyle w:val="FootnoteReference"/>
        </w:rPr>
        <w:footnoteReference w:id="2"/>
      </w:r>
      <w:r w:rsidR="00DD0021">
        <w:t>.</w:t>
      </w:r>
      <w:r w:rsidRPr="00FB126D">
        <w:t xml:space="preserve"> </w:t>
      </w:r>
      <w:r w:rsidR="00DD0021">
        <w:t>F</w:t>
      </w:r>
      <w:r w:rsidR="00FD4302">
        <w:t xml:space="preserve">ormal proposals to amend </w:t>
      </w:r>
      <w:r w:rsidR="00DD0021">
        <w:t>C</w:t>
      </w:r>
      <w:r w:rsidR="00FD4302">
        <w:t xml:space="preserve">hapter </w:t>
      </w:r>
      <w:r w:rsidR="00DD0021">
        <w:t>3.3</w:t>
      </w:r>
      <w:r w:rsidR="00800A23">
        <w:rPr>
          <w:rStyle w:val="FootnoteReference"/>
        </w:rPr>
        <w:footnoteReference w:id="3"/>
      </w:r>
      <w:r w:rsidR="0082334F">
        <w:t>,</w:t>
      </w:r>
      <w:r w:rsidR="00DD0021">
        <w:t xml:space="preserve"> </w:t>
      </w:r>
      <w:r w:rsidR="0082334F">
        <w:t>together with the related consequential amendments</w:t>
      </w:r>
      <w:r w:rsidR="004473FB">
        <w:t xml:space="preserve"> to Chapters 1.2 and 3.2</w:t>
      </w:r>
      <w:r w:rsidR="00800A23">
        <w:rPr>
          <w:rStyle w:val="FootnoteReference"/>
        </w:rPr>
        <w:footnoteReference w:id="4"/>
      </w:r>
      <w:r w:rsidR="0082334F">
        <w:t xml:space="preserve">, </w:t>
      </w:r>
      <w:r w:rsidR="00FD4302">
        <w:t xml:space="preserve">were adopted at the </w:t>
      </w:r>
      <w:r w:rsidR="00585251">
        <w:t>fortieth session</w:t>
      </w:r>
      <w:r w:rsidR="00C15551">
        <w:rPr>
          <w:rStyle w:val="FootnoteReference"/>
        </w:rPr>
        <w:footnoteReference w:id="5"/>
      </w:r>
      <w:r w:rsidR="00585251">
        <w:t xml:space="preserve"> in July 2021.</w:t>
      </w:r>
    </w:p>
    <w:p w14:paraId="2D4E45DE" w14:textId="7CA86859" w:rsidR="00932AAB" w:rsidRDefault="008C3F42" w:rsidP="00AE35F2">
      <w:pPr>
        <w:pStyle w:val="SingleTxtG"/>
        <w:tabs>
          <w:tab w:val="left" w:pos="1701"/>
        </w:tabs>
        <w:ind w:right="237"/>
      </w:pPr>
      <w:r>
        <w:t>3</w:t>
      </w:r>
      <w:r w:rsidR="00932AAB" w:rsidRPr="00FD6FD0">
        <w:t>.</w:t>
      </w:r>
      <w:r w:rsidR="00932AAB" w:rsidRPr="00FD6FD0">
        <w:tab/>
        <w:t xml:space="preserve">The </w:t>
      </w:r>
      <w:r w:rsidR="00932AAB">
        <w:t>informal w</w:t>
      </w:r>
      <w:r w:rsidR="00932AAB" w:rsidRPr="00FD6FD0">
        <w:t xml:space="preserve">orking </w:t>
      </w:r>
      <w:r w:rsidR="00932AAB">
        <w:t>g</w:t>
      </w:r>
      <w:r w:rsidR="00932AAB" w:rsidRPr="00FD6FD0">
        <w:t xml:space="preserve">roup presently has approximately </w:t>
      </w:r>
      <w:r w:rsidR="00932AAB">
        <w:t>6</w:t>
      </w:r>
      <w:r w:rsidR="00932AAB" w:rsidRPr="00FD6FD0">
        <w:t xml:space="preserve">0 members, reflecting the importance of, and interest in, this work. Its membership includes experts with specialised knowledge of test methods and their application to classification, and experts on </w:t>
      </w:r>
      <w:r w:rsidR="00932AAB">
        <w:t>n</w:t>
      </w:r>
      <w:r w:rsidR="00932AAB" w:rsidRPr="00FD6FD0">
        <w:t xml:space="preserve">ational legislation that implements GHS. Discussions are often lively and detailed, but overall are propelled by a strong desire to make progress on the </w:t>
      </w:r>
      <w:r w:rsidR="00932AAB">
        <w:t>informal w</w:t>
      </w:r>
      <w:r w:rsidR="00932AAB" w:rsidRPr="00FD6FD0">
        <w:t xml:space="preserve">orking </w:t>
      </w:r>
      <w:r w:rsidR="00932AAB">
        <w:t>g</w:t>
      </w:r>
      <w:r w:rsidR="00932AAB" w:rsidRPr="00FD6FD0">
        <w:t>roup’s mandate and ensure that non-animal test methods are consistently incorporated in the GHS in a way that reflects their growing importance and scientific relevance, whilst recognising their limitations.</w:t>
      </w:r>
    </w:p>
    <w:p w14:paraId="2EDB1BA2" w14:textId="77777777" w:rsidR="00932AAB" w:rsidRDefault="00932AAB" w:rsidP="00AE35F2">
      <w:pPr>
        <w:pStyle w:val="HChG"/>
        <w:ind w:right="237"/>
      </w:pPr>
      <w:r>
        <w:tab/>
      </w:r>
      <w:r>
        <w:tab/>
        <w:t xml:space="preserve">Status report </w:t>
      </w:r>
    </w:p>
    <w:p w14:paraId="26BFE25B" w14:textId="00222888" w:rsidR="00932AAB" w:rsidRDefault="008C3F42" w:rsidP="00AE35F2">
      <w:pPr>
        <w:pStyle w:val="SingleTxtG"/>
        <w:tabs>
          <w:tab w:val="left" w:pos="1701"/>
        </w:tabs>
        <w:ind w:right="237"/>
      </w:pPr>
      <w:r>
        <w:t>4</w:t>
      </w:r>
      <w:r w:rsidR="00932AAB">
        <w:t xml:space="preserve">. </w:t>
      </w:r>
      <w:r w:rsidR="00932AAB">
        <w:tab/>
        <w:t xml:space="preserve">Since the last update to the GHS Sub-Committee in </w:t>
      </w:r>
      <w:r w:rsidR="00423FB4">
        <w:t>July 2021</w:t>
      </w:r>
      <w:r w:rsidR="00932AAB">
        <w:t>, the informal working group has continued to work hard on the revision of Chapter 3.</w:t>
      </w:r>
      <w:r w:rsidR="002164F8">
        <w:t xml:space="preserve">4 </w:t>
      </w:r>
      <w:r w:rsidR="00804C4D">
        <w:t xml:space="preserve">for skin sensitization </w:t>
      </w:r>
      <w:r w:rsidR="004774AF">
        <w:t xml:space="preserve">for the </w:t>
      </w:r>
      <w:r w:rsidR="004774AF">
        <w:lastRenderedPageBreak/>
        <w:t xml:space="preserve">inclusion of </w:t>
      </w:r>
      <w:r w:rsidR="004774AF">
        <w:rPr>
          <w:szCs w:val="24"/>
          <w:lang w:eastAsia="de-DE"/>
        </w:rPr>
        <w:t>non-animal testing methods</w:t>
      </w:r>
      <w:r w:rsidR="004774AF">
        <w:t xml:space="preserve"> </w:t>
      </w:r>
      <w:r w:rsidR="00932AAB">
        <w:t xml:space="preserve">at three </w:t>
      </w:r>
      <w:r w:rsidR="000C6595" w:rsidRPr="00F2554B">
        <w:t>virtual</w:t>
      </w:r>
      <w:r w:rsidR="00932AAB">
        <w:t xml:space="preserve"> meetings (</w:t>
      </w:r>
      <w:r w:rsidR="004656D2">
        <w:t>9 September</w:t>
      </w:r>
      <w:r w:rsidR="00932AAB">
        <w:t xml:space="preserve"> 2021; </w:t>
      </w:r>
      <w:r w:rsidR="00366194">
        <w:t xml:space="preserve">21 </w:t>
      </w:r>
      <w:r w:rsidR="004656D2">
        <w:t xml:space="preserve">October </w:t>
      </w:r>
      <w:r w:rsidR="00932AAB">
        <w:t xml:space="preserve">2021; and </w:t>
      </w:r>
      <w:r w:rsidR="004656D2">
        <w:t>30 November</w:t>
      </w:r>
      <w:r w:rsidR="00932AAB">
        <w:t xml:space="preserve"> 2021)</w:t>
      </w:r>
      <w:r w:rsidR="0094333C">
        <w:t>.</w:t>
      </w:r>
    </w:p>
    <w:p w14:paraId="1B026DF8" w14:textId="14640EBF" w:rsidR="00932AAB" w:rsidRDefault="00C37C01" w:rsidP="00AE35F2">
      <w:pPr>
        <w:pStyle w:val="SingleTxtG"/>
        <w:tabs>
          <w:tab w:val="left" w:pos="1701"/>
        </w:tabs>
        <w:ind w:right="237"/>
      </w:pPr>
      <w:r>
        <w:t>5</w:t>
      </w:r>
      <w:r w:rsidR="00932AAB">
        <w:t>.</w:t>
      </w:r>
      <w:r w:rsidR="00932AAB">
        <w:tab/>
      </w:r>
      <w:r w:rsidR="002240C4">
        <w:t>At the September meeting,</w:t>
      </w:r>
      <w:r w:rsidR="000061D1">
        <w:t xml:space="preserve"> </w:t>
      </w:r>
      <w:r w:rsidR="002240C4">
        <w:t>t</w:t>
      </w:r>
      <w:r w:rsidR="00932AAB" w:rsidRPr="005928A7">
        <w:t xml:space="preserve">he group </w:t>
      </w:r>
      <w:r w:rsidR="00C940BF">
        <w:t>continued the</w:t>
      </w:r>
      <w:r w:rsidR="00932AAB" w:rsidRPr="00D34379">
        <w:rPr>
          <w:color w:val="000000" w:themeColor="text1"/>
          <w:lang w:val="en-US"/>
        </w:rPr>
        <w:t xml:space="preserve"> discuss</w:t>
      </w:r>
      <w:r w:rsidR="00C940BF">
        <w:rPr>
          <w:color w:val="000000" w:themeColor="text1"/>
          <w:lang w:val="en-US"/>
        </w:rPr>
        <w:t>ions on</w:t>
      </w:r>
      <w:r w:rsidR="00932AAB" w:rsidRPr="00D34379">
        <w:rPr>
          <w:color w:val="000000" w:themeColor="text1"/>
          <w:lang w:val="en-US"/>
        </w:rPr>
        <w:t xml:space="preserve"> </w:t>
      </w:r>
      <w:r w:rsidR="000C55A3">
        <w:rPr>
          <w:color w:val="000000" w:themeColor="text1"/>
          <w:lang w:val="en-US"/>
        </w:rPr>
        <w:t>the</w:t>
      </w:r>
      <w:r w:rsidR="00932AAB" w:rsidRPr="00D34379">
        <w:rPr>
          <w:color w:val="000000" w:themeColor="text1"/>
          <w:lang w:val="en-US"/>
        </w:rPr>
        <w:t xml:space="preserve"> </w:t>
      </w:r>
      <w:r w:rsidR="00067DD1" w:rsidRPr="00094BCA">
        <w:rPr>
          <w:color w:val="000000" w:themeColor="text1"/>
          <w:lang w:val="en-US"/>
        </w:rPr>
        <w:t>Chapter 3.4</w:t>
      </w:r>
      <w:r w:rsidR="00067DD1">
        <w:rPr>
          <w:color w:val="000000" w:themeColor="text1"/>
          <w:lang w:val="en-US"/>
        </w:rPr>
        <w:t xml:space="preserve"> </w:t>
      </w:r>
      <w:r w:rsidR="00932AAB" w:rsidRPr="00094BCA">
        <w:rPr>
          <w:color w:val="000000" w:themeColor="text1"/>
          <w:lang w:val="en-US"/>
        </w:rPr>
        <w:t>scoping document</w:t>
      </w:r>
      <w:r w:rsidR="00932AAB">
        <w:rPr>
          <w:color w:val="000000" w:themeColor="text1"/>
          <w:lang w:val="en-US"/>
        </w:rPr>
        <w:t>,</w:t>
      </w:r>
      <w:r w:rsidR="00932AAB" w:rsidRPr="00094BCA">
        <w:rPr>
          <w:color w:val="000000" w:themeColor="text1"/>
          <w:lang w:val="en-US"/>
        </w:rPr>
        <w:t xml:space="preserve"> </w:t>
      </w:r>
      <w:r w:rsidR="000B03C5">
        <w:t xml:space="preserve">and </w:t>
      </w:r>
      <w:r w:rsidR="00493CF5">
        <w:t xml:space="preserve">further </w:t>
      </w:r>
      <w:r w:rsidR="000B03C5">
        <w:t>develop</w:t>
      </w:r>
      <w:r w:rsidR="00493CF5">
        <w:t>ed</w:t>
      </w:r>
      <w:r w:rsidR="000B03C5" w:rsidRPr="00096752">
        <w:t xml:space="preserve"> </w:t>
      </w:r>
      <w:r w:rsidR="000B03C5">
        <w:t>the list of issues to be resolved on</w:t>
      </w:r>
      <w:r w:rsidR="00493CF5">
        <w:t xml:space="preserve"> the</w:t>
      </w:r>
      <w:r w:rsidR="000B03C5">
        <w:t xml:space="preserve"> skin sensitization hazard class</w:t>
      </w:r>
      <w:r w:rsidR="00493CF5">
        <w:t>.</w:t>
      </w:r>
    </w:p>
    <w:p w14:paraId="7FD589F8" w14:textId="619C4349" w:rsidR="00910A8F" w:rsidRDefault="007B431E" w:rsidP="00AE35F2">
      <w:pPr>
        <w:pStyle w:val="SingleTxtG"/>
        <w:tabs>
          <w:tab w:val="left" w:pos="1701"/>
        </w:tabs>
        <w:ind w:right="237"/>
        <w:rPr>
          <w:szCs w:val="24"/>
          <w:lang w:eastAsia="de-DE"/>
        </w:rPr>
      </w:pPr>
      <w:r>
        <w:t>6.</w:t>
      </w:r>
      <w:r>
        <w:tab/>
      </w:r>
      <w:r w:rsidR="00381D29">
        <w:t>During</w:t>
      </w:r>
      <w:r>
        <w:t xml:space="preserve"> the October </w:t>
      </w:r>
      <w:r w:rsidR="008E1749">
        <w:t xml:space="preserve">virtual meeting, the group commenced the discussions on </w:t>
      </w:r>
      <w:r w:rsidR="00840982">
        <w:t>the first</w:t>
      </w:r>
      <w:r w:rsidR="008E1749">
        <w:t xml:space="preserve"> draft</w:t>
      </w:r>
      <w:r w:rsidR="00840982">
        <w:t xml:space="preserve"> of a</w:t>
      </w:r>
      <w:r w:rsidR="008E1749">
        <w:t xml:space="preserve"> </w:t>
      </w:r>
      <w:r w:rsidR="00FF508A">
        <w:t>schematic</w:t>
      </w:r>
      <w:r w:rsidR="00840982">
        <w:t xml:space="preserve"> </w:t>
      </w:r>
      <w:r w:rsidR="008E1749">
        <w:t xml:space="preserve">on </w:t>
      </w:r>
      <w:r w:rsidR="002B7299">
        <w:t xml:space="preserve">classification criteria for </w:t>
      </w:r>
      <w:r w:rsidR="00A57074">
        <w:t>the skin sensitization hazard class</w:t>
      </w:r>
      <w:r w:rsidR="007D7B1D">
        <w:t xml:space="preserve"> to include </w:t>
      </w:r>
      <w:r w:rsidR="007D7B1D">
        <w:rPr>
          <w:szCs w:val="24"/>
          <w:lang w:eastAsia="de-DE"/>
        </w:rPr>
        <w:t>non-animal testing methods.</w:t>
      </w:r>
      <w:r w:rsidR="00840982">
        <w:rPr>
          <w:szCs w:val="24"/>
          <w:lang w:eastAsia="de-DE"/>
        </w:rPr>
        <w:t xml:space="preserve"> </w:t>
      </w:r>
    </w:p>
    <w:p w14:paraId="624A9E81" w14:textId="2E2164A5" w:rsidR="00ED752F" w:rsidRDefault="00ED752F" w:rsidP="00AE35F2">
      <w:pPr>
        <w:pStyle w:val="SingleTxtG"/>
        <w:tabs>
          <w:tab w:val="left" w:pos="1701"/>
        </w:tabs>
        <w:ind w:right="237"/>
      </w:pPr>
      <w:r>
        <w:rPr>
          <w:szCs w:val="24"/>
          <w:lang w:eastAsia="de-DE"/>
        </w:rPr>
        <w:t>7.</w:t>
      </w:r>
      <w:r>
        <w:rPr>
          <w:szCs w:val="24"/>
          <w:lang w:eastAsia="de-DE"/>
        </w:rPr>
        <w:tab/>
      </w:r>
      <w:r w:rsidR="0017322E" w:rsidRPr="00C06C5D">
        <w:rPr>
          <w:szCs w:val="24"/>
          <w:lang w:eastAsia="de-DE"/>
        </w:rPr>
        <w:t xml:space="preserve">In addition, </w:t>
      </w:r>
      <w:r w:rsidR="00137021" w:rsidRPr="00C06C5D">
        <w:rPr>
          <w:szCs w:val="24"/>
          <w:lang w:eastAsia="de-DE"/>
        </w:rPr>
        <w:t xml:space="preserve">members from Germany presented a paper </w:t>
      </w:r>
      <w:r w:rsidR="00094BF7" w:rsidRPr="006218BA">
        <w:rPr>
          <w:szCs w:val="24"/>
          <w:lang w:eastAsia="de-DE"/>
        </w:rPr>
        <w:t xml:space="preserve">on </w:t>
      </w:r>
      <w:r w:rsidR="00C06C5D">
        <w:rPr>
          <w:szCs w:val="24"/>
          <w:lang w:eastAsia="de-DE"/>
        </w:rPr>
        <w:t xml:space="preserve">the </w:t>
      </w:r>
      <w:r w:rsidR="009C6594">
        <w:rPr>
          <w:szCs w:val="24"/>
          <w:lang w:eastAsia="de-DE"/>
        </w:rPr>
        <w:t>correctness</w:t>
      </w:r>
      <w:r w:rsidR="00581297">
        <w:rPr>
          <w:szCs w:val="24"/>
          <w:lang w:eastAsia="de-DE"/>
        </w:rPr>
        <w:t xml:space="preserve"> of the sequence defined in paragraph 1.3.2.3.1</w:t>
      </w:r>
      <w:r w:rsidR="009C6594">
        <w:rPr>
          <w:szCs w:val="24"/>
          <w:lang w:eastAsia="de-DE"/>
        </w:rPr>
        <w:t>,</w:t>
      </w:r>
      <w:r w:rsidR="00581297">
        <w:rPr>
          <w:szCs w:val="24"/>
          <w:lang w:eastAsia="de-DE"/>
        </w:rPr>
        <w:t xml:space="preserve"> concerning </w:t>
      </w:r>
      <w:r w:rsidR="005745C7">
        <w:rPr>
          <w:szCs w:val="24"/>
          <w:lang w:eastAsia="de-DE"/>
        </w:rPr>
        <w:t xml:space="preserve">the </w:t>
      </w:r>
      <w:r w:rsidR="00C06C5D" w:rsidRPr="00C06C5D">
        <w:t xml:space="preserve">use of concentrations limits </w:t>
      </w:r>
      <w:r w:rsidR="00581297">
        <w:t>versus test results with the whole mixture</w:t>
      </w:r>
      <w:r w:rsidR="009C6594">
        <w:t>,</w:t>
      </w:r>
      <w:r w:rsidR="00C06C5D" w:rsidRPr="00C06C5D">
        <w:t xml:space="preserve"> for mixtures to be classified for skin sensitisation</w:t>
      </w:r>
      <w:r w:rsidR="003B3AEF">
        <w:t xml:space="preserve">, posing </w:t>
      </w:r>
      <w:r w:rsidR="00BA2AD5">
        <w:t xml:space="preserve">several </w:t>
      </w:r>
      <w:r w:rsidR="003B3AEF">
        <w:t xml:space="preserve">questions </w:t>
      </w:r>
      <w:r w:rsidR="003B3AEF" w:rsidRPr="009B490C">
        <w:t>including</w:t>
      </w:r>
      <w:r w:rsidR="000B2D5C" w:rsidRPr="009B490C">
        <w:t>, if the issue is deemed relevant by the IWG members and that future work on this topic would have value and deserve further exploration, and, if so,</w:t>
      </w:r>
      <w:r w:rsidR="003B3AEF" w:rsidRPr="009B490C">
        <w:t xml:space="preserve"> whether </w:t>
      </w:r>
      <w:r w:rsidR="003B3AEF">
        <w:t xml:space="preserve">the issue </w:t>
      </w:r>
      <w:r w:rsidR="004A6FA4">
        <w:t>should be addressed by this group or another working group.</w:t>
      </w:r>
      <w:r w:rsidR="00693AB1">
        <w:t xml:space="preserve"> Although there was no definitive </w:t>
      </w:r>
      <w:r w:rsidR="00374178">
        <w:t>view</w:t>
      </w:r>
      <w:r w:rsidR="005B56D1">
        <w:t xml:space="preserve"> on how to proceed with this issue</w:t>
      </w:r>
      <w:r w:rsidR="00ED69FE">
        <w:t xml:space="preserve"> and written responses to the questions were requested</w:t>
      </w:r>
      <w:r w:rsidR="00374178">
        <w:t>, s</w:t>
      </w:r>
      <w:r w:rsidR="00693AB1">
        <w:t>ome members</w:t>
      </w:r>
      <w:r w:rsidR="000F29DB">
        <w:t xml:space="preserve"> </w:t>
      </w:r>
      <w:r w:rsidR="00374178">
        <w:t>expressed</w:t>
      </w:r>
      <w:r w:rsidR="00BC0E29">
        <w:t xml:space="preserve"> that there </w:t>
      </w:r>
      <w:r w:rsidR="001C2B95">
        <w:t xml:space="preserve">may be </w:t>
      </w:r>
      <w:r w:rsidR="00BC0E29">
        <w:t xml:space="preserve">wider implications for </w:t>
      </w:r>
      <w:r w:rsidR="0089773A">
        <w:t xml:space="preserve">other chapters in the GHS </w:t>
      </w:r>
      <w:r w:rsidR="00C70A06">
        <w:t xml:space="preserve">and </w:t>
      </w:r>
      <w:r w:rsidR="00AB03B2">
        <w:t xml:space="preserve">as </w:t>
      </w:r>
      <w:r w:rsidR="00C70A06">
        <w:t xml:space="preserve">such </w:t>
      </w:r>
      <w:r w:rsidR="00695446">
        <w:t xml:space="preserve">might be </w:t>
      </w:r>
      <w:r w:rsidR="00C70A06">
        <w:t>beyond the scope of this working group.</w:t>
      </w:r>
      <w:r w:rsidR="0089773A">
        <w:t xml:space="preserve"> </w:t>
      </w:r>
    </w:p>
    <w:p w14:paraId="5013B755" w14:textId="1B93304E" w:rsidR="00C130FB" w:rsidRDefault="00ED752F" w:rsidP="00AE35F2">
      <w:pPr>
        <w:pStyle w:val="SingleTxtG"/>
        <w:tabs>
          <w:tab w:val="left" w:pos="1701"/>
        </w:tabs>
        <w:ind w:right="237"/>
      </w:pPr>
      <w:r>
        <w:rPr>
          <w:szCs w:val="24"/>
          <w:lang w:eastAsia="de-DE"/>
        </w:rPr>
        <w:t>8</w:t>
      </w:r>
      <w:r w:rsidR="00910A8F">
        <w:rPr>
          <w:szCs w:val="24"/>
          <w:lang w:eastAsia="de-DE"/>
        </w:rPr>
        <w:t>.</w:t>
      </w:r>
      <w:r w:rsidR="00910A8F">
        <w:rPr>
          <w:szCs w:val="24"/>
          <w:lang w:eastAsia="de-DE"/>
        </w:rPr>
        <w:tab/>
      </w:r>
      <w:r w:rsidR="00171159">
        <w:rPr>
          <w:szCs w:val="24"/>
          <w:lang w:eastAsia="de-DE"/>
        </w:rPr>
        <w:t>A</w:t>
      </w:r>
      <w:r w:rsidR="00953A95">
        <w:rPr>
          <w:szCs w:val="24"/>
          <w:lang w:eastAsia="de-DE"/>
        </w:rPr>
        <w:t>t the October meeting</w:t>
      </w:r>
      <w:r w:rsidR="00840982" w:rsidRPr="00953A95">
        <w:rPr>
          <w:szCs w:val="24"/>
          <w:lang w:eastAsia="de-DE"/>
        </w:rPr>
        <w:t>,</w:t>
      </w:r>
      <w:r w:rsidR="009E2F3E" w:rsidRPr="00953A95">
        <w:rPr>
          <w:szCs w:val="24"/>
          <w:lang w:eastAsia="de-DE"/>
        </w:rPr>
        <w:t xml:space="preserve"> the group</w:t>
      </w:r>
      <w:r w:rsidR="00840982" w:rsidRPr="00953A95">
        <w:rPr>
          <w:szCs w:val="24"/>
          <w:lang w:eastAsia="de-DE"/>
        </w:rPr>
        <w:t xml:space="preserve"> </w:t>
      </w:r>
      <w:r w:rsidR="00DA2E58">
        <w:rPr>
          <w:szCs w:val="24"/>
          <w:lang w:eastAsia="de-DE"/>
        </w:rPr>
        <w:t xml:space="preserve">also </w:t>
      </w:r>
      <w:r w:rsidR="00C36081" w:rsidRPr="00953A95">
        <w:rPr>
          <w:szCs w:val="24"/>
          <w:lang w:eastAsia="de-DE"/>
        </w:rPr>
        <w:t xml:space="preserve">received </w:t>
      </w:r>
      <w:r w:rsidR="00B17783" w:rsidRPr="00953A95">
        <w:rPr>
          <w:szCs w:val="24"/>
          <w:lang w:eastAsia="de-DE"/>
        </w:rPr>
        <w:t xml:space="preserve">feedback from the OECD </w:t>
      </w:r>
      <w:r w:rsidR="00C36081" w:rsidRPr="00953A95">
        <w:t xml:space="preserve">webinar on the </w:t>
      </w:r>
      <w:r w:rsidR="00951170">
        <w:t>‘I</w:t>
      </w:r>
      <w:r w:rsidR="00C36081" w:rsidRPr="00953A95">
        <w:t xml:space="preserve">mplementation of </w:t>
      </w:r>
      <w:r w:rsidR="00DC372E" w:rsidRPr="00346C0F">
        <w:t>Defined Approaches</w:t>
      </w:r>
      <w:r w:rsidR="00C36081" w:rsidRPr="00346C0F">
        <w:t xml:space="preserve"> on skin sensitisation</w:t>
      </w:r>
      <w:r w:rsidR="00951170">
        <w:t>’</w:t>
      </w:r>
      <w:r w:rsidR="00C36081" w:rsidRPr="00346C0F">
        <w:t xml:space="preserve"> that had been held on the 18 October 2021</w:t>
      </w:r>
      <w:r w:rsidR="00A20A07" w:rsidRPr="00346C0F">
        <w:t>,</w:t>
      </w:r>
      <w:r w:rsidR="005821AC" w:rsidRPr="00346C0F">
        <w:t xml:space="preserve"> </w:t>
      </w:r>
      <w:r w:rsidR="00514588">
        <w:t xml:space="preserve">that </w:t>
      </w:r>
      <w:r w:rsidR="006231F8">
        <w:t xml:space="preserve">had </w:t>
      </w:r>
      <w:r w:rsidR="005821AC" w:rsidRPr="00346C0F">
        <w:t>follow</w:t>
      </w:r>
      <w:r w:rsidR="00514588">
        <w:t>ed</w:t>
      </w:r>
      <w:r w:rsidR="005821AC" w:rsidRPr="00346C0F">
        <w:t xml:space="preserve"> the publication of the </w:t>
      </w:r>
      <w:r w:rsidR="0006580F" w:rsidRPr="00346C0F">
        <w:t xml:space="preserve">related </w:t>
      </w:r>
      <w:r w:rsidR="00C130FB" w:rsidRPr="00346C0F">
        <w:t>OECD Guideline 497</w:t>
      </w:r>
      <w:r w:rsidR="00184D16">
        <w:rPr>
          <w:rStyle w:val="FootnoteReference"/>
        </w:rPr>
        <w:footnoteReference w:id="6"/>
      </w:r>
      <w:r w:rsidR="00514588" w:rsidRPr="00514588">
        <w:t xml:space="preserve"> </w:t>
      </w:r>
      <w:r w:rsidR="00514588" w:rsidRPr="00346C0F">
        <w:t>in June 2021</w:t>
      </w:r>
      <w:r w:rsidR="00C130FB" w:rsidRPr="00346C0F">
        <w:t>.</w:t>
      </w:r>
      <w:r w:rsidR="00E50EE8" w:rsidRPr="00346C0F">
        <w:t xml:space="preserve"> Three members of the </w:t>
      </w:r>
      <w:r w:rsidR="009461EB" w:rsidRPr="00346C0F">
        <w:t>informal working group had provided presentations at the OECD webinar</w:t>
      </w:r>
      <w:r w:rsidR="00F035D0">
        <w:t>,</w:t>
      </w:r>
      <w:r w:rsidR="009461EB" w:rsidRPr="00346C0F">
        <w:t xml:space="preserve"> </w:t>
      </w:r>
      <w:r w:rsidR="00551892">
        <w:t>while</w:t>
      </w:r>
      <w:r w:rsidR="00551892" w:rsidRPr="00346C0F">
        <w:t xml:space="preserve"> </w:t>
      </w:r>
      <w:r w:rsidR="009461EB" w:rsidRPr="00346C0F">
        <w:t>other</w:t>
      </w:r>
      <w:r w:rsidR="00C70B7C">
        <w:t xml:space="preserve"> members of</w:t>
      </w:r>
      <w:r w:rsidR="009461EB" w:rsidRPr="00346C0F">
        <w:t xml:space="preserve"> the group who </w:t>
      </w:r>
      <w:r w:rsidR="00A20A07" w:rsidRPr="00346C0F">
        <w:t xml:space="preserve">had also </w:t>
      </w:r>
      <w:r w:rsidR="009461EB" w:rsidRPr="00346C0F">
        <w:t xml:space="preserve">attended </w:t>
      </w:r>
      <w:r w:rsidR="009E2F3E" w:rsidRPr="00346C0F">
        <w:t xml:space="preserve">expressed </w:t>
      </w:r>
      <w:r w:rsidR="00BE52D6" w:rsidRPr="00346C0F">
        <w:t xml:space="preserve">how informative </w:t>
      </w:r>
      <w:r w:rsidR="00A032F5" w:rsidRPr="00346C0F">
        <w:t>and relevant</w:t>
      </w:r>
      <w:r w:rsidR="00BE52D6" w:rsidRPr="00346C0F">
        <w:t xml:space="preserve"> it was</w:t>
      </w:r>
      <w:r w:rsidR="00A032F5" w:rsidRPr="00346C0F">
        <w:t xml:space="preserve"> to the </w:t>
      </w:r>
      <w:r w:rsidR="00F311DD" w:rsidRPr="00346C0F">
        <w:t xml:space="preserve">current </w:t>
      </w:r>
      <w:r w:rsidR="00A032F5" w:rsidRPr="00346C0F">
        <w:t>work of the group.</w:t>
      </w:r>
    </w:p>
    <w:p w14:paraId="35465286" w14:textId="77777777" w:rsidR="00932AAB" w:rsidRDefault="00932AAB" w:rsidP="00647141">
      <w:pPr>
        <w:pStyle w:val="HChG"/>
        <w:ind w:right="237" w:firstLine="0"/>
        <w:rPr>
          <w:lang w:val="en-AU"/>
        </w:rPr>
      </w:pPr>
      <w:r>
        <w:rPr>
          <w:lang w:val="en-AU"/>
        </w:rPr>
        <w:t>On-going work</w:t>
      </w:r>
    </w:p>
    <w:p w14:paraId="65D8A509" w14:textId="660869B6" w:rsidR="00932AAB" w:rsidRPr="00EE2D77" w:rsidRDefault="003A75AC" w:rsidP="00647141">
      <w:pPr>
        <w:pStyle w:val="SingleTxtG"/>
        <w:tabs>
          <w:tab w:val="left" w:pos="1701"/>
        </w:tabs>
        <w:ind w:right="237"/>
      </w:pPr>
      <w:r>
        <w:t>9</w:t>
      </w:r>
      <w:r w:rsidR="00932AAB">
        <w:t>.</w:t>
      </w:r>
      <w:r w:rsidR="00932AAB">
        <w:tab/>
        <w:t xml:space="preserve">The work on reviewing the skin sensitization hazard class in Chapter 3.4 for the inclusion of </w:t>
      </w:r>
      <w:r w:rsidR="00932AAB">
        <w:rPr>
          <w:szCs w:val="24"/>
          <w:lang w:eastAsia="de-DE"/>
        </w:rPr>
        <w:t>non-animal testing methods</w:t>
      </w:r>
      <w:r w:rsidR="00932AAB">
        <w:t xml:space="preserve"> </w:t>
      </w:r>
      <w:r w:rsidR="003E7193">
        <w:t xml:space="preserve">is continuing </w:t>
      </w:r>
      <w:r w:rsidR="008C0D90">
        <w:t>at pace</w:t>
      </w:r>
      <w:r>
        <w:t xml:space="preserve"> with the aim of providing a formal proposal on the revised Chapter 3.4 in 2022</w:t>
      </w:r>
      <w:r w:rsidR="008C0D90">
        <w:t xml:space="preserve">. </w:t>
      </w:r>
    </w:p>
    <w:p w14:paraId="744913DF" w14:textId="0D5186EC" w:rsidR="00363B88" w:rsidRDefault="003A75AC" w:rsidP="00363B88">
      <w:pPr>
        <w:pStyle w:val="SingleTxtG"/>
        <w:tabs>
          <w:tab w:val="left" w:pos="1701"/>
        </w:tabs>
        <w:ind w:right="237"/>
        <w:rPr>
          <w:lang w:val="en-US"/>
        </w:rPr>
      </w:pPr>
      <w:r>
        <w:rPr>
          <w:lang w:val="en-US"/>
        </w:rPr>
        <w:t>10</w:t>
      </w:r>
      <w:r w:rsidR="00363B88">
        <w:rPr>
          <w:lang w:val="en-US"/>
        </w:rPr>
        <w:t>.</w:t>
      </w:r>
      <w:r w:rsidR="00363B88">
        <w:rPr>
          <w:lang w:val="en-US"/>
        </w:rPr>
        <w:tab/>
        <w:t xml:space="preserve">At the November 2021 meeting, further discussions are planned on the next version of the </w:t>
      </w:r>
      <w:r w:rsidR="00363B88" w:rsidRPr="00C34EDB">
        <w:rPr>
          <w:color w:val="0E101A"/>
          <w:lang w:val="en-US" w:eastAsia="nl-NL"/>
        </w:rPr>
        <w:t xml:space="preserve">draft schematic </w:t>
      </w:r>
      <w:r w:rsidR="00363B88" w:rsidRPr="00C34EDB">
        <w:rPr>
          <w:lang w:val="en-US"/>
        </w:rPr>
        <w:t>for Chapter 3.4</w:t>
      </w:r>
      <w:r w:rsidR="00363B88">
        <w:rPr>
          <w:lang w:val="en-US"/>
        </w:rPr>
        <w:t xml:space="preserve"> and on the initial draft of s</w:t>
      </w:r>
      <w:r w:rsidR="0000299A">
        <w:rPr>
          <w:lang w:val="en-US"/>
        </w:rPr>
        <w:t>everal</w:t>
      </w:r>
      <w:r w:rsidR="00363B88">
        <w:rPr>
          <w:lang w:val="en-US"/>
        </w:rPr>
        <w:t xml:space="preserve"> revised sections of Chapter 3.4.</w:t>
      </w:r>
      <w:r w:rsidR="00363B88" w:rsidRPr="00B2646C">
        <w:t xml:space="preserve"> </w:t>
      </w:r>
      <w:r w:rsidR="00363B88">
        <w:t>In addition, a brief update will be provided on the responses to the questions in the German paper, together with further consideration of how this issue should be progressed.</w:t>
      </w:r>
    </w:p>
    <w:p w14:paraId="11EF12BB" w14:textId="16F2F938" w:rsidR="00932AAB" w:rsidRDefault="006C0ABA" w:rsidP="00695070">
      <w:pPr>
        <w:pStyle w:val="SingleTxtG"/>
        <w:tabs>
          <w:tab w:val="left" w:pos="1701"/>
        </w:tabs>
        <w:ind w:right="237"/>
      </w:pPr>
      <w:r>
        <w:t>11</w:t>
      </w:r>
      <w:r w:rsidR="00932AAB">
        <w:t>.</w:t>
      </w:r>
      <w:r w:rsidR="00932AAB">
        <w:tab/>
        <w:t>The Sub-Committee is invited to note the progress of the revision of Chapter 3.4 for the skin sensitization hazard class as provided in this informal document</w:t>
      </w:r>
      <w:r w:rsidR="00383739">
        <w:t xml:space="preserve"> and </w:t>
      </w:r>
      <w:r w:rsidR="00AC2A15">
        <w:t>is</w:t>
      </w:r>
      <w:r w:rsidR="00383739">
        <w:t xml:space="preserve"> </w:t>
      </w:r>
      <w:r w:rsidR="00AC2A15">
        <w:t xml:space="preserve">also </w:t>
      </w:r>
      <w:r w:rsidR="00383739">
        <w:t>invited to</w:t>
      </w:r>
      <w:r w:rsidR="007360BB">
        <w:t xml:space="preserve"> provide views on</w:t>
      </w:r>
      <w:r w:rsidR="002E0292">
        <w:t xml:space="preserve"> whether technical issues </w:t>
      </w:r>
      <w:r w:rsidR="00AC2A15">
        <w:t>with</w:t>
      </w:r>
      <w:r w:rsidR="002E0292">
        <w:t xml:space="preserve"> wider implications for other chapters in the GHS should be considered</w:t>
      </w:r>
      <w:r w:rsidR="00823D62">
        <w:t xml:space="preserve"> </w:t>
      </w:r>
      <w:r w:rsidR="00371B0B">
        <w:t>by an alternative working group</w:t>
      </w:r>
      <w:r w:rsidR="00932AAB">
        <w:t>.</w:t>
      </w:r>
    </w:p>
    <w:p w14:paraId="63113A2D" w14:textId="78A862EA" w:rsidR="00CE6284" w:rsidRPr="0064644C" w:rsidRDefault="0064644C" w:rsidP="0064644C">
      <w:pPr>
        <w:spacing w:before="240"/>
        <w:jc w:val="center"/>
        <w:rPr>
          <w:rStyle w:val="SingleTxtGCar"/>
          <w:u w:val="single"/>
        </w:rPr>
      </w:pP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</w:p>
    <w:sectPr w:rsidR="00CE6284" w:rsidRPr="0064644C" w:rsidSect="00C96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3934" w14:textId="77777777" w:rsidR="00E05466" w:rsidRDefault="00E05466" w:rsidP="00760F29">
      <w:pPr>
        <w:spacing w:line="240" w:lineRule="auto"/>
      </w:pPr>
      <w:r>
        <w:separator/>
      </w:r>
    </w:p>
  </w:endnote>
  <w:endnote w:type="continuationSeparator" w:id="0">
    <w:p w14:paraId="418A34FF" w14:textId="77777777" w:rsidR="00E05466" w:rsidRDefault="00E05466" w:rsidP="00760F29">
      <w:pPr>
        <w:spacing w:line="240" w:lineRule="auto"/>
      </w:pPr>
      <w:r>
        <w:continuationSeparator/>
      </w:r>
    </w:p>
  </w:endnote>
  <w:endnote w:type="continuationNotice" w:id="1">
    <w:p w14:paraId="59C7CB71" w14:textId="77777777" w:rsidR="00E05466" w:rsidRDefault="00E054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750" w14:textId="77777777" w:rsidR="0076675C" w:rsidRPr="000216CC" w:rsidRDefault="00A31103" w:rsidP="0076675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6A1" w14:textId="77777777" w:rsidR="0076675C" w:rsidRPr="000216CC" w:rsidRDefault="00A31103" w:rsidP="0076675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2942" w14:textId="010C5935" w:rsidR="0076675C" w:rsidRPr="00952862" w:rsidRDefault="0076675C">
    <w:pPr>
      <w:pStyle w:val="Footer"/>
      <w:rPr>
        <w:b/>
        <w:bCs/>
      </w:rPr>
    </w:pPr>
  </w:p>
  <w:p w14:paraId="2D4C9FAC" w14:textId="77777777" w:rsidR="0076675C" w:rsidRDefault="0076675C" w:rsidP="0076675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B313" w14:textId="77777777" w:rsidR="00E05466" w:rsidRDefault="00E05466" w:rsidP="00760F29">
      <w:pPr>
        <w:spacing w:line="240" w:lineRule="auto"/>
      </w:pPr>
      <w:r>
        <w:separator/>
      </w:r>
    </w:p>
  </w:footnote>
  <w:footnote w:type="continuationSeparator" w:id="0">
    <w:p w14:paraId="612214CA" w14:textId="77777777" w:rsidR="00E05466" w:rsidRDefault="00E05466" w:rsidP="00760F29">
      <w:pPr>
        <w:spacing w:line="240" w:lineRule="auto"/>
      </w:pPr>
      <w:r>
        <w:continuationSeparator/>
      </w:r>
    </w:p>
  </w:footnote>
  <w:footnote w:type="continuationNotice" w:id="1">
    <w:p w14:paraId="3CBC26E4" w14:textId="77777777" w:rsidR="00E05466" w:rsidRDefault="00E05466">
      <w:pPr>
        <w:spacing w:line="240" w:lineRule="auto"/>
      </w:pPr>
    </w:p>
  </w:footnote>
  <w:footnote w:id="2">
    <w:p w14:paraId="0BA719D6" w14:textId="2505719D" w:rsidR="00332450" w:rsidRDefault="00332450" w:rsidP="00B12B8A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8F2BC5">
        <w:tab/>
      </w:r>
      <w:r>
        <w:t>see ST/SG/AC.10/C.4/78</w:t>
      </w:r>
    </w:p>
  </w:footnote>
  <w:footnote w:id="3">
    <w:p w14:paraId="6B432CC9" w14:textId="59DFEE39" w:rsidR="00800A23" w:rsidRPr="00402415" w:rsidRDefault="00800A23" w:rsidP="008E3269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8F2BC5">
        <w:tab/>
      </w:r>
      <w:r w:rsidR="00041403" w:rsidRPr="00402415">
        <w:t xml:space="preserve">see </w:t>
      </w:r>
      <w:r w:rsidR="00402415" w:rsidRPr="00402415">
        <w:t>ST/SG/AC.10/C.4/</w:t>
      </w:r>
      <w:r w:rsidR="00041403" w:rsidRPr="00402415">
        <w:t>2021/4 and informal documents INF.3 and INF.22 (40</w:t>
      </w:r>
      <w:r w:rsidR="00041403" w:rsidRPr="00402415">
        <w:rPr>
          <w:vertAlign w:val="superscript"/>
        </w:rPr>
        <w:t>th</w:t>
      </w:r>
      <w:r w:rsidR="00041403" w:rsidRPr="00402415">
        <w:t xml:space="preserve"> session)</w:t>
      </w:r>
    </w:p>
  </w:footnote>
  <w:footnote w:id="4">
    <w:p w14:paraId="6068B58A" w14:textId="024F9331" w:rsidR="00800A23" w:rsidRDefault="00800A23" w:rsidP="00B54183">
      <w:pPr>
        <w:pStyle w:val="FootnoteText"/>
        <w:ind w:firstLine="0"/>
      </w:pPr>
      <w:r w:rsidRPr="00402415">
        <w:rPr>
          <w:rStyle w:val="FootnoteReference"/>
        </w:rPr>
        <w:footnoteRef/>
      </w:r>
      <w:r w:rsidRPr="00402415">
        <w:t xml:space="preserve"> </w:t>
      </w:r>
      <w:r w:rsidR="00B54183" w:rsidRPr="00402415">
        <w:tab/>
      </w:r>
      <w:r w:rsidR="00127FC6" w:rsidRPr="00402415">
        <w:t xml:space="preserve">see </w:t>
      </w:r>
      <w:r w:rsidR="00402415" w:rsidRPr="00402415">
        <w:t>ST/SG/AC.10/C.4/</w:t>
      </w:r>
      <w:r w:rsidR="00127FC6" w:rsidRPr="00402415">
        <w:t>2021</w:t>
      </w:r>
      <w:r w:rsidR="00127FC6">
        <w:t>/5 and informal document INF.4 (40</w:t>
      </w:r>
      <w:r w:rsidR="00127FC6" w:rsidRPr="00D60488">
        <w:rPr>
          <w:vertAlign w:val="superscript"/>
        </w:rPr>
        <w:t>th</w:t>
      </w:r>
      <w:r w:rsidR="00127FC6">
        <w:t xml:space="preserve"> session)</w:t>
      </w:r>
    </w:p>
  </w:footnote>
  <w:footnote w:id="5">
    <w:p w14:paraId="276F3BF4" w14:textId="2A33CBF7" w:rsidR="00C15551" w:rsidRDefault="00C15551" w:rsidP="00C15551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  <w:t>see ST/SG/AC.10/C.4/80</w:t>
      </w:r>
    </w:p>
  </w:footnote>
  <w:footnote w:id="6">
    <w:p w14:paraId="0830A783" w14:textId="58CAFF52" w:rsidR="00184D16" w:rsidRDefault="00184D16" w:rsidP="00AC5882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162329">
        <w:tab/>
      </w:r>
      <w:hyperlink r:id="rId1" w:history="1">
        <w:r w:rsidR="00AC5882">
          <w:rPr>
            <w:rStyle w:val="Hyperlink"/>
          </w:rPr>
          <w:t>OECD Guideline No. 497: Defined Approaches on Skin Sensitisation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8ADA" w14:textId="645D238B" w:rsidR="0076675C" w:rsidRPr="001E5919" w:rsidRDefault="00A31103" w:rsidP="0076675C">
    <w:pPr>
      <w:pStyle w:val="Header"/>
      <w:rPr>
        <w:lang w:val="fr-FR"/>
      </w:rPr>
    </w:pPr>
    <w:r>
      <w:rPr>
        <w:lang w:val="fr-FR"/>
      </w:rPr>
      <w:t>UN/SCEGHS/</w:t>
    </w:r>
    <w:r w:rsidR="00193A30">
      <w:rPr>
        <w:lang w:val="fr-FR"/>
      </w:rPr>
      <w:t>41</w:t>
    </w:r>
    <w:r>
      <w:rPr>
        <w:lang w:val="fr-FR"/>
      </w:rPr>
      <w:t>/INF.</w:t>
    </w:r>
    <w:r w:rsidR="00F32B41">
      <w:rPr>
        <w:lang w:val="fr-FR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6B" w14:textId="57C3E9FB" w:rsidR="0076675C" w:rsidRPr="001E5919" w:rsidRDefault="00A31103" w:rsidP="0076675C">
    <w:pPr>
      <w:pStyle w:val="Header"/>
      <w:jc w:val="right"/>
      <w:rPr>
        <w:lang w:val="fr-FR"/>
      </w:rPr>
    </w:pPr>
    <w:r>
      <w:rPr>
        <w:lang w:val="fr-FR"/>
      </w:rPr>
      <w:t>UN/SCEGHS/40/INF.</w:t>
    </w:r>
    <w:r w:rsidR="00513EED">
      <w:rPr>
        <w:lang w:val="fr-FR"/>
      </w:rPr>
      <w:t>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383" w14:textId="30154839" w:rsidR="0076675C" w:rsidRPr="00C969C0" w:rsidRDefault="0076675C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8AD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CAC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E4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A6A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CAA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CF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4E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86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43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2010" w:hanging="5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B063DE"/>
    <w:multiLevelType w:val="hybridMultilevel"/>
    <w:tmpl w:val="854C24D4"/>
    <w:lvl w:ilvl="0" w:tplc="7BBA121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0671"/>
    <w:multiLevelType w:val="hybridMultilevel"/>
    <w:tmpl w:val="81F6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55662"/>
    <w:multiLevelType w:val="hybridMultilevel"/>
    <w:tmpl w:val="6EFC11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1"/>
  </w:num>
  <w:num w:numId="5">
    <w:abstractNumId w:val="17"/>
  </w:num>
  <w:num w:numId="6">
    <w:abstractNumId w:val="16"/>
  </w:num>
  <w:num w:numId="7">
    <w:abstractNumId w:val="12"/>
  </w:num>
  <w:num w:numId="8">
    <w:abstractNumId w:val="20"/>
  </w:num>
  <w:num w:numId="9">
    <w:abstractNumId w:val="15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0299A"/>
    <w:rsid w:val="000061D1"/>
    <w:rsid w:val="00010BDD"/>
    <w:rsid w:val="00015F9B"/>
    <w:rsid w:val="000214BC"/>
    <w:rsid w:val="000218F8"/>
    <w:rsid w:val="0003079A"/>
    <w:rsid w:val="00040DE3"/>
    <w:rsid w:val="00041403"/>
    <w:rsid w:val="0005653A"/>
    <w:rsid w:val="0006039D"/>
    <w:rsid w:val="0006580F"/>
    <w:rsid w:val="00067399"/>
    <w:rsid w:val="00067AF0"/>
    <w:rsid w:val="00067DD1"/>
    <w:rsid w:val="00086587"/>
    <w:rsid w:val="00092F68"/>
    <w:rsid w:val="0009425C"/>
    <w:rsid w:val="00094BF7"/>
    <w:rsid w:val="00094C7F"/>
    <w:rsid w:val="000A35E5"/>
    <w:rsid w:val="000A6640"/>
    <w:rsid w:val="000B03C5"/>
    <w:rsid w:val="000B2D5C"/>
    <w:rsid w:val="000B6ACF"/>
    <w:rsid w:val="000C55A3"/>
    <w:rsid w:val="000C5F34"/>
    <w:rsid w:val="000C6595"/>
    <w:rsid w:val="000E1E26"/>
    <w:rsid w:val="000F29DB"/>
    <w:rsid w:val="00127FC6"/>
    <w:rsid w:val="00136BAB"/>
    <w:rsid w:val="00137021"/>
    <w:rsid w:val="001506E7"/>
    <w:rsid w:val="00162329"/>
    <w:rsid w:val="00163F95"/>
    <w:rsid w:val="00171159"/>
    <w:rsid w:val="001720A7"/>
    <w:rsid w:val="0017322E"/>
    <w:rsid w:val="00184D16"/>
    <w:rsid w:val="001851B2"/>
    <w:rsid w:val="00193A30"/>
    <w:rsid w:val="001B057F"/>
    <w:rsid w:val="001C2B95"/>
    <w:rsid w:val="001C5FE4"/>
    <w:rsid w:val="001E56B5"/>
    <w:rsid w:val="001E750E"/>
    <w:rsid w:val="001E7C2F"/>
    <w:rsid w:val="001F19BA"/>
    <w:rsid w:val="002006B8"/>
    <w:rsid w:val="00202043"/>
    <w:rsid w:val="002164F8"/>
    <w:rsid w:val="002239B8"/>
    <w:rsid w:val="00223F9F"/>
    <w:rsid w:val="002240C4"/>
    <w:rsid w:val="00224956"/>
    <w:rsid w:val="00225747"/>
    <w:rsid w:val="00226CEA"/>
    <w:rsid w:val="00227C4D"/>
    <w:rsid w:val="00235889"/>
    <w:rsid w:val="00236385"/>
    <w:rsid w:val="0024310D"/>
    <w:rsid w:val="00250194"/>
    <w:rsid w:val="00260117"/>
    <w:rsid w:val="00275729"/>
    <w:rsid w:val="00276B4C"/>
    <w:rsid w:val="002804ED"/>
    <w:rsid w:val="00280ED1"/>
    <w:rsid w:val="0028150B"/>
    <w:rsid w:val="002952DA"/>
    <w:rsid w:val="002A01A8"/>
    <w:rsid w:val="002A15A7"/>
    <w:rsid w:val="002A5B7F"/>
    <w:rsid w:val="002B02C4"/>
    <w:rsid w:val="002B4FB4"/>
    <w:rsid w:val="002B7299"/>
    <w:rsid w:val="002D0D9A"/>
    <w:rsid w:val="002D3FC3"/>
    <w:rsid w:val="002E0292"/>
    <w:rsid w:val="002F0C16"/>
    <w:rsid w:val="002F6B4A"/>
    <w:rsid w:val="002F7C78"/>
    <w:rsid w:val="0030509D"/>
    <w:rsid w:val="0030626F"/>
    <w:rsid w:val="00307BE6"/>
    <w:rsid w:val="00313097"/>
    <w:rsid w:val="0031445F"/>
    <w:rsid w:val="00325F26"/>
    <w:rsid w:val="00330944"/>
    <w:rsid w:val="00332450"/>
    <w:rsid w:val="00340588"/>
    <w:rsid w:val="00346C0F"/>
    <w:rsid w:val="00350C1C"/>
    <w:rsid w:val="00350C57"/>
    <w:rsid w:val="003561D6"/>
    <w:rsid w:val="00363B88"/>
    <w:rsid w:val="00366194"/>
    <w:rsid w:val="00371089"/>
    <w:rsid w:val="00371B0B"/>
    <w:rsid w:val="00372484"/>
    <w:rsid w:val="00374178"/>
    <w:rsid w:val="00381D29"/>
    <w:rsid w:val="00383739"/>
    <w:rsid w:val="00386A0C"/>
    <w:rsid w:val="003A228D"/>
    <w:rsid w:val="003A2720"/>
    <w:rsid w:val="003A2A96"/>
    <w:rsid w:val="003A3245"/>
    <w:rsid w:val="003A75AC"/>
    <w:rsid w:val="003B2653"/>
    <w:rsid w:val="003B3AEF"/>
    <w:rsid w:val="003C10B9"/>
    <w:rsid w:val="003C425A"/>
    <w:rsid w:val="003C4B75"/>
    <w:rsid w:val="003E36B5"/>
    <w:rsid w:val="003E64B9"/>
    <w:rsid w:val="003E7193"/>
    <w:rsid w:val="00402415"/>
    <w:rsid w:val="0040625C"/>
    <w:rsid w:val="00406A6B"/>
    <w:rsid w:val="004110EF"/>
    <w:rsid w:val="004145B4"/>
    <w:rsid w:val="004152C8"/>
    <w:rsid w:val="00416769"/>
    <w:rsid w:val="00423FB4"/>
    <w:rsid w:val="00426B05"/>
    <w:rsid w:val="00437D1D"/>
    <w:rsid w:val="00440F59"/>
    <w:rsid w:val="00447081"/>
    <w:rsid w:val="004473FB"/>
    <w:rsid w:val="00451105"/>
    <w:rsid w:val="00451858"/>
    <w:rsid w:val="00456059"/>
    <w:rsid w:val="0045752F"/>
    <w:rsid w:val="00462A16"/>
    <w:rsid w:val="004656D2"/>
    <w:rsid w:val="004774AF"/>
    <w:rsid w:val="00480595"/>
    <w:rsid w:val="00490887"/>
    <w:rsid w:val="00493CF5"/>
    <w:rsid w:val="004957C8"/>
    <w:rsid w:val="00496520"/>
    <w:rsid w:val="004A6FA4"/>
    <w:rsid w:val="004B2D21"/>
    <w:rsid w:val="004B5A77"/>
    <w:rsid w:val="004C135A"/>
    <w:rsid w:val="004D3744"/>
    <w:rsid w:val="004E0CC0"/>
    <w:rsid w:val="004E7435"/>
    <w:rsid w:val="00501BA0"/>
    <w:rsid w:val="00507870"/>
    <w:rsid w:val="00507FDD"/>
    <w:rsid w:val="00513EED"/>
    <w:rsid w:val="00514588"/>
    <w:rsid w:val="005210E2"/>
    <w:rsid w:val="00522D72"/>
    <w:rsid w:val="00526749"/>
    <w:rsid w:val="00551892"/>
    <w:rsid w:val="005545DE"/>
    <w:rsid w:val="00561E93"/>
    <w:rsid w:val="005632F6"/>
    <w:rsid w:val="00574027"/>
    <w:rsid w:val="005745C7"/>
    <w:rsid w:val="005746FD"/>
    <w:rsid w:val="00581297"/>
    <w:rsid w:val="005821AC"/>
    <w:rsid w:val="00585251"/>
    <w:rsid w:val="00592369"/>
    <w:rsid w:val="0059523F"/>
    <w:rsid w:val="005A5F59"/>
    <w:rsid w:val="005B56D1"/>
    <w:rsid w:val="005C0B65"/>
    <w:rsid w:val="005E79BB"/>
    <w:rsid w:val="005F22CC"/>
    <w:rsid w:val="005F7AE9"/>
    <w:rsid w:val="00607D03"/>
    <w:rsid w:val="0061276A"/>
    <w:rsid w:val="00613BFE"/>
    <w:rsid w:val="006218BA"/>
    <w:rsid w:val="0062268F"/>
    <w:rsid w:val="006231F8"/>
    <w:rsid w:val="0062617C"/>
    <w:rsid w:val="00630265"/>
    <w:rsid w:val="00633F54"/>
    <w:rsid w:val="0064644C"/>
    <w:rsid w:val="00647141"/>
    <w:rsid w:val="00661DE9"/>
    <w:rsid w:val="00686B73"/>
    <w:rsid w:val="006919CF"/>
    <w:rsid w:val="00693AB1"/>
    <w:rsid w:val="00695070"/>
    <w:rsid w:val="00695446"/>
    <w:rsid w:val="00697A8B"/>
    <w:rsid w:val="006A2C7D"/>
    <w:rsid w:val="006A730C"/>
    <w:rsid w:val="006C0ABA"/>
    <w:rsid w:val="006D3E76"/>
    <w:rsid w:val="006D7553"/>
    <w:rsid w:val="006E0172"/>
    <w:rsid w:val="00705D5B"/>
    <w:rsid w:val="00717408"/>
    <w:rsid w:val="0072143B"/>
    <w:rsid w:val="007360BB"/>
    <w:rsid w:val="00744B84"/>
    <w:rsid w:val="0075412F"/>
    <w:rsid w:val="007552E9"/>
    <w:rsid w:val="00760F29"/>
    <w:rsid w:val="00764A83"/>
    <w:rsid w:val="00764BF8"/>
    <w:rsid w:val="0076675C"/>
    <w:rsid w:val="00783749"/>
    <w:rsid w:val="00787CA8"/>
    <w:rsid w:val="007A5031"/>
    <w:rsid w:val="007B431E"/>
    <w:rsid w:val="007C1E4D"/>
    <w:rsid w:val="007C2967"/>
    <w:rsid w:val="007C61DB"/>
    <w:rsid w:val="007C7EE8"/>
    <w:rsid w:val="007D6912"/>
    <w:rsid w:val="007D7B1D"/>
    <w:rsid w:val="007F1D3F"/>
    <w:rsid w:val="007F6C08"/>
    <w:rsid w:val="00800A23"/>
    <w:rsid w:val="00804C4D"/>
    <w:rsid w:val="00820224"/>
    <w:rsid w:val="00822F3B"/>
    <w:rsid w:val="0082334F"/>
    <w:rsid w:val="00823D62"/>
    <w:rsid w:val="00833F47"/>
    <w:rsid w:val="00840982"/>
    <w:rsid w:val="0085283D"/>
    <w:rsid w:val="00862DAD"/>
    <w:rsid w:val="00880A9D"/>
    <w:rsid w:val="0089773A"/>
    <w:rsid w:val="008A7C6D"/>
    <w:rsid w:val="008C0D90"/>
    <w:rsid w:val="008C3F42"/>
    <w:rsid w:val="008E0BFF"/>
    <w:rsid w:val="008E1749"/>
    <w:rsid w:val="008E3269"/>
    <w:rsid w:val="008F0E55"/>
    <w:rsid w:val="008F2BC5"/>
    <w:rsid w:val="008F6F04"/>
    <w:rsid w:val="00901873"/>
    <w:rsid w:val="00910A8F"/>
    <w:rsid w:val="00930F93"/>
    <w:rsid w:val="00932AAB"/>
    <w:rsid w:val="00933123"/>
    <w:rsid w:val="00935F35"/>
    <w:rsid w:val="0094333C"/>
    <w:rsid w:val="0094551F"/>
    <w:rsid w:val="009461EB"/>
    <w:rsid w:val="00951170"/>
    <w:rsid w:val="00953A95"/>
    <w:rsid w:val="009855D0"/>
    <w:rsid w:val="009A048B"/>
    <w:rsid w:val="009B11B2"/>
    <w:rsid w:val="009B490C"/>
    <w:rsid w:val="009B7C35"/>
    <w:rsid w:val="009C2C6E"/>
    <w:rsid w:val="009C6587"/>
    <w:rsid w:val="009C6594"/>
    <w:rsid w:val="009D0A39"/>
    <w:rsid w:val="009D759F"/>
    <w:rsid w:val="009E1F11"/>
    <w:rsid w:val="009E245E"/>
    <w:rsid w:val="009E2F3E"/>
    <w:rsid w:val="009E42E4"/>
    <w:rsid w:val="009F0E39"/>
    <w:rsid w:val="00A032F5"/>
    <w:rsid w:val="00A0469A"/>
    <w:rsid w:val="00A0760F"/>
    <w:rsid w:val="00A20A07"/>
    <w:rsid w:val="00A25245"/>
    <w:rsid w:val="00A31103"/>
    <w:rsid w:val="00A45838"/>
    <w:rsid w:val="00A55BFD"/>
    <w:rsid w:val="00A569B6"/>
    <w:rsid w:val="00A57074"/>
    <w:rsid w:val="00A57ACB"/>
    <w:rsid w:val="00A72105"/>
    <w:rsid w:val="00A75990"/>
    <w:rsid w:val="00A812D4"/>
    <w:rsid w:val="00A83A4A"/>
    <w:rsid w:val="00A84500"/>
    <w:rsid w:val="00A85FC4"/>
    <w:rsid w:val="00A91B52"/>
    <w:rsid w:val="00A951DB"/>
    <w:rsid w:val="00AA3D2B"/>
    <w:rsid w:val="00AB03B2"/>
    <w:rsid w:val="00AC2A15"/>
    <w:rsid w:val="00AC54EC"/>
    <w:rsid w:val="00AC5882"/>
    <w:rsid w:val="00AC7597"/>
    <w:rsid w:val="00AD6C46"/>
    <w:rsid w:val="00AE0560"/>
    <w:rsid w:val="00AE1992"/>
    <w:rsid w:val="00AE35F2"/>
    <w:rsid w:val="00AF56C8"/>
    <w:rsid w:val="00AF779F"/>
    <w:rsid w:val="00B12B8A"/>
    <w:rsid w:val="00B17783"/>
    <w:rsid w:val="00B208F6"/>
    <w:rsid w:val="00B21C0B"/>
    <w:rsid w:val="00B2646C"/>
    <w:rsid w:val="00B5164B"/>
    <w:rsid w:val="00B54183"/>
    <w:rsid w:val="00B552D1"/>
    <w:rsid w:val="00B5674A"/>
    <w:rsid w:val="00B56E76"/>
    <w:rsid w:val="00B64854"/>
    <w:rsid w:val="00B746E6"/>
    <w:rsid w:val="00B77E3D"/>
    <w:rsid w:val="00B80CE0"/>
    <w:rsid w:val="00B85035"/>
    <w:rsid w:val="00B8545A"/>
    <w:rsid w:val="00B85B89"/>
    <w:rsid w:val="00B9564D"/>
    <w:rsid w:val="00B97B41"/>
    <w:rsid w:val="00BA2AD5"/>
    <w:rsid w:val="00BB4D43"/>
    <w:rsid w:val="00BB535D"/>
    <w:rsid w:val="00BB74A5"/>
    <w:rsid w:val="00BC0E29"/>
    <w:rsid w:val="00BE52D6"/>
    <w:rsid w:val="00BF0E50"/>
    <w:rsid w:val="00C030C7"/>
    <w:rsid w:val="00C04B58"/>
    <w:rsid w:val="00C06C5D"/>
    <w:rsid w:val="00C11183"/>
    <w:rsid w:val="00C130FB"/>
    <w:rsid w:val="00C13576"/>
    <w:rsid w:val="00C13F89"/>
    <w:rsid w:val="00C15551"/>
    <w:rsid w:val="00C34EDB"/>
    <w:rsid w:val="00C36081"/>
    <w:rsid w:val="00C37C01"/>
    <w:rsid w:val="00C5116F"/>
    <w:rsid w:val="00C5390E"/>
    <w:rsid w:val="00C53F24"/>
    <w:rsid w:val="00C55D07"/>
    <w:rsid w:val="00C55F0A"/>
    <w:rsid w:val="00C60AE5"/>
    <w:rsid w:val="00C64CCA"/>
    <w:rsid w:val="00C65283"/>
    <w:rsid w:val="00C70A06"/>
    <w:rsid w:val="00C70B7C"/>
    <w:rsid w:val="00C84332"/>
    <w:rsid w:val="00C846BC"/>
    <w:rsid w:val="00C90E4D"/>
    <w:rsid w:val="00C940BF"/>
    <w:rsid w:val="00C969C0"/>
    <w:rsid w:val="00CA28D8"/>
    <w:rsid w:val="00CA5128"/>
    <w:rsid w:val="00CA7831"/>
    <w:rsid w:val="00CB6635"/>
    <w:rsid w:val="00CD0A0B"/>
    <w:rsid w:val="00CE031D"/>
    <w:rsid w:val="00CE5143"/>
    <w:rsid w:val="00CE5440"/>
    <w:rsid w:val="00CE6284"/>
    <w:rsid w:val="00CF5E7D"/>
    <w:rsid w:val="00D44C15"/>
    <w:rsid w:val="00D60175"/>
    <w:rsid w:val="00D60488"/>
    <w:rsid w:val="00D63D2E"/>
    <w:rsid w:val="00D660CB"/>
    <w:rsid w:val="00D670CE"/>
    <w:rsid w:val="00D718E5"/>
    <w:rsid w:val="00D767FB"/>
    <w:rsid w:val="00D841B8"/>
    <w:rsid w:val="00D918AD"/>
    <w:rsid w:val="00D9351F"/>
    <w:rsid w:val="00DA2E58"/>
    <w:rsid w:val="00DA6169"/>
    <w:rsid w:val="00DB521F"/>
    <w:rsid w:val="00DC372E"/>
    <w:rsid w:val="00DD0021"/>
    <w:rsid w:val="00DD396E"/>
    <w:rsid w:val="00DE37D5"/>
    <w:rsid w:val="00E002DD"/>
    <w:rsid w:val="00E05466"/>
    <w:rsid w:val="00E11ECF"/>
    <w:rsid w:val="00E15AE8"/>
    <w:rsid w:val="00E1727E"/>
    <w:rsid w:val="00E26063"/>
    <w:rsid w:val="00E319C2"/>
    <w:rsid w:val="00E37BDF"/>
    <w:rsid w:val="00E41600"/>
    <w:rsid w:val="00E449C3"/>
    <w:rsid w:val="00E50EE8"/>
    <w:rsid w:val="00E67F2E"/>
    <w:rsid w:val="00E70C2F"/>
    <w:rsid w:val="00E76A5B"/>
    <w:rsid w:val="00E86FBA"/>
    <w:rsid w:val="00E93287"/>
    <w:rsid w:val="00E97BCE"/>
    <w:rsid w:val="00EA3F81"/>
    <w:rsid w:val="00EA5B52"/>
    <w:rsid w:val="00EB1291"/>
    <w:rsid w:val="00ED69FE"/>
    <w:rsid w:val="00ED752F"/>
    <w:rsid w:val="00EF35EF"/>
    <w:rsid w:val="00F01B28"/>
    <w:rsid w:val="00F01DF9"/>
    <w:rsid w:val="00F02DE0"/>
    <w:rsid w:val="00F035D0"/>
    <w:rsid w:val="00F06765"/>
    <w:rsid w:val="00F22714"/>
    <w:rsid w:val="00F2782B"/>
    <w:rsid w:val="00F27F2C"/>
    <w:rsid w:val="00F311DD"/>
    <w:rsid w:val="00F32B41"/>
    <w:rsid w:val="00F414FF"/>
    <w:rsid w:val="00F41B6B"/>
    <w:rsid w:val="00F717DC"/>
    <w:rsid w:val="00F84D75"/>
    <w:rsid w:val="00F85DE2"/>
    <w:rsid w:val="00FA0F0E"/>
    <w:rsid w:val="00FA1604"/>
    <w:rsid w:val="00FA63B2"/>
    <w:rsid w:val="00FB0354"/>
    <w:rsid w:val="00FB0F9F"/>
    <w:rsid w:val="00FD4302"/>
    <w:rsid w:val="00FE179E"/>
    <w:rsid w:val="00FF508A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CCC7"/>
  <w15:docId w15:val="{D311CA43-17F3-4F92-B5EC-3995351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uiPriority w:val="39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uiPriority w:val="99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uiPriority w:val="99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  <w:style w:type="paragraph" w:styleId="ListNumber5">
    <w:name w:val="List Number 5"/>
    <w:basedOn w:val="Normal"/>
    <w:rsid w:val="00C55D07"/>
    <w:pPr>
      <w:tabs>
        <w:tab w:val="num" w:pos="1492"/>
      </w:tabs>
      <w:ind w:left="1492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787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chemicalsafety/guideline-no-497-defined-approaches-on-skin-sensitisation-b92879a4-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0C57C-EADC-4D61-AA9B-CFCAED1C7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D41E92-F2C9-42EA-B322-36B38285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Laurence Berthet</cp:lastModifiedBy>
  <cp:revision>3</cp:revision>
  <cp:lastPrinted>2021-12-01T12:07:00Z</cp:lastPrinted>
  <dcterms:created xsi:type="dcterms:W3CDTF">2021-12-01T12:08:00Z</dcterms:created>
  <dcterms:modified xsi:type="dcterms:W3CDTF">2021-12-01T12:12:00Z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