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B80EA1" w14:paraId="08D9D20B" w14:textId="77777777" w:rsidTr="00F01738">
        <w:trPr>
          <w:trHeight w:hRule="exact" w:val="851"/>
        </w:trPr>
        <w:tc>
          <w:tcPr>
            <w:tcW w:w="1276" w:type="dxa"/>
            <w:tcBorders>
              <w:bottom w:val="single" w:sz="4" w:space="0" w:color="auto"/>
            </w:tcBorders>
          </w:tcPr>
          <w:p w14:paraId="45283D76" w14:textId="77777777" w:rsidR="00132EA9" w:rsidRPr="00B80EA1" w:rsidRDefault="00132EA9" w:rsidP="003D16B5">
            <w:pPr>
              <w:rPr>
                <w:color w:val="000000" w:themeColor="text1"/>
              </w:rPr>
            </w:pPr>
          </w:p>
        </w:tc>
        <w:tc>
          <w:tcPr>
            <w:tcW w:w="2268" w:type="dxa"/>
            <w:tcBorders>
              <w:bottom w:val="single" w:sz="4" w:space="0" w:color="auto"/>
            </w:tcBorders>
            <w:vAlign w:val="bottom"/>
          </w:tcPr>
          <w:p w14:paraId="33CABD52" w14:textId="77777777" w:rsidR="00132EA9" w:rsidRPr="00B80EA1" w:rsidRDefault="00132EA9" w:rsidP="00F01738">
            <w:pPr>
              <w:spacing w:after="80" w:line="300" w:lineRule="exact"/>
              <w:rPr>
                <w:color w:val="000000" w:themeColor="text1"/>
                <w:sz w:val="28"/>
              </w:rPr>
            </w:pPr>
            <w:r w:rsidRPr="00B80EA1">
              <w:rPr>
                <w:color w:val="000000" w:themeColor="text1"/>
                <w:sz w:val="28"/>
              </w:rPr>
              <w:t>Nations Unies</w:t>
            </w:r>
          </w:p>
        </w:tc>
        <w:tc>
          <w:tcPr>
            <w:tcW w:w="6095" w:type="dxa"/>
            <w:gridSpan w:val="2"/>
            <w:tcBorders>
              <w:bottom w:val="single" w:sz="4" w:space="0" w:color="auto"/>
            </w:tcBorders>
            <w:vAlign w:val="bottom"/>
          </w:tcPr>
          <w:p w14:paraId="03CDCA62" w14:textId="4D60AB11" w:rsidR="00132EA9" w:rsidRPr="00B80EA1" w:rsidRDefault="003D16B5" w:rsidP="003D16B5">
            <w:pPr>
              <w:jc w:val="right"/>
              <w:rPr>
                <w:color w:val="000000" w:themeColor="text1"/>
              </w:rPr>
            </w:pPr>
            <w:r w:rsidRPr="00B80EA1">
              <w:rPr>
                <w:color w:val="000000" w:themeColor="text1"/>
                <w:sz w:val="40"/>
              </w:rPr>
              <w:t>ST</w:t>
            </w:r>
            <w:r w:rsidRPr="00B80EA1">
              <w:rPr>
                <w:color w:val="000000" w:themeColor="text1"/>
              </w:rPr>
              <w:t>/SG/AC.10/C.4/80</w:t>
            </w:r>
          </w:p>
        </w:tc>
      </w:tr>
      <w:tr w:rsidR="00132EA9" w:rsidRPr="00B80EA1" w14:paraId="7F9ACADC" w14:textId="77777777" w:rsidTr="00F01738">
        <w:trPr>
          <w:trHeight w:hRule="exact" w:val="2835"/>
        </w:trPr>
        <w:tc>
          <w:tcPr>
            <w:tcW w:w="1276" w:type="dxa"/>
            <w:tcBorders>
              <w:top w:val="single" w:sz="4" w:space="0" w:color="auto"/>
              <w:bottom w:val="single" w:sz="12" w:space="0" w:color="auto"/>
            </w:tcBorders>
          </w:tcPr>
          <w:p w14:paraId="275BAB91" w14:textId="77777777" w:rsidR="00132EA9" w:rsidRPr="00B80EA1" w:rsidRDefault="00132EA9" w:rsidP="00F01738">
            <w:pPr>
              <w:spacing w:before="120"/>
              <w:jc w:val="center"/>
              <w:rPr>
                <w:color w:val="000000" w:themeColor="text1"/>
              </w:rPr>
            </w:pPr>
            <w:r w:rsidRPr="00B80EA1">
              <w:rPr>
                <w:noProof/>
                <w:color w:val="000000" w:themeColor="text1"/>
                <w:lang w:eastAsia="fr-CH"/>
              </w:rPr>
              <w:drawing>
                <wp:inline distT="0" distB="0" distL="0" distR="0" wp14:anchorId="7D13DA5D" wp14:editId="7DAD1BF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2D19CAA" w14:textId="77777777" w:rsidR="00132EA9" w:rsidRPr="00B80EA1" w:rsidRDefault="00132EA9" w:rsidP="00F01738">
            <w:pPr>
              <w:spacing w:before="120" w:line="420" w:lineRule="exact"/>
              <w:rPr>
                <w:b/>
                <w:color w:val="000000" w:themeColor="text1"/>
                <w:sz w:val="40"/>
                <w:szCs w:val="40"/>
              </w:rPr>
            </w:pPr>
            <w:r w:rsidRPr="00B80EA1">
              <w:rPr>
                <w:b/>
                <w:color w:val="000000" w:themeColor="text1"/>
                <w:sz w:val="40"/>
                <w:szCs w:val="40"/>
              </w:rPr>
              <w:t>Secrétariat</w:t>
            </w:r>
          </w:p>
        </w:tc>
        <w:tc>
          <w:tcPr>
            <w:tcW w:w="2835" w:type="dxa"/>
            <w:tcBorders>
              <w:top w:val="single" w:sz="4" w:space="0" w:color="auto"/>
              <w:bottom w:val="single" w:sz="12" w:space="0" w:color="auto"/>
            </w:tcBorders>
          </w:tcPr>
          <w:p w14:paraId="100C9442" w14:textId="77777777" w:rsidR="00132EA9" w:rsidRPr="00B80EA1" w:rsidRDefault="003D16B5" w:rsidP="00F01738">
            <w:pPr>
              <w:spacing w:before="240"/>
              <w:rPr>
                <w:color w:val="000000" w:themeColor="text1"/>
              </w:rPr>
            </w:pPr>
            <w:r w:rsidRPr="00B80EA1">
              <w:rPr>
                <w:color w:val="000000" w:themeColor="text1"/>
              </w:rPr>
              <w:t xml:space="preserve">Distr. </w:t>
            </w:r>
            <w:proofErr w:type="gramStart"/>
            <w:r w:rsidRPr="00B80EA1">
              <w:rPr>
                <w:color w:val="000000" w:themeColor="text1"/>
              </w:rPr>
              <w:t>générale</w:t>
            </w:r>
            <w:proofErr w:type="gramEnd"/>
          </w:p>
          <w:p w14:paraId="3F6D7920" w14:textId="1796AAA6" w:rsidR="003D16B5" w:rsidRPr="00B80EA1" w:rsidRDefault="003D16B5" w:rsidP="003D16B5">
            <w:pPr>
              <w:spacing w:line="240" w:lineRule="exact"/>
              <w:rPr>
                <w:color w:val="000000" w:themeColor="text1"/>
              </w:rPr>
            </w:pPr>
            <w:r w:rsidRPr="00B80EA1">
              <w:rPr>
                <w:color w:val="000000" w:themeColor="text1"/>
              </w:rPr>
              <w:t>21 juillet</w:t>
            </w:r>
            <w:r w:rsidR="00B80EA1">
              <w:rPr>
                <w:color w:val="000000" w:themeColor="text1"/>
              </w:rPr>
              <w:t xml:space="preserve"> 20</w:t>
            </w:r>
            <w:r w:rsidRPr="00B80EA1">
              <w:rPr>
                <w:color w:val="000000" w:themeColor="text1"/>
              </w:rPr>
              <w:t>21</w:t>
            </w:r>
          </w:p>
          <w:p w14:paraId="00CCF520" w14:textId="77777777" w:rsidR="003D16B5" w:rsidRPr="00B80EA1" w:rsidRDefault="003D16B5" w:rsidP="003D16B5">
            <w:pPr>
              <w:spacing w:line="240" w:lineRule="exact"/>
              <w:rPr>
                <w:color w:val="000000" w:themeColor="text1"/>
              </w:rPr>
            </w:pPr>
            <w:r w:rsidRPr="00B80EA1">
              <w:rPr>
                <w:color w:val="000000" w:themeColor="text1"/>
              </w:rPr>
              <w:t>Français</w:t>
            </w:r>
          </w:p>
          <w:p w14:paraId="3E73E812" w14:textId="68154CDF" w:rsidR="003D16B5" w:rsidRPr="00B80EA1" w:rsidRDefault="003D16B5" w:rsidP="003D16B5">
            <w:pPr>
              <w:spacing w:line="240" w:lineRule="exact"/>
              <w:rPr>
                <w:color w:val="000000" w:themeColor="text1"/>
              </w:rPr>
            </w:pPr>
            <w:r w:rsidRPr="00B80EA1">
              <w:rPr>
                <w:color w:val="000000" w:themeColor="text1"/>
              </w:rPr>
              <w:t>Original</w:t>
            </w:r>
            <w:r w:rsidR="003D06F0" w:rsidRPr="00B80EA1">
              <w:rPr>
                <w:color w:val="000000" w:themeColor="text1"/>
              </w:rPr>
              <w:t> :</w:t>
            </w:r>
            <w:r w:rsidRPr="00B80EA1">
              <w:rPr>
                <w:color w:val="000000" w:themeColor="text1"/>
              </w:rPr>
              <w:t xml:space="preserve"> anglais</w:t>
            </w:r>
          </w:p>
        </w:tc>
      </w:tr>
    </w:tbl>
    <w:p w14:paraId="5986081F" w14:textId="76F8EC39" w:rsidR="00705B57" w:rsidRPr="00B80EA1" w:rsidRDefault="00705B57" w:rsidP="00751AA5">
      <w:pPr>
        <w:spacing w:before="120"/>
        <w:ind w:right="3117"/>
        <w:rPr>
          <w:b/>
          <w:color w:val="000000" w:themeColor="text1"/>
          <w:sz w:val="24"/>
          <w:szCs w:val="24"/>
        </w:rPr>
      </w:pPr>
      <w:r w:rsidRPr="00B80EA1">
        <w:rPr>
          <w:b/>
          <w:bCs/>
          <w:color w:val="000000" w:themeColor="text1"/>
          <w:sz w:val="24"/>
          <w:szCs w:val="24"/>
        </w:rPr>
        <w:t>Comité d’experts du transport des marchandises dangereuses et du Système général harmonisé de classification et</w:t>
      </w:r>
      <w:r w:rsidR="00751AA5" w:rsidRPr="00B80EA1">
        <w:rPr>
          <w:b/>
          <w:bCs/>
          <w:color w:val="000000" w:themeColor="text1"/>
          <w:sz w:val="24"/>
          <w:szCs w:val="24"/>
        </w:rPr>
        <w:t> </w:t>
      </w:r>
      <w:r w:rsidRPr="00B80EA1">
        <w:rPr>
          <w:b/>
          <w:bCs/>
          <w:color w:val="000000" w:themeColor="text1"/>
          <w:sz w:val="24"/>
          <w:szCs w:val="24"/>
        </w:rPr>
        <w:t>d’étiquetage des produits chimiques</w:t>
      </w:r>
    </w:p>
    <w:p w14:paraId="05F269F4" w14:textId="675773F6" w:rsidR="00705B57" w:rsidRPr="00B80EA1" w:rsidRDefault="00705B57" w:rsidP="00751AA5">
      <w:pPr>
        <w:spacing w:before="120"/>
        <w:ind w:right="3117"/>
        <w:rPr>
          <w:b/>
          <w:color w:val="000000" w:themeColor="text1"/>
        </w:rPr>
      </w:pPr>
      <w:r w:rsidRPr="00B80EA1">
        <w:rPr>
          <w:b/>
          <w:bCs/>
          <w:color w:val="000000" w:themeColor="text1"/>
        </w:rPr>
        <w:t>Sous-Comité d’experts du Système général harmonisé de classification et</w:t>
      </w:r>
      <w:r w:rsidR="00751AA5" w:rsidRPr="00B80EA1">
        <w:rPr>
          <w:b/>
          <w:bCs/>
          <w:color w:val="000000" w:themeColor="text1"/>
        </w:rPr>
        <w:t> </w:t>
      </w:r>
      <w:r w:rsidRPr="00B80EA1">
        <w:rPr>
          <w:b/>
          <w:bCs/>
          <w:color w:val="000000" w:themeColor="text1"/>
        </w:rPr>
        <w:t>d’étiquetage des produits chimiques</w:t>
      </w:r>
    </w:p>
    <w:p w14:paraId="3FD75D34" w14:textId="77777777" w:rsidR="00705B57" w:rsidRPr="00B80EA1" w:rsidRDefault="00705B57" w:rsidP="00751AA5">
      <w:pPr>
        <w:pStyle w:val="HChG"/>
        <w:rPr>
          <w:color w:val="000000" w:themeColor="text1"/>
        </w:rPr>
      </w:pPr>
      <w:r w:rsidRPr="00B80EA1">
        <w:rPr>
          <w:color w:val="000000" w:themeColor="text1"/>
        </w:rPr>
        <w:tab/>
      </w:r>
      <w:r w:rsidRPr="00B80EA1">
        <w:rPr>
          <w:color w:val="000000" w:themeColor="text1"/>
        </w:rPr>
        <w:tab/>
        <w:t>Rapport du Sous-Comité d’experts du Système général harmonisé de classification et d’étiquetage des produits chimiques sur sa quarantième session</w:t>
      </w:r>
    </w:p>
    <w:p w14:paraId="441F6A22" w14:textId="229BD4E4" w:rsidR="00705B57" w:rsidRPr="00B80EA1" w:rsidRDefault="00705B57" w:rsidP="00751AA5">
      <w:pPr>
        <w:pStyle w:val="SingleTxtG"/>
        <w:rPr>
          <w:color w:val="000000" w:themeColor="text1"/>
        </w:rPr>
      </w:pPr>
      <w:proofErr w:type="gramStart"/>
      <w:r w:rsidRPr="00B80EA1">
        <w:rPr>
          <w:color w:val="000000" w:themeColor="text1"/>
        </w:rPr>
        <w:t>tenue</w:t>
      </w:r>
      <w:proofErr w:type="gramEnd"/>
      <w:r w:rsidRPr="00B80EA1">
        <w:rPr>
          <w:color w:val="000000" w:themeColor="text1"/>
        </w:rPr>
        <w:t xml:space="preserve"> à Genève du 5 au 7 juillet</w:t>
      </w:r>
      <w:r w:rsidR="00B80EA1">
        <w:rPr>
          <w:color w:val="000000" w:themeColor="text1"/>
        </w:rPr>
        <w:t xml:space="preserve"> 20</w:t>
      </w:r>
      <w:r w:rsidRPr="00B80EA1">
        <w:rPr>
          <w:color w:val="000000" w:themeColor="text1"/>
        </w:rPr>
        <w:t>21</w:t>
      </w:r>
    </w:p>
    <w:p w14:paraId="18855CC8" w14:textId="77777777" w:rsidR="00751AA5" w:rsidRPr="00B80EA1" w:rsidRDefault="00751AA5" w:rsidP="00751AA5">
      <w:pPr>
        <w:spacing w:after="120"/>
        <w:rPr>
          <w:color w:val="000000" w:themeColor="text1"/>
          <w:sz w:val="28"/>
        </w:rPr>
      </w:pPr>
      <w:r w:rsidRPr="00B80EA1">
        <w:rPr>
          <w:color w:val="000000" w:themeColor="text1"/>
          <w:sz w:val="28"/>
        </w:rPr>
        <w:t>Table des matières</w:t>
      </w:r>
    </w:p>
    <w:p w14:paraId="21BD5296" w14:textId="6B60FAA4" w:rsidR="00751AA5" w:rsidRPr="00B80EA1" w:rsidRDefault="00751AA5" w:rsidP="00751AA5">
      <w:pPr>
        <w:tabs>
          <w:tab w:val="right" w:pos="8929"/>
          <w:tab w:val="right" w:pos="9638"/>
        </w:tabs>
        <w:spacing w:after="120"/>
        <w:ind w:left="283"/>
        <w:rPr>
          <w:i/>
          <w:color w:val="000000" w:themeColor="text1"/>
          <w:sz w:val="18"/>
        </w:rPr>
      </w:pPr>
      <w:r w:rsidRPr="00B80EA1">
        <w:rPr>
          <w:i/>
          <w:color w:val="000000" w:themeColor="text1"/>
          <w:sz w:val="18"/>
        </w:rPr>
        <w:tab/>
        <w:t>Paragraphes</w:t>
      </w:r>
      <w:r w:rsidRPr="00B80EA1">
        <w:rPr>
          <w:i/>
          <w:color w:val="000000" w:themeColor="text1"/>
          <w:sz w:val="18"/>
        </w:rPr>
        <w:tab/>
        <w:t>Page</w:t>
      </w:r>
    </w:p>
    <w:p w14:paraId="5E8DE109" w14:textId="10EC9A76" w:rsidR="00751AA5" w:rsidRPr="00B80EA1" w:rsidRDefault="00751AA5" w:rsidP="00751AA5">
      <w:pPr>
        <w:tabs>
          <w:tab w:val="right" w:pos="850"/>
          <w:tab w:val="right" w:leader="dot" w:pos="7654"/>
          <w:tab w:val="right" w:pos="8929"/>
          <w:tab w:val="right" w:pos="9638"/>
        </w:tabs>
        <w:spacing w:after="120"/>
        <w:ind w:left="1134" w:hanging="1134"/>
        <w:rPr>
          <w:iCs/>
          <w:color w:val="000000" w:themeColor="text1"/>
        </w:rPr>
      </w:pPr>
      <w:r w:rsidRPr="00B80EA1">
        <w:rPr>
          <w:iCs/>
          <w:color w:val="000000" w:themeColor="text1"/>
        </w:rPr>
        <w:tab/>
        <w:t>I.</w:t>
      </w:r>
      <w:r w:rsidRPr="00B80EA1">
        <w:rPr>
          <w:iCs/>
          <w:color w:val="000000" w:themeColor="text1"/>
        </w:rPr>
        <w:tab/>
      </w:r>
      <w:r w:rsidR="00185511" w:rsidRPr="00B80EA1">
        <w:rPr>
          <w:color w:val="000000" w:themeColor="text1"/>
        </w:rPr>
        <w:t>Participation</w:t>
      </w:r>
      <w:r w:rsidRPr="00B80EA1">
        <w:rPr>
          <w:iCs/>
          <w:color w:val="000000" w:themeColor="text1"/>
        </w:rPr>
        <w:tab/>
      </w:r>
      <w:r w:rsidRPr="00B80EA1">
        <w:rPr>
          <w:iCs/>
          <w:color w:val="000000" w:themeColor="text1"/>
        </w:rPr>
        <w:tab/>
        <w:t>1−6</w:t>
      </w:r>
      <w:r w:rsidRPr="00B80EA1">
        <w:rPr>
          <w:iCs/>
          <w:color w:val="000000" w:themeColor="text1"/>
        </w:rPr>
        <w:tab/>
      </w:r>
      <w:r w:rsidR="00DA17F4">
        <w:rPr>
          <w:iCs/>
          <w:color w:val="000000" w:themeColor="text1"/>
        </w:rPr>
        <w:t>3</w:t>
      </w:r>
    </w:p>
    <w:p w14:paraId="03FF00D2" w14:textId="5FEE5098" w:rsidR="00751AA5" w:rsidRPr="00B80EA1" w:rsidRDefault="00751AA5" w:rsidP="00751AA5">
      <w:pPr>
        <w:tabs>
          <w:tab w:val="right" w:pos="850"/>
          <w:tab w:val="right" w:leader="dot" w:pos="7654"/>
          <w:tab w:val="right" w:pos="8929"/>
          <w:tab w:val="right" w:pos="9638"/>
        </w:tabs>
        <w:spacing w:after="120"/>
        <w:ind w:left="1134" w:hanging="1134"/>
        <w:rPr>
          <w:iCs/>
          <w:color w:val="000000" w:themeColor="text1"/>
        </w:rPr>
      </w:pPr>
      <w:r w:rsidRPr="00B80EA1">
        <w:rPr>
          <w:iCs/>
          <w:color w:val="000000" w:themeColor="text1"/>
        </w:rPr>
        <w:tab/>
        <w:t>II.</w:t>
      </w:r>
      <w:r w:rsidRPr="00B80EA1">
        <w:rPr>
          <w:iCs/>
          <w:color w:val="000000" w:themeColor="text1"/>
        </w:rPr>
        <w:tab/>
      </w:r>
      <w:r w:rsidR="00185511" w:rsidRPr="00B80EA1">
        <w:rPr>
          <w:color w:val="000000" w:themeColor="text1"/>
        </w:rPr>
        <w:t>Adoption de l’ordre du jour (</w:t>
      </w:r>
      <w:r w:rsidR="00185511">
        <w:rPr>
          <w:color w:val="000000" w:themeColor="text1"/>
        </w:rPr>
        <w:t xml:space="preserve">point </w:t>
      </w:r>
      <w:r w:rsidR="00185511" w:rsidRPr="00B80EA1">
        <w:rPr>
          <w:color w:val="000000" w:themeColor="text1"/>
        </w:rPr>
        <w:t>1 de l’ordre du jour)</w:t>
      </w:r>
      <w:r w:rsidRPr="00B80EA1">
        <w:rPr>
          <w:iCs/>
          <w:color w:val="000000" w:themeColor="text1"/>
        </w:rPr>
        <w:tab/>
      </w:r>
      <w:r w:rsidRPr="00B80EA1">
        <w:rPr>
          <w:iCs/>
          <w:color w:val="000000" w:themeColor="text1"/>
        </w:rPr>
        <w:tab/>
        <w:t>7−9</w:t>
      </w:r>
      <w:r w:rsidRPr="00B80EA1">
        <w:rPr>
          <w:iCs/>
          <w:color w:val="000000" w:themeColor="text1"/>
        </w:rPr>
        <w:tab/>
      </w:r>
      <w:r w:rsidR="00DA17F4">
        <w:rPr>
          <w:iCs/>
          <w:color w:val="000000" w:themeColor="text1"/>
        </w:rPr>
        <w:t>3</w:t>
      </w:r>
    </w:p>
    <w:p w14:paraId="68CF3700" w14:textId="5496CC1B" w:rsidR="00751AA5" w:rsidRPr="00B80EA1" w:rsidRDefault="00751AA5" w:rsidP="00751AA5">
      <w:pPr>
        <w:tabs>
          <w:tab w:val="right" w:pos="850"/>
          <w:tab w:val="right" w:leader="dot" w:pos="7654"/>
          <w:tab w:val="right" w:pos="8929"/>
          <w:tab w:val="right" w:pos="9638"/>
        </w:tabs>
        <w:spacing w:after="120"/>
        <w:ind w:left="1134" w:hanging="1134"/>
        <w:rPr>
          <w:iCs/>
          <w:color w:val="000000" w:themeColor="text1"/>
        </w:rPr>
      </w:pPr>
      <w:r w:rsidRPr="00B80EA1">
        <w:rPr>
          <w:iCs/>
          <w:color w:val="000000" w:themeColor="text1"/>
        </w:rPr>
        <w:tab/>
        <w:t>III.</w:t>
      </w:r>
      <w:r w:rsidRPr="00B80EA1">
        <w:rPr>
          <w:iCs/>
          <w:color w:val="000000" w:themeColor="text1"/>
        </w:rPr>
        <w:tab/>
      </w:r>
      <w:r w:rsidR="00185511" w:rsidRPr="00B80EA1">
        <w:rPr>
          <w:color w:val="000000" w:themeColor="text1"/>
        </w:rPr>
        <w:t xml:space="preserve">Travaux relatifs au Système général harmonisé de classification </w:t>
      </w:r>
      <w:r w:rsidR="00CE508C">
        <w:rPr>
          <w:color w:val="000000" w:themeColor="text1"/>
        </w:rPr>
        <w:br/>
      </w:r>
      <w:r w:rsidR="00185511" w:rsidRPr="00B80EA1">
        <w:rPr>
          <w:color w:val="000000" w:themeColor="text1"/>
        </w:rPr>
        <w:t>et d’étiquetage des produits chimiques (SGH) (</w:t>
      </w:r>
      <w:r w:rsidR="00185511">
        <w:rPr>
          <w:color w:val="000000" w:themeColor="text1"/>
        </w:rPr>
        <w:t xml:space="preserve">point </w:t>
      </w:r>
      <w:r w:rsidR="00185511" w:rsidRPr="00B80EA1">
        <w:rPr>
          <w:color w:val="000000" w:themeColor="text1"/>
        </w:rPr>
        <w:t>2 de l’ordre du jour)</w:t>
      </w:r>
      <w:r w:rsidRPr="00B80EA1">
        <w:rPr>
          <w:iCs/>
          <w:color w:val="000000" w:themeColor="text1"/>
        </w:rPr>
        <w:tab/>
      </w:r>
      <w:r w:rsidRPr="00B80EA1">
        <w:rPr>
          <w:iCs/>
          <w:color w:val="000000" w:themeColor="text1"/>
        </w:rPr>
        <w:tab/>
        <w:t>10−40</w:t>
      </w:r>
      <w:r w:rsidRPr="00B80EA1">
        <w:rPr>
          <w:iCs/>
          <w:color w:val="000000" w:themeColor="text1"/>
        </w:rPr>
        <w:tab/>
      </w:r>
      <w:r w:rsidR="00DA17F4">
        <w:rPr>
          <w:iCs/>
          <w:color w:val="000000" w:themeColor="text1"/>
        </w:rPr>
        <w:t>4</w:t>
      </w:r>
    </w:p>
    <w:p w14:paraId="5D4B1F6B" w14:textId="38210F6F" w:rsidR="00751AA5" w:rsidRPr="00B80EA1" w:rsidRDefault="00751AA5" w:rsidP="00751AA5">
      <w:pPr>
        <w:tabs>
          <w:tab w:val="right" w:leader="dot" w:pos="7654"/>
          <w:tab w:val="right" w:pos="8929"/>
          <w:tab w:val="right" w:pos="9638"/>
        </w:tabs>
        <w:spacing w:after="120"/>
        <w:ind w:left="1559" w:hanging="425"/>
        <w:rPr>
          <w:color w:val="000000" w:themeColor="text1"/>
        </w:rPr>
      </w:pPr>
      <w:r w:rsidRPr="00B80EA1">
        <w:rPr>
          <w:color w:val="000000" w:themeColor="text1"/>
        </w:rPr>
        <w:t>A.</w:t>
      </w:r>
      <w:r w:rsidRPr="00B80EA1">
        <w:rPr>
          <w:color w:val="000000" w:themeColor="text1"/>
        </w:rPr>
        <w:tab/>
      </w:r>
      <w:r w:rsidR="00185511" w:rsidRPr="00B80EA1">
        <w:rPr>
          <w:color w:val="000000" w:themeColor="text1"/>
        </w:rPr>
        <w:t xml:space="preserve">Travaux du Sous-Comité d’experts du transport des marchandises </w:t>
      </w:r>
      <w:r w:rsidR="00CE508C">
        <w:rPr>
          <w:color w:val="000000" w:themeColor="text1"/>
        </w:rPr>
        <w:br/>
      </w:r>
      <w:r w:rsidR="00185511" w:rsidRPr="00B80EA1">
        <w:rPr>
          <w:color w:val="000000" w:themeColor="text1"/>
        </w:rPr>
        <w:t xml:space="preserve">dangereuses (Sous-Comité TMD) sur des questions intéressant </w:t>
      </w:r>
      <w:r w:rsidR="00CE508C">
        <w:rPr>
          <w:color w:val="000000" w:themeColor="text1"/>
        </w:rPr>
        <w:br/>
      </w:r>
      <w:r w:rsidR="00185511" w:rsidRPr="00B80EA1">
        <w:rPr>
          <w:color w:val="000000" w:themeColor="text1"/>
        </w:rPr>
        <w:t>le Sous</w:t>
      </w:r>
      <w:r w:rsidR="00185511" w:rsidRPr="00B80EA1">
        <w:rPr>
          <w:color w:val="000000" w:themeColor="text1"/>
        </w:rPr>
        <w:noBreakHyphen/>
        <w:t xml:space="preserve">Comité d’experts du Système général harmonisé de classification </w:t>
      </w:r>
      <w:r w:rsidR="00CE508C">
        <w:rPr>
          <w:color w:val="000000" w:themeColor="text1"/>
        </w:rPr>
        <w:br/>
      </w:r>
      <w:r w:rsidR="00185511" w:rsidRPr="00B80EA1">
        <w:rPr>
          <w:color w:val="000000" w:themeColor="text1"/>
        </w:rPr>
        <w:t>et d’étiquetage des produits chimiques (Sous</w:t>
      </w:r>
      <w:r w:rsidR="00185511" w:rsidRPr="00B80EA1">
        <w:rPr>
          <w:color w:val="000000" w:themeColor="text1"/>
        </w:rPr>
        <w:noBreakHyphen/>
        <w:t>Comité SGH)</w:t>
      </w:r>
      <w:r w:rsidRPr="00B80EA1">
        <w:rPr>
          <w:color w:val="000000" w:themeColor="text1"/>
        </w:rPr>
        <w:tab/>
      </w:r>
      <w:r w:rsidRPr="00B80EA1">
        <w:rPr>
          <w:color w:val="000000" w:themeColor="text1"/>
        </w:rPr>
        <w:tab/>
        <w:t>10</w:t>
      </w:r>
      <w:r w:rsidRPr="00B80EA1">
        <w:rPr>
          <w:color w:val="000000" w:themeColor="text1"/>
        </w:rPr>
        <w:tab/>
      </w:r>
      <w:r w:rsidR="00DA17F4">
        <w:rPr>
          <w:color w:val="000000" w:themeColor="text1"/>
        </w:rPr>
        <w:t>4</w:t>
      </w:r>
    </w:p>
    <w:p w14:paraId="26012E67" w14:textId="6759F72E" w:rsidR="00751AA5" w:rsidRPr="00B80EA1" w:rsidRDefault="00751AA5" w:rsidP="00751AA5">
      <w:pPr>
        <w:tabs>
          <w:tab w:val="right" w:leader="dot" w:pos="7654"/>
          <w:tab w:val="right" w:pos="8929"/>
          <w:tab w:val="right" w:pos="9638"/>
        </w:tabs>
        <w:spacing w:after="120"/>
        <w:ind w:left="1559" w:hanging="425"/>
        <w:rPr>
          <w:color w:val="000000" w:themeColor="text1"/>
        </w:rPr>
      </w:pPr>
      <w:r w:rsidRPr="00B80EA1">
        <w:rPr>
          <w:color w:val="000000" w:themeColor="text1"/>
        </w:rPr>
        <w:t>B.</w:t>
      </w:r>
      <w:r w:rsidRPr="00B80EA1">
        <w:rPr>
          <w:color w:val="000000" w:themeColor="text1"/>
        </w:rPr>
        <w:tab/>
      </w:r>
      <w:r w:rsidR="00185511" w:rsidRPr="00B80EA1">
        <w:rPr>
          <w:color w:val="000000" w:themeColor="text1"/>
        </w:rPr>
        <w:t xml:space="preserve">Classification simultanée dans les classes de danger physique et ordre </w:t>
      </w:r>
      <w:r w:rsidR="00CE508C">
        <w:rPr>
          <w:color w:val="000000" w:themeColor="text1"/>
        </w:rPr>
        <w:br/>
      </w:r>
      <w:r w:rsidR="00185511" w:rsidRPr="00B80EA1">
        <w:rPr>
          <w:color w:val="000000" w:themeColor="text1"/>
        </w:rPr>
        <w:t>de prépondérance des dangers</w:t>
      </w:r>
      <w:r w:rsidRPr="00B80EA1">
        <w:rPr>
          <w:color w:val="000000" w:themeColor="text1"/>
        </w:rPr>
        <w:tab/>
      </w:r>
      <w:r w:rsidRPr="00B80EA1">
        <w:rPr>
          <w:color w:val="000000" w:themeColor="text1"/>
        </w:rPr>
        <w:tab/>
        <w:t>11−12</w:t>
      </w:r>
      <w:r w:rsidRPr="00B80EA1">
        <w:rPr>
          <w:color w:val="000000" w:themeColor="text1"/>
        </w:rPr>
        <w:tab/>
      </w:r>
      <w:r w:rsidR="00DA17F4">
        <w:rPr>
          <w:color w:val="000000" w:themeColor="text1"/>
        </w:rPr>
        <w:t>4</w:t>
      </w:r>
    </w:p>
    <w:p w14:paraId="165DF9CA" w14:textId="016C8219" w:rsidR="00751AA5" w:rsidRPr="00B80EA1" w:rsidRDefault="00751AA5" w:rsidP="00751AA5">
      <w:pPr>
        <w:tabs>
          <w:tab w:val="right" w:leader="dot" w:pos="7654"/>
          <w:tab w:val="right" w:pos="8929"/>
          <w:tab w:val="right" w:pos="9638"/>
        </w:tabs>
        <w:spacing w:after="120"/>
        <w:ind w:left="1559" w:hanging="425"/>
        <w:rPr>
          <w:color w:val="000000" w:themeColor="text1"/>
        </w:rPr>
      </w:pPr>
      <w:r w:rsidRPr="00B80EA1">
        <w:rPr>
          <w:color w:val="000000" w:themeColor="text1"/>
        </w:rPr>
        <w:t>C.</w:t>
      </w:r>
      <w:r w:rsidRPr="00B80EA1">
        <w:rPr>
          <w:color w:val="000000" w:themeColor="text1"/>
        </w:rPr>
        <w:tab/>
      </w:r>
      <w:r w:rsidR="00185511" w:rsidRPr="00B80EA1">
        <w:rPr>
          <w:color w:val="000000" w:themeColor="text1"/>
        </w:rPr>
        <w:t xml:space="preserve">Utilisation de méthodes d’expérimentation non animales </w:t>
      </w:r>
      <w:r w:rsidR="00CE508C">
        <w:rPr>
          <w:color w:val="000000" w:themeColor="text1"/>
        </w:rPr>
        <w:br/>
      </w:r>
      <w:r w:rsidR="00185511" w:rsidRPr="00B80EA1">
        <w:rPr>
          <w:color w:val="000000" w:themeColor="text1"/>
        </w:rPr>
        <w:t>pour</w:t>
      </w:r>
      <w:r w:rsidR="00CE508C">
        <w:rPr>
          <w:color w:val="000000" w:themeColor="text1"/>
        </w:rPr>
        <w:t xml:space="preserve"> </w:t>
      </w:r>
      <w:r w:rsidR="00185511" w:rsidRPr="00B80EA1">
        <w:rPr>
          <w:color w:val="000000" w:themeColor="text1"/>
        </w:rPr>
        <w:t>le</w:t>
      </w:r>
      <w:r w:rsidR="00CE508C">
        <w:rPr>
          <w:color w:val="000000" w:themeColor="text1"/>
        </w:rPr>
        <w:t xml:space="preserve"> </w:t>
      </w:r>
      <w:r w:rsidR="00185511" w:rsidRPr="00B80EA1">
        <w:rPr>
          <w:color w:val="000000" w:themeColor="text1"/>
        </w:rPr>
        <w:t>classement des dangers pour la santé</w:t>
      </w:r>
      <w:r w:rsidRPr="00B80EA1">
        <w:rPr>
          <w:color w:val="000000" w:themeColor="text1"/>
        </w:rPr>
        <w:tab/>
      </w:r>
      <w:r w:rsidRPr="00B80EA1">
        <w:rPr>
          <w:color w:val="000000" w:themeColor="text1"/>
        </w:rPr>
        <w:tab/>
        <w:t>13−17</w:t>
      </w:r>
      <w:r w:rsidRPr="00B80EA1">
        <w:rPr>
          <w:color w:val="000000" w:themeColor="text1"/>
        </w:rPr>
        <w:tab/>
      </w:r>
      <w:r w:rsidR="00DA17F4">
        <w:rPr>
          <w:color w:val="000000" w:themeColor="text1"/>
        </w:rPr>
        <w:t>4</w:t>
      </w:r>
    </w:p>
    <w:p w14:paraId="2E448217" w14:textId="3AC79927" w:rsidR="00751AA5" w:rsidRPr="00B80EA1" w:rsidRDefault="00751AA5" w:rsidP="00751AA5">
      <w:pPr>
        <w:tabs>
          <w:tab w:val="right" w:leader="dot" w:pos="7654"/>
          <w:tab w:val="right" w:pos="8929"/>
          <w:tab w:val="right" w:pos="9638"/>
        </w:tabs>
        <w:spacing w:after="120"/>
        <w:ind w:left="1559" w:hanging="425"/>
        <w:rPr>
          <w:color w:val="000000" w:themeColor="text1"/>
        </w:rPr>
      </w:pPr>
      <w:r w:rsidRPr="00B80EA1">
        <w:rPr>
          <w:color w:val="000000" w:themeColor="text1"/>
        </w:rPr>
        <w:t>D.</w:t>
      </w:r>
      <w:r w:rsidRPr="00B80EA1">
        <w:rPr>
          <w:color w:val="000000" w:themeColor="text1"/>
        </w:rPr>
        <w:tab/>
      </w:r>
      <w:r w:rsidR="00185511" w:rsidRPr="00B80EA1">
        <w:rPr>
          <w:color w:val="000000" w:themeColor="text1"/>
        </w:rPr>
        <w:t xml:space="preserve">Classification des sensibilisants cutanés à l’aide des résultats </w:t>
      </w:r>
      <w:r w:rsidR="00CE508C">
        <w:rPr>
          <w:color w:val="000000" w:themeColor="text1"/>
        </w:rPr>
        <w:br/>
      </w:r>
      <w:r w:rsidR="00185511" w:rsidRPr="00B80EA1">
        <w:rPr>
          <w:color w:val="000000" w:themeColor="text1"/>
        </w:rPr>
        <w:t xml:space="preserve">des méthodes d’essai des tests des ganglions lymphatiques locaux (LLNA) </w:t>
      </w:r>
      <w:r w:rsidR="00CE508C">
        <w:rPr>
          <w:color w:val="000000" w:themeColor="text1"/>
        </w:rPr>
        <w:br/>
      </w:r>
      <w:r w:rsidR="00185511" w:rsidRPr="00B80EA1">
        <w:rPr>
          <w:color w:val="000000" w:themeColor="text1"/>
        </w:rPr>
        <w:t>conformément à la ligne directrice de l’OCDE 442B</w:t>
      </w:r>
      <w:r w:rsidRPr="00B80EA1">
        <w:rPr>
          <w:color w:val="000000" w:themeColor="text1"/>
        </w:rPr>
        <w:tab/>
      </w:r>
      <w:r w:rsidRPr="00B80EA1">
        <w:rPr>
          <w:color w:val="000000" w:themeColor="text1"/>
        </w:rPr>
        <w:tab/>
        <w:t>18−19</w:t>
      </w:r>
      <w:r w:rsidRPr="00B80EA1">
        <w:rPr>
          <w:color w:val="000000" w:themeColor="text1"/>
        </w:rPr>
        <w:tab/>
      </w:r>
      <w:r w:rsidR="00DA17F4">
        <w:rPr>
          <w:color w:val="000000" w:themeColor="text1"/>
        </w:rPr>
        <w:t>5</w:t>
      </w:r>
    </w:p>
    <w:p w14:paraId="153F7FAE" w14:textId="164B3D1F" w:rsidR="00751AA5" w:rsidRPr="00B80EA1" w:rsidRDefault="00751AA5" w:rsidP="00751AA5">
      <w:pPr>
        <w:tabs>
          <w:tab w:val="right" w:leader="dot" w:pos="7654"/>
          <w:tab w:val="right" w:pos="8929"/>
          <w:tab w:val="right" w:pos="9638"/>
        </w:tabs>
        <w:spacing w:after="120"/>
        <w:ind w:left="1559" w:hanging="425"/>
        <w:rPr>
          <w:color w:val="000000" w:themeColor="text1"/>
        </w:rPr>
      </w:pPr>
      <w:r w:rsidRPr="00B80EA1">
        <w:rPr>
          <w:color w:val="000000" w:themeColor="text1"/>
        </w:rPr>
        <w:t>E.</w:t>
      </w:r>
      <w:r w:rsidRPr="00B80EA1">
        <w:rPr>
          <w:color w:val="000000" w:themeColor="text1"/>
        </w:rPr>
        <w:tab/>
      </w:r>
      <w:r w:rsidR="00185511" w:rsidRPr="00B80EA1">
        <w:rPr>
          <w:color w:val="000000" w:themeColor="text1"/>
        </w:rPr>
        <w:t xml:space="preserve">Critères de classification de la mutagénicité sur les cellules germinales </w:t>
      </w:r>
      <w:r w:rsidR="00CE508C">
        <w:rPr>
          <w:color w:val="000000" w:themeColor="text1"/>
        </w:rPr>
        <w:br/>
      </w:r>
      <w:r w:rsidR="00185511" w:rsidRPr="00B80EA1">
        <w:rPr>
          <w:color w:val="000000" w:themeColor="text1"/>
        </w:rPr>
        <w:t>(sous-</w:t>
      </w:r>
      <w:r w:rsidR="00185511">
        <w:rPr>
          <w:color w:val="000000" w:themeColor="text1"/>
        </w:rPr>
        <w:t xml:space="preserve">catégorie </w:t>
      </w:r>
      <w:r w:rsidR="00185511" w:rsidRPr="00B80EA1">
        <w:rPr>
          <w:color w:val="000000" w:themeColor="text1"/>
        </w:rPr>
        <w:t>1B)</w:t>
      </w:r>
      <w:r w:rsidRPr="00B80EA1">
        <w:rPr>
          <w:color w:val="000000" w:themeColor="text1"/>
        </w:rPr>
        <w:tab/>
      </w:r>
      <w:r w:rsidRPr="00B80EA1">
        <w:rPr>
          <w:color w:val="000000" w:themeColor="text1"/>
        </w:rPr>
        <w:tab/>
        <w:t>20−22</w:t>
      </w:r>
      <w:r w:rsidRPr="00B80EA1">
        <w:rPr>
          <w:color w:val="000000" w:themeColor="text1"/>
        </w:rPr>
        <w:tab/>
      </w:r>
      <w:r w:rsidR="00DA17F4">
        <w:rPr>
          <w:color w:val="000000" w:themeColor="text1"/>
        </w:rPr>
        <w:t>5</w:t>
      </w:r>
    </w:p>
    <w:p w14:paraId="4011E916" w14:textId="5F7485EF" w:rsidR="00751AA5" w:rsidRPr="00B80EA1" w:rsidRDefault="00751AA5" w:rsidP="00751AA5">
      <w:pPr>
        <w:tabs>
          <w:tab w:val="right" w:leader="dot" w:pos="7654"/>
          <w:tab w:val="right" w:pos="8929"/>
          <w:tab w:val="right" w:pos="9638"/>
        </w:tabs>
        <w:spacing w:after="120"/>
        <w:ind w:left="1559" w:hanging="425"/>
        <w:rPr>
          <w:color w:val="000000" w:themeColor="text1"/>
        </w:rPr>
      </w:pPr>
      <w:r w:rsidRPr="00B80EA1">
        <w:rPr>
          <w:color w:val="000000" w:themeColor="text1"/>
        </w:rPr>
        <w:t>F.</w:t>
      </w:r>
      <w:r w:rsidRPr="00B80EA1">
        <w:rPr>
          <w:color w:val="000000" w:themeColor="text1"/>
        </w:rPr>
        <w:tab/>
      </w:r>
      <w:r w:rsidR="00185511" w:rsidRPr="00B80EA1">
        <w:rPr>
          <w:color w:val="000000" w:themeColor="text1"/>
        </w:rPr>
        <w:t>Questions pratiques de classification (amendements proposés au SGH)</w:t>
      </w:r>
      <w:r w:rsidRPr="00B80EA1">
        <w:rPr>
          <w:color w:val="000000" w:themeColor="text1"/>
        </w:rPr>
        <w:tab/>
      </w:r>
      <w:r w:rsidRPr="00B80EA1">
        <w:rPr>
          <w:color w:val="000000" w:themeColor="text1"/>
        </w:rPr>
        <w:tab/>
        <w:t>23</w:t>
      </w:r>
      <w:r w:rsidRPr="00B80EA1">
        <w:rPr>
          <w:color w:val="000000" w:themeColor="text1"/>
        </w:rPr>
        <w:tab/>
      </w:r>
      <w:r w:rsidR="00DA17F4">
        <w:rPr>
          <w:color w:val="000000" w:themeColor="text1"/>
        </w:rPr>
        <w:t>6</w:t>
      </w:r>
    </w:p>
    <w:p w14:paraId="0A27D7A6" w14:textId="1442FA18" w:rsidR="00751AA5" w:rsidRPr="00B80EA1" w:rsidRDefault="00751AA5" w:rsidP="00751AA5">
      <w:pPr>
        <w:tabs>
          <w:tab w:val="right" w:leader="dot" w:pos="7654"/>
          <w:tab w:val="right" w:pos="8929"/>
          <w:tab w:val="right" w:pos="9638"/>
        </w:tabs>
        <w:spacing w:after="120"/>
        <w:ind w:left="1559" w:hanging="425"/>
        <w:rPr>
          <w:color w:val="000000" w:themeColor="text1"/>
        </w:rPr>
      </w:pPr>
      <w:r w:rsidRPr="00B80EA1">
        <w:rPr>
          <w:color w:val="000000" w:themeColor="text1"/>
        </w:rPr>
        <w:t>G.</w:t>
      </w:r>
      <w:r w:rsidRPr="00B80EA1">
        <w:rPr>
          <w:color w:val="000000" w:themeColor="text1"/>
        </w:rPr>
        <w:tab/>
      </w:r>
      <w:r w:rsidR="00185511" w:rsidRPr="00B80EA1">
        <w:rPr>
          <w:color w:val="000000" w:themeColor="text1"/>
        </w:rPr>
        <w:t>Nanomatériaux</w:t>
      </w:r>
      <w:r w:rsidRPr="00B80EA1">
        <w:rPr>
          <w:color w:val="000000" w:themeColor="text1"/>
        </w:rPr>
        <w:tab/>
      </w:r>
      <w:r w:rsidRPr="00B80EA1">
        <w:rPr>
          <w:color w:val="000000" w:themeColor="text1"/>
        </w:rPr>
        <w:tab/>
        <w:t>24</w:t>
      </w:r>
      <w:r w:rsidRPr="00B80EA1">
        <w:rPr>
          <w:color w:val="000000" w:themeColor="text1"/>
        </w:rPr>
        <w:tab/>
      </w:r>
      <w:r w:rsidR="00DA17F4">
        <w:rPr>
          <w:color w:val="000000" w:themeColor="text1"/>
        </w:rPr>
        <w:t>6</w:t>
      </w:r>
    </w:p>
    <w:p w14:paraId="3588A8F0" w14:textId="68811D25" w:rsidR="00751AA5" w:rsidRPr="00B80EA1" w:rsidRDefault="00751AA5" w:rsidP="00751AA5">
      <w:pPr>
        <w:tabs>
          <w:tab w:val="right" w:leader="dot" w:pos="7654"/>
          <w:tab w:val="right" w:pos="8929"/>
          <w:tab w:val="right" w:pos="9638"/>
        </w:tabs>
        <w:spacing w:after="120"/>
        <w:ind w:left="1559" w:hanging="425"/>
        <w:rPr>
          <w:color w:val="000000" w:themeColor="text1"/>
        </w:rPr>
      </w:pPr>
      <w:r w:rsidRPr="00B80EA1">
        <w:rPr>
          <w:color w:val="000000" w:themeColor="text1"/>
        </w:rPr>
        <w:t>H.</w:t>
      </w:r>
      <w:r w:rsidRPr="00B80EA1">
        <w:rPr>
          <w:color w:val="000000" w:themeColor="text1"/>
        </w:rPr>
        <w:tab/>
      </w:r>
      <w:r w:rsidR="00185511" w:rsidRPr="00B80EA1">
        <w:rPr>
          <w:color w:val="000000" w:themeColor="text1"/>
        </w:rPr>
        <w:t xml:space="preserve">Amélioration des annexes 1 à 3 et poursuite de la rationalisation </w:t>
      </w:r>
      <w:r w:rsidR="00CE508C">
        <w:rPr>
          <w:color w:val="000000" w:themeColor="text1"/>
        </w:rPr>
        <w:br/>
      </w:r>
      <w:r w:rsidR="00185511" w:rsidRPr="00B80EA1">
        <w:rPr>
          <w:color w:val="000000" w:themeColor="text1"/>
        </w:rPr>
        <w:t>des</w:t>
      </w:r>
      <w:r w:rsidR="00CE508C">
        <w:rPr>
          <w:color w:val="000000" w:themeColor="text1"/>
        </w:rPr>
        <w:t xml:space="preserve"> </w:t>
      </w:r>
      <w:r w:rsidR="00185511" w:rsidRPr="00B80EA1">
        <w:rPr>
          <w:color w:val="000000" w:themeColor="text1"/>
        </w:rPr>
        <w:t>conseils de prudence</w:t>
      </w:r>
      <w:r w:rsidRPr="00B80EA1">
        <w:rPr>
          <w:color w:val="000000" w:themeColor="text1"/>
        </w:rPr>
        <w:tab/>
      </w:r>
      <w:r w:rsidRPr="00B80EA1">
        <w:rPr>
          <w:color w:val="000000" w:themeColor="text1"/>
        </w:rPr>
        <w:tab/>
        <w:t>25−33</w:t>
      </w:r>
      <w:r w:rsidRPr="00B80EA1">
        <w:rPr>
          <w:color w:val="000000" w:themeColor="text1"/>
        </w:rPr>
        <w:tab/>
      </w:r>
      <w:r w:rsidR="00DA17F4">
        <w:rPr>
          <w:color w:val="000000" w:themeColor="text1"/>
        </w:rPr>
        <w:t>6</w:t>
      </w:r>
    </w:p>
    <w:p w14:paraId="43C1DFC3" w14:textId="3C47F7A6" w:rsidR="00751AA5" w:rsidRPr="00B80EA1" w:rsidRDefault="00751AA5" w:rsidP="00751AA5">
      <w:pPr>
        <w:tabs>
          <w:tab w:val="right" w:leader="dot" w:pos="7654"/>
          <w:tab w:val="right" w:pos="8929"/>
          <w:tab w:val="right" w:pos="9638"/>
        </w:tabs>
        <w:spacing w:after="120"/>
        <w:ind w:left="1984" w:hanging="425"/>
        <w:rPr>
          <w:color w:val="000000" w:themeColor="text1"/>
        </w:rPr>
      </w:pPr>
      <w:r w:rsidRPr="00B80EA1">
        <w:rPr>
          <w:color w:val="000000" w:themeColor="text1"/>
        </w:rPr>
        <w:t>1.</w:t>
      </w:r>
      <w:r w:rsidRPr="00B80EA1">
        <w:rPr>
          <w:color w:val="000000" w:themeColor="text1"/>
        </w:rPr>
        <w:tab/>
      </w:r>
      <w:r w:rsidR="00185511" w:rsidRPr="00B80EA1">
        <w:rPr>
          <w:color w:val="000000" w:themeColor="text1"/>
        </w:rPr>
        <w:t xml:space="preserve">Modifications des mentions et conseils combinés </w:t>
      </w:r>
      <w:r w:rsidR="00CE508C">
        <w:rPr>
          <w:color w:val="000000" w:themeColor="text1"/>
        </w:rPr>
        <w:br/>
      </w:r>
      <w:r w:rsidR="00185511" w:rsidRPr="00B80EA1">
        <w:rPr>
          <w:color w:val="000000" w:themeColor="text1"/>
        </w:rPr>
        <w:t>des sections 1, 2 et 3 de l’annexe 3</w:t>
      </w:r>
      <w:r w:rsidRPr="00B80EA1">
        <w:rPr>
          <w:color w:val="000000" w:themeColor="text1"/>
        </w:rPr>
        <w:tab/>
      </w:r>
      <w:r w:rsidRPr="00B80EA1">
        <w:rPr>
          <w:color w:val="000000" w:themeColor="text1"/>
        </w:rPr>
        <w:tab/>
        <w:t>25−29</w:t>
      </w:r>
      <w:r w:rsidRPr="00B80EA1">
        <w:rPr>
          <w:color w:val="000000" w:themeColor="text1"/>
        </w:rPr>
        <w:tab/>
      </w:r>
      <w:r w:rsidR="00DA17F4">
        <w:rPr>
          <w:color w:val="000000" w:themeColor="text1"/>
        </w:rPr>
        <w:t>6</w:t>
      </w:r>
    </w:p>
    <w:p w14:paraId="7FB2165A" w14:textId="2FF461AA" w:rsidR="00751AA5" w:rsidRPr="00B80EA1" w:rsidRDefault="00751AA5" w:rsidP="00751AA5">
      <w:pPr>
        <w:tabs>
          <w:tab w:val="right" w:leader="dot" w:pos="7654"/>
          <w:tab w:val="right" w:pos="8929"/>
          <w:tab w:val="right" w:pos="9638"/>
        </w:tabs>
        <w:spacing w:after="120"/>
        <w:ind w:left="1984" w:hanging="425"/>
        <w:rPr>
          <w:color w:val="000000" w:themeColor="text1"/>
        </w:rPr>
      </w:pPr>
      <w:r w:rsidRPr="00B80EA1">
        <w:rPr>
          <w:color w:val="000000" w:themeColor="text1"/>
        </w:rPr>
        <w:t>2.</w:t>
      </w:r>
      <w:r w:rsidRPr="00B80EA1">
        <w:rPr>
          <w:color w:val="000000" w:themeColor="text1"/>
        </w:rPr>
        <w:tab/>
      </w:r>
      <w:r w:rsidR="00185511" w:rsidRPr="00B80EA1">
        <w:rPr>
          <w:color w:val="000000" w:themeColor="text1"/>
        </w:rPr>
        <w:t>Modifications à apporter aux sections 2 et 3 de l’annexe 3</w:t>
      </w:r>
      <w:r w:rsidRPr="00B80EA1">
        <w:rPr>
          <w:color w:val="000000" w:themeColor="text1"/>
        </w:rPr>
        <w:tab/>
      </w:r>
      <w:r w:rsidRPr="00B80EA1">
        <w:rPr>
          <w:color w:val="000000" w:themeColor="text1"/>
        </w:rPr>
        <w:tab/>
        <w:t>30−32</w:t>
      </w:r>
      <w:r w:rsidRPr="00B80EA1">
        <w:rPr>
          <w:color w:val="000000" w:themeColor="text1"/>
        </w:rPr>
        <w:tab/>
      </w:r>
      <w:r w:rsidR="00DA17F4">
        <w:rPr>
          <w:color w:val="000000" w:themeColor="text1"/>
        </w:rPr>
        <w:t>7</w:t>
      </w:r>
    </w:p>
    <w:p w14:paraId="6E1064B7" w14:textId="4D537FBD" w:rsidR="00751AA5" w:rsidRPr="00B80EA1" w:rsidRDefault="00751AA5" w:rsidP="00751AA5">
      <w:pPr>
        <w:tabs>
          <w:tab w:val="right" w:leader="dot" w:pos="7654"/>
          <w:tab w:val="right" w:pos="8929"/>
          <w:tab w:val="right" w:pos="9638"/>
        </w:tabs>
        <w:spacing w:after="120"/>
        <w:ind w:left="1984" w:hanging="425"/>
        <w:rPr>
          <w:color w:val="000000" w:themeColor="text1"/>
        </w:rPr>
      </w:pPr>
      <w:r w:rsidRPr="00B80EA1">
        <w:rPr>
          <w:color w:val="000000" w:themeColor="text1"/>
        </w:rPr>
        <w:lastRenderedPageBreak/>
        <w:t>3.</w:t>
      </w:r>
      <w:r w:rsidRPr="00B80EA1">
        <w:rPr>
          <w:color w:val="000000" w:themeColor="text1"/>
        </w:rPr>
        <w:tab/>
      </w:r>
      <w:r w:rsidR="00185511" w:rsidRPr="00B80EA1">
        <w:rPr>
          <w:color w:val="000000" w:themeColor="text1"/>
        </w:rPr>
        <w:t>État d’avancement des travaux du groupe de travail informel</w:t>
      </w:r>
      <w:r w:rsidRPr="00B80EA1">
        <w:rPr>
          <w:color w:val="000000" w:themeColor="text1"/>
        </w:rPr>
        <w:tab/>
      </w:r>
      <w:r w:rsidRPr="00B80EA1">
        <w:rPr>
          <w:color w:val="000000" w:themeColor="text1"/>
        </w:rPr>
        <w:tab/>
        <w:t>33</w:t>
      </w:r>
      <w:r w:rsidRPr="00B80EA1">
        <w:rPr>
          <w:color w:val="000000" w:themeColor="text1"/>
        </w:rPr>
        <w:tab/>
      </w:r>
      <w:r w:rsidR="00DA17F4">
        <w:rPr>
          <w:color w:val="000000" w:themeColor="text1"/>
        </w:rPr>
        <w:t>7</w:t>
      </w:r>
    </w:p>
    <w:p w14:paraId="56C5CA6A" w14:textId="17584C5B" w:rsidR="00751AA5" w:rsidRPr="00B80EA1" w:rsidRDefault="00751AA5" w:rsidP="00751AA5">
      <w:pPr>
        <w:tabs>
          <w:tab w:val="right" w:leader="dot" w:pos="7654"/>
          <w:tab w:val="right" w:pos="8929"/>
          <w:tab w:val="right" w:pos="9638"/>
        </w:tabs>
        <w:spacing w:after="120"/>
        <w:ind w:left="1559" w:hanging="425"/>
        <w:rPr>
          <w:color w:val="000000" w:themeColor="text1"/>
        </w:rPr>
      </w:pPr>
      <w:r w:rsidRPr="00B80EA1">
        <w:rPr>
          <w:color w:val="000000" w:themeColor="text1"/>
        </w:rPr>
        <w:t>I.</w:t>
      </w:r>
      <w:r w:rsidRPr="00B80EA1">
        <w:rPr>
          <w:color w:val="000000" w:themeColor="text1"/>
        </w:rPr>
        <w:tab/>
      </w:r>
      <w:r w:rsidR="00185511" w:rsidRPr="00B80EA1">
        <w:rPr>
          <w:color w:val="000000" w:themeColor="text1"/>
        </w:rPr>
        <w:t>Autres questions</w:t>
      </w:r>
      <w:r w:rsidRPr="00B80EA1">
        <w:rPr>
          <w:color w:val="000000" w:themeColor="text1"/>
        </w:rPr>
        <w:tab/>
      </w:r>
      <w:r w:rsidRPr="00B80EA1">
        <w:rPr>
          <w:color w:val="000000" w:themeColor="text1"/>
        </w:rPr>
        <w:tab/>
        <w:t>34−40</w:t>
      </w:r>
      <w:r w:rsidRPr="00B80EA1">
        <w:rPr>
          <w:color w:val="000000" w:themeColor="text1"/>
        </w:rPr>
        <w:tab/>
      </w:r>
      <w:r w:rsidR="00DA17F4">
        <w:rPr>
          <w:color w:val="000000" w:themeColor="text1"/>
        </w:rPr>
        <w:t>7</w:t>
      </w:r>
    </w:p>
    <w:p w14:paraId="05F4C196" w14:textId="3175F89B" w:rsidR="00751AA5" w:rsidRPr="00B80EA1" w:rsidRDefault="00751AA5" w:rsidP="00751AA5">
      <w:pPr>
        <w:tabs>
          <w:tab w:val="right" w:leader="dot" w:pos="7654"/>
          <w:tab w:val="right" w:pos="8929"/>
          <w:tab w:val="right" w:pos="9638"/>
        </w:tabs>
        <w:spacing w:after="120"/>
        <w:ind w:left="1984" w:hanging="425"/>
        <w:rPr>
          <w:color w:val="000000" w:themeColor="text1"/>
        </w:rPr>
      </w:pPr>
      <w:r w:rsidRPr="00B80EA1">
        <w:rPr>
          <w:color w:val="000000" w:themeColor="text1"/>
        </w:rPr>
        <w:t>1.</w:t>
      </w:r>
      <w:r w:rsidRPr="00B80EA1">
        <w:rPr>
          <w:color w:val="000000" w:themeColor="text1"/>
        </w:rPr>
        <w:tab/>
      </w:r>
      <w:r w:rsidR="00185511" w:rsidRPr="00B80EA1">
        <w:rPr>
          <w:color w:val="000000" w:themeColor="text1"/>
        </w:rPr>
        <w:t xml:space="preserve">Harmonisation du </w:t>
      </w:r>
      <w:r w:rsidR="00185511">
        <w:rPr>
          <w:color w:val="000000" w:themeColor="text1"/>
        </w:rPr>
        <w:t xml:space="preserve">chapitre </w:t>
      </w:r>
      <w:r w:rsidR="00185511" w:rsidRPr="00B80EA1">
        <w:rPr>
          <w:color w:val="000000" w:themeColor="text1"/>
        </w:rPr>
        <w:t xml:space="preserve">2.17 avec le </w:t>
      </w:r>
      <w:r w:rsidR="00185511">
        <w:rPr>
          <w:color w:val="000000" w:themeColor="text1"/>
        </w:rPr>
        <w:t xml:space="preserve">chapitre </w:t>
      </w:r>
      <w:r w:rsidR="00185511" w:rsidRPr="00B80EA1">
        <w:rPr>
          <w:color w:val="000000" w:themeColor="text1"/>
        </w:rPr>
        <w:t xml:space="preserve">2.1 : correction </w:t>
      </w:r>
      <w:r w:rsidR="00CE508C">
        <w:rPr>
          <w:color w:val="000000" w:themeColor="text1"/>
        </w:rPr>
        <w:br/>
      </w:r>
      <w:r w:rsidR="00185511" w:rsidRPr="00B80EA1">
        <w:rPr>
          <w:color w:val="000000" w:themeColor="text1"/>
        </w:rPr>
        <w:t>à apporter au SGH Rev.9</w:t>
      </w:r>
      <w:r w:rsidRPr="00B80EA1">
        <w:rPr>
          <w:color w:val="000000" w:themeColor="text1"/>
        </w:rPr>
        <w:tab/>
      </w:r>
      <w:r w:rsidRPr="00B80EA1">
        <w:rPr>
          <w:color w:val="000000" w:themeColor="text1"/>
        </w:rPr>
        <w:tab/>
        <w:t>34</w:t>
      </w:r>
      <w:r w:rsidRPr="00B80EA1">
        <w:rPr>
          <w:color w:val="000000" w:themeColor="text1"/>
        </w:rPr>
        <w:tab/>
      </w:r>
      <w:r w:rsidR="00DA17F4">
        <w:rPr>
          <w:color w:val="000000" w:themeColor="text1"/>
        </w:rPr>
        <w:t>7</w:t>
      </w:r>
    </w:p>
    <w:p w14:paraId="19B349C6" w14:textId="15CF18F8" w:rsidR="00751AA5" w:rsidRPr="00B80EA1" w:rsidRDefault="00751AA5" w:rsidP="00751AA5">
      <w:pPr>
        <w:tabs>
          <w:tab w:val="right" w:leader="dot" w:pos="7654"/>
          <w:tab w:val="right" w:pos="8929"/>
          <w:tab w:val="right" w:pos="9638"/>
        </w:tabs>
        <w:spacing w:after="120"/>
        <w:ind w:left="1984" w:hanging="425"/>
        <w:rPr>
          <w:color w:val="000000" w:themeColor="text1"/>
        </w:rPr>
      </w:pPr>
      <w:r w:rsidRPr="00B80EA1">
        <w:rPr>
          <w:color w:val="000000" w:themeColor="text1"/>
        </w:rPr>
        <w:t>2.</w:t>
      </w:r>
      <w:r w:rsidRPr="00B80EA1">
        <w:rPr>
          <w:color w:val="000000" w:themeColor="text1"/>
        </w:rPr>
        <w:tab/>
      </w:r>
      <w:r w:rsidR="00185511" w:rsidRPr="00B80EA1">
        <w:rPr>
          <w:color w:val="000000" w:themeColor="text1"/>
        </w:rPr>
        <w:t>Amendement au 2.17.2.1</w:t>
      </w:r>
      <w:r w:rsidRPr="00B80EA1">
        <w:rPr>
          <w:color w:val="000000" w:themeColor="text1"/>
        </w:rPr>
        <w:tab/>
      </w:r>
      <w:r w:rsidRPr="00B80EA1">
        <w:rPr>
          <w:color w:val="000000" w:themeColor="text1"/>
        </w:rPr>
        <w:tab/>
        <w:t>35−36</w:t>
      </w:r>
      <w:r w:rsidRPr="00B80EA1">
        <w:rPr>
          <w:color w:val="000000" w:themeColor="text1"/>
        </w:rPr>
        <w:tab/>
      </w:r>
      <w:r w:rsidR="00DA17F4">
        <w:rPr>
          <w:color w:val="000000" w:themeColor="text1"/>
        </w:rPr>
        <w:t>7</w:t>
      </w:r>
    </w:p>
    <w:p w14:paraId="0E21DFD7" w14:textId="44FDA095" w:rsidR="00751AA5" w:rsidRPr="00B80EA1" w:rsidRDefault="00751AA5" w:rsidP="00751AA5">
      <w:pPr>
        <w:tabs>
          <w:tab w:val="right" w:leader="dot" w:pos="7654"/>
          <w:tab w:val="right" w:pos="8929"/>
          <w:tab w:val="right" w:pos="9638"/>
        </w:tabs>
        <w:spacing w:after="120"/>
        <w:ind w:left="1984" w:hanging="425"/>
        <w:rPr>
          <w:color w:val="000000" w:themeColor="text1"/>
        </w:rPr>
      </w:pPr>
      <w:r w:rsidRPr="00B80EA1">
        <w:rPr>
          <w:color w:val="000000" w:themeColor="text1"/>
        </w:rPr>
        <w:t>3.</w:t>
      </w:r>
      <w:r w:rsidRPr="00B80EA1">
        <w:rPr>
          <w:color w:val="000000" w:themeColor="text1"/>
        </w:rPr>
        <w:tab/>
      </w:r>
      <w:r w:rsidR="00185511" w:rsidRPr="00B80EA1">
        <w:rPr>
          <w:color w:val="000000" w:themeColor="text1"/>
        </w:rPr>
        <w:t xml:space="preserve">Traduction en français de la définition donnée pour l’irritation </w:t>
      </w:r>
      <w:r w:rsidR="00CE508C">
        <w:rPr>
          <w:color w:val="000000" w:themeColor="text1"/>
        </w:rPr>
        <w:br/>
      </w:r>
      <w:r w:rsidR="00185511" w:rsidRPr="00B80EA1">
        <w:rPr>
          <w:color w:val="000000" w:themeColor="text1"/>
        </w:rPr>
        <w:t>oculaire (« </w:t>
      </w:r>
      <w:proofErr w:type="spellStart"/>
      <w:r w:rsidR="00185511" w:rsidRPr="00B80EA1">
        <w:rPr>
          <w:color w:val="000000" w:themeColor="text1"/>
        </w:rPr>
        <w:t>eye</w:t>
      </w:r>
      <w:proofErr w:type="spellEnd"/>
      <w:r w:rsidR="00185511" w:rsidRPr="00B80EA1">
        <w:rPr>
          <w:color w:val="000000" w:themeColor="text1"/>
        </w:rPr>
        <w:t> irritation ») dans le SGH</w:t>
      </w:r>
      <w:r w:rsidRPr="00B80EA1">
        <w:rPr>
          <w:color w:val="000000" w:themeColor="text1"/>
        </w:rPr>
        <w:tab/>
      </w:r>
      <w:r w:rsidRPr="00B80EA1">
        <w:rPr>
          <w:color w:val="000000" w:themeColor="text1"/>
        </w:rPr>
        <w:tab/>
        <w:t>37−38</w:t>
      </w:r>
      <w:r w:rsidRPr="00B80EA1">
        <w:rPr>
          <w:color w:val="000000" w:themeColor="text1"/>
        </w:rPr>
        <w:tab/>
      </w:r>
      <w:r w:rsidR="00DA17F4">
        <w:rPr>
          <w:color w:val="000000" w:themeColor="text1"/>
        </w:rPr>
        <w:t>8</w:t>
      </w:r>
    </w:p>
    <w:p w14:paraId="4494E358" w14:textId="510660B3" w:rsidR="00751AA5" w:rsidRPr="00B80EA1" w:rsidRDefault="00751AA5" w:rsidP="00751AA5">
      <w:pPr>
        <w:tabs>
          <w:tab w:val="right" w:leader="dot" w:pos="7654"/>
          <w:tab w:val="right" w:pos="8929"/>
          <w:tab w:val="right" w:pos="9638"/>
        </w:tabs>
        <w:spacing w:after="120"/>
        <w:ind w:left="1984" w:hanging="425"/>
        <w:rPr>
          <w:color w:val="000000" w:themeColor="text1"/>
        </w:rPr>
      </w:pPr>
      <w:r w:rsidRPr="00B80EA1">
        <w:rPr>
          <w:color w:val="000000" w:themeColor="text1"/>
        </w:rPr>
        <w:t>4.</w:t>
      </w:r>
      <w:r w:rsidRPr="00B80EA1">
        <w:rPr>
          <w:color w:val="000000" w:themeColor="text1"/>
        </w:rPr>
        <w:tab/>
      </w:r>
      <w:r w:rsidR="00185511" w:rsidRPr="00B80EA1">
        <w:rPr>
          <w:color w:val="000000" w:themeColor="text1"/>
        </w:rPr>
        <w:t>Proposition de définition de « toxique »</w:t>
      </w:r>
      <w:r w:rsidRPr="00B80EA1">
        <w:rPr>
          <w:color w:val="000000" w:themeColor="text1"/>
        </w:rPr>
        <w:tab/>
      </w:r>
      <w:r w:rsidRPr="00B80EA1">
        <w:rPr>
          <w:color w:val="000000" w:themeColor="text1"/>
        </w:rPr>
        <w:tab/>
        <w:t>39−40</w:t>
      </w:r>
      <w:r w:rsidRPr="00B80EA1">
        <w:rPr>
          <w:color w:val="000000" w:themeColor="text1"/>
        </w:rPr>
        <w:tab/>
      </w:r>
      <w:r w:rsidR="00DA17F4">
        <w:rPr>
          <w:color w:val="000000" w:themeColor="text1"/>
        </w:rPr>
        <w:t>8</w:t>
      </w:r>
    </w:p>
    <w:p w14:paraId="707DFC79" w14:textId="7CB8946E" w:rsidR="00751AA5" w:rsidRPr="00B80EA1" w:rsidRDefault="00751AA5" w:rsidP="00751AA5">
      <w:pPr>
        <w:tabs>
          <w:tab w:val="right" w:pos="850"/>
          <w:tab w:val="right" w:leader="dot" w:pos="7654"/>
          <w:tab w:val="right" w:pos="8929"/>
          <w:tab w:val="right" w:pos="9638"/>
        </w:tabs>
        <w:spacing w:after="120"/>
        <w:ind w:left="1134" w:hanging="1134"/>
        <w:rPr>
          <w:iCs/>
          <w:color w:val="000000" w:themeColor="text1"/>
        </w:rPr>
      </w:pPr>
      <w:r w:rsidRPr="00B80EA1">
        <w:rPr>
          <w:iCs/>
          <w:color w:val="000000" w:themeColor="text1"/>
        </w:rPr>
        <w:tab/>
        <w:t>IV.</w:t>
      </w:r>
      <w:r w:rsidRPr="00B80EA1">
        <w:rPr>
          <w:iCs/>
          <w:color w:val="000000" w:themeColor="text1"/>
        </w:rPr>
        <w:tab/>
      </w:r>
      <w:r w:rsidR="00185511" w:rsidRPr="00B80EA1">
        <w:rPr>
          <w:color w:val="000000" w:themeColor="text1"/>
        </w:rPr>
        <w:t>Mise en œuvre du SGH (</w:t>
      </w:r>
      <w:r w:rsidR="00185511">
        <w:rPr>
          <w:color w:val="000000" w:themeColor="text1"/>
        </w:rPr>
        <w:t xml:space="preserve">point </w:t>
      </w:r>
      <w:r w:rsidR="00185511" w:rsidRPr="00B80EA1">
        <w:rPr>
          <w:color w:val="000000" w:themeColor="text1"/>
        </w:rPr>
        <w:t>3 de l’ordre du jour)</w:t>
      </w:r>
      <w:r w:rsidRPr="00B80EA1">
        <w:rPr>
          <w:iCs/>
          <w:color w:val="000000" w:themeColor="text1"/>
        </w:rPr>
        <w:tab/>
      </w:r>
      <w:r w:rsidRPr="00B80EA1">
        <w:rPr>
          <w:iCs/>
          <w:color w:val="000000" w:themeColor="text1"/>
        </w:rPr>
        <w:tab/>
        <w:t>41−66</w:t>
      </w:r>
      <w:r w:rsidRPr="00B80EA1">
        <w:rPr>
          <w:iCs/>
          <w:color w:val="000000" w:themeColor="text1"/>
        </w:rPr>
        <w:tab/>
      </w:r>
      <w:r w:rsidR="00DA17F4">
        <w:rPr>
          <w:iCs/>
          <w:color w:val="000000" w:themeColor="text1"/>
        </w:rPr>
        <w:t>8</w:t>
      </w:r>
    </w:p>
    <w:p w14:paraId="7CF32C6E" w14:textId="50234542" w:rsidR="00751AA5" w:rsidRPr="00B80EA1" w:rsidRDefault="00751AA5" w:rsidP="00751AA5">
      <w:pPr>
        <w:tabs>
          <w:tab w:val="right" w:leader="dot" w:pos="7654"/>
          <w:tab w:val="right" w:pos="8929"/>
          <w:tab w:val="right" w:pos="9638"/>
        </w:tabs>
        <w:spacing w:after="120"/>
        <w:ind w:left="1559" w:hanging="425"/>
        <w:rPr>
          <w:color w:val="000000" w:themeColor="text1"/>
        </w:rPr>
      </w:pPr>
      <w:r w:rsidRPr="00B80EA1">
        <w:rPr>
          <w:color w:val="000000" w:themeColor="text1"/>
        </w:rPr>
        <w:t>A.</w:t>
      </w:r>
      <w:r w:rsidRPr="00B80EA1">
        <w:rPr>
          <w:color w:val="000000" w:themeColor="text1"/>
        </w:rPr>
        <w:tab/>
      </w:r>
      <w:r w:rsidR="00185511" w:rsidRPr="00B80EA1">
        <w:rPr>
          <w:bCs/>
          <w:color w:val="000000" w:themeColor="text1"/>
        </w:rPr>
        <w:t xml:space="preserve">Élaboration éventuelle d’une liste des produits chimiques classés </w:t>
      </w:r>
      <w:r w:rsidR="00CE508C">
        <w:rPr>
          <w:bCs/>
          <w:color w:val="000000" w:themeColor="text1"/>
        </w:rPr>
        <w:br/>
      </w:r>
      <w:r w:rsidR="00185511" w:rsidRPr="00B80EA1">
        <w:rPr>
          <w:bCs/>
          <w:color w:val="000000" w:themeColor="text1"/>
        </w:rPr>
        <w:t>conformément au SGH</w:t>
      </w:r>
      <w:r w:rsidRPr="00B80EA1">
        <w:rPr>
          <w:color w:val="000000" w:themeColor="text1"/>
        </w:rPr>
        <w:tab/>
      </w:r>
      <w:r w:rsidRPr="00B80EA1">
        <w:rPr>
          <w:color w:val="000000" w:themeColor="text1"/>
        </w:rPr>
        <w:tab/>
        <w:t>41−43</w:t>
      </w:r>
      <w:r w:rsidRPr="00B80EA1">
        <w:rPr>
          <w:color w:val="000000" w:themeColor="text1"/>
        </w:rPr>
        <w:tab/>
      </w:r>
      <w:r w:rsidR="00DA17F4">
        <w:rPr>
          <w:color w:val="000000" w:themeColor="text1"/>
        </w:rPr>
        <w:t>8</w:t>
      </w:r>
    </w:p>
    <w:p w14:paraId="17FC75B2" w14:textId="7424D435" w:rsidR="00751AA5" w:rsidRPr="00B80EA1" w:rsidRDefault="00751AA5" w:rsidP="00751AA5">
      <w:pPr>
        <w:tabs>
          <w:tab w:val="right" w:leader="dot" w:pos="7654"/>
          <w:tab w:val="right" w:pos="8929"/>
          <w:tab w:val="right" w:pos="9638"/>
        </w:tabs>
        <w:spacing w:after="120"/>
        <w:ind w:left="1559" w:hanging="425"/>
        <w:rPr>
          <w:color w:val="000000" w:themeColor="text1"/>
        </w:rPr>
      </w:pPr>
      <w:r w:rsidRPr="00B80EA1">
        <w:rPr>
          <w:color w:val="000000" w:themeColor="text1"/>
        </w:rPr>
        <w:t>B.</w:t>
      </w:r>
      <w:r w:rsidRPr="00B80EA1">
        <w:rPr>
          <w:color w:val="000000" w:themeColor="text1"/>
        </w:rPr>
        <w:tab/>
      </w:r>
      <w:r w:rsidR="00185511" w:rsidRPr="00B80EA1">
        <w:t>Rapports sur l’application du SGH</w:t>
      </w:r>
      <w:r w:rsidRPr="00B80EA1">
        <w:rPr>
          <w:color w:val="000000" w:themeColor="text1"/>
        </w:rPr>
        <w:tab/>
      </w:r>
      <w:r w:rsidRPr="00B80EA1">
        <w:rPr>
          <w:color w:val="000000" w:themeColor="text1"/>
        </w:rPr>
        <w:tab/>
        <w:t>44−64</w:t>
      </w:r>
      <w:r w:rsidRPr="00B80EA1">
        <w:rPr>
          <w:color w:val="000000" w:themeColor="text1"/>
        </w:rPr>
        <w:tab/>
      </w:r>
      <w:r w:rsidR="00DA17F4">
        <w:rPr>
          <w:color w:val="000000" w:themeColor="text1"/>
        </w:rPr>
        <w:t>9</w:t>
      </w:r>
    </w:p>
    <w:p w14:paraId="1EE26F34" w14:textId="43EDF049" w:rsidR="00751AA5" w:rsidRPr="00B80EA1" w:rsidRDefault="00751AA5" w:rsidP="00751AA5">
      <w:pPr>
        <w:tabs>
          <w:tab w:val="right" w:leader="dot" w:pos="7654"/>
          <w:tab w:val="right" w:pos="8929"/>
          <w:tab w:val="right" w:pos="9638"/>
        </w:tabs>
        <w:spacing w:after="120"/>
        <w:ind w:left="1984" w:hanging="425"/>
        <w:rPr>
          <w:color w:val="000000" w:themeColor="text1"/>
        </w:rPr>
      </w:pPr>
      <w:r w:rsidRPr="00B80EA1">
        <w:rPr>
          <w:color w:val="000000" w:themeColor="text1"/>
        </w:rPr>
        <w:t>1.</w:t>
      </w:r>
      <w:r w:rsidRPr="00B80EA1">
        <w:rPr>
          <w:color w:val="000000" w:themeColor="text1"/>
        </w:rPr>
        <w:tab/>
      </w:r>
      <w:r w:rsidR="00185511" w:rsidRPr="00B80EA1">
        <w:t>Afrique du Sud</w:t>
      </w:r>
      <w:r w:rsidRPr="00B80EA1">
        <w:rPr>
          <w:color w:val="000000" w:themeColor="text1"/>
        </w:rPr>
        <w:tab/>
      </w:r>
      <w:r w:rsidRPr="00B80EA1">
        <w:rPr>
          <w:color w:val="000000" w:themeColor="text1"/>
        </w:rPr>
        <w:tab/>
        <w:t>44</w:t>
      </w:r>
      <w:r w:rsidRPr="00B80EA1">
        <w:rPr>
          <w:color w:val="000000" w:themeColor="text1"/>
        </w:rPr>
        <w:tab/>
      </w:r>
      <w:r w:rsidR="00DA17F4">
        <w:rPr>
          <w:color w:val="000000" w:themeColor="text1"/>
        </w:rPr>
        <w:t>9</w:t>
      </w:r>
    </w:p>
    <w:p w14:paraId="6FD0D543" w14:textId="1A280440" w:rsidR="00751AA5" w:rsidRPr="00B80EA1" w:rsidRDefault="00751AA5" w:rsidP="00751AA5">
      <w:pPr>
        <w:tabs>
          <w:tab w:val="right" w:leader="dot" w:pos="7654"/>
          <w:tab w:val="right" w:pos="8929"/>
          <w:tab w:val="right" w:pos="9638"/>
        </w:tabs>
        <w:spacing w:after="120"/>
        <w:ind w:left="1984" w:hanging="425"/>
        <w:rPr>
          <w:color w:val="000000" w:themeColor="text1"/>
        </w:rPr>
      </w:pPr>
      <w:r w:rsidRPr="00B80EA1">
        <w:rPr>
          <w:color w:val="000000" w:themeColor="text1"/>
        </w:rPr>
        <w:t>2.</w:t>
      </w:r>
      <w:r w:rsidRPr="00B80EA1">
        <w:rPr>
          <w:color w:val="000000" w:themeColor="text1"/>
        </w:rPr>
        <w:tab/>
      </w:r>
      <w:r w:rsidR="00185511" w:rsidRPr="00B80EA1">
        <w:t>Chili et Colombie</w:t>
      </w:r>
      <w:r w:rsidRPr="00B80EA1">
        <w:rPr>
          <w:color w:val="000000" w:themeColor="text1"/>
        </w:rPr>
        <w:tab/>
      </w:r>
      <w:r w:rsidRPr="00B80EA1">
        <w:rPr>
          <w:color w:val="000000" w:themeColor="text1"/>
        </w:rPr>
        <w:tab/>
        <w:t>45−47</w:t>
      </w:r>
      <w:r w:rsidRPr="00B80EA1">
        <w:rPr>
          <w:color w:val="000000" w:themeColor="text1"/>
        </w:rPr>
        <w:tab/>
      </w:r>
      <w:r w:rsidR="00DA17F4">
        <w:rPr>
          <w:color w:val="000000" w:themeColor="text1"/>
        </w:rPr>
        <w:t>9</w:t>
      </w:r>
    </w:p>
    <w:p w14:paraId="39924E19" w14:textId="0C37DC07" w:rsidR="00751AA5" w:rsidRPr="00B80EA1" w:rsidRDefault="00751AA5" w:rsidP="00751AA5">
      <w:pPr>
        <w:tabs>
          <w:tab w:val="right" w:leader="dot" w:pos="7654"/>
          <w:tab w:val="right" w:pos="8929"/>
          <w:tab w:val="right" w:pos="9638"/>
        </w:tabs>
        <w:spacing w:after="120"/>
        <w:ind w:left="1984" w:hanging="425"/>
        <w:rPr>
          <w:color w:val="000000" w:themeColor="text1"/>
        </w:rPr>
      </w:pPr>
      <w:r w:rsidRPr="00B80EA1">
        <w:rPr>
          <w:color w:val="000000" w:themeColor="text1"/>
        </w:rPr>
        <w:t>3.</w:t>
      </w:r>
      <w:r w:rsidRPr="00B80EA1">
        <w:rPr>
          <w:color w:val="000000" w:themeColor="text1"/>
        </w:rPr>
        <w:tab/>
      </w:r>
      <w:r w:rsidR="00185511" w:rsidRPr="00B80EA1">
        <w:t>Argentine</w:t>
      </w:r>
      <w:r w:rsidRPr="00B80EA1">
        <w:rPr>
          <w:color w:val="000000" w:themeColor="text1"/>
        </w:rPr>
        <w:tab/>
      </w:r>
      <w:r w:rsidRPr="00B80EA1">
        <w:rPr>
          <w:color w:val="000000" w:themeColor="text1"/>
        </w:rPr>
        <w:tab/>
        <w:t>48−51</w:t>
      </w:r>
      <w:r w:rsidRPr="00B80EA1">
        <w:rPr>
          <w:color w:val="000000" w:themeColor="text1"/>
        </w:rPr>
        <w:tab/>
      </w:r>
      <w:r w:rsidR="00DA17F4">
        <w:rPr>
          <w:color w:val="000000" w:themeColor="text1"/>
        </w:rPr>
        <w:t>9</w:t>
      </w:r>
    </w:p>
    <w:p w14:paraId="3CCAD825" w14:textId="71BA5A29" w:rsidR="00751AA5" w:rsidRPr="00B80EA1" w:rsidRDefault="00751AA5" w:rsidP="00751AA5">
      <w:pPr>
        <w:tabs>
          <w:tab w:val="right" w:leader="dot" w:pos="7654"/>
          <w:tab w:val="right" w:pos="8929"/>
          <w:tab w:val="right" w:pos="9638"/>
        </w:tabs>
        <w:spacing w:after="120"/>
        <w:ind w:left="1984" w:hanging="425"/>
        <w:rPr>
          <w:color w:val="000000" w:themeColor="text1"/>
        </w:rPr>
      </w:pPr>
      <w:r w:rsidRPr="00B80EA1">
        <w:rPr>
          <w:color w:val="000000" w:themeColor="text1"/>
        </w:rPr>
        <w:t>4.</w:t>
      </w:r>
      <w:r w:rsidRPr="00B80EA1">
        <w:rPr>
          <w:color w:val="000000" w:themeColor="text1"/>
        </w:rPr>
        <w:tab/>
      </w:r>
      <w:r w:rsidR="00185511" w:rsidRPr="00B80EA1">
        <w:t>Nouvelle-Zélande</w:t>
      </w:r>
      <w:r w:rsidRPr="00B80EA1">
        <w:rPr>
          <w:color w:val="000000" w:themeColor="text1"/>
        </w:rPr>
        <w:tab/>
      </w:r>
      <w:r w:rsidRPr="00B80EA1">
        <w:rPr>
          <w:color w:val="000000" w:themeColor="text1"/>
        </w:rPr>
        <w:tab/>
        <w:t>−52−54</w:t>
      </w:r>
      <w:r w:rsidRPr="00B80EA1">
        <w:rPr>
          <w:color w:val="000000" w:themeColor="text1"/>
        </w:rPr>
        <w:tab/>
      </w:r>
      <w:r w:rsidR="00DA17F4">
        <w:rPr>
          <w:color w:val="000000" w:themeColor="text1"/>
        </w:rPr>
        <w:t>10</w:t>
      </w:r>
    </w:p>
    <w:p w14:paraId="4CD2CCB9" w14:textId="61D5AEB1" w:rsidR="00751AA5" w:rsidRPr="00B80EA1" w:rsidRDefault="00751AA5" w:rsidP="00751AA5">
      <w:pPr>
        <w:tabs>
          <w:tab w:val="right" w:leader="dot" w:pos="7654"/>
          <w:tab w:val="right" w:pos="8929"/>
          <w:tab w:val="right" w:pos="9638"/>
        </w:tabs>
        <w:spacing w:after="120"/>
        <w:ind w:left="1984" w:hanging="425"/>
        <w:rPr>
          <w:color w:val="000000" w:themeColor="text1"/>
        </w:rPr>
      </w:pPr>
      <w:r w:rsidRPr="00B80EA1">
        <w:rPr>
          <w:color w:val="000000" w:themeColor="text1"/>
        </w:rPr>
        <w:t>5.</w:t>
      </w:r>
      <w:r w:rsidRPr="00B80EA1">
        <w:rPr>
          <w:color w:val="000000" w:themeColor="text1"/>
        </w:rPr>
        <w:tab/>
      </w:r>
      <w:r w:rsidR="00185511" w:rsidRPr="00B80EA1">
        <w:rPr>
          <w:bCs/>
          <w:color w:val="000000" w:themeColor="text1"/>
        </w:rPr>
        <w:t xml:space="preserve">Stratégie de l’Union européenne pour la durabilité dans le domaine </w:t>
      </w:r>
      <w:r w:rsidR="00CE508C">
        <w:rPr>
          <w:bCs/>
          <w:color w:val="000000" w:themeColor="text1"/>
        </w:rPr>
        <w:br/>
      </w:r>
      <w:r w:rsidR="00185511" w:rsidRPr="00B80EA1">
        <w:rPr>
          <w:bCs/>
          <w:color w:val="000000" w:themeColor="text1"/>
        </w:rPr>
        <w:t>des produits chimiques</w:t>
      </w:r>
      <w:r w:rsidRPr="00B80EA1">
        <w:rPr>
          <w:color w:val="000000" w:themeColor="text1"/>
        </w:rPr>
        <w:tab/>
      </w:r>
      <w:r w:rsidRPr="00B80EA1">
        <w:rPr>
          <w:color w:val="000000" w:themeColor="text1"/>
        </w:rPr>
        <w:tab/>
        <w:t>55−60</w:t>
      </w:r>
      <w:r w:rsidRPr="00B80EA1">
        <w:rPr>
          <w:color w:val="000000" w:themeColor="text1"/>
        </w:rPr>
        <w:tab/>
      </w:r>
      <w:r w:rsidR="00DA17F4">
        <w:rPr>
          <w:color w:val="000000" w:themeColor="text1"/>
        </w:rPr>
        <w:t>10</w:t>
      </w:r>
    </w:p>
    <w:p w14:paraId="4E04A169" w14:textId="373479B9" w:rsidR="00751AA5" w:rsidRPr="00B80EA1" w:rsidRDefault="00751AA5" w:rsidP="00751AA5">
      <w:pPr>
        <w:tabs>
          <w:tab w:val="right" w:leader="dot" w:pos="7654"/>
          <w:tab w:val="right" w:pos="8929"/>
          <w:tab w:val="right" w:pos="9638"/>
        </w:tabs>
        <w:spacing w:after="120"/>
        <w:ind w:left="1984" w:hanging="425"/>
        <w:rPr>
          <w:color w:val="000000" w:themeColor="text1"/>
        </w:rPr>
      </w:pPr>
      <w:r w:rsidRPr="00B80EA1">
        <w:rPr>
          <w:color w:val="000000" w:themeColor="text1"/>
        </w:rPr>
        <w:t>6.</w:t>
      </w:r>
      <w:r w:rsidRPr="00B80EA1">
        <w:rPr>
          <w:color w:val="000000" w:themeColor="text1"/>
        </w:rPr>
        <w:tab/>
      </w:r>
      <w:r w:rsidR="00185511" w:rsidRPr="00B80EA1">
        <w:t xml:space="preserve">Étude sur le rôle des accords commerciaux internationaux </w:t>
      </w:r>
      <w:r w:rsidR="00CE508C">
        <w:br/>
      </w:r>
      <w:r w:rsidR="00185511" w:rsidRPr="00B80EA1">
        <w:t>dans l’application du SGH</w:t>
      </w:r>
      <w:r w:rsidRPr="00B80EA1">
        <w:rPr>
          <w:color w:val="000000" w:themeColor="text1"/>
        </w:rPr>
        <w:tab/>
      </w:r>
      <w:r w:rsidRPr="00B80EA1">
        <w:rPr>
          <w:color w:val="000000" w:themeColor="text1"/>
        </w:rPr>
        <w:tab/>
        <w:t>61−62</w:t>
      </w:r>
      <w:r w:rsidRPr="00B80EA1">
        <w:rPr>
          <w:color w:val="000000" w:themeColor="text1"/>
        </w:rPr>
        <w:tab/>
      </w:r>
      <w:r w:rsidR="00DA17F4">
        <w:rPr>
          <w:color w:val="000000" w:themeColor="text1"/>
        </w:rPr>
        <w:t>11</w:t>
      </w:r>
    </w:p>
    <w:p w14:paraId="22B10892" w14:textId="587CC4AE" w:rsidR="00751AA5" w:rsidRPr="00B80EA1" w:rsidRDefault="00751AA5" w:rsidP="00751AA5">
      <w:pPr>
        <w:tabs>
          <w:tab w:val="right" w:leader="dot" w:pos="7654"/>
          <w:tab w:val="right" w:pos="8929"/>
          <w:tab w:val="right" w:pos="9638"/>
        </w:tabs>
        <w:spacing w:after="120"/>
        <w:ind w:left="1984" w:hanging="425"/>
        <w:rPr>
          <w:color w:val="000000" w:themeColor="text1"/>
        </w:rPr>
      </w:pPr>
      <w:r w:rsidRPr="00B80EA1">
        <w:rPr>
          <w:color w:val="000000" w:themeColor="text1"/>
        </w:rPr>
        <w:t>7.</w:t>
      </w:r>
      <w:r w:rsidRPr="00B80EA1">
        <w:rPr>
          <w:color w:val="000000" w:themeColor="text1"/>
        </w:rPr>
        <w:tab/>
      </w:r>
      <w:r w:rsidR="00185511" w:rsidRPr="00B80EA1">
        <w:t>Activités de l’UNITAR en faveur de l’application du SGH</w:t>
      </w:r>
      <w:r w:rsidRPr="00B80EA1">
        <w:rPr>
          <w:color w:val="000000" w:themeColor="text1"/>
        </w:rPr>
        <w:tab/>
      </w:r>
      <w:r w:rsidRPr="00B80EA1">
        <w:rPr>
          <w:color w:val="000000" w:themeColor="text1"/>
        </w:rPr>
        <w:tab/>
        <w:t>63−64</w:t>
      </w:r>
      <w:r w:rsidRPr="00B80EA1">
        <w:rPr>
          <w:color w:val="000000" w:themeColor="text1"/>
        </w:rPr>
        <w:tab/>
      </w:r>
      <w:r w:rsidR="00DA17F4">
        <w:rPr>
          <w:color w:val="000000" w:themeColor="text1"/>
        </w:rPr>
        <w:t>11</w:t>
      </w:r>
    </w:p>
    <w:p w14:paraId="4B3BD959" w14:textId="149FE3A7" w:rsidR="00751AA5" w:rsidRPr="00B80EA1" w:rsidRDefault="00751AA5" w:rsidP="00751AA5">
      <w:pPr>
        <w:tabs>
          <w:tab w:val="right" w:leader="dot" w:pos="7654"/>
          <w:tab w:val="right" w:pos="8929"/>
          <w:tab w:val="right" w:pos="9638"/>
        </w:tabs>
        <w:spacing w:after="120"/>
        <w:ind w:left="1559" w:hanging="425"/>
        <w:rPr>
          <w:color w:val="000000" w:themeColor="text1"/>
        </w:rPr>
      </w:pPr>
      <w:r w:rsidRPr="00B80EA1">
        <w:rPr>
          <w:color w:val="000000" w:themeColor="text1"/>
        </w:rPr>
        <w:t>C.</w:t>
      </w:r>
      <w:r w:rsidRPr="00B80EA1">
        <w:rPr>
          <w:color w:val="000000" w:themeColor="text1"/>
        </w:rPr>
        <w:tab/>
      </w:r>
      <w:r w:rsidR="00185511" w:rsidRPr="00B80EA1">
        <w:t>Coopération avec d’autres organes ou organisations internationales</w:t>
      </w:r>
      <w:r w:rsidRPr="00B80EA1">
        <w:rPr>
          <w:color w:val="000000" w:themeColor="text1"/>
        </w:rPr>
        <w:tab/>
      </w:r>
      <w:r w:rsidRPr="00B80EA1">
        <w:rPr>
          <w:color w:val="000000" w:themeColor="text1"/>
        </w:rPr>
        <w:tab/>
        <w:t>65</w:t>
      </w:r>
      <w:r w:rsidRPr="00B80EA1">
        <w:rPr>
          <w:color w:val="000000" w:themeColor="text1"/>
        </w:rPr>
        <w:tab/>
      </w:r>
      <w:r w:rsidR="00DA17F4">
        <w:rPr>
          <w:color w:val="000000" w:themeColor="text1"/>
        </w:rPr>
        <w:t>11</w:t>
      </w:r>
    </w:p>
    <w:p w14:paraId="520E0133" w14:textId="2C21177E" w:rsidR="00751AA5" w:rsidRPr="00B80EA1" w:rsidRDefault="00751AA5" w:rsidP="00751AA5">
      <w:pPr>
        <w:tabs>
          <w:tab w:val="right" w:leader="dot" w:pos="7654"/>
          <w:tab w:val="right" w:pos="8929"/>
          <w:tab w:val="right" w:pos="9638"/>
        </w:tabs>
        <w:spacing w:after="120"/>
        <w:ind w:left="1559" w:hanging="425"/>
        <w:rPr>
          <w:color w:val="000000" w:themeColor="text1"/>
        </w:rPr>
      </w:pPr>
      <w:r w:rsidRPr="00B80EA1">
        <w:rPr>
          <w:color w:val="000000" w:themeColor="text1"/>
        </w:rPr>
        <w:t>D.</w:t>
      </w:r>
      <w:r w:rsidRPr="00B80EA1">
        <w:rPr>
          <w:color w:val="000000" w:themeColor="text1"/>
        </w:rPr>
        <w:tab/>
      </w:r>
      <w:r w:rsidR="00185511" w:rsidRPr="00B80EA1">
        <w:t>Autres questions</w:t>
      </w:r>
      <w:r w:rsidRPr="00B80EA1">
        <w:rPr>
          <w:color w:val="000000" w:themeColor="text1"/>
        </w:rPr>
        <w:tab/>
      </w:r>
      <w:r w:rsidRPr="00B80EA1">
        <w:rPr>
          <w:color w:val="000000" w:themeColor="text1"/>
        </w:rPr>
        <w:tab/>
        <w:t>66</w:t>
      </w:r>
      <w:r w:rsidRPr="00B80EA1">
        <w:rPr>
          <w:color w:val="000000" w:themeColor="text1"/>
        </w:rPr>
        <w:tab/>
      </w:r>
      <w:r w:rsidR="00DA17F4">
        <w:rPr>
          <w:color w:val="000000" w:themeColor="text1"/>
        </w:rPr>
        <w:t>12</w:t>
      </w:r>
    </w:p>
    <w:p w14:paraId="2C4BA95E" w14:textId="65A03685" w:rsidR="00751AA5" w:rsidRPr="00B80EA1" w:rsidRDefault="00751AA5" w:rsidP="00751AA5">
      <w:pPr>
        <w:tabs>
          <w:tab w:val="right" w:pos="850"/>
          <w:tab w:val="right" w:leader="dot" w:pos="7654"/>
          <w:tab w:val="right" w:pos="8929"/>
          <w:tab w:val="right" w:pos="9638"/>
        </w:tabs>
        <w:spacing w:after="120"/>
        <w:ind w:left="1134" w:hanging="1134"/>
        <w:rPr>
          <w:iCs/>
          <w:color w:val="000000" w:themeColor="text1"/>
        </w:rPr>
      </w:pPr>
      <w:r w:rsidRPr="00B80EA1">
        <w:rPr>
          <w:iCs/>
          <w:color w:val="000000" w:themeColor="text1"/>
        </w:rPr>
        <w:tab/>
        <w:t>V.</w:t>
      </w:r>
      <w:r w:rsidRPr="00B80EA1">
        <w:rPr>
          <w:iCs/>
          <w:color w:val="000000" w:themeColor="text1"/>
        </w:rPr>
        <w:tab/>
      </w:r>
      <w:r w:rsidR="00185511" w:rsidRPr="00B80EA1">
        <w:t xml:space="preserve">Mise au </w:t>
      </w:r>
      <w:r w:rsidR="00185511">
        <w:t xml:space="preserve">point </w:t>
      </w:r>
      <w:r w:rsidR="00185511" w:rsidRPr="00B80EA1">
        <w:t>de directives pour l’application des critères du</w:t>
      </w:r>
      <w:r w:rsidR="00CE508C">
        <w:t xml:space="preserve"> </w:t>
      </w:r>
      <w:r w:rsidR="00185511" w:rsidRPr="00B80EA1">
        <w:t xml:space="preserve">SGH </w:t>
      </w:r>
      <w:r w:rsidR="00CE508C">
        <w:br/>
      </w:r>
      <w:r w:rsidR="00185511" w:rsidRPr="00B80EA1">
        <w:t>(</w:t>
      </w:r>
      <w:r w:rsidR="00185511">
        <w:t xml:space="preserve">point </w:t>
      </w:r>
      <w:r w:rsidR="00185511" w:rsidRPr="00B80EA1">
        <w:t>4 de l’ordre du jour)</w:t>
      </w:r>
      <w:r w:rsidRPr="00B80EA1">
        <w:rPr>
          <w:iCs/>
          <w:color w:val="000000" w:themeColor="text1"/>
        </w:rPr>
        <w:tab/>
      </w:r>
      <w:r w:rsidRPr="00B80EA1">
        <w:rPr>
          <w:iCs/>
          <w:color w:val="000000" w:themeColor="text1"/>
        </w:rPr>
        <w:tab/>
        <w:t>67−73</w:t>
      </w:r>
      <w:r w:rsidRPr="00B80EA1">
        <w:rPr>
          <w:iCs/>
          <w:color w:val="000000" w:themeColor="text1"/>
        </w:rPr>
        <w:tab/>
      </w:r>
      <w:r w:rsidR="00DA17F4">
        <w:rPr>
          <w:iCs/>
          <w:color w:val="000000" w:themeColor="text1"/>
        </w:rPr>
        <w:t>12</w:t>
      </w:r>
    </w:p>
    <w:p w14:paraId="7E50E182" w14:textId="32B542CA" w:rsidR="00751AA5" w:rsidRPr="00B80EA1" w:rsidRDefault="00751AA5" w:rsidP="00751AA5">
      <w:pPr>
        <w:tabs>
          <w:tab w:val="right" w:leader="dot" w:pos="7654"/>
          <w:tab w:val="right" w:pos="8929"/>
          <w:tab w:val="right" w:pos="9638"/>
        </w:tabs>
        <w:spacing w:after="120"/>
        <w:ind w:left="1559" w:hanging="425"/>
        <w:rPr>
          <w:color w:val="000000" w:themeColor="text1"/>
        </w:rPr>
      </w:pPr>
      <w:r w:rsidRPr="00B80EA1">
        <w:rPr>
          <w:color w:val="000000" w:themeColor="text1"/>
        </w:rPr>
        <w:t>A.</w:t>
      </w:r>
      <w:r w:rsidRPr="00B80EA1">
        <w:rPr>
          <w:color w:val="000000" w:themeColor="text1"/>
        </w:rPr>
        <w:tab/>
      </w:r>
      <w:r w:rsidR="00185511" w:rsidRPr="00B80EA1">
        <w:t>Alignement de l’annexe 9 (sect.</w:t>
      </w:r>
      <w:r w:rsidR="00185511">
        <w:t> </w:t>
      </w:r>
      <w:r w:rsidR="00185511" w:rsidRPr="00B80EA1">
        <w:t xml:space="preserve">A9.7) et de l’annexe 10 sur les critères </w:t>
      </w:r>
      <w:r w:rsidR="00CE508C">
        <w:br/>
      </w:r>
      <w:r w:rsidR="00185511" w:rsidRPr="00B80EA1">
        <w:t xml:space="preserve">du </w:t>
      </w:r>
      <w:r w:rsidR="00185511">
        <w:t xml:space="preserve">chapitre </w:t>
      </w:r>
      <w:r w:rsidR="00185511" w:rsidRPr="00B80EA1">
        <w:t>4.1</w:t>
      </w:r>
      <w:r w:rsidRPr="00B80EA1">
        <w:rPr>
          <w:color w:val="000000" w:themeColor="text1"/>
        </w:rPr>
        <w:tab/>
      </w:r>
      <w:r w:rsidRPr="00B80EA1">
        <w:rPr>
          <w:color w:val="000000" w:themeColor="text1"/>
        </w:rPr>
        <w:tab/>
        <w:t>67</w:t>
      </w:r>
      <w:r w:rsidRPr="00B80EA1">
        <w:rPr>
          <w:color w:val="000000" w:themeColor="text1"/>
        </w:rPr>
        <w:tab/>
      </w:r>
      <w:r w:rsidR="00DA17F4">
        <w:rPr>
          <w:color w:val="000000" w:themeColor="text1"/>
        </w:rPr>
        <w:t>12</w:t>
      </w:r>
    </w:p>
    <w:p w14:paraId="7FE82C36" w14:textId="3DCC2795" w:rsidR="00751AA5" w:rsidRPr="00B80EA1" w:rsidRDefault="00751AA5" w:rsidP="00751AA5">
      <w:pPr>
        <w:tabs>
          <w:tab w:val="right" w:leader="dot" w:pos="7654"/>
          <w:tab w:val="right" w:pos="8929"/>
          <w:tab w:val="right" w:pos="9638"/>
        </w:tabs>
        <w:spacing w:after="120"/>
        <w:ind w:left="1559" w:hanging="425"/>
        <w:rPr>
          <w:color w:val="000000" w:themeColor="text1"/>
        </w:rPr>
      </w:pPr>
      <w:r w:rsidRPr="00B80EA1">
        <w:rPr>
          <w:color w:val="000000" w:themeColor="text1"/>
        </w:rPr>
        <w:t>B.</w:t>
      </w:r>
      <w:r w:rsidRPr="00B80EA1">
        <w:rPr>
          <w:color w:val="000000" w:themeColor="text1"/>
        </w:rPr>
        <w:tab/>
      </w:r>
      <w:r w:rsidR="00185511" w:rsidRPr="00B80EA1">
        <w:t>Questions pratiques de classification</w:t>
      </w:r>
      <w:r w:rsidRPr="00B80EA1">
        <w:rPr>
          <w:color w:val="000000" w:themeColor="text1"/>
        </w:rPr>
        <w:tab/>
      </w:r>
      <w:r w:rsidRPr="00B80EA1">
        <w:rPr>
          <w:color w:val="000000" w:themeColor="text1"/>
        </w:rPr>
        <w:tab/>
        <w:t>68−70</w:t>
      </w:r>
      <w:r w:rsidRPr="00B80EA1">
        <w:rPr>
          <w:color w:val="000000" w:themeColor="text1"/>
        </w:rPr>
        <w:tab/>
      </w:r>
      <w:r w:rsidR="00DA17F4">
        <w:rPr>
          <w:color w:val="000000" w:themeColor="text1"/>
        </w:rPr>
        <w:t>12</w:t>
      </w:r>
    </w:p>
    <w:p w14:paraId="08F51AB7" w14:textId="5C175033" w:rsidR="00751AA5" w:rsidRPr="00B80EA1" w:rsidRDefault="00751AA5" w:rsidP="00751AA5">
      <w:pPr>
        <w:tabs>
          <w:tab w:val="right" w:leader="dot" w:pos="7654"/>
          <w:tab w:val="right" w:pos="8929"/>
          <w:tab w:val="right" w:pos="9638"/>
        </w:tabs>
        <w:spacing w:after="120"/>
        <w:ind w:left="1559" w:hanging="425"/>
        <w:rPr>
          <w:color w:val="000000" w:themeColor="text1"/>
        </w:rPr>
      </w:pPr>
      <w:r w:rsidRPr="00B80EA1">
        <w:rPr>
          <w:color w:val="000000" w:themeColor="text1"/>
        </w:rPr>
        <w:t>C.</w:t>
      </w:r>
      <w:r w:rsidRPr="00B80EA1">
        <w:rPr>
          <w:color w:val="000000" w:themeColor="text1"/>
        </w:rPr>
        <w:tab/>
      </w:r>
      <w:r w:rsidR="00185511" w:rsidRPr="00B80EA1">
        <w:t>Questions pratiques d’étiquetage</w:t>
      </w:r>
      <w:r w:rsidRPr="00B80EA1">
        <w:rPr>
          <w:color w:val="000000" w:themeColor="text1"/>
        </w:rPr>
        <w:tab/>
      </w:r>
      <w:r w:rsidRPr="00B80EA1">
        <w:rPr>
          <w:color w:val="000000" w:themeColor="text1"/>
        </w:rPr>
        <w:tab/>
        <w:t>71−72</w:t>
      </w:r>
      <w:r w:rsidRPr="00B80EA1">
        <w:rPr>
          <w:color w:val="000000" w:themeColor="text1"/>
        </w:rPr>
        <w:tab/>
      </w:r>
      <w:r w:rsidR="00DA17F4">
        <w:rPr>
          <w:color w:val="000000" w:themeColor="text1"/>
        </w:rPr>
        <w:t>12</w:t>
      </w:r>
    </w:p>
    <w:p w14:paraId="3E0EA523" w14:textId="33B21A63" w:rsidR="00751AA5" w:rsidRPr="00B80EA1" w:rsidRDefault="00751AA5" w:rsidP="00751AA5">
      <w:pPr>
        <w:tabs>
          <w:tab w:val="right" w:leader="dot" w:pos="7654"/>
          <w:tab w:val="right" w:pos="8929"/>
          <w:tab w:val="right" w:pos="9638"/>
        </w:tabs>
        <w:spacing w:after="120"/>
        <w:ind w:left="1559" w:hanging="425"/>
        <w:rPr>
          <w:color w:val="000000" w:themeColor="text1"/>
        </w:rPr>
      </w:pPr>
      <w:r w:rsidRPr="00B80EA1">
        <w:rPr>
          <w:color w:val="000000" w:themeColor="text1"/>
        </w:rPr>
        <w:t>D.</w:t>
      </w:r>
      <w:r w:rsidRPr="00B80EA1">
        <w:rPr>
          <w:color w:val="000000" w:themeColor="text1"/>
        </w:rPr>
        <w:tab/>
      </w:r>
      <w:r w:rsidR="00185511" w:rsidRPr="00B80EA1">
        <w:t>Autres questions</w:t>
      </w:r>
      <w:r w:rsidRPr="00B80EA1">
        <w:rPr>
          <w:color w:val="000000" w:themeColor="text1"/>
        </w:rPr>
        <w:tab/>
      </w:r>
      <w:r w:rsidRPr="00B80EA1">
        <w:rPr>
          <w:color w:val="000000" w:themeColor="text1"/>
        </w:rPr>
        <w:tab/>
        <w:t>73</w:t>
      </w:r>
      <w:r w:rsidRPr="00B80EA1">
        <w:rPr>
          <w:color w:val="000000" w:themeColor="text1"/>
        </w:rPr>
        <w:tab/>
      </w:r>
      <w:r w:rsidR="00DA17F4">
        <w:rPr>
          <w:color w:val="000000" w:themeColor="text1"/>
        </w:rPr>
        <w:t>12</w:t>
      </w:r>
    </w:p>
    <w:p w14:paraId="6DAD34EA" w14:textId="07AD4AFF" w:rsidR="00751AA5" w:rsidRPr="00B80EA1" w:rsidRDefault="00751AA5" w:rsidP="00751AA5">
      <w:pPr>
        <w:tabs>
          <w:tab w:val="right" w:pos="850"/>
          <w:tab w:val="right" w:leader="dot" w:pos="7654"/>
          <w:tab w:val="right" w:pos="8929"/>
          <w:tab w:val="right" w:pos="9638"/>
        </w:tabs>
        <w:spacing w:after="120"/>
        <w:ind w:left="1134" w:hanging="1134"/>
        <w:rPr>
          <w:iCs/>
          <w:color w:val="000000" w:themeColor="text1"/>
        </w:rPr>
      </w:pPr>
      <w:r w:rsidRPr="00B80EA1">
        <w:rPr>
          <w:iCs/>
          <w:color w:val="000000" w:themeColor="text1"/>
        </w:rPr>
        <w:tab/>
        <w:t>VI.</w:t>
      </w:r>
      <w:r w:rsidRPr="00B80EA1">
        <w:rPr>
          <w:iCs/>
          <w:color w:val="000000" w:themeColor="text1"/>
        </w:rPr>
        <w:tab/>
      </w:r>
      <w:r w:rsidR="00185511" w:rsidRPr="00B80EA1">
        <w:t>Renforcement des capacités (</w:t>
      </w:r>
      <w:r w:rsidR="00185511">
        <w:t xml:space="preserve">point </w:t>
      </w:r>
      <w:r w:rsidR="00185511" w:rsidRPr="00B80EA1">
        <w:t>5 de l’ordre du jour)</w:t>
      </w:r>
      <w:r w:rsidRPr="00B80EA1">
        <w:rPr>
          <w:iCs/>
          <w:color w:val="000000" w:themeColor="text1"/>
        </w:rPr>
        <w:tab/>
      </w:r>
      <w:r w:rsidRPr="00B80EA1">
        <w:rPr>
          <w:iCs/>
          <w:color w:val="000000" w:themeColor="text1"/>
        </w:rPr>
        <w:tab/>
      </w:r>
      <w:r w:rsidR="00352F16" w:rsidRPr="00B80EA1">
        <w:rPr>
          <w:iCs/>
          <w:color w:val="000000" w:themeColor="text1"/>
        </w:rPr>
        <w:t>74−76</w:t>
      </w:r>
      <w:r w:rsidRPr="00B80EA1">
        <w:rPr>
          <w:iCs/>
          <w:color w:val="000000" w:themeColor="text1"/>
        </w:rPr>
        <w:tab/>
      </w:r>
      <w:r w:rsidR="00DA17F4">
        <w:rPr>
          <w:iCs/>
          <w:color w:val="000000" w:themeColor="text1"/>
        </w:rPr>
        <w:t>13</w:t>
      </w:r>
    </w:p>
    <w:p w14:paraId="28D3F6EF" w14:textId="3AC06665" w:rsidR="00751AA5" w:rsidRPr="00B80EA1" w:rsidRDefault="00751AA5" w:rsidP="00751AA5">
      <w:pPr>
        <w:tabs>
          <w:tab w:val="right" w:pos="850"/>
          <w:tab w:val="right" w:leader="dot" w:pos="7654"/>
          <w:tab w:val="right" w:pos="8929"/>
          <w:tab w:val="right" w:pos="9638"/>
        </w:tabs>
        <w:spacing w:after="120"/>
        <w:ind w:left="1134" w:hanging="1134"/>
        <w:rPr>
          <w:iCs/>
          <w:color w:val="000000" w:themeColor="text1"/>
        </w:rPr>
      </w:pPr>
      <w:r w:rsidRPr="00B80EA1">
        <w:rPr>
          <w:iCs/>
          <w:color w:val="000000" w:themeColor="text1"/>
        </w:rPr>
        <w:tab/>
        <w:t>VII.</w:t>
      </w:r>
      <w:r w:rsidRPr="00B80EA1">
        <w:rPr>
          <w:iCs/>
          <w:color w:val="000000" w:themeColor="text1"/>
        </w:rPr>
        <w:tab/>
      </w:r>
      <w:r w:rsidR="00185511" w:rsidRPr="00B80EA1">
        <w:t>Questions diverses (</w:t>
      </w:r>
      <w:r w:rsidR="00185511">
        <w:t xml:space="preserve">point </w:t>
      </w:r>
      <w:r w:rsidR="00185511" w:rsidRPr="00B80EA1">
        <w:t>6 de l’ordre du jour)</w:t>
      </w:r>
      <w:r w:rsidRPr="00B80EA1">
        <w:rPr>
          <w:iCs/>
          <w:color w:val="000000" w:themeColor="text1"/>
        </w:rPr>
        <w:tab/>
      </w:r>
      <w:r w:rsidRPr="00B80EA1">
        <w:rPr>
          <w:iCs/>
          <w:color w:val="000000" w:themeColor="text1"/>
        </w:rPr>
        <w:tab/>
      </w:r>
      <w:r w:rsidR="00352F16" w:rsidRPr="00B80EA1">
        <w:rPr>
          <w:iCs/>
          <w:color w:val="000000" w:themeColor="text1"/>
        </w:rPr>
        <w:t>77−80</w:t>
      </w:r>
      <w:r w:rsidRPr="00B80EA1">
        <w:rPr>
          <w:iCs/>
          <w:color w:val="000000" w:themeColor="text1"/>
        </w:rPr>
        <w:tab/>
      </w:r>
      <w:r w:rsidR="00DA17F4">
        <w:rPr>
          <w:iCs/>
          <w:color w:val="000000" w:themeColor="text1"/>
        </w:rPr>
        <w:t>13</w:t>
      </w:r>
    </w:p>
    <w:p w14:paraId="52E21491" w14:textId="5F8DF20C" w:rsidR="00751AA5" w:rsidRPr="00B80EA1" w:rsidRDefault="00751AA5" w:rsidP="00751AA5">
      <w:pPr>
        <w:tabs>
          <w:tab w:val="right" w:leader="dot" w:pos="7654"/>
          <w:tab w:val="right" w:pos="8929"/>
          <w:tab w:val="right" w:pos="9638"/>
        </w:tabs>
        <w:spacing w:after="120"/>
        <w:ind w:left="1559" w:hanging="425"/>
        <w:rPr>
          <w:color w:val="000000" w:themeColor="text1"/>
        </w:rPr>
      </w:pPr>
      <w:r w:rsidRPr="00B80EA1">
        <w:rPr>
          <w:color w:val="000000" w:themeColor="text1"/>
        </w:rPr>
        <w:t>A.</w:t>
      </w:r>
      <w:r w:rsidRPr="00B80EA1">
        <w:rPr>
          <w:color w:val="000000" w:themeColor="text1"/>
        </w:rPr>
        <w:tab/>
      </w:r>
      <w:r w:rsidR="00185511" w:rsidRPr="00B80EA1">
        <w:t xml:space="preserve">Séminaire organisé à la suite de l’explosion survenue dans le port </w:t>
      </w:r>
      <w:r w:rsidR="00CE508C">
        <w:br/>
      </w:r>
      <w:r w:rsidR="00185511" w:rsidRPr="00B80EA1">
        <w:t>de</w:t>
      </w:r>
      <w:r w:rsidR="00CE508C">
        <w:t xml:space="preserve"> </w:t>
      </w:r>
      <w:r w:rsidR="00185511" w:rsidRPr="00B80EA1">
        <w:t>Beyrouth en</w:t>
      </w:r>
      <w:r w:rsidR="00185511">
        <w:t xml:space="preserve"> 20</w:t>
      </w:r>
      <w:r w:rsidR="00185511" w:rsidRPr="00B80EA1">
        <w:t>20</w:t>
      </w:r>
      <w:r w:rsidRPr="00B80EA1">
        <w:rPr>
          <w:color w:val="000000" w:themeColor="text1"/>
        </w:rPr>
        <w:tab/>
      </w:r>
      <w:r w:rsidRPr="00B80EA1">
        <w:rPr>
          <w:color w:val="000000" w:themeColor="text1"/>
        </w:rPr>
        <w:tab/>
      </w:r>
      <w:r w:rsidR="00352F16" w:rsidRPr="00B80EA1">
        <w:rPr>
          <w:color w:val="000000" w:themeColor="text1"/>
        </w:rPr>
        <w:t>77−78</w:t>
      </w:r>
      <w:r w:rsidRPr="00B80EA1">
        <w:rPr>
          <w:color w:val="000000" w:themeColor="text1"/>
        </w:rPr>
        <w:tab/>
      </w:r>
      <w:r w:rsidR="00DA17F4">
        <w:rPr>
          <w:color w:val="000000" w:themeColor="text1"/>
        </w:rPr>
        <w:t>13</w:t>
      </w:r>
    </w:p>
    <w:p w14:paraId="463BEB3F" w14:textId="7C7299D6" w:rsidR="00751AA5" w:rsidRPr="00B80EA1" w:rsidRDefault="00751AA5" w:rsidP="00751AA5">
      <w:pPr>
        <w:tabs>
          <w:tab w:val="right" w:leader="dot" w:pos="7654"/>
          <w:tab w:val="right" w:pos="8929"/>
          <w:tab w:val="right" w:pos="9638"/>
        </w:tabs>
        <w:spacing w:after="120"/>
        <w:ind w:left="1559" w:hanging="425"/>
        <w:rPr>
          <w:color w:val="000000" w:themeColor="text1"/>
        </w:rPr>
      </w:pPr>
      <w:r w:rsidRPr="00B80EA1">
        <w:rPr>
          <w:color w:val="000000" w:themeColor="text1"/>
        </w:rPr>
        <w:t>B.</w:t>
      </w:r>
      <w:r w:rsidRPr="00B80EA1">
        <w:rPr>
          <w:color w:val="000000" w:themeColor="text1"/>
        </w:rPr>
        <w:tab/>
      </w:r>
      <w:r w:rsidR="00185511" w:rsidRPr="00B80EA1">
        <w:t>Dates de la quarante et unième session et délais de soumission</w:t>
      </w:r>
      <w:r w:rsidRPr="00B80EA1">
        <w:rPr>
          <w:color w:val="000000" w:themeColor="text1"/>
        </w:rPr>
        <w:tab/>
      </w:r>
      <w:r w:rsidRPr="00B80EA1">
        <w:rPr>
          <w:color w:val="000000" w:themeColor="text1"/>
        </w:rPr>
        <w:tab/>
      </w:r>
      <w:r w:rsidR="00352F16" w:rsidRPr="00B80EA1">
        <w:rPr>
          <w:color w:val="000000" w:themeColor="text1"/>
        </w:rPr>
        <w:t>79</w:t>
      </w:r>
      <w:r w:rsidRPr="00B80EA1">
        <w:rPr>
          <w:color w:val="000000" w:themeColor="text1"/>
        </w:rPr>
        <w:tab/>
      </w:r>
      <w:r w:rsidR="00DA17F4">
        <w:rPr>
          <w:color w:val="000000" w:themeColor="text1"/>
        </w:rPr>
        <w:t>13</w:t>
      </w:r>
    </w:p>
    <w:p w14:paraId="03BCB14C" w14:textId="211E6CC0" w:rsidR="00751AA5" w:rsidRPr="00B80EA1" w:rsidRDefault="00751AA5" w:rsidP="00751AA5">
      <w:pPr>
        <w:tabs>
          <w:tab w:val="right" w:leader="dot" w:pos="7654"/>
          <w:tab w:val="right" w:pos="8929"/>
          <w:tab w:val="right" w:pos="9638"/>
        </w:tabs>
        <w:spacing w:after="120"/>
        <w:ind w:left="1559" w:hanging="425"/>
        <w:rPr>
          <w:color w:val="000000" w:themeColor="text1"/>
        </w:rPr>
      </w:pPr>
      <w:r w:rsidRPr="00B80EA1">
        <w:rPr>
          <w:color w:val="000000" w:themeColor="text1"/>
        </w:rPr>
        <w:t>C.</w:t>
      </w:r>
      <w:r w:rsidRPr="00B80EA1">
        <w:rPr>
          <w:color w:val="000000" w:themeColor="text1"/>
        </w:rPr>
        <w:tab/>
      </w:r>
      <w:r w:rsidR="00185511" w:rsidRPr="00B80EA1">
        <w:t>Hommage à M</w:t>
      </w:r>
      <w:r w:rsidR="00185511" w:rsidRPr="00B80EA1">
        <w:rPr>
          <w:vertAlign w:val="superscript"/>
        </w:rPr>
        <w:t>me</w:t>
      </w:r>
      <w:r w:rsidR="00185511" w:rsidRPr="00B80EA1">
        <w:t> Leroy (CEFIC)</w:t>
      </w:r>
      <w:r w:rsidRPr="00B80EA1">
        <w:rPr>
          <w:color w:val="000000" w:themeColor="text1"/>
        </w:rPr>
        <w:tab/>
      </w:r>
      <w:r w:rsidRPr="00B80EA1">
        <w:rPr>
          <w:color w:val="000000" w:themeColor="text1"/>
        </w:rPr>
        <w:tab/>
      </w:r>
      <w:r w:rsidR="00352F16" w:rsidRPr="00B80EA1">
        <w:rPr>
          <w:color w:val="000000" w:themeColor="text1"/>
        </w:rPr>
        <w:t>80</w:t>
      </w:r>
      <w:r w:rsidRPr="00B80EA1">
        <w:rPr>
          <w:color w:val="000000" w:themeColor="text1"/>
        </w:rPr>
        <w:tab/>
      </w:r>
      <w:r w:rsidR="000922F1">
        <w:rPr>
          <w:color w:val="000000" w:themeColor="text1"/>
        </w:rPr>
        <w:t>14</w:t>
      </w:r>
    </w:p>
    <w:p w14:paraId="66B50776" w14:textId="2C36DE2F" w:rsidR="00751AA5" w:rsidRPr="00B80EA1" w:rsidRDefault="00751AA5" w:rsidP="00751AA5">
      <w:pPr>
        <w:tabs>
          <w:tab w:val="right" w:pos="850"/>
          <w:tab w:val="right" w:leader="dot" w:pos="7654"/>
          <w:tab w:val="right" w:pos="8929"/>
          <w:tab w:val="right" w:pos="9638"/>
        </w:tabs>
        <w:spacing w:after="120"/>
        <w:ind w:left="1134" w:hanging="1134"/>
        <w:rPr>
          <w:iCs/>
          <w:color w:val="000000" w:themeColor="text1"/>
        </w:rPr>
      </w:pPr>
      <w:r w:rsidRPr="00B80EA1">
        <w:rPr>
          <w:iCs/>
          <w:color w:val="000000" w:themeColor="text1"/>
        </w:rPr>
        <w:tab/>
        <w:t>VIII.</w:t>
      </w:r>
      <w:r w:rsidRPr="00B80EA1">
        <w:rPr>
          <w:iCs/>
          <w:color w:val="000000" w:themeColor="text1"/>
        </w:rPr>
        <w:tab/>
      </w:r>
      <w:r w:rsidR="00185511" w:rsidRPr="00B80EA1">
        <w:t>Adoption du rapport (</w:t>
      </w:r>
      <w:r w:rsidR="00185511">
        <w:t xml:space="preserve">point </w:t>
      </w:r>
      <w:r w:rsidR="00185511" w:rsidRPr="00B80EA1">
        <w:t>7 de l’ordre du jour)</w:t>
      </w:r>
      <w:r w:rsidRPr="00B80EA1">
        <w:rPr>
          <w:iCs/>
          <w:color w:val="000000" w:themeColor="text1"/>
        </w:rPr>
        <w:tab/>
      </w:r>
      <w:r w:rsidRPr="00B80EA1">
        <w:rPr>
          <w:iCs/>
          <w:color w:val="000000" w:themeColor="text1"/>
        </w:rPr>
        <w:tab/>
      </w:r>
      <w:r w:rsidR="00352F16" w:rsidRPr="00B80EA1">
        <w:rPr>
          <w:iCs/>
          <w:color w:val="000000" w:themeColor="text1"/>
        </w:rPr>
        <w:t>81</w:t>
      </w:r>
      <w:r w:rsidRPr="00B80EA1">
        <w:rPr>
          <w:iCs/>
          <w:color w:val="000000" w:themeColor="text1"/>
        </w:rPr>
        <w:tab/>
      </w:r>
      <w:r w:rsidR="000922F1">
        <w:rPr>
          <w:iCs/>
          <w:color w:val="000000" w:themeColor="text1"/>
        </w:rPr>
        <w:t>14</w:t>
      </w:r>
    </w:p>
    <w:p w14:paraId="1A68D275" w14:textId="425E8288" w:rsidR="00751AA5" w:rsidRPr="00B80EA1" w:rsidRDefault="00751AA5" w:rsidP="00751AA5">
      <w:pPr>
        <w:tabs>
          <w:tab w:val="right" w:pos="850"/>
        </w:tabs>
        <w:spacing w:after="120"/>
        <w:rPr>
          <w:color w:val="000000" w:themeColor="text1"/>
        </w:rPr>
      </w:pPr>
      <w:r w:rsidRPr="00B80EA1">
        <w:rPr>
          <w:color w:val="000000" w:themeColor="text1"/>
        </w:rPr>
        <w:tab/>
        <w:t>Annexes</w:t>
      </w:r>
    </w:p>
    <w:p w14:paraId="70886874" w14:textId="3C9B8E74" w:rsidR="00751AA5" w:rsidRPr="00B80EA1" w:rsidRDefault="00751AA5" w:rsidP="00751AA5">
      <w:pPr>
        <w:tabs>
          <w:tab w:val="right" w:pos="850"/>
          <w:tab w:val="right" w:leader="dot" w:pos="8929"/>
          <w:tab w:val="right" w:pos="9638"/>
        </w:tabs>
        <w:spacing w:after="120"/>
        <w:ind w:left="1134" w:hanging="1134"/>
        <w:rPr>
          <w:color w:val="000000" w:themeColor="text1"/>
        </w:rPr>
      </w:pPr>
      <w:r w:rsidRPr="00B80EA1">
        <w:rPr>
          <w:color w:val="000000" w:themeColor="text1"/>
        </w:rPr>
        <w:tab/>
        <w:t>I.</w:t>
      </w:r>
      <w:r w:rsidRPr="00B80EA1">
        <w:rPr>
          <w:color w:val="000000" w:themeColor="text1"/>
        </w:rPr>
        <w:tab/>
      </w:r>
      <w:r w:rsidR="00185511" w:rsidRPr="00B80EA1">
        <w:t>Projet d’amendements à la neuvième édition révisée du</w:t>
      </w:r>
      <w:r w:rsidR="00CE508C">
        <w:t xml:space="preserve"> </w:t>
      </w:r>
      <w:r w:rsidR="00185511" w:rsidRPr="00B80EA1">
        <w:t xml:space="preserve">Système général </w:t>
      </w:r>
      <w:r w:rsidR="00CE508C">
        <w:br/>
      </w:r>
      <w:r w:rsidR="00185511" w:rsidRPr="00B80EA1">
        <w:t xml:space="preserve">harmonisé de classification et d’étiquetage des produits chimiques </w:t>
      </w:r>
      <w:r w:rsidR="00D32974">
        <w:br/>
      </w:r>
      <w:r w:rsidR="00185511" w:rsidRPr="00B80EA1">
        <w:t>(ST/SG/AC.10/30/Rev.9)</w:t>
      </w:r>
      <w:r w:rsidRPr="00B80EA1">
        <w:rPr>
          <w:color w:val="000000" w:themeColor="text1"/>
        </w:rPr>
        <w:tab/>
      </w:r>
      <w:r w:rsidRPr="00B80EA1">
        <w:rPr>
          <w:color w:val="000000" w:themeColor="text1"/>
        </w:rPr>
        <w:tab/>
      </w:r>
      <w:r w:rsidR="000922F1">
        <w:rPr>
          <w:color w:val="000000" w:themeColor="text1"/>
        </w:rPr>
        <w:t>15</w:t>
      </w:r>
    </w:p>
    <w:p w14:paraId="759686A6" w14:textId="38437A63" w:rsidR="00751AA5" w:rsidRPr="00B80EA1" w:rsidRDefault="00751AA5" w:rsidP="00D32974">
      <w:pPr>
        <w:tabs>
          <w:tab w:val="right" w:pos="850"/>
          <w:tab w:val="right" w:leader="dot" w:pos="8929"/>
          <w:tab w:val="right" w:pos="9638"/>
        </w:tabs>
        <w:spacing w:after="120"/>
        <w:ind w:left="1134" w:hanging="1134"/>
        <w:rPr>
          <w:b/>
          <w:color w:val="000000" w:themeColor="text1"/>
          <w:sz w:val="28"/>
        </w:rPr>
      </w:pPr>
      <w:r w:rsidRPr="00B80EA1">
        <w:rPr>
          <w:color w:val="000000" w:themeColor="text1"/>
        </w:rPr>
        <w:tab/>
        <w:t>II.</w:t>
      </w:r>
      <w:r w:rsidRPr="00B80EA1">
        <w:rPr>
          <w:color w:val="000000" w:themeColor="text1"/>
        </w:rPr>
        <w:tab/>
      </w:r>
      <w:r w:rsidR="00185511" w:rsidRPr="00185511">
        <w:rPr>
          <w:bCs/>
          <w:color w:val="000000" w:themeColor="text1"/>
        </w:rPr>
        <w:t xml:space="preserve">Corrections à la neuvième édition révisée du Système général harmonisé </w:t>
      </w:r>
      <w:r w:rsidR="00CE508C">
        <w:rPr>
          <w:bCs/>
          <w:color w:val="000000" w:themeColor="text1"/>
        </w:rPr>
        <w:br/>
      </w:r>
      <w:r w:rsidR="00185511" w:rsidRPr="00185511">
        <w:rPr>
          <w:bCs/>
          <w:color w:val="000000" w:themeColor="text1"/>
        </w:rPr>
        <w:t>de classification et d’étiquetage des produits chimiques (ST/SG/AC.10/30/Rev.9)</w:t>
      </w:r>
      <w:r w:rsidRPr="00B80EA1">
        <w:rPr>
          <w:color w:val="000000" w:themeColor="text1"/>
        </w:rPr>
        <w:tab/>
      </w:r>
      <w:r w:rsidRPr="00B80EA1">
        <w:rPr>
          <w:color w:val="000000" w:themeColor="text1"/>
        </w:rPr>
        <w:tab/>
      </w:r>
      <w:r w:rsidR="000922F1">
        <w:rPr>
          <w:color w:val="000000" w:themeColor="text1"/>
        </w:rPr>
        <w:t>49</w:t>
      </w:r>
      <w:r w:rsidRPr="00B80EA1">
        <w:rPr>
          <w:color w:val="000000" w:themeColor="text1"/>
        </w:rPr>
        <w:br w:type="page"/>
      </w:r>
    </w:p>
    <w:p w14:paraId="4F566E85" w14:textId="027C4CAF" w:rsidR="00705B57" w:rsidRPr="00B80EA1" w:rsidRDefault="00705B57" w:rsidP="00352F16">
      <w:pPr>
        <w:pStyle w:val="HChG"/>
        <w:rPr>
          <w:color w:val="000000" w:themeColor="text1"/>
        </w:rPr>
      </w:pPr>
      <w:r w:rsidRPr="00B80EA1">
        <w:rPr>
          <w:color w:val="000000" w:themeColor="text1"/>
        </w:rPr>
        <w:lastRenderedPageBreak/>
        <w:tab/>
        <w:t>I.</w:t>
      </w:r>
      <w:r w:rsidRPr="00B80EA1">
        <w:rPr>
          <w:color w:val="000000" w:themeColor="text1"/>
        </w:rPr>
        <w:tab/>
      </w:r>
      <w:r w:rsidRPr="00B80EA1">
        <w:rPr>
          <w:color w:val="000000" w:themeColor="text1"/>
        </w:rPr>
        <w:tab/>
        <w:t>Participation</w:t>
      </w:r>
    </w:p>
    <w:p w14:paraId="41DABFA7" w14:textId="584D59C3" w:rsidR="00705B57" w:rsidRPr="00B80EA1" w:rsidRDefault="00705B57" w:rsidP="00352F16">
      <w:pPr>
        <w:pStyle w:val="SingleTxtG"/>
        <w:rPr>
          <w:color w:val="000000" w:themeColor="text1"/>
        </w:rPr>
      </w:pPr>
      <w:r w:rsidRPr="00B80EA1">
        <w:rPr>
          <w:color w:val="000000" w:themeColor="text1"/>
        </w:rPr>
        <w:t>1.</w:t>
      </w:r>
      <w:r w:rsidRPr="00B80EA1">
        <w:rPr>
          <w:color w:val="000000" w:themeColor="text1"/>
        </w:rPr>
        <w:tab/>
        <w:t>Le Sous-Comité d’experts du Système général harmonisé de classification et d’étiquetage des produits chimiques a tenu sa quarantième session du 5 au 7</w:t>
      </w:r>
      <w:r w:rsidR="00352F16" w:rsidRPr="00B80EA1">
        <w:rPr>
          <w:color w:val="000000" w:themeColor="text1"/>
        </w:rPr>
        <w:t> </w:t>
      </w:r>
      <w:r w:rsidRPr="00B80EA1">
        <w:rPr>
          <w:color w:val="000000" w:themeColor="text1"/>
        </w:rPr>
        <w:t>juillet</w:t>
      </w:r>
      <w:r w:rsidR="00B80EA1">
        <w:rPr>
          <w:color w:val="000000" w:themeColor="text1"/>
        </w:rPr>
        <w:t xml:space="preserve"> 20</w:t>
      </w:r>
      <w:r w:rsidRPr="00B80EA1">
        <w:rPr>
          <w:color w:val="000000" w:themeColor="text1"/>
        </w:rPr>
        <w:t>21, sous la présidence de M</w:t>
      </w:r>
      <w:r w:rsidRPr="00B80EA1">
        <w:rPr>
          <w:color w:val="000000" w:themeColor="text1"/>
          <w:vertAlign w:val="superscript"/>
        </w:rPr>
        <w:t>me</w:t>
      </w:r>
      <w:r w:rsidRPr="00B80EA1">
        <w:rPr>
          <w:color w:val="000000" w:themeColor="text1"/>
        </w:rPr>
        <w:t> Maureen Ruskin (États-Unis d’Amérique) et la vice-présidence de M</w:t>
      </w:r>
      <w:r w:rsidRPr="00B80EA1">
        <w:rPr>
          <w:color w:val="000000" w:themeColor="text1"/>
          <w:vertAlign w:val="superscript"/>
        </w:rPr>
        <w:t>me</w:t>
      </w:r>
      <w:r w:rsidRPr="00B80EA1">
        <w:rPr>
          <w:color w:val="000000" w:themeColor="text1"/>
        </w:rPr>
        <w:t> Nina John (Autriche).</w:t>
      </w:r>
    </w:p>
    <w:p w14:paraId="7FF7539D" w14:textId="7FAC5412" w:rsidR="00705B57" w:rsidRPr="00B80EA1" w:rsidRDefault="00705B57" w:rsidP="00352F16">
      <w:pPr>
        <w:pStyle w:val="SingleTxtG"/>
        <w:rPr>
          <w:color w:val="000000" w:themeColor="text1"/>
        </w:rPr>
      </w:pPr>
      <w:r w:rsidRPr="00B80EA1">
        <w:rPr>
          <w:color w:val="000000" w:themeColor="text1"/>
        </w:rPr>
        <w:t>2.</w:t>
      </w:r>
      <w:r w:rsidRPr="00B80EA1">
        <w:rPr>
          <w:color w:val="000000" w:themeColor="text1"/>
        </w:rPr>
        <w:tab/>
        <w:t>Ont participé à la session des experts des pays suivants</w:t>
      </w:r>
      <w:r w:rsidR="003D06F0" w:rsidRPr="00B80EA1">
        <w:rPr>
          <w:color w:val="000000" w:themeColor="text1"/>
        </w:rPr>
        <w:t> :</w:t>
      </w:r>
      <w:r w:rsidRPr="00B80EA1">
        <w:rPr>
          <w:color w:val="000000" w:themeColor="text1"/>
        </w:rPr>
        <w:t xml:space="preserve"> Afrique du Sud, Allemagne, Argentine, Australie, Autriche, Belgique, Canada, Chine, Espagne, États-Unis d’Amérique, Fédération de Russie, Finlande, France, Italie, Japon, Norvège, Nouvelle-Zélande, Pays-Bas, Pologne, République de Corée, Royaume-Uni et Suède.</w:t>
      </w:r>
    </w:p>
    <w:p w14:paraId="4E4FA818" w14:textId="77777777" w:rsidR="00705B57" w:rsidRPr="00B80EA1" w:rsidRDefault="00705B57" w:rsidP="00352F16">
      <w:pPr>
        <w:pStyle w:val="SingleTxtG"/>
        <w:rPr>
          <w:color w:val="000000" w:themeColor="text1"/>
        </w:rPr>
      </w:pPr>
      <w:r w:rsidRPr="00B80EA1">
        <w:rPr>
          <w:color w:val="000000" w:themeColor="text1"/>
        </w:rPr>
        <w:t>3.</w:t>
      </w:r>
      <w:r w:rsidRPr="00B80EA1">
        <w:rPr>
          <w:color w:val="000000" w:themeColor="text1"/>
        </w:rPr>
        <w:tab/>
        <w:t>Des observateurs du Chili, des Philippines et de la Suisse y ont également participé en application de l’article 72 du Règlement intérieur du Conseil économique et social.</w:t>
      </w:r>
    </w:p>
    <w:p w14:paraId="60F07683" w14:textId="77777777" w:rsidR="00705B57" w:rsidRPr="00B80EA1" w:rsidRDefault="00705B57" w:rsidP="00352F16">
      <w:pPr>
        <w:pStyle w:val="SingleTxtG"/>
        <w:rPr>
          <w:color w:val="000000" w:themeColor="text1"/>
        </w:rPr>
      </w:pPr>
      <w:r w:rsidRPr="00B80EA1">
        <w:rPr>
          <w:color w:val="000000" w:themeColor="text1"/>
        </w:rPr>
        <w:t>4.</w:t>
      </w:r>
      <w:r w:rsidRPr="00B80EA1">
        <w:rPr>
          <w:color w:val="000000" w:themeColor="text1"/>
        </w:rPr>
        <w:tab/>
        <w:t>Étaient aussi présents des représentants de l’Organisation internationale du Travail (OIT) et de l’Institut des Nations Unies pour la formation et la recherche (UNITAR).</w:t>
      </w:r>
    </w:p>
    <w:p w14:paraId="03FF589C" w14:textId="66C93DB8" w:rsidR="00705B57" w:rsidRPr="00B80EA1" w:rsidRDefault="00705B57" w:rsidP="00352F16">
      <w:pPr>
        <w:pStyle w:val="SingleTxtG"/>
        <w:rPr>
          <w:color w:val="000000" w:themeColor="text1"/>
        </w:rPr>
      </w:pPr>
      <w:r w:rsidRPr="00B80EA1">
        <w:rPr>
          <w:color w:val="000000" w:themeColor="text1"/>
        </w:rPr>
        <w:t>5.</w:t>
      </w:r>
      <w:r w:rsidRPr="00B80EA1">
        <w:rPr>
          <w:color w:val="000000" w:themeColor="text1"/>
        </w:rPr>
        <w:tab/>
        <w:t>Les organisations intergouvernementales ci-après étaient aussi représentées</w:t>
      </w:r>
      <w:r w:rsidR="003D06F0" w:rsidRPr="00B80EA1">
        <w:rPr>
          <w:color w:val="000000" w:themeColor="text1"/>
        </w:rPr>
        <w:t> :</w:t>
      </w:r>
      <w:r w:rsidRPr="00B80EA1">
        <w:rPr>
          <w:color w:val="000000" w:themeColor="text1"/>
        </w:rPr>
        <w:t xml:space="preserve"> Organisation de coopération et de développement économiques (OCDE) et Union européenne (UE).</w:t>
      </w:r>
    </w:p>
    <w:p w14:paraId="75F7040D" w14:textId="19F70FE1" w:rsidR="00705B57" w:rsidRPr="00F56E8A" w:rsidRDefault="00705B57" w:rsidP="00352F16">
      <w:pPr>
        <w:pStyle w:val="SingleTxtG"/>
      </w:pPr>
      <w:r w:rsidRPr="00F56E8A">
        <w:t>6.</w:t>
      </w:r>
      <w:r w:rsidRPr="00F56E8A">
        <w:tab/>
        <w:t xml:space="preserve">Ont participé aux débats sur les </w:t>
      </w:r>
      <w:r w:rsidR="00E41DFB" w:rsidRPr="00F56E8A">
        <w:t xml:space="preserve">points </w:t>
      </w:r>
      <w:r w:rsidRPr="00F56E8A">
        <w:t>intéressant leur organisation des représentants des organisations non gouvernementales suivantes</w:t>
      </w:r>
      <w:r w:rsidR="003D06F0" w:rsidRPr="00F56E8A">
        <w:t> :</w:t>
      </w:r>
      <w:r w:rsidRPr="00F56E8A">
        <w:t xml:space="preserve"> Association européenne des gaz industriels (EIGA), Association internationale de l’industrie pétrolière pour la conservation de l’environnement (IPIECA), Association internationale de la savonnerie, de la détergence et des produits d’entretien (AISE), </w:t>
      </w:r>
      <w:proofErr w:type="spellStart"/>
      <w:r w:rsidRPr="00F56E8A">
        <w:t>Australian</w:t>
      </w:r>
      <w:proofErr w:type="spellEnd"/>
      <w:r w:rsidRPr="00F56E8A">
        <w:t xml:space="preserve"> Explosives </w:t>
      </w:r>
      <w:proofErr w:type="spellStart"/>
      <w:r w:rsidRPr="00F56E8A">
        <w:t>Industry</w:t>
      </w:r>
      <w:proofErr w:type="spellEnd"/>
      <w:r w:rsidRPr="00F56E8A">
        <w:t xml:space="preserve"> and </w:t>
      </w:r>
      <w:proofErr w:type="spellStart"/>
      <w:r w:rsidRPr="00F56E8A">
        <w:t>Safety</w:t>
      </w:r>
      <w:proofErr w:type="spellEnd"/>
      <w:r w:rsidRPr="00F56E8A">
        <w:t xml:space="preserve"> Group </w:t>
      </w:r>
      <w:proofErr w:type="spellStart"/>
      <w:r w:rsidRPr="00F56E8A">
        <w:t>Incorporated</w:t>
      </w:r>
      <w:proofErr w:type="spellEnd"/>
      <w:r w:rsidRPr="00F56E8A">
        <w:t xml:space="preserve"> (AEISG), Compressed Gas Association (CGA), Conseil consultatif des marchandises dangereuses (DGAC), Conseil européen de l’industrie chimique (CEFIC), Conseil international des mines et des métaux (CIMM), </w:t>
      </w:r>
      <w:proofErr w:type="spellStart"/>
      <w:r w:rsidRPr="00F56E8A">
        <w:t>CropLife</w:t>
      </w:r>
      <w:proofErr w:type="spellEnd"/>
      <w:r w:rsidRPr="00F56E8A">
        <w:t xml:space="preserve"> International, Fédération des industries de peintures et revêtements du Mercosul (FIPRM), Fédération européenne des aérosols (FEA), </w:t>
      </w:r>
      <w:proofErr w:type="spellStart"/>
      <w:r w:rsidRPr="00F56E8A">
        <w:t>Fertilizers</w:t>
      </w:r>
      <w:proofErr w:type="spellEnd"/>
      <w:r w:rsidRPr="00F56E8A">
        <w:t xml:space="preserve"> Europe (FE), Institute of </w:t>
      </w:r>
      <w:proofErr w:type="spellStart"/>
      <w:r w:rsidRPr="00F56E8A">
        <w:t>Makers</w:t>
      </w:r>
      <w:proofErr w:type="spellEnd"/>
      <w:r w:rsidRPr="00F56E8A">
        <w:t xml:space="preserve"> of Explosives (IME), Organisation internationale des constructeurs d’automobiles (OICA), </w:t>
      </w:r>
      <w:proofErr w:type="spellStart"/>
      <w:r w:rsidRPr="00F56E8A">
        <w:t>Responsible</w:t>
      </w:r>
      <w:proofErr w:type="spellEnd"/>
      <w:r w:rsidRPr="00F56E8A">
        <w:t xml:space="preserve"> Packaging Management Association of </w:t>
      </w:r>
      <w:proofErr w:type="spellStart"/>
      <w:r w:rsidRPr="00F56E8A">
        <w:t>Southern</w:t>
      </w:r>
      <w:proofErr w:type="spellEnd"/>
      <w:r w:rsidRPr="00F56E8A">
        <w:t xml:space="preserve"> </w:t>
      </w:r>
      <w:proofErr w:type="spellStart"/>
      <w:r w:rsidRPr="00F56E8A">
        <w:t>Africa</w:t>
      </w:r>
      <w:proofErr w:type="spellEnd"/>
      <w:r w:rsidRPr="00F56E8A">
        <w:t xml:space="preserve"> (RPMASA) et </w:t>
      </w:r>
      <w:proofErr w:type="spellStart"/>
      <w:r w:rsidRPr="00F56E8A">
        <w:t>Sporting</w:t>
      </w:r>
      <w:proofErr w:type="spellEnd"/>
      <w:r w:rsidRPr="00F56E8A">
        <w:t xml:space="preserve"> Arms and Ammunition </w:t>
      </w:r>
      <w:proofErr w:type="spellStart"/>
      <w:r w:rsidRPr="00F56E8A">
        <w:t>Manufacturers</w:t>
      </w:r>
      <w:proofErr w:type="spellEnd"/>
      <w:r w:rsidRPr="00F56E8A">
        <w:t>’ Institute (SAAMI).</w:t>
      </w:r>
    </w:p>
    <w:p w14:paraId="20636D72" w14:textId="7F4C2653" w:rsidR="00705B57" w:rsidRPr="00B80EA1" w:rsidRDefault="00352F16" w:rsidP="00352F16">
      <w:pPr>
        <w:pStyle w:val="HChG"/>
        <w:rPr>
          <w:color w:val="000000" w:themeColor="text1"/>
        </w:rPr>
      </w:pPr>
      <w:r w:rsidRPr="00B80EA1">
        <w:rPr>
          <w:color w:val="000000" w:themeColor="text1"/>
        </w:rPr>
        <w:tab/>
      </w:r>
      <w:r w:rsidR="00705B57" w:rsidRPr="00B80EA1">
        <w:rPr>
          <w:color w:val="000000" w:themeColor="text1"/>
        </w:rPr>
        <w:t>II.</w:t>
      </w:r>
      <w:r w:rsidR="00705B57" w:rsidRPr="00B80EA1">
        <w:rPr>
          <w:color w:val="000000" w:themeColor="text1"/>
        </w:rPr>
        <w:tab/>
        <w:t>Adoption de l’ordre du jour (</w:t>
      </w:r>
      <w:r w:rsidR="00E41DFB">
        <w:rPr>
          <w:color w:val="000000" w:themeColor="text1"/>
        </w:rPr>
        <w:t xml:space="preserve">point </w:t>
      </w:r>
      <w:r w:rsidR="00705B57" w:rsidRPr="00B80EA1">
        <w:rPr>
          <w:color w:val="000000" w:themeColor="text1"/>
        </w:rPr>
        <w:t>1 de l’ordre du jour)</w:t>
      </w:r>
    </w:p>
    <w:p w14:paraId="216A78AC" w14:textId="064DC366" w:rsidR="00705B57" w:rsidRPr="00B80EA1" w:rsidRDefault="00705B57" w:rsidP="00352F16">
      <w:pPr>
        <w:pStyle w:val="SingleTxtG"/>
        <w:keepNext/>
        <w:tabs>
          <w:tab w:val="clear" w:pos="1701"/>
          <w:tab w:val="clear" w:pos="2268"/>
          <w:tab w:val="clear" w:pos="2835"/>
        </w:tabs>
        <w:ind w:left="3119" w:hanging="1985"/>
        <w:jc w:val="left"/>
        <w:rPr>
          <w:color w:val="000000" w:themeColor="text1"/>
        </w:rPr>
      </w:pPr>
      <w:r w:rsidRPr="00B80EA1">
        <w:rPr>
          <w:i/>
          <w:iCs/>
          <w:color w:val="000000" w:themeColor="text1"/>
        </w:rPr>
        <w:t>Documents</w:t>
      </w:r>
      <w:r w:rsidR="003D06F0" w:rsidRPr="00B80EA1">
        <w:rPr>
          <w:color w:val="000000" w:themeColor="text1"/>
        </w:rPr>
        <w:t> :</w:t>
      </w:r>
      <w:r w:rsidRPr="00B80EA1">
        <w:rPr>
          <w:color w:val="000000" w:themeColor="text1"/>
        </w:rPr>
        <w:tab/>
        <w:t>ST/SG/AC.10/C.4/79 et ST/SG/AC.10/C.4/79/Add.1 (secrétariat)</w:t>
      </w:r>
      <w:r w:rsidR="00352F16" w:rsidRPr="00B80EA1">
        <w:rPr>
          <w:color w:val="000000" w:themeColor="text1"/>
        </w:rPr>
        <w:t>.</w:t>
      </w:r>
    </w:p>
    <w:p w14:paraId="0CA41230" w14:textId="704DE31D" w:rsidR="00705B57" w:rsidRPr="00B80EA1" w:rsidRDefault="00705B57" w:rsidP="00352F16">
      <w:pPr>
        <w:pStyle w:val="SingleTxtG"/>
        <w:keepNext/>
        <w:tabs>
          <w:tab w:val="clear" w:pos="1701"/>
          <w:tab w:val="clear" w:pos="2268"/>
          <w:tab w:val="clear" w:pos="2835"/>
        </w:tabs>
        <w:ind w:left="3119" w:hanging="1985"/>
        <w:jc w:val="left"/>
        <w:rPr>
          <w:color w:val="000000" w:themeColor="text1"/>
        </w:rPr>
      </w:pPr>
      <w:r w:rsidRPr="00B80EA1">
        <w:rPr>
          <w:i/>
          <w:iCs/>
          <w:color w:val="000000" w:themeColor="text1"/>
        </w:rPr>
        <w:t>Documents informels</w:t>
      </w:r>
      <w:r w:rsidR="003D06F0" w:rsidRPr="00B80EA1">
        <w:rPr>
          <w:color w:val="000000" w:themeColor="text1"/>
        </w:rPr>
        <w:t> :</w:t>
      </w:r>
      <w:r w:rsidRPr="00B80EA1">
        <w:rPr>
          <w:color w:val="000000" w:themeColor="text1"/>
        </w:rPr>
        <w:tab/>
        <w:t>INF.1, INF.2, INF.8 et INF.13 (secrétariat)</w:t>
      </w:r>
      <w:r w:rsidR="00352F16" w:rsidRPr="00B80EA1">
        <w:rPr>
          <w:color w:val="000000" w:themeColor="text1"/>
        </w:rPr>
        <w:t>.</w:t>
      </w:r>
    </w:p>
    <w:p w14:paraId="0D5A7BA8" w14:textId="77777777" w:rsidR="00705B57" w:rsidRPr="00B80EA1" w:rsidRDefault="00705B57" w:rsidP="00352F16">
      <w:pPr>
        <w:pStyle w:val="SingleTxtG"/>
        <w:rPr>
          <w:color w:val="000000" w:themeColor="text1"/>
        </w:rPr>
      </w:pPr>
      <w:r w:rsidRPr="00B80EA1">
        <w:rPr>
          <w:color w:val="000000" w:themeColor="text1"/>
        </w:rPr>
        <w:t>7.</w:t>
      </w:r>
      <w:r w:rsidRPr="00B80EA1">
        <w:rPr>
          <w:color w:val="000000" w:themeColor="text1"/>
        </w:rPr>
        <w:tab/>
        <w:t>Le Sous-Comité a adopté l’ordre du jour provisoire établi par le secrétariat après l’avoir modifié afin de tenir compte des documents informels INF.1 à INF.25.</w:t>
      </w:r>
    </w:p>
    <w:p w14:paraId="634682B1" w14:textId="70BFDDE1" w:rsidR="00705B57" w:rsidRPr="00B80EA1" w:rsidRDefault="00705B57" w:rsidP="00352F16">
      <w:pPr>
        <w:pStyle w:val="SingleTxtG"/>
        <w:rPr>
          <w:color w:val="000000" w:themeColor="text1"/>
        </w:rPr>
      </w:pPr>
      <w:r w:rsidRPr="00B80EA1">
        <w:rPr>
          <w:color w:val="000000" w:themeColor="text1"/>
        </w:rPr>
        <w:t>8.</w:t>
      </w:r>
      <w:r w:rsidRPr="00B80EA1">
        <w:rPr>
          <w:color w:val="000000" w:themeColor="text1"/>
        </w:rPr>
        <w:tab/>
        <w:t>Le Sous-comité a pris note de l’adoption par le Conseil économique et social, le</w:t>
      </w:r>
      <w:r w:rsidR="00352F16" w:rsidRPr="00B80EA1">
        <w:rPr>
          <w:color w:val="000000" w:themeColor="text1"/>
        </w:rPr>
        <w:t xml:space="preserve"> </w:t>
      </w:r>
      <w:r w:rsidRPr="00B80EA1">
        <w:rPr>
          <w:color w:val="000000" w:themeColor="text1"/>
        </w:rPr>
        <w:t>8 juin</w:t>
      </w:r>
      <w:r w:rsidR="00B80EA1">
        <w:rPr>
          <w:color w:val="000000" w:themeColor="text1"/>
        </w:rPr>
        <w:t xml:space="preserve"> 20</w:t>
      </w:r>
      <w:r w:rsidRPr="00B80EA1">
        <w:rPr>
          <w:color w:val="000000" w:themeColor="text1"/>
        </w:rPr>
        <w:t>21, de la résolution</w:t>
      </w:r>
      <w:r w:rsidR="00B80EA1">
        <w:rPr>
          <w:color w:val="000000" w:themeColor="text1"/>
        </w:rPr>
        <w:t xml:space="preserve"> 20</w:t>
      </w:r>
      <w:r w:rsidRPr="00B80EA1">
        <w:rPr>
          <w:color w:val="000000" w:themeColor="text1"/>
        </w:rPr>
        <w:t>21/13, sans modification, sur la base de la proposition soumise par le Comité en décembre</w:t>
      </w:r>
      <w:r w:rsidR="00B80EA1">
        <w:rPr>
          <w:color w:val="000000" w:themeColor="text1"/>
        </w:rPr>
        <w:t xml:space="preserve"> 20</w:t>
      </w:r>
      <w:r w:rsidRPr="00B80EA1">
        <w:rPr>
          <w:color w:val="000000" w:themeColor="text1"/>
        </w:rPr>
        <w:t xml:space="preserve">20 (ST/SG/AC.10/48, </w:t>
      </w:r>
      <w:r w:rsidR="0050077B" w:rsidRPr="00B80EA1">
        <w:rPr>
          <w:color w:val="000000" w:themeColor="text1"/>
        </w:rPr>
        <w:t xml:space="preserve">annexe </w:t>
      </w:r>
      <w:r w:rsidRPr="00B80EA1">
        <w:rPr>
          <w:color w:val="000000" w:themeColor="text1"/>
        </w:rPr>
        <w:t>IV).</w:t>
      </w:r>
    </w:p>
    <w:p w14:paraId="2310B604" w14:textId="77777777" w:rsidR="00705B57" w:rsidRPr="00B80EA1" w:rsidRDefault="00705B57" w:rsidP="00352F16">
      <w:pPr>
        <w:pStyle w:val="SingleTxtG"/>
        <w:rPr>
          <w:color w:val="000000" w:themeColor="text1"/>
        </w:rPr>
      </w:pPr>
      <w:r w:rsidRPr="00B80EA1">
        <w:rPr>
          <w:color w:val="000000" w:themeColor="text1"/>
        </w:rPr>
        <w:t>9.</w:t>
      </w:r>
      <w:r w:rsidRPr="00B80EA1">
        <w:rPr>
          <w:color w:val="000000" w:themeColor="text1"/>
        </w:rPr>
        <w:tab/>
        <w:t>En ce qui concerne l’état des publications, un membre du secrétariat a informé le Sous-Comité que les versions anglaise et française de la neuvième édition révisée du SGH étaient déjà disponibles et que les autres versions linguistiques devraient être publiées dans le courant de l’année.</w:t>
      </w:r>
    </w:p>
    <w:p w14:paraId="532378A4" w14:textId="3CB672EA" w:rsidR="00705B57" w:rsidRPr="00B80EA1" w:rsidRDefault="00352F16" w:rsidP="00352F16">
      <w:pPr>
        <w:pStyle w:val="HChG"/>
        <w:rPr>
          <w:color w:val="000000" w:themeColor="text1"/>
        </w:rPr>
      </w:pPr>
      <w:r w:rsidRPr="00B80EA1">
        <w:rPr>
          <w:color w:val="000000" w:themeColor="text1"/>
        </w:rPr>
        <w:lastRenderedPageBreak/>
        <w:tab/>
      </w:r>
      <w:r w:rsidR="00705B57" w:rsidRPr="00B80EA1">
        <w:rPr>
          <w:color w:val="000000" w:themeColor="text1"/>
        </w:rPr>
        <w:t>III.</w:t>
      </w:r>
      <w:r w:rsidR="00705B57" w:rsidRPr="00B80EA1">
        <w:rPr>
          <w:color w:val="000000" w:themeColor="text1"/>
        </w:rPr>
        <w:tab/>
        <w:t>Travaux relatifs au Système général harmonisé de</w:t>
      </w:r>
      <w:r w:rsidRPr="00B80EA1">
        <w:rPr>
          <w:color w:val="000000" w:themeColor="text1"/>
        </w:rPr>
        <w:t> </w:t>
      </w:r>
      <w:r w:rsidR="00705B57" w:rsidRPr="00B80EA1">
        <w:rPr>
          <w:color w:val="000000" w:themeColor="text1"/>
        </w:rPr>
        <w:t>classification et d’étiquetage des produits chimiques (SGH) (</w:t>
      </w:r>
      <w:r w:rsidR="00E41DFB">
        <w:rPr>
          <w:color w:val="000000" w:themeColor="text1"/>
        </w:rPr>
        <w:t xml:space="preserve">point </w:t>
      </w:r>
      <w:r w:rsidR="00705B57" w:rsidRPr="00B80EA1">
        <w:rPr>
          <w:color w:val="000000" w:themeColor="text1"/>
        </w:rPr>
        <w:t>2 de l’ordre du jour)</w:t>
      </w:r>
    </w:p>
    <w:p w14:paraId="12D80678" w14:textId="5D621360" w:rsidR="00705B57" w:rsidRPr="00B80EA1" w:rsidRDefault="00352F16" w:rsidP="00352F16">
      <w:pPr>
        <w:pStyle w:val="H1G"/>
        <w:ind w:right="1558"/>
        <w:rPr>
          <w:color w:val="000000" w:themeColor="text1"/>
        </w:rPr>
      </w:pPr>
      <w:r w:rsidRPr="00B80EA1">
        <w:rPr>
          <w:color w:val="000000" w:themeColor="text1"/>
        </w:rPr>
        <w:tab/>
      </w:r>
      <w:r w:rsidR="00705B57" w:rsidRPr="00B80EA1">
        <w:rPr>
          <w:color w:val="000000" w:themeColor="text1"/>
        </w:rPr>
        <w:t>A.</w:t>
      </w:r>
      <w:r w:rsidR="00705B57" w:rsidRPr="00B80EA1">
        <w:rPr>
          <w:color w:val="000000" w:themeColor="text1"/>
        </w:rPr>
        <w:tab/>
        <w:t>Travaux du Sous-Comité d’experts du transport des marchandises dangereuses (Sous-Comité TMD) sur des questions intéressant le</w:t>
      </w:r>
      <w:r w:rsidRPr="00B80EA1">
        <w:rPr>
          <w:color w:val="000000" w:themeColor="text1"/>
        </w:rPr>
        <w:t> </w:t>
      </w:r>
      <w:r w:rsidR="00705B57" w:rsidRPr="00B80EA1">
        <w:rPr>
          <w:color w:val="000000" w:themeColor="text1"/>
        </w:rPr>
        <w:t>Sous</w:t>
      </w:r>
      <w:r w:rsidRPr="00B80EA1">
        <w:rPr>
          <w:color w:val="000000" w:themeColor="text1"/>
        </w:rPr>
        <w:noBreakHyphen/>
      </w:r>
      <w:r w:rsidR="00705B57" w:rsidRPr="00B80EA1">
        <w:rPr>
          <w:color w:val="000000" w:themeColor="text1"/>
        </w:rPr>
        <w:t>Comité d’experts du Système général harmonisé de</w:t>
      </w:r>
      <w:r w:rsidRPr="00B80EA1">
        <w:rPr>
          <w:color w:val="000000" w:themeColor="text1"/>
        </w:rPr>
        <w:t> </w:t>
      </w:r>
      <w:r w:rsidR="00705B57" w:rsidRPr="00B80EA1">
        <w:rPr>
          <w:color w:val="000000" w:themeColor="text1"/>
        </w:rPr>
        <w:t>classification et d’étiquetage des produits chimiques (Sous</w:t>
      </w:r>
      <w:r w:rsidRPr="00B80EA1">
        <w:rPr>
          <w:color w:val="000000" w:themeColor="text1"/>
        </w:rPr>
        <w:noBreakHyphen/>
      </w:r>
      <w:r w:rsidR="00705B57" w:rsidRPr="00B80EA1">
        <w:rPr>
          <w:color w:val="000000" w:themeColor="text1"/>
        </w:rPr>
        <w:t>Comité SGH)</w:t>
      </w:r>
    </w:p>
    <w:p w14:paraId="047CE9BD" w14:textId="50E73C44" w:rsidR="00705B57" w:rsidRPr="00B80EA1" w:rsidRDefault="00705B57" w:rsidP="00352F16">
      <w:pPr>
        <w:pStyle w:val="SingleTxtG"/>
        <w:keepNext/>
        <w:tabs>
          <w:tab w:val="clear" w:pos="1701"/>
          <w:tab w:val="clear" w:pos="2268"/>
          <w:tab w:val="clear" w:pos="2835"/>
        </w:tabs>
        <w:ind w:left="3119" w:hanging="1985"/>
        <w:jc w:val="left"/>
        <w:rPr>
          <w:color w:val="000000" w:themeColor="text1"/>
        </w:rPr>
      </w:pPr>
      <w:r w:rsidRPr="00B80EA1">
        <w:rPr>
          <w:i/>
          <w:iCs/>
          <w:color w:val="000000" w:themeColor="text1"/>
        </w:rPr>
        <w:t>Document informel</w:t>
      </w:r>
      <w:r w:rsidR="003D06F0" w:rsidRPr="00B80EA1">
        <w:rPr>
          <w:color w:val="000000" w:themeColor="text1"/>
        </w:rPr>
        <w:t> :</w:t>
      </w:r>
      <w:r w:rsidRPr="00B80EA1">
        <w:rPr>
          <w:color w:val="000000" w:themeColor="text1"/>
        </w:rPr>
        <w:tab/>
        <w:t xml:space="preserve">INF.23, </w:t>
      </w:r>
      <w:r w:rsidR="00E41DFB">
        <w:rPr>
          <w:color w:val="000000" w:themeColor="text1"/>
        </w:rPr>
        <w:t xml:space="preserve">paragraphes </w:t>
      </w:r>
      <w:r w:rsidRPr="00B80EA1">
        <w:rPr>
          <w:color w:val="000000" w:themeColor="text1"/>
        </w:rPr>
        <w:t xml:space="preserve">4 </w:t>
      </w:r>
      <w:r w:rsidR="00352F16" w:rsidRPr="00B80EA1">
        <w:rPr>
          <w:color w:val="000000" w:themeColor="text1"/>
        </w:rPr>
        <w:t>et</w:t>
      </w:r>
      <w:r w:rsidRPr="00B80EA1">
        <w:rPr>
          <w:color w:val="000000" w:themeColor="text1"/>
        </w:rPr>
        <w:t xml:space="preserve"> 5 (secrétariat)</w:t>
      </w:r>
      <w:r w:rsidR="00352F16" w:rsidRPr="00B80EA1">
        <w:rPr>
          <w:color w:val="000000" w:themeColor="text1"/>
        </w:rPr>
        <w:t>.</w:t>
      </w:r>
    </w:p>
    <w:p w14:paraId="471F975B" w14:textId="60603273" w:rsidR="00705B57" w:rsidRPr="00B80EA1" w:rsidRDefault="00705B57" w:rsidP="00352F16">
      <w:pPr>
        <w:pStyle w:val="SingleTxtG"/>
        <w:rPr>
          <w:color w:val="000000" w:themeColor="text1"/>
        </w:rPr>
      </w:pPr>
      <w:r w:rsidRPr="00B80EA1">
        <w:rPr>
          <w:color w:val="000000" w:themeColor="text1"/>
        </w:rPr>
        <w:t>10.</w:t>
      </w:r>
      <w:r w:rsidRPr="00B80EA1">
        <w:rPr>
          <w:color w:val="000000" w:themeColor="text1"/>
        </w:rPr>
        <w:tab/>
        <w:t xml:space="preserve">Le Sous-Comité a pris note des résultats des discussions du Sous-Comité TMD, tels que présentés aux </w:t>
      </w:r>
      <w:r w:rsidR="00E41DFB">
        <w:rPr>
          <w:color w:val="000000" w:themeColor="text1"/>
        </w:rPr>
        <w:t xml:space="preserve">paragraphes </w:t>
      </w:r>
      <w:r w:rsidRPr="00B80EA1">
        <w:rPr>
          <w:color w:val="000000" w:themeColor="text1"/>
        </w:rPr>
        <w:t>4 et 5 du document informel INF.23, concernant l’examen de la définition des matières explosibles et une proposition d’alignement du Règlement type sur le SGH s’agissant des espèces animales utilisées pour les essais de toxicité cutanée aiguë.</w:t>
      </w:r>
    </w:p>
    <w:p w14:paraId="21FE5188" w14:textId="77777777" w:rsidR="00705B57" w:rsidRPr="00B80EA1" w:rsidRDefault="00705B57" w:rsidP="00352F16">
      <w:pPr>
        <w:pStyle w:val="H1G"/>
        <w:ind w:right="2125"/>
        <w:rPr>
          <w:color w:val="000000" w:themeColor="text1"/>
        </w:rPr>
      </w:pPr>
      <w:bookmarkStart w:id="0" w:name="_Hlk77082333"/>
      <w:r w:rsidRPr="00B80EA1">
        <w:rPr>
          <w:color w:val="000000" w:themeColor="text1"/>
        </w:rPr>
        <w:tab/>
        <w:t>B.</w:t>
      </w:r>
      <w:r w:rsidRPr="00B80EA1">
        <w:rPr>
          <w:color w:val="000000" w:themeColor="text1"/>
        </w:rPr>
        <w:tab/>
        <w:t>Classification simultanée dans les classes de danger physique et ordre de prépondérance des dangers</w:t>
      </w:r>
      <w:bookmarkEnd w:id="0"/>
    </w:p>
    <w:p w14:paraId="348A8F38" w14:textId="4C60CD93" w:rsidR="00705B57" w:rsidRPr="00B80EA1" w:rsidRDefault="00705B57" w:rsidP="00550B69">
      <w:pPr>
        <w:pStyle w:val="SingleTxtG"/>
        <w:rPr>
          <w:color w:val="000000" w:themeColor="text1"/>
        </w:rPr>
      </w:pPr>
      <w:r w:rsidRPr="00B80EA1">
        <w:rPr>
          <w:color w:val="000000" w:themeColor="text1"/>
        </w:rPr>
        <w:t>11.</w:t>
      </w:r>
      <w:r w:rsidRPr="00B80EA1">
        <w:rPr>
          <w:color w:val="000000" w:themeColor="text1"/>
        </w:rPr>
        <w:tab/>
        <w:t xml:space="preserve">L’experte de l’Allemagne a informé le Sous-Comité qu’en raison des travaux sur la révision du </w:t>
      </w:r>
      <w:r w:rsidR="00E41DFB">
        <w:rPr>
          <w:color w:val="000000" w:themeColor="text1"/>
        </w:rPr>
        <w:t xml:space="preserve">chapitre </w:t>
      </w:r>
      <w:r w:rsidRPr="00B80EA1">
        <w:rPr>
          <w:color w:val="000000" w:themeColor="text1"/>
        </w:rPr>
        <w:t>2.1 menés au cours de la dernière période biennale, les experts en matière de dangers physiques n’avaient pas été en mesure de travailler en parallèle sur les questions de classification simultanée et d’ordre de prépondérance des dangers et que, par conséquent, peu de progrès avaient été faits jusqu’à présent.</w:t>
      </w:r>
    </w:p>
    <w:p w14:paraId="42A535C1" w14:textId="4119679D" w:rsidR="00705B57" w:rsidRPr="00B80EA1" w:rsidRDefault="00705B57" w:rsidP="00550B69">
      <w:pPr>
        <w:pStyle w:val="SingleTxtG"/>
        <w:rPr>
          <w:color w:val="000000" w:themeColor="text1"/>
        </w:rPr>
      </w:pPr>
      <w:r w:rsidRPr="00B80EA1">
        <w:rPr>
          <w:color w:val="000000" w:themeColor="text1"/>
        </w:rPr>
        <w:t>12.</w:t>
      </w:r>
      <w:r w:rsidRPr="00B80EA1">
        <w:rPr>
          <w:color w:val="000000" w:themeColor="text1"/>
        </w:rPr>
        <w:tab/>
        <w:t>Elle a précisé qu’elle avait l’intention de relancer les travaux sur le sujet et qu’elle avait déjà entamé des discussions avec le Président du Groupe de travail des explosifs du Sous-Comité TMD sur la prise en compte de la sécurité du personnel chargé des essais dans le Manuel d’épreuves et de critères. Elle a invité tous les experts intéressés par les travaux sur la classification simultanée dans les classes de danger physique et l’ordre de prépondérance des dangers qui n’étaient pas encore inscrits sur la liste de distribution du groupe à la contacter (</w:t>
      </w:r>
      <w:r w:rsidR="00550B69" w:rsidRPr="00B80EA1">
        <w:rPr>
          <w:color w:val="000000" w:themeColor="text1"/>
        </w:rPr>
        <w:t>M</w:t>
      </w:r>
      <w:r w:rsidR="00550B69" w:rsidRPr="00B80EA1">
        <w:rPr>
          <w:color w:val="000000" w:themeColor="text1"/>
          <w:vertAlign w:val="superscript"/>
        </w:rPr>
        <w:t>me</w:t>
      </w:r>
      <w:r w:rsidR="00550B69" w:rsidRPr="00B80EA1">
        <w:rPr>
          <w:color w:val="000000" w:themeColor="text1"/>
        </w:rPr>
        <w:t> </w:t>
      </w:r>
      <w:r w:rsidRPr="00B80EA1">
        <w:rPr>
          <w:color w:val="000000" w:themeColor="text1"/>
        </w:rPr>
        <w:t>Cordula Wilrich) dès que possible.</w:t>
      </w:r>
    </w:p>
    <w:p w14:paraId="570C01DB" w14:textId="61591133" w:rsidR="00705B57" w:rsidRPr="00B80EA1" w:rsidRDefault="00550B69" w:rsidP="00550B69">
      <w:pPr>
        <w:pStyle w:val="H1G"/>
        <w:rPr>
          <w:color w:val="000000" w:themeColor="text1"/>
        </w:rPr>
      </w:pPr>
      <w:r w:rsidRPr="00B80EA1">
        <w:rPr>
          <w:color w:val="000000" w:themeColor="text1"/>
        </w:rPr>
        <w:tab/>
      </w:r>
      <w:r w:rsidR="00705B57" w:rsidRPr="00B80EA1">
        <w:rPr>
          <w:color w:val="000000" w:themeColor="text1"/>
        </w:rPr>
        <w:t>C.</w:t>
      </w:r>
      <w:r w:rsidR="00705B57" w:rsidRPr="00B80EA1">
        <w:rPr>
          <w:color w:val="000000" w:themeColor="text1"/>
        </w:rPr>
        <w:tab/>
        <w:t>Utilisation de méthodes d’expérimentation non animales pour</w:t>
      </w:r>
      <w:r w:rsidRPr="00B80EA1">
        <w:rPr>
          <w:color w:val="000000" w:themeColor="text1"/>
        </w:rPr>
        <w:t> </w:t>
      </w:r>
      <w:r w:rsidR="00705B57" w:rsidRPr="00B80EA1">
        <w:rPr>
          <w:color w:val="000000" w:themeColor="text1"/>
        </w:rPr>
        <w:t>le</w:t>
      </w:r>
      <w:r w:rsidRPr="00B80EA1">
        <w:rPr>
          <w:color w:val="000000" w:themeColor="text1"/>
        </w:rPr>
        <w:t> </w:t>
      </w:r>
      <w:r w:rsidR="00705B57" w:rsidRPr="00B80EA1">
        <w:rPr>
          <w:color w:val="000000" w:themeColor="text1"/>
        </w:rPr>
        <w:t>classement des dangers pour la santé</w:t>
      </w:r>
    </w:p>
    <w:p w14:paraId="38C005E3" w14:textId="65CE352D" w:rsidR="00705B57" w:rsidRPr="00B80EA1" w:rsidRDefault="00705B57" w:rsidP="00550B69">
      <w:pPr>
        <w:pStyle w:val="SingleTxtG"/>
        <w:keepNext/>
        <w:tabs>
          <w:tab w:val="clear" w:pos="1701"/>
          <w:tab w:val="clear" w:pos="2268"/>
          <w:tab w:val="clear" w:pos="2835"/>
        </w:tabs>
        <w:ind w:left="3119" w:hanging="1985"/>
        <w:jc w:val="left"/>
        <w:rPr>
          <w:color w:val="000000" w:themeColor="text1"/>
        </w:rPr>
      </w:pPr>
      <w:r w:rsidRPr="00B80EA1">
        <w:rPr>
          <w:i/>
          <w:iCs/>
          <w:color w:val="000000" w:themeColor="text1"/>
        </w:rPr>
        <w:t>Documents</w:t>
      </w:r>
      <w:r w:rsidR="003D06F0" w:rsidRPr="00B80EA1">
        <w:rPr>
          <w:i/>
          <w:iCs/>
          <w:color w:val="000000" w:themeColor="text1"/>
        </w:rPr>
        <w:t> </w:t>
      </w:r>
      <w:r w:rsidR="003D06F0" w:rsidRPr="00B80EA1">
        <w:rPr>
          <w:color w:val="000000" w:themeColor="text1"/>
        </w:rPr>
        <w:t>:</w:t>
      </w:r>
      <w:r w:rsidRPr="00B80EA1">
        <w:rPr>
          <w:color w:val="000000" w:themeColor="text1"/>
        </w:rPr>
        <w:tab/>
        <w:t>ST/SG/AC.10/C.4/2021/4 (Royaume-Uni, Pays-Bas)</w:t>
      </w:r>
      <w:r w:rsidR="00550B69" w:rsidRPr="00B80EA1">
        <w:rPr>
          <w:color w:val="000000" w:themeColor="text1"/>
        </w:rPr>
        <w:t>,</w:t>
      </w:r>
      <w:r w:rsidR="00550B69" w:rsidRPr="00B80EA1">
        <w:rPr>
          <w:color w:val="000000" w:themeColor="text1"/>
        </w:rPr>
        <w:br/>
      </w:r>
      <w:r w:rsidRPr="00B80EA1">
        <w:rPr>
          <w:color w:val="000000" w:themeColor="text1"/>
        </w:rPr>
        <w:t>ST/SG/AC.10/C.4/2021/5 (Royaume-Uni, Pays-Bas)</w:t>
      </w:r>
      <w:r w:rsidR="00550B69" w:rsidRPr="00B80EA1">
        <w:rPr>
          <w:color w:val="000000" w:themeColor="text1"/>
        </w:rPr>
        <w:t>.</w:t>
      </w:r>
    </w:p>
    <w:p w14:paraId="39AEB095" w14:textId="32DADA29" w:rsidR="00705B57" w:rsidRPr="00B80EA1" w:rsidRDefault="00705B57" w:rsidP="00550B69">
      <w:pPr>
        <w:pStyle w:val="SingleTxtG"/>
        <w:keepNext/>
        <w:tabs>
          <w:tab w:val="clear" w:pos="1701"/>
          <w:tab w:val="clear" w:pos="2268"/>
          <w:tab w:val="clear" w:pos="2835"/>
        </w:tabs>
        <w:ind w:left="3119" w:hanging="1985"/>
        <w:jc w:val="left"/>
        <w:rPr>
          <w:color w:val="000000" w:themeColor="text1"/>
        </w:rPr>
      </w:pPr>
      <w:r w:rsidRPr="00B80EA1">
        <w:rPr>
          <w:i/>
          <w:iCs/>
          <w:color w:val="000000" w:themeColor="text1"/>
        </w:rPr>
        <w:t>Documents informels</w:t>
      </w:r>
      <w:r w:rsidR="003D06F0" w:rsidRPr="00B80EA1">
        <w:rPr>
          <w:color w:val="000000" w:themeColor="text1"/>
        </w:rPr>
        <w:t> :</w:t>
      </w:r>
      <w:r w:rsidRPr="00B80EA1">
        <w:rPr>
          <w:color w:val="000000" w:themeColor="text1"/>
        </w:rPr>
        <w:tab/>
        <w:t>INF.3, INF.4, INF.22 et INF.18 (Royaume-Uni, Pays-Bas)</w:t>
      </w:r>
      <w:r w:rsidR="00550B69" w:rsidRPr="00B80EA1">
        <w:rPr>
          <w:color w:val="000000" w:themeColor="text1"/>
        </w:rPr>
        <w:t>.</w:t>
      </w:r>
    </w:p>
    <w:p w14:paraId="7DB909CF" w14:textId="77777777" w:rsidR="00705B57" w:rsidRPr="00B80EA1" w:rsidRDefault="00705B57" w:rsidP="00550B69">
      <w:pPr>
        <w:pStyle w:val="SingleTxtG"/>
        <w:rPr>
          <w:color w:val="000000" w:themeColor="text1"/>
        </w:rPr>
      </w:pPr>
      <w:r w:rsidRPr="00B80EA1">
        <w:rPr>
          <w:color w:val="000000" w:themeColor="text1"/>
        </w:rPr>
        <w:t>13.</w:t>
      </w:r>
      <w:r w:rsidRPr="00B80EA1">
        <w:rPr>
          <w:color w:val="000000" w:themeColor="text1"/>
        </w:rPr>
        <w:tab/>
        <w:t>Le Sous-Comité s’est dit satisfait des travaux du groupe de travail informel.</w:t>
      </w:r>
    </w:p>
    <w:p w14:paraId="3EBA478E" w14:textId="77777777" w:rsidR="00705B57" w:rsidRPr="00B80EA1" w:rsidRDefault="00705B57" w:rsidP="00550B69">
      <w:pPr>
        <w:pStyle w:val="SingleTxtG"/>
        <w:rPr>
          <w:color w:val="000000" w:themeColor="text1"/>
        </w:rPr>
      </w:pPr>
      <w:r w:rsidRPr="00B80EA1">
        <w:rPr>
          <w:color w:val="000000" w:themeColor="text1"/>
        </w:rPr>
        <w:t>14.</w:t>
      </w:r>
      <w:r w:rsidRPr="00B80EA1">
        <w:rPr>
          <w:color w:val="000000" w:themeColor="text1"/>
        </w:rPr>
        <w:tab/>
        <w:t xml:space="preserve">En réponse à une question de l’expert de la Chine concernant l’absence de critères permettant de déterminer ce qui peut être considéré comme une réserve acide ou alcaline « significative », telle que visée aux 3.3.2.7, 3.3.3.1.3 et 3.3.5.3.7, il a été expliqué qu’en l’absence de méthode d’essai unique convenue au niveau international, aucun critère spécifique n’avait été proposé pour le SGH. Étant donné qu’il existait plusieurs méthodes (notamment celles décrites dans la ligne directrice 122 de l’OCDE et dans Young </w:t>
      </w:r>
      <w:r w:rsidRPr="00F56E8A">
        <w:rPr>
          <w:i/>
          <w:iCs/>
          <w:color w:val="000000" w:themeColor="text1"/>
        </w:rPr>
        <w:t>et al</w:t>
      </w:r>
      <w:r w:rsidRPr="00B80EA1">
        <w:rPr>
          <w:color w:val="000000" w:themeColor="text1"/>
        </w:rPr>
        <w:t>.) et que celles-ci présentaient des différences entre elles, le choix de la méthode la plus appropriée et l’évaluation des résultats avaient été laissés à la discrétion de l’autorité compétente.</w:t>
      </w:r>
    </w:p>
    <w:p w14:paraId="0B57E815" w14:textId="0731264F" w:rsidR="00705B57" w:rsidRPr="00B80EA1" w:rsidRDefault="00705B57" w:rsidP="00550B69">
      <w:pPr>
        <w:pStyle w:val="SingleTxtG"/>
        <w:rPr>
          <w:color w:val="000000" w:themeColor="text1"/>
        </w:rPr>
      </w:pPr>
      <w:r w:rsidRPr="00B80EA1">
        <w:rPr>
          <w:color w:val="000000" w:themeColor="text1"/>
        </w:rPr>
        <w:t>15.</w:t>
      </w:r>
      <w:r w:rsidRPr="00B80EA1">
        <w:rPr>
          <w:color w:val="000000" w:themeColor="text1"/>
        </w:rPr>
        <w:tab/>
        <w:t xml:space="preserve">Il a été dit que les amendements au 3.2.2.3.2 présentés dans le document INF.22 étaient plus cohérents avec les modifications qu’il était proposé d’apporter au </w:t>
      </w:r>
      <w:r w:rsidR="00E41DFB">
        <w:rPr>
          <w:color w:val="000000" w:themeColor="text1"/>
        </w:rPr>
        <w:t xml:space="preserve">chapitre </w:t>
      </w:r>
      <w:r w:rsidRPr="00B80EA1">
        <w:rPr>
          <w:color w:val="000000" w:themeColor="text1"/>
        </w:rPr>
        <w:t>3.3, tout en réaffirmant que le SGH ne préconisait aucune méthode d’épreuve en particulier.</w:t>
      </w:r>
    </w:p>
    <w:p w14:paraId="466F2AC5" w14:textId="44A0B652" w:rsidR="00705B57" w:rsidRPr="00B80EA1" w:rsidRDefault="00705B57" w:rsidP="00550B69">
      <w:pPr>
        <w:pStyle w:val="SingleTxtG"/>
        <w:keepLines/>
        <w:rPr>
          <w:color w:val="000000" w:themeColor="text1"/>
        </w:rPr>
      </w:pPr>
      <w:r w:rsidRPr="00B80EA1">
        <w:rPr>
          <w:color w:val="000000" w:themeColor="text1"/>
        </w:rPr>
        <w:lastRenderedPageBreak/>
        <w:t>16.</w:t>
      </w:r>
      <w:r w:rsidRPr="00B80EA1">
        <w:rPr>
          <w:color w:val="000000" w:themeColor="text1"/>
        </w:rPr>
        <w:tab/>
        <w:t xml:space="preserve">Le Sous-Comité a adopté les amendements au </w:t>
      </w:r>
      <w:r w:rsidR="00E41DFB">
        <w:rPr>
          <w:color w:val="000000" w:themeColor="text1"/>
        </w:rPr>
        <w:t xml:space="preserve">chapitre </w:t>
      </w:r>
      <w:r w:rsidRPr="00B80EA1">
        <w:rPr>
          <w:color w:val="000000" w:themeColor="text1"/>
        </w:rPr>
        <w:t>3.3 contenus dans l’</w:t>
      </w:r>
      <w:r w:rsidR="0050077B" w:rsidRPr="00B80EA1">
        <w:rPr>
          <w:color w:val="000000" w:themeColor="text1"/>
        </w:rPr>
        <w:t xml:space="preserve">annexe </w:t>
      </w:r>
      <w:r w:rsidRPr="00B80EA1">
        <w:rPr>
          <w:color w:val="000000" w:themeColor="text1"/>
        </w:rPr>
        <w:t xml:space="preserve">du document ST/SG/AC.10/C.4/2021/4 et les amendements de conséquence aux </w:t>
      </w:r>
      <w:r w:rsidR="00E41DFB">
        <w:rPr>
          <w:color w:val="000000" w:themeColor="text1"/>
        </w:rPr>
        <w:t xml:space="preserve">chapitres </w:t>
      </w:r>
      <w:r w:rsidRPr="00B80EA1">
        <w:rPr>
          <w:color w:val="000000" w:themeColor="text1"/>
        </w:rPr>
        <w:t xml:space="preserve">1.2 et 3.2 proposés dans le document ST/SG/AC.10/C.4/2021/5, tels que modifiés dans le document informel INF.22 (voir </w:t>
      </w:r>
      <w:r w:rsidR="0050077B" w:rsidRPr="00B80EA1">
        <w:rPr>
          <w:color w:val="000000" w:themeColor="text1"/>
        </w:rPr>
        <w:t xml:space="preserve">annexe </w:t>
      </w:r>
      <w:r w:rsidRPr="00B80EA1">
        <w:rPr>
          <w:color w:val="000000" w:themeColor="text1"/>
        </w:rPr>
        <w:t>I).</w:t>
      </w:r>
    </w:p>
    <w:p w14:paraId="31C8A9CC" w14:textId="4D95F9B2" w:rsidR="00705B57" w:rsidRPr="00B80EA1" w:rsidRDefault="00705B57" w:rsidP="00550B69">
      <w:pPr>
        <w:pStyle w:val="SingleTxtG"/>
        <w:rPr>
          <w:color w:val="000000" w:themeColor="text1"/>
        </w:rPr>
      </w:pPr>
      <w:r w:rsidRPr="00B80EA1">
        <w:rPr>
          <w:color w:val="000000" w:themeColor="text1"/>
        </w:rPr>
        <w:t>17.</w:t>
      </w:r>
      <w:r w:rsidRPr="00B80EA1">
        <w:rPr>
          <w:color w:val="000000" w:themeColor="text1"/>
        </w:rPr>
        <w:tab/>
        <w:t xml:space="preserve">Le Sous-Comité a pris note du rapport sur les travaux du groupe de travail informel contenu dans le document informel INF.18, en particulier en ce qui concerne les activités en cours relatives à l’ajout, au </w:t>
      </w:r>
      <w:r w:rsidR="00E41DFB">
        <w:rPr>
          <w:color w:val="000000" w:themeColor="text1"/>
        </w:rPr>
        <w:t xml:space="preserve">chapitre </w:t>
      </w:r>
      <w:r w:rsidRPr="00B80EA1">
        <w:rPr>
          <w:color w:val="000000" w:themeColor="text1"/>
        </w:rPr>
        <w:t>3.4 du SGH, de méthodes d’expérimentation non animales pour les sensibilisants cutanés.</w:t>
      </w:r>
    </w:p>
    <w:p w14:paraId="7A26D5F7" w14:textId="36AA749B" w:rsidR="00705B57" w:rsidRPr="00B80EA1" w:rsidRDefault="00705B57" w:rsidP="00550B69">
      <w:pPr>
        <w:pStyle w:val="H1G"/>
        <w:rPr>
          <w:color w:val="000000" w:themeColor="text1"/>
        </w:rPr>
      </w:pPr>
      <w:r w:rsidRPr="00B80EA1">
        <w:rPr>
          <w:color w:val="000000" w:themeColor="text1"/>
        </w:rPr>
        <w:tab/>
        <w:t>D.</w:t>
      </w:r>
      <w:r w:rsidRPr="00B80EA1">
        <w:rPr>
          <w:color w:val="000000" w:themeColor="text1"/>
        </w:rPr>
        <w:tab/>
        <w:t>Classification des sensibilisants cutanés à l’aide des résultats des</w:t>
      </w:r>
      <w:r w:rsidR="00550B69" w:rsidRPr="00B80EA1">
        <w:rPr>
          <w:color w:val="000000" w:themeColor="text1"/>
        </w:rPr>
        <w:t> </w:t>
      </w:r>
      <w:r w:rsidRPr="00B80EA1">
        <w:rPr>
          <w:color w:val="000000" w:themeColor="text1"/>
        </w:rPr>
        <w:t>méthodes d’essai des tests des ganglions lymphatiques locaux (LLNA) conformément à la ligne directrice de l’OCDE 442B</w:t>
      </w:r>
    </w:p>
    <w:p w14:paraId="3EEB6349" w14:textId="4448286A" w:rsidR="00705B57" w:rsidRPr="00B80EA1" w:rsidRDefault="00705B57" w:rsidP="00550B69">
      <w:pPr>
        <w:pStyle w:val="SingleTxtG"/>
        <w:keepNext/>
        <w:tabs>
          <w:tab w:val="clear" w:pos="1701"/>
          <w:tab w:val="clear" w:pos="2268"/>
          <w:tab w:val="clear" w:pos="2835"/>
        </w:tabs>
        <w:ind w:left="3119" w:hanging="1985"/>
        <w:jc w:val="left"/>
        <w:rPr>
          <w:color w:val="000000" w:themeColor="text1"/>
        </w:rPr>
      </w:pPr>
      <w:r w:rsidRPr="00B80EA1">
        <w:rPr>
          <w:i/>
          <w:iCs/>
          <w:color w:val="000000" w:themeColor="text1"/>
        </w:rPr>
        <w:t>Document informel</w:t>
      </w:r>
      <w:r w:rsidR="003D06F0" w:rsidRPr="00B80EA1">
        <w:rPr>
          <w:i/>
          <w:iCs/>
          <w:color w:val="000000" w:themeColor="text1"/>
        </w:rPr>
        <w:t> </w:t>
      </w:r>
      <w:r w:rsidR="003D06F0" w:rsidRPr="00B80EA1">
        <w:rPr>
          <w:color w:val="000000" w:themeColor="text1"/>
        </w:rPr>
        <w:t>:</w:t>
      </w:r>
      <w:r w:rsidRPr="00B80EA1">
        <w:rPr>
          <w:color w:val="000000" w:themeColor="text1"/>
        </w:rPr>
        <w:tab/>
        <w:t>INF.10 (Japon)</w:t>
      </w:r>
      <w:r w:rsidR="00550B69" w:rsidRPr="00B80EA1">
        <w:rPr>
          <w:color w:val="000000" w:themeColor="text1"/>
        </w:rPr>
        <w:t>.</w:t>
      </w:r>
    </w:p>
    <w:p w14:paraId="674CB96A" w14:textId="6F616F66" w:rsidR="00705B57" w:rsidRPr="00B80EA1" w:rsidRDefault="00705B57" w:rsidP="00705B57">
      <w:pPr>
        <w:pStyle w:val="SingleTxtG"/>
        <w:rPr>
          <w:color w:val="000000" w:themeColor="text1"/>
          <w:spacing w:val="-2"/>
        </w:rPr>
      </w:pPr>
      <w:r w:rsidRPr="00B80EA1">
        <w:rPr>
          <w:color w:val="000000" w:themeColor="text1"/>
          <w:spacing w:val="-2"/>
        </w:rPr>
        <w:t>18.</w:t>
      </w:r>
      <w:r w:rsidRPr="00B80EA1">
        <w:rPr>
          <w:color w:val="000000" w:themeColor="text1"/>
          <w:spacing w:val="-2"/>
        </w:rPr>
        <w:tab/>
        <w:t xml:space="preserve">Le Sous-Comité a pris note des résultats de l’étude menée par le Japon, qui avait confirmé l’applicabilité des méthodes LLNA dans les lignes directrices 442B et 429 de l’OCDE aux fins du classement des sensibilisants cutanés dans la </w:t>
      </w:r>
      <w:r w:rsidR="0063175B">
        <w:rPr>
          <w:color w:val="000000" w:themeColor="text1"/>
          <w:spacing w:val="-2"/>
        </w:rPr>
        <w:t xml:space="preserve">catégorie </w:t>
      </w:r>
      <w:r w:rsidRPr="00B80EA1">
        <w:rPr>
          <w:color w:val="000000" w:themeColor="text1"/>
          <w:spacing w:val="-2"/>
        </w:rPr>
        <w:t xml:space="preserve">1. Il a également été noté que le groupe d’experts de l’OCDE chargé des méthodes de substitution pour la sensibilisation cutanée avait accepté d’examiner les données relatives au critère proposé par le Japon ainsi que la fiabilité globale de ce critère, conformément au champ d’action, au plan de travail et au calendrier définis au </w:t>
      </w:r>
      <w:r w:rsidR="00E41DFB">
        <w:rPr>
          <w:color w:val="000000" w:themeColor="text1"/>
          <w:spacing w:val="-2"/>
        </w:rPr>
        <w:t xml:space="preserve">paragraphe </w:t>
      </w:r>
      <w:r w:rsidRPr="00B80EA1">
        <w:rPr>
          <w:color w:val="000000" w:themeColor="text1"/>
          <w:spacing w:val="-2"/>
        </w:rPr>
        <w:t>10 et au tableau 2 du document informel INF.10.</w:t>
      </w:r>
    </w:p>
    <w:p w14:paraId="057205CE" w14:textId="77777777" w:rsidR="00705B57" w:rsidRPr="00B80EA1" w:rsidRDefault="00705B57" w:rsidP="00550B69">
      <w:pPr>
        <w:pStyle w:val="SingleTxtG"/>
        <w:rPr>
          <w:color w:val="000000" w:themeColor="text1"/>
        </w:rPr>
      </w:pPr>
      <w:r w:rsidRPr="00B80EA1">
        <w:rPr>
          <w:color w:val="000000" w:themeColor="text1"/>
        </w:rPr>
        <w:t>19.</w:t>
      </w:r>
      <w:r w:rsidRPr="00B80EA1">
        <w:rPr>
          <w:color w:val="000000" w:themeColor="text1"/>
        </w:rPr>
        <w:tab/>
        <w:t>L’expert du Japon a précisé qu’il rendrait compte des résultats intermédiaires de cet examen à la quarante et unième session du Sous-Comité et que les travaux devraient être achevés à temps pour qu’une proposition puisse être soumise au Sous-Comité pour examen à sa quarante-deuxième session.</w:t>
      </w:r>
    </w:p>
    <w:p w14:paraId="025571B4" w14:textId="5A3C0695" w:rsidR="00705B57" w:rsidRPr="00B80EA1" w:rsidRDefault="00705B57" w:rsidP="00550B69">
      <w:pPr>
        <w:pStyle w:val="H1G"/>
        <w:rPr>
          <w:color w:val="000000" w:themeColor="text1"/>
        </w:rPr>
      </w:pPr>
      <w:r w:rsidRPr="00B80EA1">
        <w:rPr>
          <w:color w:val="000000" w:themeColor="text1"/>
        </w:rPr>
        <w:tab/>
        <w:t>E.</w:t>
      </w:r>
      <w:r w:rsidRPr="00B80EA1">
        <w:rPr>
          <w:color w:val="000000" w:themeColor="text1"/>
        </w:rPr>
        <w:tab/>
        <w:t>Critères de classification de la mutagénicité sur les cellules germinales (sous-</w:t>
      </w:r>
      <w:r w:rsidR="0063175B">
        <w:rPr>
          <w:color w:val="000000" w:themeColor="text1"/>
        </w:rPr>
        <w:t xml:space="preserve">catégorie </w:t>
      </w:r>
      <w:r w:rsidRPr="00B80EA1">
        <w:rPr>
          <w:color w:val="000000" w:themeColor="text1"/>
        </w:rPr>
        <w:t>1B)</w:t>
      </w:r>
    </w:p>
    <w:p w14:paraId="22F7ACE8" w14:textId="480D6A3A" w:rsidR="00705B57" w:rsidRPr="00B80EA1" w:rsidRDefault="00705B57" w:rsidP="00550B69">
      <w:pPr>
        <w:pStyle w:val="SingleTxtG"/>
        <w:keepNext/>
        <w:tabs>
          <w:tab w:val="clear" w:pos="1701"/>
          <w:tab w:val="clear" w:pos="2268"/>
          <w:tab w:val="clear" w:pos="2835"/>
        </w:tabs>
        <w:ind w:left="3119" w:hanging="1985"/>
        <w:jc w:val="left"/>
        <w:rPr>
          <w:color w:val="000000" w:themeColor="text1"/>
        </w:rPr>
      </w:pPr>
      <w:r w:rsidRPr="00B80EA1">
        <w:rPr>
          <w:i/>
          <w:iCs/>
          <w:color w:val="000000" w:themeColor="text1"/>
        </w:rPr>
        <w:t>Document</w:t>
      </w:r>
      <w:r w:rsidR="003D06F0" w:rsidRPr="00B80EA1">
        <w:rPr>
          <w:i/>
          <w:iCs/>
          <w:color w:val="000000" w:themeColor="text1"/>
        </w:rPr>
        <w:t> </w:t>
      </w:r>
      <w:r w:rsidR="003D06F0" w:rsidRPr="00B80EA1">
        <w:rPr>
          <w:color w:val="000000" w:themeColor="text1"/>
        </w:rPr>
        <w:t>:</w:t>
      </w:r>
      <w:r w:rsidRPr="00B80EA1">
        <w:rPr>
          <w:color w:val="000000" w:themeColor="text1"/>
        </w:rPr>
        <w:tab/>
        <w:t>ST/SG/AC.10/C.4/2021/3 (Union européenne)</w:t>
      </w:r>
      <w:r w:rsidR="00550B69" w:rsidRPr="00B80EA1">
        <w:rPr>
          <w:color w:val="000000" w:themeColor="text1"/>
        </w:rPr>
        <w:t>.</w:t>
      </w:r>
    </w:p>
    <w:p w14:paraId="12B101B3" w14:textId="45B11108" w:rsidR="00705B57" w:rsidRPr="00B80EA1" w:rsidRDefault="00705B57" w:rsidP="00550B69">
      <w:pPr>
        <w:pStyle w:val="SingleTxtG"/>
        <w:keepNext/>
        <w:tabs>
          <w:tab w:val="clear" w:pos="1701"/>
          <w:tab w:val="clear" w:pos="2268"/>
          <w:tab w:val="clear" w:pos="2835"/>
        </w:tabs>
        <w:ind w:left="3119" w:hanging="1985"/>
        <w:jc w:val="left"/>
        <w:rPr>
          <w:color w:val="000000" w:themeColor="text1"/>
        </w:rPr>
      </w:pPr>
      <w:r w:rsidRPr="00B80EA1">
        <w:rPr>
          <w:i/>
          <w:iCs/>
          <w:color w:val="000000" w:themeColor="text1"/>
        </w:rPr>
        <w:t>Document informel</w:t>
      </w:r>
      <w:r w:rsidR="003D06F0" w:rsidRPr="00B80EA1">
        <w:rPr>
          <w:i/>
          <w:iCs/>
          <w:color w:val="000000" w:themeColor="text1"/>
        </w:rPr>
        <w:t> </w:t>
      </w:r>
      <w:r w:rsidR="003D06F0" w:rsidRPr="00B80EA1">
        <w:rPr>
          <w:color w:val="000000" w:themeColor="text1"/>
        </w:rPr>
        <w:t>:</w:t>
      </w:r>
      <w:r w:rsidRPr="00B80EA1">
        <w:rPr>
          <w:color w:val="000000" w:themeColor="text1"/>
        </w:rPr>
        <w:tab/>
        <w:t>INF.24 (États-Unis d’Amérique)</w:t>
      </w:r>
      <w:r w:rsidR="00550B69" w:rsidRPr="00B80EA1">
        <w:rPr>
          <w:color w:val="000000" w:themeColor="text1"/>
        </w:rPr>
        <w:t>.</w:t>
      </w:r>
    </w:p>
    <w:p w14:paraId="2B9AEA19" w14:textId="77777777" w:rsidR="00705B57" w:rsidRPr="00B80EA1" w:rsidRDefault="00705B57" w:rsidP="00705B57">
      <w:pPr>
        <w:pStyle w:val="SingleTxtG"/>
        <w:rPr>
          <w:color w:val="000000" w:themeColor="text1"/>
          <w:spacing w:val="-2"/>
        </w:rPr>
      </w:pPr>
      <w:r w:rsidRPr="00B80EA1">
        <w:rPr>
          <w:color w:val="000000" w:themeColor="text1"/>
          <w:spacing w:val="-2"/>
        </w:rPr>
        <w:t>20.</w:t>
      </w:r>
      <w:r w:rsidRPr="00B80EA1">
        <w:rPr>
          <w:color w:val="000000" w:themeColor="text1"/>
          <w:spacing w:val="-2"/>
        </w:rPr>
        <w:tab/>
        <w:t>Les travaux de clarification des critères de classification de la mutagénicité sur les cellules germinales, tels qu’élargis à d’autres questions (voir le document ST/SG/AC.10/C.4/2021/3), ont reçu un appui général. Les experts ont toutefois estimé qu’il était nécessaire de préciser, dans le mandat proposé, le rôle et la participation de l’OCDE s’agissant de l’examen des modifications apportées aux critères de classification. Sur cette base, le Sous-Comité a examiné et adopté le mandat tel que modifié par le document informel INF.24.</w:t>
      </w:r>
    </w:p>
    <w:p w14:paraId="71139227" w14:textId="77777777" w:rsidR="00705B57" w:rsidRPr="00B80EA1" w:rsidRDefault="00705B57" w:rsidP="00550B69">
      <w:pPr>
        <w:pStyle w:val="SingleTxtG"/>
        <w:rPr>
          <w:color w:val="000000" w:themeColor="text1"/>
        </w:rPr>
      </w:pPr>
      <w:r w:rsidRPr="00B80EA1">
        <w:rPr>
          <w:color w:val="000000" w:themeColor="text1"/>
        </w:rPr>
        <w:t>21.</w:t>
      </w:r>
      <w:r w:rsidRPr="00B80EA1">
        <w:rPr>
          <w:color w:val="000000" w:themeColor="text1"/>
        </w:rPr>
        <w:tab/>
        <w:t>Le représentant de l’OCDE a confirmé le soutien de son organisation à ces travaux. Le Sous-Comité a noté qu’une fois qu’elles auraient été approuvées par le groupe de travail informel, les modifications relatives aux critères de classification seraient communiquées pour examen au groupe d’experts de la génotoxicité à l’OCDE avant d’être examinées en vue de leur adoption finale.</w:t>
      </w:r>
    </w:p>
    <w:p w14:paraId="16DAD08A" w14:textId="7A96C9EB" w:rsidR="00705B57" w:rsidRPr="00B80EA1" w:rsidRDefault="00705B57" w:rsidP="00550B69">
      <w:pPr>
        <w:pStyle w:val="SingleTxtG"/>
        <w:rPr>
          <w:color w:val="000000" w:themeColor="text1"/>
        </w:rPr>
      </w:pPr>
      <w:r w:rsidRPr="00B80EA1">
        <w:rPr>
          <w:color w:val="000000" w:themeColor="text1"/>
        </w:rPr>
        <w:t>22.</w:t>
      </w:r>
      <w:r w:rsidRPr="00B80EA1">
        <w:rPr>
          <w:color w:val="000000" w:themeColor="text1"/>
        </w:rPr>
        <w:tab/>
        <w:t>Il a en outre été noté que les modalités d’organisation des travaux au niveau de l’OCDE, à savoir le calendrier des réunions et le programme de travail, seraient examinées à la prochaine réunion du groupe de travail informel chargé de clarifier les critères de classification de la mutagénicité sur les cellules germinales, le jeudi 8</w:t>
      </w:r>
      <w:r w:rsidR="00550B69" w:rsidRPr="00B80EA1">
        <w:rPr>
          <w:color w:val="000000" w:themeColor="text1"/>
        </w:rPr>
        <w:t> </w:t>
      </w:r>
      <w:r w:rsidRPr="00B80EA1">
        <w:rPr>
          <w:color w:val="000000" w:themeColor="text1"/>
        </w:rPr>
        <w:t>juillet</w:t>
      </w:r>
      <w:r w:rsidR="00B80EA1">
        <w:rPr>
          <w:color w:val="000000" w:themeColor="text1"/>
        </w:rPr>
        <w:t xml:space="preserve"> 20</w:t>
      </w:r>
      <w:r w:rsidRPr="00B80EA1">
        <w:rPr>
          <w:color w:val="000000" w:themeColor="text1"/>
        </w:rPr>
        <w:t>21. Le responsable du groupe de travail informel a indiqué que le Sous-Comité serait tenu informé du résultat des échanges.</w:t>
      </w:r>
    </w:p>
    <w:p w14:paraId="637F0709" w14:textId="3D1BAD88" w:rsidR="00705B57" w:rsidRPr="00B80EA1" w:rsidRDefault="00705B57" w:rsidP="00550B69">
      <w:pPr>
        <w:pStyle w:val="H1G"/>
        <w:rPr>
          <w:color w:val="000000" w:themeColor="text1"/>
        </w:rPr>
      </w:pPr>
      <w:r w:rsidRPr="00B80EA1">
        <w:rPr>
          <w:color w:val="000000" w:themeColor="text1"/>
        </w:rPr>
        <w:lastRenderedPageBreak/>
        <w:tab/>
        <w:t>F.</w:t>
      </w:r>
      <w:r w:rsidRPr="00B80EA1">
        <w:rPr>
          <w:color w:val="000000" w:themeColor="text1"/>
        </w:rPr>
        <w:tab/>
        <w:t>Questions pratiques de classification (amendements proposés au SGH)</w:t>
      </w:r>
    </w:p>
    <w:p w14:paraId="1B3DDA5C" w14:textId="042AF577" w:rsidR="00705B57" w:rsidRPr="00B80EA1" w:rsidRDefault="00705B57" w:rsidP="00550B69">
      <w:pPr>
        <w:pStyle w:val="SingleTxtG"/>
        <w:keepLines/>
        <w:rPr>
          <w:color w:val="000000" w:themeColor="text1"/>
        </w:rPr>
      </w:pPr>
      <w:r w:rsidRPr="00B80EA1">
        <w:rPr>
          <w:color w:val="000000" w:themeColor="text1"/>
        </w:rPr>
        <w:t>23.</w:t>
      </w:r>
      <w:r w:rsidRPr="00B80EA1">
        <w:rPr>
          <w:color w:val="000000" w:themeColor="text1"/>
        </w:rPr>
        <w:tab/>
        <w:t xml:space="preserve">Aucune proposition d’amendement au SGH n’ayant été soumise par le groupe de travail informel chargé des questions pratiques de classification, aucun échange de vues n’a eu lieu sur la question. Le Sous-Comité a examiné le rapport d’avancement des travaux du groupe au titre du </w:t>
      </w:r>
      <w:r w:rsidR="00E41DFB">
        <w:rPr>
          <w:color w:val="000000" w:themeColor="text1"/>
        </w:rPr>
        <w:t xml:space="preserve">point </w:t>
      </w:r>
      <w:r w:rsidRPr="00B80EA1">
        <w:rPr>
          <w:color w:val="000000" w:themeColor="text1"/>
        </w:rPr>
        <w:t>4 b) de l’ordre du jour (voir par. 68 à 70).</w:t>
      </w:r>
    </w:p>
    <w:p w14:paraId="2EEEB917" w14:textId="77777777" w:rsidR="00705B57" w:rsidRPr="00B80EA1" w:rsidRDefault="00705B57" w:rsidP="0050077B">
      <w:pPr>
        <w:pStyle w:val="H1G"/>
        <w:rPr>
          <w:color w:val="000000" w:themeColor="text1"/>
        </w:rPr>
      </w:pPr>
      <w:r w:rsidRPr="00B80EA1">
        <w:rPr>
          <w:color w:val="000000" w:themeColor="text1"/>
        </w:rPr>
        <w:tab/>
        <w:t>G.</w:t>
      </w:r>
      <w:r w:rsidRPr="00B80EA1">
        <w:rPr>
          <w:color w:val="000000" w:themeColor="text1"/>
        </w:rPr>
        <w:tab/>
        <w:t>Nanomatériaux</w:t>
      </w:r>
    </w:p>
    <w:p w14:paraId="173F6DA4" w14:textId="43E2A3BF" w:rsidR="00705B57" w:rsidRPr="00B80EA1" w:rsidRDefault="00705B57" w:rsidP="0050077B">
      <w:pPr>
        <w:pStyle w:val="SingleTxtG"/>
        <w:rPr>
          <w:color w:val="000000" w:themeColor="text1"/>
        </w:rPr>
      </w:pPr>
      <w:r w:rsidRPr="00B80EA1">
        <w:rPr>
          <w:color w:val="000000" w:themeColor="text1"/>
        </w:rPr>
        <w:t>24.</w:t>
      </w:r>
      <w:r w:rsidRPr="00B80EA1">
        <w:rPr>
          <w:color w:val="000000" w:themeColor="text1"/>
        </w:rPr>
        <w:tab/>
        <w:t xml:space="preserve">Aucun document n’ayant été soumis au titre de ce </w:t>
      </w:r>
      <w:r w:rsidR="00E41DFB">
        <w:rPr>
          <w:color w:val="000000" w:themeColor="text1"/>
        </w:rPr>
        <w:t xml:space="preserve">point </w:t>
      </w:r>
      <w:r w:rsidRPr="00B80EA1">
        <w:rPr>
          <w:color w:val="000000" w:themeColor="text1"/>
        </w:rPr>
        <w:t>de l’ordre du jour, la question n’a pas été abordée.</w:t>
      </w:r>
    </w:p>
    <w:p w14:paraId="775DEE96" w14:textId="537E30E7" w:rsidR="00705B57" w:rsidRPr="00B80EA1" w:rsidRDefault="00705B57" w:rsidP="0050077B">
      <w:pPr>
        <w:pStyle w:val="H1G"/>
        <w:rPr>
          <w:color w:val="000000" w:themeColor="text1"/>
        </w:rPr>
      </w:pPr>
      <w:r w:rsidRPr="00B80EA1">
        <w:rPr>
          <w:color w:val="000000" w:themeColor="text1"/>
        </w:rPr>
        <w:tab/>
        <w:t>H.</w:t>
      </w:r>
      <w:r w:rsidRPr="00B80EA1">
        <w:rPr>
          <w:color w:val="000000" w:themeColor="text1"/>
        </w:rPr>
        <w:tab/>
      </w:r>
      <w:r w:rsidRPr="00B80EA1">
        <w:rPr>
          <w:color w:val="000000" w:themeColor="text1"/>
        </w:rPr>
        <w:tab/>
        <w:t>Amélioration des annexes 1 à 3 et poursuite de la rationalisation des</w:t>
      </w:r>
      <w:r w:rsidR="0050077B" w:rsidRPr="00B80EA1">
        <w:rPr>
          <w:color w:val="000000" w:themeColor="text1"/>
        </w:rPr>
        <w:t> </w:t>
      </w:r>
      <w:r w:rsidRPr="00B80EA1">
        <w:rPr>
          <w:color w:val="000000" w:themeColor="text1"/>
        </w:rPr>
        <w:t>conseils de prudence</w:t>
      </w:r>
    </w:p>
    <w:p w14:paraId="6996F1AB" w14:textId="6B29C8A3" w:rsidR="00705B57" w:rsidRPr="00B80EA1" w:rsidRDefault="00705B57" w:rsidP="0050077B">
      <w:pPr>
        <w:pStyle w:val="H23G"/>
        <w:rPr>
          <w:color w:val="000000" w:themeColor="text1"/>
        </w:rPr>
      </w:pPr>
      <w:r w:rsidRPr="00B80EA1">
        <w:rPr>
          <w:color w:val="000000" w:themeColor="text1"/>
        </w:rPr>
        <w:tab/>
        <w:t>1.</w:t>
      </w:r>
      <w:r w:rsidRPr="00B80EA1">
        <w:rPr>
          <w:color w:val="000000" w:themeColor="text1"/>
        </w:rPr>
        <w:tab/>
        <w:t>Modifications des mentions et conseils combinés des sections 1, 2 et 3 de l’</w:t>
      </w:r>
      <w:r w:rsidR="0050077B" w:rsidRPr="00B80EA1">
        <w:rPr>
          <w:color w:val="000000" w:themeColor="text1"/>
        </w:rPr>
        <w:t xml:space="preserve">annexe </w:t>
      </w:r>
      <w:r w:rsidRPr="00B80EA1">
        <w:rPr>
          <w:color w:val="000000" w:themeColor="text1"/>
        </w:rPr>
        <w:t>3</w:t>
      </w:r>
    </w:p>
    <w:p w14:paraId="5EC20CA7" w14:textId="2B26E6BF" w:rsidR="00705B57" w:rsidRPr="00B80EA1" w:rsidRDefault="00705B57" w:rsidP="00550B69">
      <w:pPr>
        <w:pStyle w:val="SingleTxtG"/>
        <w:keepNext/>
        <w:tabs>
          <w:tab w:val="clear" w:pos="1701"/>
          <w:tab w:val="clear" w:pos="2268"/>
          <w:tab w:val="clear" w:pos="2835"/>
        </w:tabs>
        <w:ind w:left="3119" w:hanging="1985"/>
        <w:jc w:val="left"/>
        <w:rPr>
          <w:color w:val="000000" w:themeColor="text1"/>
        </w:rPr>
      </w:pPr>
      <w:r w:rsidRPr="00B80EA1">
        <w:rPr>
          <w:i/>
          <w:iCs/>
          <w:color w:val="000000" w:themeColor="text1"/>
        </w:rPr>
        <w:t>Document</w:t>
      </w:r>
      <w:r w:rsidR="003D06F0" w:rsidRPr="00B80EA1">
        <w:rPr>
          <w:i/>
          <w:iCs/>
          <w:color w:val="000000" w:themeColor="text1"/>
        </w:rPr>
        <w:t> </w:t>
      </w:r>
      <w:r w:rsidR="003D06F0" w:rsidRPr="00B80EA1">
        <w:rPr>
          <w:color w:val="000000" w:themeColor="text1"/>
        </w:rPr>
        <w:t>:</w:t>
      </w:r>
      <w:r w:rsidRPr="00B80EA1">
        <w:rPr>
          <w:color w:val="000000" w:themeColor="text1"/>
        </w:rPr>
        <w:tab/>
        <w:t>ST/SG/AC.10/C.4/2021/1 (Royaume-Uni)</w:t>
      </w:r>
      <w:r w:rsidR="0050077B" w:rsidRPr="00B80EA1">
        <w:rPr>
          <w:color w:val="000000" w:themeColor="text1"/>
        </w:rPr>
        <w:t>.</w:t>
      </w:r>
    </w:p>
    <w:p w14:paraId="556C5336" w14:textId="77777777" w:rsidR="00705B57" w:rsidRPr="00B80EA1" w:rsidRDefault="00705B57" w:rsidP="0050077B">
      <w:pPr>
        <w:pStyle w:val="SingleTxtG"/>
        <w:rPr>
          <w:color w:val="000000" w:themeColor="text1"/>
        </w:rPr>
      </w:pPr>
      <w:r w:rsidRPr="00B80EA1">
        <w:rPr>
          <w:color w:val="000000" w:themeColor="text1"/>
        </w:rPr>
        <w:t>25.</w:t>
      </w:r>
      <w:r w:rsidRPr="00B80EA1">
        <w:rPr>
          <w:color w:val="000000" w:themeColor="text1"/>
        </w:rPr>
        <w:tab/>
        <w:t>Les propositions d’amendements aux sections 1, 2 et 3 du SGH ont reçu un appui général quant au principe. Le Sous-Comité n’a cependant pas pu parvenir à un consensus sur les propositions formulées. Certains experts ont fait observer qu’il s’était révélé difficile de comprendre les amendements proposés en l’absence d’un document informel complémentaire montrant les différences par rapport au texte actuel.</w:t>
      </w:r>
    </w:p>
    <w:p w14:paraId="37C111B7" w14:textId="482BD730" w:rsidR="00705B57" w:rsidRPr="00B80EA1" w:rsidRDefault="00705B57" w:rsidP="0050077B">
      <w:pPr>
        <w:pStyle w:val="SingleTxtG"/>
        <w:rPr>
          <w:color w:val="000000" w:themeColor="text1"/>
        </w:rPr>
      </w:pPr>
      <w:r w:rsidRPr="00B80EA1">
        <w:rPr>
          <w:color w:val="000000" w:themeColor="text1"/>
        </w:rPr>
        <w:t>26.</w:t>
      </w:r>
      <w:r w:rsidRPr="00B80EA1">
        <w:rPr>
          <w:color w:val="000000" w:themeColor="text1"/>
        </w:rPr>
        <w:tab/>
        <w:t xml:space="preserve">S’agissant des amendements à la mention combinée actuelle H315 + H320, plusieurs experts ont exprimé leur préférence pour la proposition faite au </w:t>
      </w:r>
      <w:r w:rsidR="00E41DFB">
        <w:rPr>
          <w:color w:val="000000" w:themeColor="text1"/>
        </w:rPr>
        <w:t xml:space="preserve">paragraphe </w:t>
      </w:r>
      <w:r w:rsidRPr="00B80EA1">
        <w:rPr>
          <w:color w:val="000000" w:themeColor="text1"/>
        </w:rPr>
        <w:t>17 du document ST/SG/AC.10/C.4/2021/1, à savoir conserver la mention actuelle H315 + H320 pour les catégories 2 (corrosion/irritation cutanée) et 2B (lésions oculaires graves/irritation oculaire) et ajouter une mention combinée distincte H315 + H319 pour les catégories</w:t>
      </w:r>
      <w:r w:rsidR="002F581C">
        <w:rPr>
          <w:color w:val="000000" w:themeColor="text1"/>
        </w:rPr>
        <w:t xml:space="preserve"> </w:t>
      </w:r>
      <w:r w:rsidRPr="00B80EA1">
        <w:rPr>
          <w:color w:val="000000" w:themeColor="text1"/>
        </w:rPr>
        <w:t>2 (corrosion/irritation cutanée) et 2/2A (lésions oculaires graves/irritation oculaire). Les experts étaient également favorables à l’ajout d’un nota précisant que les autorités compétentes devaient choisir la mention applicable en fonction des catégories visées (2/2A ou 2A/2B).</w:t>
      </w:r>
    </w:p>
    <w:p w14:paraId="04D15DD2" w14:textId="5511A924" w:rsidR="00705B57" w:rsidRPr="00B80EA1" w:rsidRDefault="00705B57" w:rsidP="0050077B">
      <w:pPr>
        <w:pStyle w:val="SingleTxtG"/>
        <w:rPr>
          <w:color w:val="000000" w:themeColor="text1"/>
        </w:rPr>
      </w:pPr>
      <w:r w:rsidRPr="00B80EA1">
        <w:rPr>
          <w:color w:val="000000" w:themeColor="text1"/>
        </w:rPr>
        <w:t>27.</w:t>
      </w:r>
      <w:r w:rsidRPr="00B80EA1">
        <w:rPr>
          <w:color w:val="000000" w:themeColor="text1"/>
        </w:rPr>
        <w:tab/>
        <w:t xml:space="preserve">Certains experts ont proposé que la proposition concernant le </w:t>
      </w:r>
      <w:r w:rsidR="00E41DFB">
        <w:rPr>
          <w:color w:val="000000" w:themeColor="text1"/>
        </w:rPr>
        <w:t xml:space="preserve">paragraphe </w:t>
      </w:r>
      <w:r w:rsidRPr="00B80EA1">
        <w:rPr>
          <w:color w:val="000000" w:themeColor="text1"/>
        </w:rPr>
        <w:t>A3.1.2.5 soit modifiée de façon à préciser que les mentions de danger pouvaient être combinées si nécessaire, afin d’apporter davantage de clarté et d’améliorer la lisibilité, pour autant que tous les dangers soient énoncés.</w:t>
      </w:r>
    </w:p>
    <w:p w14:paraId="6F08E793" w14:textId="5A313A18" w:rsidR="00705B57" w:rsidRPr="002F581C" w:rsidRDefault="00705B57" w:rsidP="0050077B">
      <w:pPr>
        <w:pStyle w:val="SingleTxtG"/>
        <w:rPr>
          <w:color w:val="000000" w:themeColor="text1"/>
        </w:rPr>
      </w:pPr>
      <w:r w:rsidRPr="002F581C">
        <w:rPr>
          <w:color w:val="000000" w:themeColor="text1"/>
        </w:rPr>
        <w:t>28.</w:t>
      </w:r>
      <w:r w:rsidRPr="002F581C">
        <w:rPr>
          <w:color w:val="000000" w:themeColor="text1"/>
        </w:rPr>
        <w:tab/>
        <w:t xml:space="preserve">Enfin, s’agissant de la proposition relative au nouveau conseil de prudence P374 et à l’applicabilité du conseil P373 aux matières </w:t>
      </w:r>
      <w:proofErr w:type="spellStart"/>
      <w:r w:rsidRPr="002F581C">
        <w:rPr>
          <w:color w:val="000000" w:themeColor="text1"/>
        </w:rPr>
        <w:t>autoréactives</w:t>
      </w:r>
      <w:proofErr w:type="spellEnd"/>
      <w:r w:rsidRPr="002F581C">
        <w:rPr>
          <w:color w:val="000000" w:themeColor="text1"/>
        </w:rPr>
        <w:t xml:space="preserve"> et aux peroxydes organiques de type</w:t>
      </w:r>
      <w:r w:rsidR="002F581C" w:rsidRPr="002F581C">
        <w:rPr>
          <w:color w:val="000000" w:themeColor="text1"/>
        </w:rPr>
        <w:t> </w:t>
      </w:r>
      <w:r w:rsidRPr="002F581C">
        <w:rPr>
          <w:color w:val="000000" w:themeColor="text1"/>
        </w:rPr>
        <w:t xml:space="preserve">A, il a été fait observer que, même si ces matières n’étaient pas des matières explosibles au sens du </w:t>
      </w:r>
      <w:r w:rsidR="00E41DFB" w:rsidRPr="002F581C">
        <w:rPr>
          <w:color w:val="000000" w:themeColor="text1"/>
        </w:rPr>
        <w:t xml:space="preserve">chapitre </w:t>
      </w:r>
      <w:r w:rsidRPr="002F581C">
        <w:rPr>
          <w:color w:val="000000" w:themeColor="text1"/>
        </w:rPr>
        <w:t xml:space="preserve">2.1, elles avaient bien des propriétés explosibles. Il a été débattu de la question de savoir s’il était approprié de combattre un incendie tant que celui-ci n’avait pas atteint les matières ou mélanges </w:t>
      </w:r>
      <w:proofErr w:type="spellStart"/>
      <w:r w:rsidRPr="002F581C">
        <w:rPr>
          <w:color w:val="000000" w:themeColor="text1"/>
        </w:rPr>
        <w:t>autoréactifs</w:t>
      </w:r>
      <w:proofErr w:type="spellEnd"/>
      <w:r w:rsidRPr="002F581C">
        <w:rPr>
          <w:color w:val="000000" w:themeColor="text1"/>
        </w:rPr>
        <w:t xml:space="preserve"> du type A et les matières explosibles. Il a également été dit que les matières et mélanges de type</w:t>
      </w:r>
      <w:r w:rsidR="0050077B" w:rsidRPr="002F581C">
        <w:rPr>
          <w:color w:val="000000" w:themeColor="text1"/>
        </w:rPr>
        <w:t xml:space="preserve"> </w:t>
      </w:r>
      <w:r w:rsidRPr="002F581C">
        <w:rPr>
          <w:color w:val="000000" w:themeColor="text1"/>
        </w:rPr>
        <w:t>A étaient rares sur le marché, car leur transport n’était pas autorisé par le Règlement type de l’ONU. Après un échange de vues, le Sous-Comité a considéré que la question devait être examinée plus avant et invité le groupe de travail informel à reprendre la proposition plus en détail à la lumière des observations formulées.</w:t>
      </w:r>
    </w:p>
    <w:p w14:paraId="43A8EBA3" w14:textId="77777777" w:rsidR="00705B57" w:rsidRPr="00B80EA1" w:rsidRDefault="00705B57" w:rsidP="0050077B">
      <w:pPr>
        <w:pStyle w:val="SingleTxtG"/>
        <w:rPr>
          <w:color w:val="000000" w:themeColor="text1"/>
          <w:spacing w:val="-2"/>
        </w:rPr>
      </w:pPr>
      <w:r w:rsidRPr="00B80EA1">
        <w:rPr>
          <w:color w:val="000000" w:themeColor="text1"/>
          <w:spacing w:val="-2"/>
        </w:rPr>
        <w:t>29.</w:t>
      </w:r>
      <w:r w:rsidRPr="00B80EA1">
        <w:rPr>
          <w:color w:val="000000" w:themeColor="text1"/>
          <w:spacing w:val="-2"/>
        </w:rPr>
        <w:tab/>
        <w:t>L’expert du Royaume-Uni a informé le Sous-Comité que les échanges se poursuivraient au sein du groupe de travail informel dans le but de soumettre à la quarante et unième session une proposition révisée qui tiendrait compte de toutes les observations formulées.</w:t>
      </w:r>
    </w:p>
    <w:p w14:paraId="4264A228" w14:textId="37657D8E" w:rsidR="00705B57" w:rsidRPr="00B80EA1" w:rsidRDefault="00705B57" w:rsidP="0050077B">
      <w:pPr>
        <w:pStyle w:val="H23G"/>
        <w:rPr>
          <w:color w:val="000000" w:themeColor="text1"/>
        </w:rPr>
      </w:pPr>
      <w:r w:rsidRPr="00B80EA1">
        <w:rPr>
          <w:color w:val="000000" w:themeColor="text1"/>
        </w:rPr>
        <w:lastRenderedPageBreak/>
        <w:tab/>
        <w:t>2.</w:t>
      </w:r>
      <w:r w:rsidRPr="00B80EA1">
        <w:rPr>
          <w:color w:val="000000" w:themeColor="text1"/>
        </w:rPr>
        <w:tab/>
        <w:t>Modifications à apporter aux sections 2 et 3 de l’</w:t>
      </w:r>
      <w:r w:rsidR="0050077B" w:rsidRPr="00B80EA1">
        <w:rPr>
          <w:color w:val="000000" w:themeColor="text1"/>
        </w:rPr>
        <w:t xml:space="preserve">annexe </w:t>
      </w:r>
      <w:r w:rsidRPr="00B80EA1">
        <w:rPr>
          <w:color w:val="000000" w:themeColor="text1"/>
        </w:rPr>
        <w:t>3</w:t>
      </w:r>
    </w:p>
    <w:p w14:paraId="29ADBF7C" w14:textId="5561CA9F" w:rsidR="00705B57" w:rsidRPr="00B80EA1" w:rsidRDefault="00705B57" w:rsidP="00550B69">
      <w:pPr>
        <w:pStyle w:val="SingleTxtG"/>
        <w:keepNext/>
        <w:tabs>
          <w:tab w:val="clear" w:pos="1701"/>
          <w:tab w:val="clear" w:pos="2268"/>
          <w:tab w:val="clear" w:pos="2835"/>
        </w:tabs>
        <w:ind w:left="3119" w:hanging="1985"/>
        <w:jc w:val="left"/>
        <w:rPr>
          <w:color w:val="000000" w:themeColor="text1"/>
        </w:rPr>
      </w:pPr>
      <w:r w:rsidRPr="00B80EA1">
        <w:rPr>
          <w:i/>
          <w:iCs/>
          <w:color w:val="000000" w:themeColor="text1"/>
        </w:rPr>
        <w:t>Document</w:t>
      </w:r>
      <w:r w:rsidR="003D06F0" w:rsidRPr="00B80EA1">
        <w:rPr>
          <w:color w:val="000000" w:themeColor="text1"/>
        </w:rPr>
        <w:t> :</w:t>
      </w:r>
      <w:r w:rsidRPr="00B80EA1">
        <w:rPr>
          <w:color w:val="000000" w:themeColor="text1"/>
        </w:rPr>
        <w:tab/>
        <w:t>ST/SG/AC.10/C.4/2021/2 (Royaume-Uni)</w:t>
      </w:r>
      <w:r w:rsidR="0050077B" w:rsidRPr="00B80EA1">
        <w:rPr>
          <w:color w:val="000000" w:themeColor="text1"/>
        </w:rPr>
        <w:t>.</w:t>
      </w:r>
    </w:p>
    <w:p w14:paraId="0997C18E" w14:textId="23A70796" w:rsidR="00705B57" w:rsidRPr="00B80EA1" w:rsidRDefault="00705B57" w:rsidP="00550B69">
      <w:pPr>
        <w:pStyle w:val="SingleTxtG"/>
        <w:keepNext/>
        <w:tabs>
          <w:tab w:val="clear" w:pos="1701"/>
          <w:tab w:val="clear" w:pos="2268"/>
          <w:tab w:val="clear" w:pos="2835"/>
        </w:tabs>
        <w:ind w:left="3119" w:hanging="1985"/>
        <w:jc w:val="left"/>
        <w:rPr>
          <w:color w:val="000000" w:themeColor="text1"/>
        </w:rPr>
      </w:pPr>
      <w:r w:rsidRPr="00B80EA1">
        <w:rPr>
          <w:i/>
          <w:iCs/>
          <w:color w:val="000000" w:themeColor="text1"/>
        </w:rPr>
        <w:t>Document informel</w:t>
      </w:r>
      <w:r w:rsidR="003D06F0" w:rsidRPr="00B80EA1">
        <w:rPr>
          <w:color w:val="000000" w:themeColor="text1"/>
        </w:rPr>
        <w:t> :</w:t>
      </w:r>
      <w:r w:rsidRPr="00B80EA1">
        <w:rPr>
          <w:color w:val="000000" w:themeColor="text1"/>
        </w:rPr>
        <w:tab/>
        <w:t>INF.19 (Allemagne)</w:t>
      </w:r>
      <w:r w:rsidR="0050077B" w:rsidRPr="00B80EA1">
        <w:rPr>
          <w:color w:val="000000" w:themeColor="text1"/>
        </w:rPr>
        <w:t>.</w:t>
      </w:r>
    </w:p>
    <w:p w14:paraId="1DE91F55" w14:textId="6C30F017" w:rsidR="00705B57" w:rsidRPr="00B80EA1" w:rsidRDefault="00705B57" w:rsidP="00705B57">
      <w:pPr>
        <w:pStyle w:val="SingleTxtG"/>
        <w:tabs>
          <w:tab w:val="left" w:pos="3119"/>
        </w:tabs>
        <w:rPr>
          <w:color w:val="000000" w:themeColor="text1"/>
        </w:rPr>
      </w:pPr>
      <w:r w:rsidRPr="00B80EA1">
        <w:rPr>
          <w:color w:val="000000" w:themeColor="text1"/>
        </w:rPr>
        <w:t>30.</w:t>
      </w:r>
      <w:r w:rsidRPr="00B80EA1">
        <w:rPr>
          <w:color w:val="000000" w:themeColor="text1"/>
        </w:rPr>
        <w:tab/>
        <w:t xml:space="preserve">Le Sous-Comité a adopté les modifications proposées aux </w:t>
      </w:r>
      <w:r w:rsidR="00E41DFB">
        <w:rPr>
          <w:color w:val="000000" w:themeColor="text1"/>
        </w:rPr>
        <w:t xml:space="preserve">paragraphes </w:t>
      </w:r>
      <w:r w:rsidRPr="00B80EA1">
        <w:rPr>
          <w:color w:val="000000" w:themeColor="text1"/>
        </w:rPr>
        <w:t>6 à 9 (amendements concernant les conseils de prudence P262, P264 et P270)</w:t>
      </w:r>
      <w:r w:rsidR="0050077B" w:rsidRPr="00B80EA1">
        <w:rPr>
          <w:color w:val="000000" w:themeColor="text1"/>
        </w:rPr>
        <w:t xml:space="preserve"> e</w:t>
      </w:r>
      <w:r w:rsidRPr="00B80EA1">
        <w:rPr>
          <w:color w:val="000000" w:themeColor="text1"/>
        </w:rPr>
        <w:t>t 31 à 34 (amendements pour les classes de danger « Sensibilisation respiratoire » et « Sensibilisation cutanée » dans l’</w:t>
      </w:r>
      <w:r w:rsidR="0050077B" w:rsidRPr="00B80EA1">
        <w:rPr>
          <w:color w:val="000000" w:themeColor="text1"/>
        </w:rPr>
        <w:t xml:space="preserve">annexe </w:t>
      </w:r>
      <w:r w:rsidRPr="00B80EA1">
        <w:rPr>
          <w:color w:val="000000" w:themeColor="text1"/>
        </w:rPr>
        <w:t xml:space="preserve">3 du SGH) du document ST/SG/AC.10/C.4/2021/2 (voir </w:t>
      </w:r>
      <w:r w:rsidR="0050077B" w:rsidRPr="00B80EA1">
        <w:rPr>
          <w:color w:val="000000" w:themeColor="text1"/>
        </w:rPr>
        <w:t xml:space="preserve">annexe </w:t>
      </w:r>
      <w:r w:rsidRPr="00B80EA1">
        <w:rPr>
          <w:color w:val="000000" w:themeColor="text1"/>
        </w:rPr>
        <w:t>I).</w:t>
      </w:r>
    </w:p>
    <w:p w14:paraId="1363C2F1" w14:textId="54069F80" w:rsidR="00705B57" w:rsidRPr="00B80EA1" w:rsidRDefault="00705B57" w:rsidP="0050077B">
      <w:pPr>
        <w:pStyle w:val="SingleTxtG"/>
        <w:rPr>
          <w:color w:val="000000" w:themeColor="text1"/>
        </w:rPr>
      </w:pPr>
      <w:r w:rsidRPr="00B80EA1">
        <w:rPr>
          <w:color w:val="000000" w:themeColor="text1"/>
        </w:rPr>
        <w:t>31.</w:t>
      </w:r>
      <w:r w:rsidRPr="00B80EA1">
        <w:rPr>
          <w:color w:val="000000" w:themeColor="text1"/>
        </w:rPr>
        <w:tab/>
        <w:t>Après un échange de vues sur les propositions de modifications dans les tableaux relatifs aux gaz inflammables (par.</w:t>
      </w:r>
      <w:r w:rsidR="0050077B" w:rsidRPr="00B80EA1">
        <w:rPr>
          <w:color w:val="000000" w:themeColor="text1"/>
        </w:rPr>
        <w:t> </w:t>
      </w:r>
      <w:r w:rsidRPr="00B80EA1">
        <w:rPr>
          <w:color w:val="000000" w:themeColor="text1"/>
        </w:rPr>
        <w:t>25 à 27 du document ST/SG/AC.10/C.4/2021/2), le Sous</w:t>
      </w:r>
      <w:r w:rsidR="002F581C">
        <w:rPr>
          <w:color w:val="000000" w:themeColor="text1"/>
        </w:rPr>
        <w:noBreakHyphen/>
      </w:r>
      <w:r w:rsidRPr="00B80EA1">
        <w:rPr>
          <w:color w:val="000000" w:themeColor="text1"/>
        </w:rPr>
        <w:t>Comité s’est rangé à l’avis exprimé par l’Allemagne dans le document informel INF.19 et a adopté la proposition de supprimer les notes associées aux tableaux pour les gaz pyrophoriques et les gaz chimiquement instables et de ne pas ajouter de note au tableau pour les gaz inflammables dans l’</w:t>
      </w:r>
      <w:r w:rsidR="0050077B" w:rsidRPr="00B80EA1">
        <w:rPr>
          <w:color w:val="000000" w:themeColor="text1"/>
        </w:rPr>
        <w:t xml:space="preserve">annexe </w:t>
      </w:r>
      <w:r w:rsidRPr="00B80EA1">
        <w:rPr>
          <w:color w:val="000000" w:themeColor="text1"/>
        </w:rPr>
        <w:t xml:space="preserve">3 du SGH (voir </w:t>
      </w:r>
      <w:r w:rsidR="0050077B" w:rsidRPr="00B80EA1">
        <w:rPr>
          <w:color w:val="000000" w:themeColor="text1"/>
        </w:rPr>
        <w:t xml:space="preserve">annexe </w:t>
      </w:r>
      <w:r w:rsidRPr="00B80EA1">
        <w:rPr>
          <w:color w:val="000000" w:themeColor="text1"/>
        </w:rPr>
        <w:t>I).</w:t>
      </w:r>
    </w:p>
    <w:p w14:paraId="753A60D4" w14:textId="1B62CF32" w:rsidR="00705B57" w:rsidRPr="00B80EA1" w:rsidRDefault="00705B57" w:rsidP="0050077B">
      <w:pPr>
        <w:pStyle w:val="SingleTxtG"/>
        <w:rPr>
          <w:color w:val="000000" w:themeColor="text1"/>
        </w:rPr>
      </w:pPr>
      <w:r w:rsidRPr="00B80EA1">
        <w:rPr>
          <w:color w:val="000000" w:themeColor="text1"/>
        </w:rPr>
        <w:t>32.</w:t>
      </w:r>
      <w:r w:rsidRPr="00B80EA1">
        <w:rPr>
          <w:color w:val="000000" w:themeColor="text1"/>
        </w:rPr>
        <w:tab/>
        <w:t>S’agissant de la proposition de modifier le conseil de prudence P354 pour lever une ambiguïté dans le conseil combiné P302 + P361 + P354 relatif à la corrosion cutanée (« EN CAS DE CONTACT AVEC LA PEAU</w:t>
      </w:r>
      <w:r w:rsidR="003D06F0" w:rsidRPr="00B80EA1">
        <w:rPr>
          <w:color w:val="000000" w:themeColor="text1"/>
        </w:rPr>
        <w:t> :</w:t>
      </w:r>
      <w:r w:rsidRPr="00B80EA1">
        <w:rPr>
          <w:color w:val="000000" w:themeColor="text1"/>
        </w:rPr>
        <w:t xml:space="preserve"> Enlever immédiatement tous les vêtements contaminés. Rincer immédiatement à l’eau pendant plusieurs minutes. »), plusieurs experts ont estimé que ce conseil combiné devait être étudié plus en détail. Certains experts ont formulé des observations, entre autres sur ce qu’il convenait de faire en priorité (par exemple, rincer tout en retirant les vêtements, au lieu de retirer les vêtements et rincer immédiatement après) et sur la nécessité d’adopter une approche globale pour l’examen de ce conseil combiné. Le Sous-Comité a invité le groupe de travail informel à réviser la proposition afin de tenir compte des observations formulées.</w:t>
      </w:r>
    </w:p>
    <w:p w14:paraId="5BA19794" w14:textId="77777777" w:rsidR="00705B57" w:rsidRPr="00B80EA1" w:rsidRDefault="00705B57" w:rsidP="0050077B">
      <w:pPr>
        <w:pStyle w:val="H23G"/>
        <w:rPr>
          <w:color w:val="000000" w:themeColor="text1"/>
        </w:rPr>
      </w:pPr>
      <w:r w:rsidRPr="00B80EA1">
        <w:rPr>
          <w:color w:val="000000" w:themeColor="text1"/>
        </w:rPr>
        <w:tab/>
        <w:t>3.</w:t>
      </w:r>
      <w:r w:rsidRPr="00B80EA1">
        <w:rPr>
          <w:color w:val="000000" w:themeColor="text1"/>
        </w:rPr>
        <w:tab/>
        <w:t>État d’avancement des travaux du groupe de travail informel</w:t>
      </w:r>
    </w:p>
    <w:p w14:paraId="6140FEA0" w14:textId="459BD483" w:rsidR="00705B57" w:rsidRPr="00B80EA1" w:rsidRDefault="00705B57" w:rsidP="00550B69">
      <w:pPr>
        <w:pStyle w:val="SingleTxtG"/>
        <w:keepNext/>
        <w:tabs>
          <w:tab w:val="clear" w:pos="1701"/>
          <w:tab w:val="clear" w:pos="2268"/>
          <w:tab w:val="clear" w:pos="2835"/>
        </w:tabs>
        <w:ind w:left="3119" w:hanging="1985"/>
        <w:jc w:val="left"/>
        <w:rPr>
          <w:color w:val="000000" w:themeColor="text1"/>
        </w:rPr>
      </w:pPr>
      <w:r w:rsidRPr="00B80EA1">
        <w:rPr>
          <w:i/>
          <w:iCs/>
          <w:color w:val="000000" w:themeColor="text1"/>
        </w:rPr>
        <w:t>Document informel</w:t>
      </w:r>
      <w:r w:rsidR="003D06F0" w:rsidRPr="00B80EA1">
        <w:rPr>
          <w:i/>
          <w:iCs/>
          <w:color w:val="000000" w:themeColor="text1"/>
        </w:rPr>
        <w:t> </w:t>
      </w:r>
      <w:r w:rsidR="003D06F0" w:rsidRPr="00B80EA1">
        <w:rPr>
          <w:color w:val="000000" w:themeColor="text1"/>
        </w:rPr>
        <w:t>:</w:t>
      </w:r>
      <w:r w:rsidRPr="00B80EA1">
        <w:rPr>
          <w:color w:val="000000" w:themeColor="text1"/>
        </w:rPr>
        <w:tab/>
        <w:t>INF.17 (Royaume-Uni)</w:t>
      </w:r>
      <w:r w:rsidR="0050077B" w:rsidRPr="00B80EA1">
        <w:rPr>
          <w:color w:val="000000" w:themeColor="text1"/>
        </w:rPr>
        <w:t>.</w:t>
      </w:r>
    </w:p>
    <w:p w14:paraId="1575359E" w14:textId="77777777" w:rsidR="00705B57" w:rsidRPr="00B80EA1" w:rsidRDefault="00705B57" w:rsidP="0050077B">
      <w:pPr>
        <w:pStyle w:val="SingleTxtG"/>
        <w:rPr>
          <w:color w:val="000000" w:themeColor="text1"/>
        </w:rPr>
      </w:pPr>
      <w:r w:rsidRPr="00B80EA1">
        <w:rPr>
          <w:color w:val="000000" w:themeColor="text1"/>
        </w:rPr>
        <w:t>33.</w:t>
      </w:r>
      <w:r w:rsidRPr="00B80EA1">
        <w:rPr>
          <w:color w:val="000000" w:themeColor="text1"/>
        </w:rPr>
        <w:tab/>
        <w:t>Le Sous-Comité s’est félicité des travaux du groupe de travail informel pour visant à rendre les mentions de danger et les conseils de prudence plus compréhensibles et a pris note du rapport sur ses travaux, présenté dans le document informel INF.17.</w:t>
      </w:r>
    </w:p>
    <w:p w14:paraId="4C969AAE" w14:textId="77777777" w:rsidR="00705B57" w:rsidRPr="00B80EA1" w:rsidRDefault="00705B57" w:rsidP="0050077B">
      <w:pPr>
        <w:pStyle w:val="H1G"/>
        <w:rPr>
          <w:color w:val="000000" w:themeColor="text1"/>
        </w:rPr>
      </w:pPr>
      <w:r w:rsidRPr="00B80EA1">
        <w:rPr>
          <w:color w:val="000000" w:themeColor="text1"/>
        </w:rPr>
        <w:tab/>
        <w:t>I.</w:t>
      </w:r>
      <w:r w:rsidRPr="00B80EA1">
        <w:rPr>
          <w:color w:val="000000" w:themeColor="text1"/>
        </w:rPr>
        <w:tab/>
      </w:r>
      <w:r w:rsidRPr="00B80EA1">
        <w:rPr>
          <w:color w:val="000000" w:themeColor="text1"/>
        </w:rPr>
        <w:tab/>
        <w:t>Autres questions</w:t>
      </w:r>
    </w:p>
    <w:p w14:paraId="48B8EC76" w14:textId="788538A9" w:rsidR="00705B57" w:rsidRPr="00B80EA1" w:rsidRDefault="00705B57" w:rsidP="0050077B">
      <w:pPr>
        <w:pStyle w:val="H23G"/>
        <w:rPr>
          <w:color w:val="000000" w:themeColor="text1"/>
        </w:rPr>
      </w:pPr>
      <w:r w:rsidRPr="00B80EA1">
        <w:rPr>
          <w:color w:val="000000" w:themeColor="text1"/>
        </w:rPr>
        <w:tab/>
        <w:t>1.</w:t>
      </w:r>
      <w:r w:rsidRPr="00B80EA1">
        <w:rPr>
          <w:color w:val="000000" w:themeColor="text1"/>
        </w:rPr>
        <w:tab/>
        <w:t xml:space="preserve">Harmonisation du </w:t>
      </w:r>
      <w:r w:rsidR="00E41DFB">
        <w:rPr>
          <w:color w:val="000000" w:themeColor="text1"/>
        </w:rPr>
        <w:t xml:space="preserve">chapitre </w:t>
      </w:r>
      <w:r w:rsidRPr="00B80EA1">
        <w:rPr>
          <w:color w:val="000000" w:themeColor="text1"/>
        </w:rPr>
        <w:t xml:space="preserve">2.17 avec le </w:t>
      </w:r>
      <w:r w:rsidR="00E41DFB">
        <w:rPr>
          <w:color w:val="000000" w:themeColor="text1"/>
        </w:rPr>
        <w:t xml:space="preserve">chapitre </w:t>
      </w:r>
      <w:r w:rsidRPr="00B80EA1">
        <w:rPr>
          <w:color w:val="000000" w:themeColor="text1"/>
        </w:rPr>
        <w:t>2.1</w:t>
      </w:r>
      <w:r w:rsidR="003D06F0" w:rsidRPr="00B80EA1">
        <w:rPr>
          <w:color w:val="000000" w:themeColor="text1"/>
        </w:rPr>
        <w:t> :</w:t>
      </w:r>
      <w:r w:rsidRPr="00B80EA1">
        <w:rPr>
          <w:color w:val="000000" w:themeColor="text1"/>
        </w:rPr>
        <w:t xml:space="preserve"> correction à apporter au</w:t>
      </w:r>
      <w:r w:rsidR="0050077B" w:rsidRPr="00B80EA1">
        <w:rPr>
          <w:color w:val="000000" w:themeColor="text1"/>
        </w:rPr>
        <w:t> </w:t>
      </w:r>
      <w:r w:rsidRPr="00B80EA1">
        <w:rPr>
          <w:color w:val="000000" w:themeColor="text1"/>
        </w:rPr>
        <w:t>SGH Rev.9</w:t>
      </w:r>
    </w:p>
    <w:p w14:paraId="7954503E" w14:textId="46588EE3" w:rsidR="00705B57" w:rsidRPr="00B80EA1" w:rsidRDefault="00705B57" w:rsidP="00550B69">
      <w:pPr>
        <w:pStyle w:val="SingleTxtG"/>
        <w:keepNext/>
        <w:tabs>
          <w:tab w:val="clear" w:pos="1701"/>
          <w:tab w:val="clear" w:pos="2268"/>
          <w:tab w:val="clear" w:pos="2835"/>
        </w:tabs>
        <w:ind w:left="3119" w:hanging="1985"/>
        <w:jc w:val="left"/>
        <w:rPr>
          <w:color w:val="000000" w:themeColor="text1"/>
        </w:rPr>
      </w:pPr>
      <w:r w:rsidRPr="00B80EA1">
        <w:rPr>
          <w:i/>
          <w:iCs/>
          <w:color w:val="000000" w:themeColor="text1"/>
        </w:rPr>
        <w:t>Document</w:t>
      </w:r>
      <w:r w:rsidR="003D06F0" w:rsidRPr="00B80EA1">
        <w:rPr>
          <w:i/>
          <w:iCs/>
          <w:color w:val="000000" w:themeColor="text1"/>
        </w:rPr>
        <w:t> </w:t>
      </w:r>
      <w:r w:rsidR="003D06F0" w:rsidRPr="00B80EA1">
        <w:rPr>
          <w:color w:val="000000" w:themeColor="text1"/>
        </w:rPr>
        <w:t>:</w:t>
      </w:r>
      <w:r w:rsidRPr="00B80EA1">
        <w:rPr>
          <w:color w:val="000000" w:themeColor="text1"/>
        </w:rPr>
        <w:tab/>
        <w:t>ST/SG/AC.10/C.4/2021/6 (Suède)</w:t>
      </w:r>
      <w:r w:rsidR="0050077B" w:rsidRPr="00B80EA1">
        <w:rPr>
          <w:color w:val="000000" w:themeColor="text1"/>
        </w:rPr>
        <w:t>.</w:t>
      </w:r>
    </w:p>
    <w:p w14:paraId="32975183" w14:textId="151F7816" w:rsidR="00705B57" w:rsidRPr="00B80EA1" w:rsidRDefault="00705B57" w:rsidP="00550B69">
      <w:pPr>
        <w:pStyle w:val="SingleTxtG"/>
        <w:keepNext/>
        <w:tabs>
          <w:tab w:val="clear" w:pos="1701"/>
          <w:tab w:val="clear" w:pos="2268"/>
          <w:tab w:val="clear" w:pos="2835"/>
        </w:tabs>
        <w:ind w:left="3119" w:hanging="1985"/>
        <w:jc w:val="left"/>
        <w:rPr>
          <w:iCs/>
          <w:color w:val="000000" w:themeColor="text1"/>
        </w:rPr>
      </w:pPr>
      <w:r w:rsidRPr="00B80EA1">
        <w:rPr>
          <w:i/>
          <w:iCs/>
          <w:color w:val="000000" w:themeColor="text1"/>
        </w:rPr>
        <w:t>Document informel</w:t>
      </w:r>
      <w:r w:rsidR="003D06F0" w:rsidRPr="00B80EA1">
        <w:rPr>
          <w:i/>
          <w:iCs/>
          <w:color w:val="000000" w:themeColor="text1"/>
        </w:rPr>
        <w:t> </w:t>
      </w:r>
      <w:r w:rsidR="003D06F0" w:rsidRPr="00B80EA1">
        <w:rPr>
          <w:color w:val="000000" w:themeColor="text1"/>
        </w:rPr>
        <w:t>:</w:t>
      </w:r>
      <w:r w:rsidRPr="00B80EA1">
        <w:rPr>
          <w:color w:val="000000" w:themeColor="text1"/>
        </w:rPr>
        <w:tab/>
        <w:t xml:space="preserve">INF.23, </w:t>
      </w:r>
      <w:r w:rsidR="00E41DFB">
        <w:rPr>
          <w:color w:val="000000" w:themeColor="text1"/>
        </w:rPr>
        <w:t xml:space="preserve">paragraphe </w:t>
      </w:r>
      <w:r w:rsidRPr="00B80EA1">
        <w:rPr>
          <w:color w:val="000000" w:themeColor="text1"/>
        </w:rPr>
        <w:t>6 (secrétariat)</w:t>
      </w:r>
      <w:r w:rsidR="0050077B" w:rsidRPr="00B80EA1">
        <w:rPr>
          <w:color w:val="000000" w:themeColor="text1"/>
        </w:rPr>
        <w:t>.</w:t>
      </w:r>
    </w:p>
    <w:p w14:paraId="721ED326" w14:textId="27E7D5D9" w:rsidR="00705B57" w:rsidRPr="00B80EA1" w:rsidRDefault="00705B57" w:rsidP="0050077B">
      <w:pPr>
        <w:pStyle w:val="SingleTxtG"/>
        <w:rPr>
          <w:color w:val="000000" w:themeColor="text1"/>
          <w:spacing w:val="-1"/>
        </w:rPr>
      </w:pPr>
      <w:r w:rsidRPr="00B80EA1">
        <w:rPr>
          <w:color w:val="000000" w:themeColor="text1"/>
          <w:spacing w:val="-1"/>
        </w:rPr>
        <w:t>34.</w:t>
      </w:r>
      <w:r w:rsidRPr="00B80EA1">
        <w:rPr>
          <w:color w:val="000000" w:themeColor="text1"/>
          <w:spacing w:val="-1"/>
        </w:rPr>
        <w:tab/>
        <w:t xml:space="preserve">Le Sous-Comité a noté que le Groupe de travail des explosifs du Sous-Comité TMD avait étudié le document de l’expert de la Suède et émis un avis favorable sur la proposition. Il a adopté les corrections au </w:t>
      </w:r>
      <w:r w:rsidR="00E41DFB">
        <w:rPr>
          <w:color w:val="000000" w:themeColor="text1"/>
          <w:spacing w:val="-1"/>
        </w:rPr>
        <w:t xml:space="preserve">paragraphe </w:t>
      </w:r>
      <w:r w:rsidRPr="00B80EA1">
        <w:rPr>
          <w:color w:val="000000" w:themeColor="text1"/>
          <w:spacing w:val="-1"/>
        </w:rPr>
        <w:t xml:space="preserve">2.17.1.1 et au diagramme de décision 2.17.1, telles que proposées dans le document ST/SG/AC.10/C.4/2021/6 (voir </w:t>
      </w:r>
      <w:r w:rsidR="0050077B" w:rsidRPr="00B80EA1">
        <w:rPr>
          <w:color w:val="000000" w:themeColor="text1"/>
          <w:spacing w:val="-1"/>
        </w:rPr>
        <w:t xml:space="preserve">annexe </w:t>
      </w:r>
      <w:r w:rsidRPr="00B80EA1">
        <w:rPr>
          <w:color w:val="000000" w:themeColor="text1"/>
          <w:spacing w:val="-1"/>
        </w:rPr>
        <w:t>II). Il a été dit que ces corrections seraient mentionnées dans un rectificatif à la neuvième édition révisée du SGH.</w:t>
      </w:r>
    </w:p>
    <w:p w14:paraId="23973A5D" w14:textId="77777777" w:rsidR="00705B57" w:rsidRPr="00B80EA1" w:rsidRDefault="00705B57" w:rsidP="00B80EA1">
      <w:pPr>
        <w:pStyle w:val="H23G"/>
        <w:rPr>
          <w:color w:val="000000" w:themeColor="text1"/>
        </w:rPr>
      </w:pPr>
      <w:r w:rsidRPr="00B80EA1">
        <w:rPr>
          <w:color w:val="000000" w:themeColor="text1"/>
        </w:rPr>
        <w:tab/>
        <w:t>2.</w:t>
      </w:r>
      <w:r w:rsidRPr="00B80EA1">
        <w:rPr>
          <w:color w:val="000000" w:themeColor="text1"/>
        </w:rPr>
        <w:tab/>
        <w:t>Amendement au 2.17.2.1</w:t>
      </w:r>
    </w:p>
    <w:p w14:paraId="7BA6C870" w14:textId="619632FC" w:rsidR="00705B57" w:rsidRPr="00B80EA1" w:rsidRDefault="00705B57" w:rsidP="00550B69">
      <w:pPr>
        <w:pStyle w:val="SingleTxtG"/>
        <w:keepNext/>
        <w:tabs>
          <w:tab w:val="clear" w:pos="1701"/>
          <w:tab w:val="clear" w:pos="2268"/>
          <w:tab w:val="clear" w:pos="2835"/>
        </w:tabs>
        <w:ind w:left="3119" w:hanging="1985"/>
        <w:jc w:val="left"/>
        <w:rPr>
          <w:color w:val="000000" w:themeColor="text1"/>
        </w:rPr>
      </w:pPr>
      <w:r w:rsidRPr="00B80EA1">
        <w:rPr>
          <w:i/>
          <w:iCs/>
          <w:color w:val="000000" w:themeColor="text1"/>
        </w:rPr>
        <w:t>Document informel</w:t>
      </w:r>
      <w:r w:rsidR="003D06F0" w:rsidRPr="00B80EA1">
        <w:rPr>
          <w:i/>
          <w:iCs/>
          <w:color w:val="000000" w:themeColor="text1"/>
        </w:rPr>
        <w:t> </w:t>
      </w:r>
      <w:r w:rsidR="003D06F0" w:rsidRPr="00B80EA1">
        <w:rPr>
          <w:color w:val="000000" w:themeColor="text1"/>
        </w:rPr>
        <w:t>:</w:t>
      </w:r>
      <w:r w:rsidRPr="00B80EA1">
        <w:rPr>
          <w:color w:val="000000" w:themeColor="text1"/>
        </w:rPr>
        <w:tab/>
        <w:t>INF.6 (Allemagne)</w:t>
      </w:r>
      <w:r w:rsidR="00B80EA1" w:rsidRPr="00B80EA1">
        <w:rPr>
          <w:color w:val="000000" w:themeColor="text1"/>
        </w:rPr>
        <w:t>.</w:t>
      </w:r>
    </w:p>
    <w:p w14:paraId="48647BE7" w14:textId="6CAEAE9A" w:rsidR="00705B57" w:rsidRPr="00B80EA1" w:rsidRDefault="00705B57" w:rsidP="00B80EA1">
      <w:pPr>
        <w:pStyle w:val="SingleTxtG"/>
        <w:rPr>
          <w:color w:val="000000" w:themeColor="text1"/>
        </w:rPr>
      </w:pPr>
      <w:r w:rsidRPr="00B80EA1">
        <w:rPr>
          <w:color w:val="000000" w:themeColor="text1"/>
        </w:rPr>
        <w:t>35.</w:t>
      </w:r>
      <w:r w:rsidRPr="00B80EA1">
        <w:rPr>
          <w:color w:val="000000" w:themeColor="text1"/>
        </w:rPr>
        <w:tab/>
        <w:t xml:space="preserve">Plusieurs experts se sont inquiétés des conséquences inattendues que l’amendement proposé pourrait avoir sur la classification et les épreuves pour les matières explosibles désensibilisées (y compris la nitrocellulose industrielle) et ont estimé que la question devait être examinée plus avant. Après l’échange de vues, le Sous-Comité a invité les experts qui avaient fait des observations à collaborer avec l’expert de l’Allemagne à l’élaboration d’une proposition révisée. Il a été souligné à ce sujet que la proposition révisée devrait se limiter à la question initialement soulevée par l’Allemagne dans le document informel INF.6 et aux </w:t>
      </w:r>
      <w:r w:rsidRPr="00B80EA1">
        <w:rPr>
          <w:color w:val="000000" w:themeColor="text1"/>
        </w:rPr>
        <w:lastRenderedPageBreak/>
        <w:t xml:space="preserve">observations faites au cours du débat en ce qui concerne la nitrocellulose industrielle. Elle ne porterait pas sur une révision complète du </w:t>
      </w:r>
      <w:r w:rsidR="00E41DFB">
        <w:rPr>
          <w:color w:val="000000" w:themeColor="text1"/>
        </w:rPr>
        <w:t xml:space="preserve">chapitre </w:t>
      </w:r>
      <w:r w:rsidRPr="00B80EA1">
        <w:rPr>
          <w:color w:val="000000" w:themeColor="text1"/>
        </w:rPr>
        <w:t>2.17.</w:t>
      </w:r>
    </w:p>
    <w:p w14:paraId="51F239A3" w14:textId="2B3560C6" w:rsidR="00705B57" w:rsidRPr="00B80EA1" w:rsidRDefault="00705B57" w:rsidP="00B80EA1">
      <w:pPr>
        <w:pStyle w:val="SingleTxtG"/>
        <w:rPr>
          <w:color w:val="000000" w:themeColor="text1"/>
        </w:rPr>
      </w:pPr>
      <w:r w:rsidRPr="00B80EA1">
        <w:rPr>
          <w:color w:val="000000" w:themeColor="text1"/>
        </w:rPr>
        <w:t>36.</w:t>
      </w:r>
      <w:r w:rsidRPr="00B80EA1">
        <w:rPr>
          <w:color w:val="000000" w:themeColor="text1"/>
        </w:rPr>
        <w:tab/>
        <w:t>Le Sous-Comité a décidé qu’une fois qu’elle aurait été mise au point, la proposition révisée devrait être soumise pour examen au Groupe de travail des explosifs du Sous-Comité TMD à sa prochaine réunion, en juin</w:t>
      </w:r>
      <w:r w:rsidR="00B80EA1">
        <w:rPr>
          <w:color w:val="000000" w:themeColor="text1"/>
        </w:rPr>
        <w:t xml:space="preserve"> 20</w:t>
      </w:r>
      <w:r w:rsidRPr="00B80EA1">
        <w:rPr>
          <w:color w:val="000000" w:themeColor="text1"/>
        </w:rPr>
        <w:t>22, avant d’être présentée pour adoption finale par le Sous-Comité SGH.</w:t>
      </w:r>
    </w:p>
    <w:p w14:paraId="549A118F" w14:textId="5911B8AA" w:rsidR="00705B57" w:rsidRPr="00B80EA1" w:rsidRDefault="00705B57" w:rsidP="00B80EA1">
      <w:pPr>
        <w:pStyle w:val="H23G"/>
        <w:rPr>
          <w:color w:val="000000" w:themeColor="text1"/>
        </w:rPr>
      </w:pPr>
      <w:r w:rsidRPr="00B80EA1">
        <w:rPr>
          <w:color w:val="000000" w:themeColor="text1"/>
        </w:rPr>
        <w:tab/>
        <w:t>3.</w:t>
      </w:r>
      <w:r w:rsidRPr="00B80EA1">
        <w:rPr>
          <w:color w:val="000000" w:themeColor="text1"/>
        </w:rPr>
        <w:tab/>
        <w:t>Traduction en français de la définition donnée pour l’irritation oculaire (« </w:t>
      </w:r>
      <w:proofErr w:type="spellStart"/>
      <w:r w:rsidRPr="00B80EA1">
        <w:rPr>
          <w:color w:val="000000" w:themeColor="text1"/>
        </w:rPr>
        <w:t>eye</w:t>
      </w:r>
      <w:proofErr w:type="spellEnd"/>
      <w:r w:rsidR="00B80EA1" w:rsidRPr="00B80EA1">
        <w:rPr>
          <w:color w:val="000000" w:themeColor="text1"/>
        </w:rPr>
        <w:t> </w:t>
      </w:r>
      <w:r w:rsidRPr="00B80EA1">
        <w:rPr>
          <w:color w:val="000000" w:themeColor="text1"/>
        </w:rPr>
        <w:t>irritation ») dans le SGH</w:t>
      </w:r>
    </w:p>
    <w:p w14:paraId="35A071A4" w14:textId="5A2EE162" w:rsidR="00705B57" w:rsidRPr="00B80EA1" w:rsidRDefault="00705B57" w:rsidP="00550B69">
      <w:pPr>
        <w:pStyle w:val="SingleTxtG"/>
        <w:keepNext/>
        <w:tabs>
          <w:tab w:val="clear" w:pos="1701"/>
          <w:tab w:val="clear" w:pos="2268"/>
          <w:tab w:val="clear" w:pos="2835"/>
        </w:tabs>
        <w:ind w:left="3119" w:hanging="1985"/>
        <w:jc w:val="left"/>
        <w:rPr>
          <w:color w:val="000000" w:themeColor="text1"/>
        </w:rPr>
      </w:pPr>
      <w:r w:rsidRPr="00B80EA1">
        <w:rPr>
          <w:i/>
          <w:iCs/>
          <w:color w:val="000000" w:themeColor="text1"/>
        </w:rPr>
        <w:t>Document informel</w:t>
      </w:r>
      <w:r w:rsidR="003D06F0" w:rsidRPr="00B80EA1">
        <w:rPr>
          <w:i/>
          <w:iCs/>
          <w:color w:val="000000" w:themeColor="text1"/>
        </w:rPr>
        <w:t> </w:t>
      </w:r>
      <w:r w:rsidR="003D06F0" w:rsidRPr="00B80EA1">
        <w:rPr>
          <w:color w:val="000000" w:themeColor="text1"/>
        </w:rPr>
        <w:t>:</w:t>
      </w:r>
      <w:r w:rsidRPr="00B80EA1">
        <w:rPr>
          <w:color w:val="000000" w:themeColor="text1"/>
        </w:rPr>
        <w:tab/>
        <w:t>INF.7 (Canada)</w:t>
      </w:r>
      <w:r w:rsidR="00B80EA1" w:rsidRPr="00B80EA1">
        <w:rPr>
          <w:color w:val="000000" w:themeColor="text1"/>
        </w:rPr>
        <w:t>.</w:t>
      </w:r>
    </w:p>
    <w:p w14:paraId="6734807C" w14:textId="5DB5EF1F" w:rsidR="00705B57" w:rsidRPr="00B80EA1" w:rsidRDefault="00705B57" w:rsidP="00705B57">
      <w:pPr>
        <w:pStyle w:val="SingleTxtG"/>
        <w:rPr>
          <w:color w:val="000000" w:themeColor="text1"/>
        </w:rPr>
      </w:pPr>
      <w:r w:rsidRPr="00B80EA1">
        <w:rPr>
          <w:color w:val="000000" w:themeColor="text1"/>
        </w:rPr>
        <w:t>37.</w:t>
      </w:r>
      <w:r w:rsidRPr="00B80EA1">
        <w:rPr>
          <w:color w:val="000000" w:themeColor="text1"/>
        </w:rPr>
        <w:tab/>
        <w:t>Les délégations francophones n’ont pas jugé nécessaire de revoir la traduction en français de la définition donnée pour l’irritation oculaire (« </w:t>
      </w:r>
      <w:proofErr w:type="spellStart"/>
      <w:r w:rsidRPr="00B80EA1">
        <w:rPr>
          <w:color w:val="000000" w:themeColor="text1"/>
        </w:rPr>
        <w:t>eye</w:t>
      </w:r>
      <w:proofErr w:type="spellEnd"/>
      <w:r w:rsidRPr="00B80EA1">
        <w:rPr>
          <w:color w:val="000000" w:themeColor="text1"/>
        </w:rPr>
        <w:t xml:space="preserve"> irritation »). L’expert de la France et le représentant du CEFIC ont fait part de leur </w:t>
      </w:r>
      <w:r w:rsidR="00E41DFB">
        <w:rPr>
          <w:color w:val="000000" w:themeColor="text1"/>
        </w:rPr>
        <w:t xml:space="preserve">point </w:t>
      </w:r>
      <w:r w:rsidRPr="00B80EA1">
        <w:rPr>
          <w:color w:val="000000" w:themeColor="text1"/>
        </w:rPr>
        <w:t>de vue, à savoir que la proposition ne se justifiait pas sur le plan technique. Ils ont suggéré en revanche de mieux harmoniser la version anglaise avec le texte français, mais le Sous-Comité ne les a pas suivis. Il a été rappelé que la définition actuelle avait été revue relativement récemment par le groupe de travail informel des questions pratiques de classification et qu’il ne serait peut-être pas nécessaire de la revoir si aucun problème d’application n’était signalé.</w:t>
      </w:r>
    </w:p>
    <w:p w14:paraId="64320211" w14:textId="77777777" w:rsidR="00705B57" w:rsidRPr="00B80EA1" w:rsidRDefault="00705B57" w:rsidP="00B80EA1">
      <w:pPr>
        <w:pStyle w:val="SingleTxtG"/>
        <w:rPr>
          <w:color w:val="000000" w:themeColor="text1"/>
        </w:rPr>
      </w:pPr>
      <w:r w:rsidRPr="00B80EA1">
        <w:rPr>
          <w:color w:val="000000" w:themeColor="text1"/>
        </w:rPr>
        <w:t>38.</w:t>
      </w:r>
      <w:r w:rsidRPr="00B80EA1">
        <w:rPr>
          <w:color w:val="000000" w:themeColor="text1"/>
        </w:rPr>
        <w:tab/>
      </w:r>
      <w:proofErr w:type="gramStart"/>
      <w:r w:rsidRPr="00B80EA1">
        <w:rPr>
          <w:color w:val="000000" w:themeColor="text1"/>
        </w:rPr>
        <w:t>Suite aux</w:t>
      </w:r>
      <w:proofErr w:type="gramEnd"/>
      <w:r w:rsidRPr="00B80EA1">
        <w:rPr>
          <w:color w:val="000000" w:themeColor="text1"/>
        </w:rPr>
        <w:t xml:space="preserve"> observations formulées, l’expert du Canada a retiré sa proposition.</w:t>
      </w:r>
    </w:p>
    <w:p w14:paraId="6D862B07" w14:textId="77777777" w:rsidR="00705B57" w:rsidRPr="00B80EA1" w:rsidRDefault="00705B57" w:rsidP="00B80EA1">
      <w:pPr>
        <w:pStyle w:val="H23G"/>
        <w:rPr>
          <w:rFonts w:eastAsia="MS Mincho"/>
          <w:color w:val="000000" w:themeColor="text1"/>
        </w:rPr>
      </w:pPr>
      <w:r w:rsidRPr="00B80EA1">
        <w:rPr>
          <w:color w:val="000000" w:themeColor="text1"/>
        </w:rPr>
        <w:tab/>
        <w:t>4.</w:t>
      </w:r>
      <w:r w:rsidRPr="00B80EA1">
        <w:rPr>
          <w:color w:val="000000" w:themeColor="text1"/>
        </w:rPr>
        <w:tab/>
        <w:t>Proposition de définition de « toxique »</w:t>
      </w:r>
    </w:p>
    <w:p w14:paraId="23317205" w14:textId="1AA9EB87" w:rsidR="00705B57" w:rsidRPr="00B80EA1" w:rsidRDefault="00705B57" w:rsidP="00B80EA1">
      <w:pPr>
        <w:pStyle w:val="SingleTxtG"/>
        <w:keepNext/>
        <w:tabs>
          <w:tab w:val="clear" w:pos="1701"/>
          <w:tab w:val="clear" w:pos="2268"/>
          <w:tab w:val="clear" w:pos="2835"/>
        </w:tabs>
        <w:ind w:left="3119" w:hanging="1985"/>
        <w:jc w:val="left"/>
        <w:rPr>
          <w:color w:val="000000" w:themeColor="text1"/>
        </w:rPr>
      </w:pPr>
      <w:r w:rsidRPr="00B80EA1">
        <w:rPr>
          <w:i/>
          <w:iCs/>
          <w:color w:val="000000" w:themeColor="text1"/>
        </w:rPr>
        <w:t>Documents informels</w:t>
      </w:r>
      <w:r w:rsidR="003D06F0" w:rsidRPr="00B80EA1">
        <w:rPr>
          <w:i/>
          <w:iCs/>
          <w:color w:val="000000" w:themeColor="text1"/>
        </w:rPr>
        <w:t> </w:t>
      </w:r>
      <w:r w:rsidR="003D06F0" w:rsidRPr="00B80EA1">
        <w:rPr>
          <w:color w:val="000000" w:themeColor="text1"/>
        </w:rPr>
        <w:t>:</w:t>
      </w:r>
      <w:r w:rsidRPr="00B80EA1">
        <w:rPr>
          <w:color w:val="000000" w:themeColor="text1"/>
        </w:rPr>
        <w:tab/>
        <w:t>INF.12 (RPMASA)</w:t>
      </w:r>
      <w:r w:rsidR="00B80EA1" w:rsidRPr="00B80EA1">
        <w:rPr>
          <w:color w:val="000000" w:themeColor="text1"/>
        </w:rPr>
        <w:t>,</w:t>
      </w:r>
      <w:r w:rsidR="00B80EA1" w:rsidRPr="00B80EA1">
        <w:rPr>
          <w:color w:val="000000" w:themeColor="text1"/>
        </w:rPr>
        <w:br/>
      </w:r>
      <w:r w:rsidRPr="00B80EA1">
        <w:rPr>
          <w:color w:val="000000" w:themeColor="text1"/>
        </w:rPr>
        <w:t xml:space="preserve">INF.23, </w:t>
      </w:r>
      <w:r w:rsidR="00E41DFB">
        <w:rPr>
          <w:color w:val="000000" w:themeColor="text1"/>
        </w:rPr>
        <w:t xml:space="preserve">paragraphe </w:t>
      </w:r>
      <w:r w:rsidRPr="00B80EA1">
        <w:rPr>
          <w:color w:val="000000" w:themeColor="text1"/>
        </w:rPr>
        <w:t>7 (secrétariat)</w:t>
      </w:r>
      <w:r w:rsidR="00B80EA1" w:rsidRPr="00B80EA1">
        <w:rPr>
          <w:color w:val="000000" w:themeColor="text1"/>
        </w:rPr>
        <w:t>.</w:t>
      </w:r>
    </w:p>
    <w:p w14:paraId="3AEFE95B" w14:textId="77777777" w:rsidR="00705B57" w:rsidRPr="00B80EA1" w:rsidRDefault="00705B57" w:rsidP="00B80EA1">
      <w:pPr>
        <w:pStyle w:val="SingleTxtG"/>
        <w:rPr>
          <w:color w:val="000000" w:themeColor="text1"/>
        </w:rPr>
      </w:pPr>
      <w:r w:rsidRPr="00B80EA1">
        <w:rPr>
          <w:color w:val="000000" w:themeColor="text1"/>
        </w:rPr>
        <w:t>39.</w:t>
      </w:r>
      <w:r w:rsidRPr="00B80EA1">
        <w:rPr>
          <w:color w:val="000000" w:themeColor="text1"/>
        </w:rPr>
        <w:tab/>
        <w:t>Le Sous-Comité a fait siennes les vues et conclusions exprimées par le Sous-Comité TMD sur la question dans le document informel INF.23.</w:t>
      </w:r>
    </w:p>
    <w:p w14:paraId="20D82319" w14:textId="77777777" w:rsidR="00705B57" w:rsidRPr="00B80EA1" w:rsidRDefault="00705B57" w:rsidP="00B80EA1">
      <w:pPr>
        <w:pStyle w:val="SingleTxtG"/>
        <w:rPr>
          <w:color w:val="000000" w:themeColor="text1"/>
        </w:rPr>
      </w:pPr>
      <w:r w:rsidRPr="00B80EA1">
        <w:rPr>
          <w:color w:val="000000" w:themeColor="text1"/>
        </w:rPr>
        <w:t>40.</w:t>
      </w:r>
      <w:r w:rsidRPr="00B80EA1">
        <w:rPr>
          <w:color w:val="000000" w:themeColor="text1"/>
        </w:rPr>
        <w:tab/>
        <w:t>La représentante de la RPMASA a indiqué qu’elle comptait prendre contact avec les personnes qui avaient exprimé un avis sur la proposition afin de mieux préciser l’objet de cette dernière et d’étudier les moyens de surmonter les difficultés qu’avaient les pays en développement, selon elle, pour comprendre cette notion dans le cadre du SGH.</w:t>
      </w:r>
    </w:p>
    <w:p w14:paraId="1EC74429" w14:textId="3F74C269" w:rsidR="00705B57" w:rsidRPr="00B80EA1" w:rsidRDefault="00B80EA1" w:rsidP="00B80EA1">
      <w:pPr>
        <w:pStyle w:val="HChG"/>
        <w:rPr>
          <w:color w:val="000000" w:themeColor="text1"/>
        </w:rPr>
      </w:pPr>
      <w:r w:rsidRPr="00B80EA1">
        <w:rPr>
          <w:color w:val="000000" w:themeColor="text1"/>
        </w:rPr>
        <w:tab/>
      </w:r>
      <w:r w:rsidR="00705B57" w:rsidRPr="00B80EA1">
        <w:rPr>
          <w:color w:val="000000" w:themeColor="text1"/>
        </w:rPr>
        <w:t>IV.</w:t>
      </w:r>
      <w:r w:rsidR="00705B57" w:rsidRPr="00B80EA1">
        <w:rPr>
          <w:color w:val="000000" w:themeColor="text1"/>
        </w:rPr>
        <w:tab/>
        <w:t>Mise en œuvre du SGH (</w:t>
      </w:r>
      <w:r w:rsidR="00E41DFB">
        <w:rPr>
          <w:color w:val="000000" w:themeColor="text1"/>
        </w:rPr>
        <w:t xml:space="preserve">point </w:t>
      </w:r>
      <w:r w:rsidR="00705B57" w:rsidRPr="00B80EA1">
        <w:rPr>
          <w:color w:val="000000" w:themeColor="text1"/>
        </w:rPr>
        <w:t>3 de l’ordre du jour)</w:t>
      </w:r>
    </w:p>
    <w:p w14:paraId="5D8E96B5" w14:textId="77777777" w:rsidR="00705B57" w:rsidRPr="00B80EA1" w:rsidRDefault="00705B57" w:rsidP="00705B57">
      <w:pPr>
        <w:pStyle w:val="H1G"/>
        <w:rPr>
          <w:color w:val="000000" w:themeColor="text1"/>
        </w:rPr>
      </w:pPr>
      <w:r w:rsidRPr="00B80EA1">
        <w:rPr>
          <w:color w:val="000000" w:themeColor="text1"/>
        </w:rPr>
        <w:tab/>
        <w:t>A.</w:t>
      </w:r>
      <w:r w:rsidRPr="00B80EA1">
        <w:rPr>
          <w:color w:val="000000" w:themeColor="text1"/>
        </w:rPr>
        <w:tab/>
      </w:r>
      <w:r w:rsidRPr="00B80EA1">
        <w:rPr>
          <w:bCs/>
          <w:color w:val="000000" w:themeColor="text1"/>
        </w:rPr>
        <w:t>Élaboration éventuelle d’une liste des produits chimiques classés conformément au SGH</w:t>
      </w:r>
    </w:p>
    <w:p w14:paraId="42389856" w14:textId="4C92ABBA" w:rsidR="00705B57" w:rsidRPr="00B80EA1" w:rsidRDefault="00705B57" w:rsidP="00550B69">
      <w:pPr>
        <w:pStyle w:val="SingleTxtG"/>
        <w:keepNext/>
        <w:tabs>
          <w:tab w:val="clear" w:pos="1701"/>
          <w:tab w:val="clear" w:pos="2268"/>
          <w:tab w:val="clear" w:pos="2835"/>
        </w:tabs>
        <w:ind w:left="3119" w:hanging="1985"/>
        <w:jc w:val="left"/>
        <w:rPr>
          <w:color w:val="000000" w:themeColor="text1"/>
        </w:rPr>
      </w:pPr>
      <w:r w:rsidRPr="00B80EA1">
        <w:rPr>
          <w:i/>
          <w:iCs/>
          <w:color w:val="000000" w:themeColor="text1"/>
        </w:rPr>
        <w:t>Documents informels</w:t>
      </w:r>
      <w:r w:rsidR="003D06F0" w:rsidRPr="00B80EA1">
        <w:rPr>
          <w:color w:val="000000" w:themeColor="text1"/>
        </w:rPr>
        <w:t> :</w:t>
      </w:r>
      <w:r w:rsidRPr="00B80EA1">
        <w:rPr>
          <w:color w:val="000000" w:themeColor="text1"/>
        </w:rPr>
        <w:tab/>
        <w:t>INF.15 et INF.15/Add.1 (Canada et États-Unis d’Amérique)</w:t>
      </w:r>
      <w:r w:rsidR="00B80EA1">
        <w:rPr>
          <w:color w:val="000000" w:themeColor="text1"/>
        </w:rPr>
        <w:t>.</w:t>
      </w:r>
    </w:p>
    <w:p w14:paraId="1038FB61" w14:textId="77777777" w:rsidR="00705B57" w:rsidRPr="00B80EA1" w:rsidRDefault="00705B57" w:rsidP="00B80EA1">
      <w:pPr>
        <w:pStyle w:val="SingleTxtG"/>
      </w:pPr>
      <w:r w:rsidRPr="00B80EA1">
        <w:t>41.</w:t>
      </w:r>
      <w:r w:rsidRPr="00B80EA1">
        <w:tab/>
        <w:t>Le Sous-Comité a pris note des conclusions de l’étude menée par la Suède au sujet du rôle des classification nationales des substances dans l’application du SGH.</w:t>
      </w:r>
    </w:p>
    <w:p w14:paraId="75106D6F" w14:textId="11452E21" w:rsidR="00705B57" w:rsidRPr="00B80EA1" w:rsidRDefault="00705B57" w:rsidP="00B80EA1">
      <w:pPr>
        <w:pStyle w:val="SingleTxtG"/>
      </w:pPr>
      <w:r w:rsidRPr="00B80EA1">
        <w:t>42.</w:t>
      </w:r>
      <w:r w:rsidRPr="00B80EA1">
        <w:tab/>
        <w:t>S’agissant des activités du groupe de travail informel relatives à l’élaboration éventuelle d’une liste des produits chimiques classés conformément au SGH, l’expert des États-Unis d’Amérique a informé le Sous-Comité de la conception d’une enquête, qui devait être lancée en juillet ou en août</w:t>
      </w:r>
      <w:r w:rsidR="00B80EA1">
        <w:t xml:space="preserve"> 20</w:t>
      </w:r>
      <w:r w:rsidRPr="00B80EA1">
        <w:t>21. Il s’agissait d’en savoir plus sur les classifications conformes au SGH établies à l’échelle des pays et des régions et celles des tierces parties, et de les évaluer à l’aune des principes directeurs à l’aide des questions établies par le groupe de travail informel en</w:t>
      </w:r>
      <w:r w:rsidR="00B80EA1">
        <w:t xml:space="preserve"> 20</w:t>
      </w:r>
      <w:r w:rsidRPr="00B80EA1">
        <w:t xml:space="preserve">20 (voir le </w:t>
      </w:r>
      <w:r w:rsidR="00E41DFB">
        <w:t xml:space="preserve">paragraphe </w:t>
      </w:r>
      <w:r w:rsidRPr="00B80EA1">
        <w:t>4 du document ST/SG/AC.10/C.4/2020/17). Les résultats de l’enquête devaient être présentés au Sous-Comité à sa quarante et unième session.</w:t>
      </w:r>
    </w:p>
    <w:p w14:paraId="12433A2E" w14:textId="0AE94988" w:rsidR="00705B57" w:rsidRPr="00B80EA1" w:rsidRDefault="00705B57" w:rsidP="00B80EA1">
      <w:pPr>
        <w:pStyle w:val="SingleTxtG"/>
      </w:pPr>
      <w:r w:rsidRPr="00B80EA1">
        <w:t>43.</w:t>
      </w:r>
      <w:r w:rsidRPr="00B80EA1">
        <w:tab/>
        <w:t xml:space="preserve">Le Sous-Comité a été invité à examiner les informations figurant en </w:t>
      </w:r>
      <w:r w:rsidR="0050077B" w:rsidRPr="00B80EA1">
        <w:t xml:space="preserve">annexe </w:t>
      </w:r>
      <w:r w:rsidRPr="00B80EA1">
        <w:t>au document informel INF.15 et à faire part aux experts des États-Unis d’Amérique et du Canada des classifications qui présentaient un intérêt et des personnes chargées de les administrer qui pourraient souhaiter participer à l’enquête.</w:t>
      </w:r>
    </w:p>
    <w:p w14:paraId="381BBE1E" w14:textId="77777777" w:rsidR="00705B57" w:rsidRPr="00B80EA1" w:rsidRDefault="00705B57" w:rsidP="00B80EA1">
      <w:pPr>
        <w:pStyle w:val="H1G"/>
      </w:pPr>
      <w:r w:rsidRPr="00B80EA1">
        <w:lastRenderedPageBreak/>
        <w:tab/>
        <w:t>B.</w:t>
      </w:r>
      <w:r w:rsidRPr="00B80EA1">
        <w:tab/>
        <w:t>Rapports sur l’application du SGH</w:t>
      </w:r>
    </w:p>
    <w:p w14:paraId="1B5962B6" w14:textId="77777777" w:rsidR="00705B57" w:rsidRPr="00B80EA1" w:rsidRDefault="00705B57" w:rsidP="00B80EA1">
      <w:pPr>
        <w:pStyle w:val="H23G"/>
      </w:pPr>
      <w:r w:rsidRPr="00B80EA1">
        <w:tab/>
        <w:t>1.</w:t>
      </w:r>
      <w:r w:rsidRPr="00B80EA1">
        <w:tab/>
        <w:t>Afrique du Sud</w:t>
      </w:r>
    </w:p>
    <w:p w14:paraId="4F2CA37A" w14:textId="1D638CC1" w:rsidR="00705B57" w:rsidRPr="00B80EA1" w:rsidRDefault="00705B57" w:rsidP="00550B69">
      <w:pPr>
        <w:pStyle w:val="SingleTxtG"/>
        <w:keepNext/>
        <w:tabs>
          <w:tab w:val="clear" w:pos="1701"/>
          <w:tab w:val="clear" w:pos="2268"/>
          <w:tab w:val="clear" w:pos="2835"/>
        </w:tabs>
        <w:ind w:left="3119" w:hanging="1985"/>
        <w:jc w:val="left"/>
        <w:rPr>
          <w:color w:val="000000" w:themeColor="text1"/>
        </w:rPr>
      </w:pPr>
      <w:r w:rsidRPr="00B80EA1">
        <w:rPr>
          <w:i/>
          <w:iCs/>
          <w:color w:val="000000" w:themeColor="text1"/>
        </w:rPr>
        <w:t>Document informel</w:t>
      </w:r>
      <w:r w:rsidR="003D06F0" w:rsidRPr="00B80EA1">
        <w:rPr>
          <w:i/>
          <w:iCs/>
          <w:color w:val="000000" w:themeColor="text1"/>
        </w:rPr>
        <w:t> </w:t>
      </w:r>
      <w:r w:rsidR="003D06F0" w:rsidRPr="00B80EA1">
        <w:rPr>
          <w:color w:val="000000" w:themeColor="text1"/>
        </w:rPr>
        <w:t>:</w:t>
      </w:r>
      <w:r w:rsidRPr="00B80EA1">
        <w:rPr>
          <w:color w:val="000000" w:themeColor="text1"/>
        </w:rPr>
        <w:tab/>
        <w:t>INF.5 (Afrique du Sud)</w:t>
      </w:r>
      <w:r w:rsidR="00B80EA1">
        <w:rPr>
          <w:color w:val="000000" w:themeColor="text1"/>
        </w:rPr>
        <w:t>.</w:t>
      </w:r>
    </w:p>
    <w:p w14:paraId="7E886478" w14:textId="6361F615" w:rsidR="00705B57" w:rsidRPr="00B80EA1" w:rsidRDefault="00705B57" w:rsidP="00705B57">
      <w:pPr>
        <w:pStyle w:val="SingleTxtG"/>
        <w:rPr>
          <w:rStyle w:val="SingleTxtGCar"/>
          <w:color w:val="000000" w:themeColor="text1"/>
        </w:rPr>
      </w:pPr>
      <w:r w:rsidRPr="00B80EA1">
        <w:rPr>
          <w:color w:val="000000" w:themeColor="text1"/>
        </w:rPr>
        <w:t>44.</w:t>
      </w:r>
      <w:r w:rsidRPr="00B80EA1">
        <w:rPr>
          <w:color w:val="000000" w:themeColor="text1"/>
        </w:rPr>
        <w:tab/>
        <w:t>Le Sous-Comité a pris note des informations communiquées par l’expert de l’Afrique du Sud concernant la promulgation, le 29 mars</w:t>
      </w:r>
      <w:r w:rsidR="00B80EA1">
        <w:rPr>
          <w:color w:val="000000" w:themeColor="text1"/>
        </w:rPr>
        <w:t xml:space="preserve"> 20</w:t>
      </w:r>
      <w:r w:rsidRPr="00B80EA1">
        <w:rPr>
          <w:color w:val="000000" w:themeColor="text1"/>
        </w:rPr>
        <w:t xml:space="preserve">21, du Règlement relatif aux produits chimiques dangereux en vertu de la loi sur la santé et la sécurité au travail. Ce règlement, fondé sur la huitième édition révisée du SGH, rend obligatoires la classification, les fiches de données de sécurité et l’étiquetage conformément au SGH pour les produits chimiques dangereux sur le lieu de travail. Une période transitoire de </w:t>
      </w:r>
      <w:r w:rsidR="00B80EA1">
        <w:rPr>
          <w:color w:val="000000" w:themeColor="text1"/>
        </w:rPr>
        <w:t xml:space="preserve">dix-huit </w:t>
      </w:r>
      <w:r w:rsidRPr="00B80EA1">
        <w:rPr>
          <w:color w:val="000000" w:themeColor="text1"/>
        </w:rPr>
        <w:t>mois à compter de sa date de promulgation est prévue pour son application.</w:t>
      </w:r>
    </w:p>
    <w:p w14:paraId="5183580A" w14:textId="77777777" w:rsidR="00705B57" w:rsidRPr="00B80EA1" w:rsidRDefault="00705B57" w:rsidP="00B80EA1">
      <w:pPr>
        <w:pStyle w:val="H23G"/>
      </w:pPr>
      <w:r w:rsidRPr="00B80EA1">
        <w:tab/>
        <w:t>2.</w:t>
      </w:r>
      <w:r w:rsidRPr="00B80EA1">
        <w:tab/>
        <w:t>Chili et Colombie</w:t>
      </w:r>
    </w:p>
    <w:p w14:paraId="36D548A2" w14:textId="39A8D8B5" w:rsidR="00705B57" w:rsidRPr="00B80EA1" w:rsidRDefault="00705B57" w:rsidP="00B80EA1">
      <w:pPr>
        <w:pStyle w:val="SingleTxtG"/>
      </w:pPr>
      <w:r w:rsidRPr="00B80EA1">
        <w:t>45.</w:t>
      </w:r>
      <w:r w:rsidRPr="00B80EA1">
        <w:tab/>
        <w:t>Le Sous-Comité a été informé que le Gouvernement chilien avait publié le</w:t>
      </w:r>
      <w:r w:rsidR="00B80EA1">
        <w:t xml:space="preserve"> </w:t>
      </w:r>
      <w:r w:rsidRPr="00B80EA1">
        <w:t>9 février</w:t>
      </w:r>
      <w:r w:rsidR="00B80EA1">
        <w:t xml:space="preserve"> 20</w:t>
      </w:r>
      <w:r w:rsidRPr="00B80EA1">
        <w:t>21 son Règlement relatif à la classification, à l’étiquetage et à la notification des substances et des mélanges dangereux, qui reprenait les dispositions de la septième édition révisée du SGH et prévoyant les périodes transitoires ci-après à compter de sa publication au Journal officiel</w:t>
      </w:r>
      <w:r w:rsidR="003D06F0" w:rsidRPr="00B80EA1">
        <w:t> :</w:t>
      </w:r>
    </w:p>
    <w:p w14:paraId="2F502FE4" w14:textId="29B235F5" w:rsidR="00705B57" w:rsidRPr="00B80EA1" w:rsidRDefault="00705B57" w:rsidP="00B80EA1">
      <w:pPr>
        <w:pStyle w:val="Bullet1G"/>
      </w:pPr>
      <w:r w:rsidRPr="00B80EA1">
        <w:t>Pour les produits chimiques destinés à une utilisation industrielle</w:t>
      </w:r>
      <w:r w:rsidR="003D06F0" w:rsidRPr="00B80EA1">
        <w:t> :</w:t>
      </w:r>
      <w:r w:rsidRPr="00B80EA1">
        <w:t xml:space="preserve"> un</w:t>
      </w:r>
      <w:r w:rsidR="0003666B">
        <w:t xml:space="preserve"> </w:t>
      </w:r>
      <w:r w:rsidRPr="00B80EA1">
        <w:t>an pour les substances et quatre</w:t>
      </w:r>
      <w:r w:rsidR="0003666B">
        <w:t xml:space="preserve"> </w:t>
      </w:r>
      <w:r w:rsidRPr="00B80EA1">
        <w:t>ans pour les mélanges</w:t>
      </w:r>
      <w:r w:rsidR="003D06F0" w:rsidRPr="00B80EA1">
        <w:t> ;</w:t>
      </w:r>
    </w:p>
    <w:p w14:paraId="324A0AC8" w14:textId="63876C44" w:rsidR="00705B57" w:rsidRPr="00B80EA1" w:rsidRDefault="00705B57" w:rsidP="00B80EA1">
      <w:pPr>
        <w:pStyle w:val="Bullet1G"/>
      </w:pPr>
      <w:r w:rsidRPr="00B80EA1">
        <w:t>Pour tous les autres produits chimiques visés par le règlement</w:t>
      </w:r>
      <w:r w:rsidR="003D06F0" w:rsidRPr="00B80EA1">
        <w:t> :</w:t>
      </w:r>
      <w:r w:rsidRPr="00B80EA1">
        <w:t xml:space="preserve"> deux</w:t>
      </w:r>
      <w:r w:rsidR="0003666B">
        <w:t xml:space="preserve"> </w:t>
      </w:r>
      <w:r w:rsidRPr="00B80EA1">
        <w:t>ans pour les substances et six</w:t>
      </w:r>
      <w:r w:rsidR="0003666B">
        <w:t xml:space="preserve"> </w:t>
      </w:r>
      <w:r w:rsidRPr="00B80EA1">
        <w:t>ans pour les mélanges.</w:t>
      </w:r>
    </w:p>
    <w:p w14:paraId="5D8C6309" w14:textId="433FF381" w:rsidR="00705B57" w:rsidRPr="00B80EA1" w:rsidRDefault="00705B57" w:rsidP="00705B57">
      <w:pPr>
        <w:pStyle w:val="SingleTxtG"/>
        <w:rPr>
          <w:color w:val="000000" w:themeColor="text1"/>
        </w:rPr>
      </w:pPr>
      <w:r w:rsidRPr="00B80EA1">
        <w:rPr>
          <w:color w:val="000000" w:themeColor="text1"/>
        </w:rPr>
        <w:t>46.</w:t>
      </w:r>
      <w:r w:rsidRPr="00B80EA1">
        <w:rPr>
          <w:color w:val="000000" w:themeColor="text1"/>
        </w:rPr>
        <w:tab/>
        <w:t>Le Sous-Comité a également été informé qu’en Colombie, le Ministère du travail et celui de la santé et de la protection sociale avaient publié le 7 avril</w:t>
      </w:r>
      <w:r w:rsidR="00B80EA1">
        <w:rPr>
          <w:color w:val="000000" w:themeColor="text1"/>
        </w:rPr>
        <w:t xml:space="preserve"> 20</w:t>
      </w:r>
      <w:r w:rsidRPr="00B80EA1">
        <w:rPr>
          <w:color w:val="000000" w:themeColor="text1"/>
        </w:rPr>
        <w:t>21 la résolution n</w:t>
      </w:r>
      <w:r w:rsidRPr="00B80EA1">
        <w:rPr>
          <w:color w:val="000000" w:themeColor="text1"/>
          <w:vertAlign w:val="superscript"/>
        </w:rPr>
        <w:t>o</w:t>
      </w:r>
      <w:r w:rsidRPr="00B80EA1">
        <w:rPr>
          <w:color w:val="000000" w:themeColor="text1"/>
        </w:rPr>
        <w:t> 0733 de</w:t>
      </w:r>
      <w:r w:rsidR="00B80EA1">
        <w:rPr>
          <w:color w:val="000000" w:themeColor="text1"/>
        </w:rPr>
        <w:t xml:space="preserve"> 20</w:t>
      </w:r>
      <w:r w:rsidRPr="00B80EA1">
        <w:rPr>
          <w:color w:val="000000" w:themeColor="text1"/>
        </w:rPr>
        <w:t>21, qui appliquait les dispositions de la sixième édition révisée du SGH sur le lieu de travail. Cette résolution était entrée en vigueur le jour de sa publication et prévoyait une période transitoire de deux</w:t>
      </w:r>
      <w:r w:rsidR="0003666B">
        <w:rPr>
          <w:color w:val="000000" w:themeColor="text1"/>
        </w:rPr>
        <w:t xml:space="preserve"> </w:t>
      </w:r>
      <w:r w:rsidRPr="00B80EA1">
        <w:rPr>
          <w:color w:val="000000" w:themeColor="text1"/>
        </w:rPr>
        <w:t>ans pour les substances et de trois</w:t>
      </w:r>
      <w:r w:rsidR="0003666B">
        <w:rPr>
          <w:color w:val="000000" w:themeColor="text1"/>
        </w:rPr>
        <w:t xml:space="preserve"> </w:t>
      </w:r>
      <w:r w:rsidRPr="00B80EA1">
        <w:rPr>
          <w:color w:val="000000" w:themeColor="text1"/>
        </w:rPr>
        <w:t>ans pour les mélanges.</w:t>
      </w:r>
    </w:p>
    <w:p w14:paraId="6DC03BF0" w14:textId="42B87F49" w:rsidR="00705B57" w:rsidRPr="00B80EA1" w:rsidRDefault="00705B57" w:rsidP="00705B57">
      <w:pPr>
        <w:pStyle w:val="SingleTxtG"/>
        <w:rPr>
          <w:color w:val="000000" w:themeColor="text1"/>
        </w:rPr>
      </w:pPr>
      <w:r w:rsidRPr="00B80EA1">
        <w:rPr>
          <w:color w:val="000000" w:themeColor="text1"/>
        </w:rPr>
        <w:t>47.</w:t>
      </w:r>
      <w:r w:rsidRPr="00B80EA1">
        <w:rPr>
          <w:color w:val="000000" w:themeColor="text1"/>
        </w:rPr>
        <w:tab/>
        <w:t>Il a été indiqué que les informations concernant l’état d’application du SGH dans ces deux pays avaient déjà été actualisées en conséquence sur la page</w:t>
      </w:r>
      <w:r w:rsidR="00B80EA1">
        <w:rPr>
          <w:color w:val="000000" w:themeColor="text1"/>
        </w:rPr>
        <w:t xml:space="preserve"> </w:t>
      </w:r>
      <w:r w:rsidRPr="00B80EA1">
        <w:rPr>
          <w:color w:val="000000" w:themeColor="text1"/>
        </w:rPr>
        <w:t>Web consacrée à l’application du SGH</w:t>
      </w:r>
      <w:r w:rsidRPr="00B80EA1">
        <w:rPr>
          <w:rStyle w:val="FootnoteReference"/>
          <w:color w:val="000000" w:themeColor="text1"/>
        </w:rPr>
        <w:footnoteReference w:id="2"/>
      </w:r>
      <w:r w:rsidRPr="00B80EA1">
        <w:rPr>
          <w:color w:val="000000" w:themeColor="text1"/>
        </w:rPr>
        <w:t xml:space="preserve"> (avec des liens menant aux règlements visés).</w:t>
      </w:r>
    </w:p>
    <w:p w14:paraId="02C86711" w14:textId="77777777" w:rsidR="00705B57" w:rsidRPr="00B80EA1" w:rsidRDefault="00705B57" w:rsidP="00B80EA1">
      <w:pPr>
        <w:pStyle w:val="H23G"/>
      </w:pPr>
      <w:r w:rsidRPr="00B80EA1">
        <w:tab/>
        <w:t>3.</w:t>
      </w:r>
      <w:r w:rsidRPr="00B80EA1">
        <w:tab/>
        <w:t>Argentine</w:t>
      </w:r>
    </w:p>
    <w:p w14:paraId="5D26BAD6" w14:textId="6FB40645" w:rsidR="00705B57" w:rsidRPr="00B80EA1" w:rsidRDefault="00705B57" w:rsidP="00B80EA1">
      <w:pPr>
        <w:pStyle w:val="SingleTxtG"/>
      </w:pPr>
      <w:r w:rsidRPr="00B80EA1">
        <w:t>48.</w:t>
      </w:r>
      <w:r w:rsidRPr="00B80EA1">
        <w:tab/>
        <w:t xml:space="preserve">Le Sous-Comité a pris note des informations communiquées par l’expert de l’Argentine concernant les activités passées et en cours relatives à l’application du SGH au niveau national. Il a relevé que l’élaboration d’un projet de loi relatif à la gestion des risques associés aux produits chimiques touchait à sa fin et qu’une proposition visant à inclure un </w:t>
      </w:r>
      <w:r w:rsidR="00E41DFB">
        <w:t xml:space="preserve">chapitre </w:t>
      </w:r>
      <w:r w:rsidRPr="00B80EA1">
        <w:t>relatif à l’application du SGH était à l’étude.</w:t>
      </w:r>
    </w:p>
    <w:p w14:paraId="31DA7E69" w14:textId="5285292C" w:rsidR="00705B57" w:rsidRPr="00B80EA1" w:rsidRDefault="00705B57" w:rsidP="00B80EA1">
      <w:pPr>
        <w:pStyle w:val="SingleTxtG"/>
      </w:pPr>
      <w:r w:rsidRPr="00B80EA1">
        <w:t>49.</w:t>
      </w:r>
      <w:r w:rsidRPr="00B80EA1">
        <w:tab/>
      </w:r>
      <w:r w:rsidR="00B80EA1">
        <w:t>À</w:t>
      </w:r>
      <w:r w:rsidRPr="00B80EA1">
        <w:t xml:space="preserve"> l’échelle du Marché commun du Sud (MERCOSUR), le Sous-Comité a pris acte de l’approbation d’un plan de travail relatif aux produits chimiques dangereux, prévoyant des activités relatives au SGH, qui serait exécuté pendant la période</w:t>
      </w:r>
      <w:r w:rsidR="00B80EA1">
        <w:t xml:space="preserve"> 20</w:t>
      </w:r>
      <w:r w:rsidRPr="00B80EA1">
        <w:t>21-2024. Ce plan de travail comportait une évaluation en vue de l’élaboration éventuelle d’un règlement technique d’application du SGH.</w:t>
      </w:r>
    </w:p>
    <w:p w14:paraId="26304462" w14:textId="150B74C2" w:rsidR="00705B57" w:rsidRPr="00B80EA1" w:rsidRDefault="00705B57" w:rsidP="00B80EA1">
      <w:pPr>
        <w:pStyle w:val="SingleTxtG"/>
      </w:pPr>
      <w:r w:rsidRPr="00B80EA1">
        <w:t>50.</w:t>
      </w:r>
      <w:r w:rsidRPr="00B80EA1">
        <w:tab/>
        <w:t>En outre, il a également été fait observer que le plan de travail actualisé du Réseau intergouvernemental sur les produits chimiques et les déchets pour l’Amérique latine et les Caraïbes pour la période</w:t>
      </w:r>
      <w:r w:rsidR="00B80EA1">
        <w:t xml:space="preserve"> 20</w:t>
      </w:r>
      <w:r w:rsidRPr="00B80EA1">
        <w:t>21-2024 prévoyait des activités relatives au SGH.</w:t>
      </w:r>
    </w:p>
    <w:p w14:paraId="24BC2CF5" w14:textId="77777777" w:rsidR="00705B57" w:rsidRPr="00B80EA1" w:rsidRDefault="00705B57" w:rsidP="00B80EA1">
      <w:pPr>
        <w:pStyle w:val="SingleTxtG"/>
      </w:pPr>
      <w:r w:rsidRPr="00B80EA1">
        <w:t>51.</w:t>
      </w:r>
      <w:r w:rsidRPr="00B80EA1">
        <w:tab/>
        <w:t>Enfin, il a été signalé qu’à l’initiative du Conseil international des associations chimiques (ICCA), un groupe de travail virtuel régional avait été créé afin de faciliter les échanges entre les secteurs public et privé au sujet de l’élaboration d’un cadre réglementaire relatif aux produits chimiques dans la région.</w:t>
      </w:r>
    </w:p>
    <w:p w14:paraId="6215862C" w14:textId="77777777" w:rsidR="00705B57" w:rsidRPr="00B80EA1" w:rsidRDefault="00705B57" w:rsidP="00B80EA1">
      <w:pPr>
        <w:pStyle w:val="H23G"/>
      </w:pPr>
      <w:r w:rsidRPr="00B80EA1">
        <w:tab/>
        <w:t>4.</w:t>
      </w:r>
      <w:r w:rsidRPr="00B80EA1">
        <w:tab/>
        <w:t>Nouvelle-Zélande</w:t>
      </w:r>
    </w:p>
    <w:p w14:paraId="6EC937A6" w14:textId="1F904D92" w:rsidR="00705B57" w:rsidRPr="00B80EA1" w:rsidRDefault="00705B57" w:rsidP="00550B69">
      <w:pPr>
        <w:pStyle w:val="SingleTxtG"/>
        <w:keepNext/>
        <w:tabs>
          <w:tab w:val="clear" w:pos="1701"/>
          <w:tab w:val="clear" w:pos="2268"/>
          <w:tab w:val="clear" w:pos="2835"/>
        </w:tabs>
        <w:ind w:left="3119" w:hanging="1985"/>
        <w:jc w:val="left"/>
        <w:rPr>
          <w:color w:val="000000" w:themeColor="text1"/>
        </w:rPr>
      </w:pPr>
      <w:r w:rsidRPr="00B80EA1">
        <w:rPr>
          <w:i/>
          <w:iCs/>
          <w:color w:val="000000" w:themeColor="text1"/>
        </w:rPr>
        <w:t>Document informel</w:t>
      </w:r>
      <w:r w:rsidR="003D06F0" w:rsidRPr="00B80EA1">
        <w:rPr>
          <w:i/>
          <w:iCs/>
          <w:color w:val="000000" w:themeColor="text1"/>
        </w:rPr>
        <w:t> </w:t>
      </w:r>
      <w:r w:rsidR="003D06F0" w:rsidRPr="00B80EA1">
        <w:rPr>
          <w:color w:val="000000" w:themeColor="text1"/>
        </w:rPr>
        <w:t>:</w:t>
      </w:r>
      <w:r w:rsidRPr="00B80EA1">
        <w:rPr>
          <w:color w:val="000000" w:themeColor="text1"/>
        </w:rPr>
        <w:tab/>
        <w:t>INF.25 (Nouvelle-Zélande)</w:t>
      </w:r>
      <w:r w:rsidR="00B80EA1">
        <w:rPr>
          <w:color w:val="000000" w:themeColor="text1"/>
        </w:rPr>
        <w:t>.</w:t>
      </w:r>
    </w:p>
    <w:p w14:paraId="3868CA33" w14:textId="6F388CE7" w:rsidR="00705B57" w:rsidRPr="00B80EA1" w:rsidRDefault="00705B57" w:rsidP="00B80EA1">
      <w:pPr>
        <w:pStyle w:val="SingleTxtG"/>
      </w:pPr>
      <w:r w:rsidRPr="00B80EA1">
        <w:t>52.</w:t>
      </w:r>
      <w:r w:rsidRPr="00B80EA1">
        <w:tab/>
        <w:t>Le Sous-Comité a pris note du fait que la Nouvelle-Zélande avait achevé la mise à jour de son cadre de classification des substances dangereuses, en vigueur depuis</w:t>
      </w:r>
      <w:r w:rsidR="00B80EA1">
        <w:t xml:space="preserve"> 20</w:t>
      </w:r>
      <w:r w:rsidRPr="00B80EA1">
        <w:t>01, qui était fondé sur une version du SGH préalable à la publication de ce dernier. Un nouvel instrument, la Directive sur les substances dangereuses (classification en fonction de la dangerosité) de</w:t>
      </w:r>
      <w:r w:rsidR="00B80EA1">
        <w:t xml:space="preserve"> 20</w:t>
      </w:r>
      <w:r w:rsidRPr="00B80EA1">
        <w:t>20 (</w:t>
      </w:r>
      <w:r w:rsidRPr="00B80EA1">
        <w:rPr>
          <w:i/>
          <w:iCs/>
          <w:lang w:val="en-GB"/>
        </w:rPr>
        <w:t>Hazardous Substances (Hazard Classification) Notice</w:t>
      </w:r>
      <w:r w:rsidR="00B80EA1" w:rsidRPr="00B80EA1">
        <w:rPr>
          <w:i/>
          <w:iCs/>
          <w:lang w:val="en-GB"/>
        </w:rPr>
        <w:t xml:space="preserve"> 20</w:t>
      </w:r>
      <w:r w:rsidRPr="00B80EA1">
        <w:rPr>
          <w:i/>
          <w:iCs/>
          <w:lang w:val="en-GB"/>
        </w:rPr>
        <w:t>20</w:t>
      </w:r>
      <w:r w:rsidRPr="00B80EA1">
        <w:t>), qui adoptait en l’intégrant par renvoi la septième édition révisée du SGH, avait été publié le 15 octobre</w:t>
      </w:r>
      <w:r w:rsidR="00B80EA1">
        <w:t xml:space="preserve"> 20</w:t>
      </w:r>
      <w:r w:rsidRPr="00B80EA1">
        <w:t>20 et était entré en vigueur le 30 avril</w:t>
      </w:r>
      <w:r w:rsidR="00B80EA1">
        <w:t xml:space="preserve"> 20</w:t>
      </w:r>
      <w:r w:rsidRPr="00B80EA1">
        <w:t>21.</w:t>
      </w:r>
    </w:p>
    <w:p w14:paraId="2721D9C6" w14:textId="365FEF67" w:rsidR="00705B57" w:rsidRPr="00B80EA1" w:rsidRDefault="00705B57" w:rsidP="00705B57">
      <w:pPr>
        <w:pStyle w:val="SingleTxtG"/>
        <w:rPr>
          <w:color w:val="000000" w:themeColor="text1"/>
        </w:rPr>
      </w:pPr>
      <w:r w:rsidRPr="00B80EA1">
        <w:rPr>
          <w:color w:val="000000" w:themeColor="text1"/>
        </w:rPr>
        <w:t>53.</w:t>
      </w:r>
      <w:r w:rsidRPr="00B80EA1">
        <w:rPr>
          <w:color w:val="000000" w:themeColor="text1"/>
        </w:rPr>
        <w:tab/>
        <w:t>Il a également été indiqué que cette nouvelle directive permettait une harmonisation et une mise à jour prenant en compte la septième édition révisée du SGH de la Directive sur les substances dangereuses (étiquetage) de</w:t>
      </w:r>
      <w:r w:rsidR="00B80EA1">
        <w:rPr>
          <w:color w:val="000000" w:themeColor="text1"/>
        </w:rPr>
        <w:t xml:space="preserve"> 20</w:t>
      </w:r>
      <w:r w:rsidRPr="00B80EA1">
        <w:rPr>
          <w:color w:val="000000" w:themeColor="text1"/>
        </w:rPr>
        <w:t>17 (</w:t>
      </w:r>
      <w:r w:rsidRPr="00B80EA1">
        <w:rPr>
          <w:i/>
          <w:iCs/>
          <w:color w:val="000000" w:themeColor="text1"/>
          <w:lang w:val="en-GB"/>
        </w:rPr>
        <w:t>Hazardous Substances (Labelling) Notice</w:t>
      </w:r>
      <w:r w:rsidR="00B80EA1" w:rsidRPr="00B80EA1">
        <w:rPr>
          <w:i/>
          <w:iCs/>
          <w:color w:val="000000" w:themeColor="text1"/>
          <w:lang w:val="en-GB"/>
        </w:rPr>
        <w:t xml:space="preserve"> 20</w:t>
      </w:r>
      <w:r w:rsidRPr="00B80EA1">
        <w:rPr>
          <w:i/>
          <w:iCs/>
          <w:color w:val="000000" w:themeColor="text1"/>
          <w:lang w:val="en-GB"/>
        </w:rPr>
        <w:t>17</w:t>
      </w:r>
      <w:r w:rsidRPr="00B80EA1">
        <w:rPr>
          <w:color w:val="000000" w:themeColor="text1"/>
        </w:rPr>
        <w:t>) et de la Directive sur les substances dangereuses (fiches de données de sécurité) de</w:t>
      </w:r>
      <w:r w:rsidR="00B80EA1">
        <w:rPr>
          <w:color w:val="000000" w:themeColor="text1"/>
        </w:rPr>
        <w:t xml:space="preserve"> 20</w:t>
      </w:r>
      <w:r w:rsidRPr="00B80EA1">
        <w:rPr>
          <w:color w:val="000000" w:themeColor="text1"/>
        </w:rPr>
        <w:t>17 (</w:t>
      </w:r>
      <w:r w:rsidRPr="00B80EA1">
        <w:rPr>
          <w:i/>
          <w:iCs/>
          <w:color w:val="000000" w:themeColor="text1"/>
          <w:lang w:val="en-GB"/>
        </w:rPr>
        <w:t>Hazardous Substances (Safety Data Sheets) Notice</w:t>
      </w:r>
      <w:r w:rsidR="00B80EA1" w:rsidRPr="00B80EA1">
        <w:rPr>
          <w:i/>
          <w:iCs/>
          <w:color w:val="000000" w:themeColor="text1"/>
          <w:lang w:val="en-GB"/>
        </w:rPr>
        <w:t xml:space="preserve"> 20</w:t>
      </w:r>
      <w:r w:rsidRPr="00B80EA1">
        <w:rPr>
          <w:i/>
          <w:iCs/>
          <w:color w:val="000000" w:themeColor="text1"/>
          <w:lang w:val="en-GB"/>
        </w:rPr>
        <w:t>17</w:t>
      </w:r>
      <w:r w:rsidRPr="00B80EA1">
        <w:rPr>
          <w:color w:val="000000" w:themeColor="text1"/>
        </w:rPr>
        <w:t>), qui s’appuyaient sur la cinquième édition révisée du SGH. Un grand nombre d’agréments de substances dangereuses au titre de la loi sur les matières dangereuses et les nouveaux organismes (</w:t>
      </w:r>
      <w:r w:rsidRPr="00B80EA1">
        <w:rPr>
          <w:i/>
          <w:iCs/>
          <w:color w:val="000000" w:themeColor="text1"/>
          <w:lang w:val="en-GB"/>
        </w:rPr>
        <w:t>Hazardous Substances and New Organisms Act</w:t>
      </w:r>
      <w:r w:rsidRPr="00B80EA1">
        <w:rPr>
          <w:color w:val="000000" w:themeColor="text1"/>
        </w:rPr>
        <w:t>) avaient en outre été actualisés conformément aux critères de classification de la septième édition révisée du SGH.</w:t>
      </w:r>
    </w:p>
    <w:p w14:paraId="58AC5333" w14:textId="7B5254A8" w:rsidR="00705B57" w:rsidRPr="00B80EA1" w:rsidRDefault="00705B57" w:rsidP="00705B57">
      <w:pPr>
        <w:pStyle w:val="SingleTxtG"/>
        <w:rPr>
          <w:color w:val="000000" w:themeColor="text1"/>
        </w:rPr>
      </w:pPr>
      <w:r w:rsidRPr="00B80EA1">
        <w:rPr>
          <w:color w:val="000000" w:themeColor="text1"/>
        </w:rPr>
        <w:t>54.</w:t>
      </w:r>
      <w:r w:rsidRPr="00B80EA1">
        <w:rPr>
          <w:color w:val="000000" w:themeColor="text1"/>
        </w:rPr>
        <w:tab/>
        <w:t>Il a été signalé que le transfert des données des bases de données sur les substances dangereuses de l’Autorité de protection de l’environnement vers la base de données internationale sur les informations chimiques unifiées (IUCLID) était en cours et serait normalement achevé dans le courant du dernier trimestre</w:t>
      </w:r>
      <w:r w:rsidR="00B80EA1">
        <w:rPr>
          <w:color w:val="000000" w:themeColor="text1"/>
        </w:rPr>
        <w:t xml:space="preserve"> 20</w:t>
      </w:r>
      <w:r w:rsidRPr="00B80EA1">
        <w:rPr>
          <w:color w:val="000000" w:themeColor="text1"/>
        </w:rPr>
        <w:t>21.</w:t>
      </w:r>
    </w:p>
    <w:p w14:paraId="6600B64C" w14:textId="77777777" w:rsidR="00705B57" w:rsidRPr="00B80EA1" w:rsidRDefault="00705B57" w:rsidP="00B80EA1">
      <w:pPr>
        <w:pStyle w:val="H23G"/>
        <w:ind w:right="2550"/>
        <w:rPr>
          <w:color w:val="000000" w:themeColor="text1"/>
        </w:rPr>
      </w:pPr>
      <w:r w:rsidRPr="00B80EA1">
        <w:rPr>
          <w:color w:val="000000" w:themeColor="text1"/>
        </w:rPr>
        <w:tab/>
        <w:t>5.</w:t>
      </w:r>
      <w:r w:rsidRPr="00B80EA1">
        <w:rPr>
          <w:color w:val="000000" w:themeColor="text1"/>
        </w:rPr>
        <w:tab/>
      </w:r>
      <w:r w:rsidRPr="00B80EA1">
        <w:rPr>
          <w:bCs/>
          <w:color w:val="000000" w:themeColor="text1"/>
        </w:rPr>
        <w:t>Stratégie de l’Union européenne pour la durabilité dans le domaine des produits chimiques</w:t>
      </w:r>
    </w:p>
    <w:p w14:paraId="445E7B98" w14:textId="633144B8" w:rsidR="00705B57" w:rsidRPr="00B80EA1" w:rsidRDefault="00705B57" w:rsidP="00550B69">
      <w:pPr>
        <w:pStyle w:val="SingleTxtG"/>
        <w:keepNext/>
        <w:tabs>
          <w:tab w:val="clear" w:pos="1701"/>
          <w:tab w:val="clear" w:pos="2268"/>
          <w:tab w:val="clear" w:pos="2835"/>
        </w:tabs>
        <w:ind w:left="3119" w:hanging="1985"/>
        <w:jc w:val="left"/>
        <w:rPr>
          <w:color w:val="000000" w:themeColor="text1"/>
        </w:rPr>
      </w:pPr>
      <w:r w:rsidRPr="00B80EA1">
        <w:rPr>
          <w:i/>
          <w:iCs/>
          <w:color w:val="000000" w:themeColor="text1"/>
        </w:rPr>
        <w:t>Document informel</w:t>
      </w:r>
      <w:r w:rsidR="003D06F0" w:rsidRPr="00B80EA1">
        <w:rPr>
          <w:color w:val="000000" w:themeColor="text1"/>
        </w:rPr>
        <w:t> :</w:t>
      </w:r>
      <w:r w:rsidRPr="00B80EA1">
        <w:rPr>
          <w:color w:val="000000" w:themeColor="text1"/>
        </w:rPr>
        <w:tab/>
        <w:t>INF.21 (Union européenne)</w:t>
      </w:r>
      <w:r w:rsidR="00B80EA1">
        <w:rPr>
          <w:color w:val="000000" w:themeColor="text1"/>
        </w:rPr>
        <w:t>.</w:t>
      </w:r>
    </w:p>
    <w:p w14:paraId="77B844F7" w14:textId="78D727AE" w:rsidR="00705B57" w:rsidRPr="00B80EA1" w:rsidRDefault="00705B57" w:rsidP="00705B57">
      <w:pPr>
        <w:pStyle w:val="SingleTxtG"/>
        <w:rPr>
          <w:color w:val="000000" w:themeColor="text1"/>
        </w:rPr>
      </w:pPr>
      <w:r w:rsidRPr="00B80EA1">
        <w:rPr>
          <w:color w:val="000000" w:themeColor="text1"/>
        </w:rPr>
        <w:t>55.</w:t>
      </w:r>
      <w:r w:rsidRPr="00B80EA1">
        <w:rPr>
          <w:color w:val="000000" w:themeColor="text1"/>
        </w:rPr>
        <w:tab/>
        <w:t>Le Sous-Comité a pris note avec intérêt des informations publiées le</w:t>
      </w:r>
      <w:r w:rsidR="00B80EA1">
        <w:rPr>
          <w:color w:val="000000" w:themeColor="text1"/>
        </w:rPr>
        <w:t xml:space="preserve"> </w:t>
      </w:r>
      <w:r w:rsidRPr="00B80EA1">
        <w:rPr>
          <w:color w:val="000000" w:themeColor="text1"/>
        </w:rPr>
        <w:t>14 octobre</w:t>
      </w:r>
      <w:r w:rsidR="00B80EA1">
        <w:rPr>
          <w:color w:val="000000" w:themeColor="text1"/>
        </w:rPr>
        <w:t xml:space="preserve"> 20</w:t>
      </w:r>
      <w:r w:rsidRPr="00B80EA1">
        <w:rPr>
          <w:color w:val="000000" w:themeColor="text1"/>
        </w:rPr>
        <w:t>20</w:t>
      </w:r>
      <w:r w:rsidRPr="00B80EA1">
        <w:rPr>
          <w:rStyle w:val="FootnoteReference"/>
          <w:color w:val="000000" w:themeColor="text1"/>
        </w:rPr>
        <w:footnoteReference w:id="3"/>
      </w:r>
      <w:r w:rsidRPr="00B80EA1">
        <w:rPr>
          <w:color w:val="000000" w:themeColor="text1"/>
        </w:rPr>
        <w:t xml:space="preserve"> concernant les changements escomptés, dans l’Union européenne après l’adoption de la stratégie pour la durabilité dans le domaine des produits chimiques.</w:t>
      </w:r>
    </w:p>
    <w:p w14:paraId="733AB442" w14:textId="1F5C603D" w:rsidR="00705B57" w:rsidRPr="00B80EA1" w:rsidRDefault="00705B57" w:rsidP="00705B57">
      <w:pPr>
        <w:pStyle w:val="SingleTxtG"/>
        <w:tabs>
          <w:tab w:val="left" w:pos="3119"/>
        </w:tabs>
        <w:rPr>
          <w:color w:val="000000" w:themeColor="text1"/>
        </w:rPr>
      </w:pPr>
      <w:r w:rsidRPr="00B80EA1">
        <w:rPr>
          <w:color w:val="000000" w:themeColor="text1"/>
        </w:rPr>
        <w:t>56.</w:t>
      </w:r>
      <w:r w:rsidRPr="00B80EA1">
        <w:rPr>
          <w:color w:val="000000" w:themeColor="text1"/>
        </w:rPr>
        <w:tab/>
        <w:t xml:space="preserve">Il a été noté que les travaux visant à mettre à jour le Règlement européen 1272/2008 relatif à la classification, à l’étiquetage et à l’emballage (Règlement CLP), qui prenaient en compte la septième révisée du SGH, pour intégrer les huitième et </w:t>
      </w:r>
      <w:proofErr w:type="gramStart"/>
      <w:r w:rsidRPr="00B80EA1">
        <w:rPr>
          <w:color w:val="000000" w:themeColor="text1"/>
        </w:rPr>
        <w:t>neuvième éditions</w:t>
      </w:r>
      <w:proofErr w:type="gramEnd"/>
      <w:r w:rsidRPr="00B80EA1">
        <w:rPr>
          <w:color w:val="000000" w:themeColor="text1"/>
        </w:rPr>
        <w:t>, devaient bientôt commencer. En outre, dans le cadre d’un éventail plus large de mesures relatives à la stratégie pour la durabilité dans le domaine des produits chimiques, la révision du Règlement CLP aurait pour but</w:t>
      </w:r>
      <w:r w:rsidR="003D06F0" w:rsidRPr="00B80EA1">
        <w:rPr>
          <w:color w:val="000000" w:themeColor="text1"/>
        </w:rPr>
        <w:t> :</w:t>
      </w:r>
    </w:p>
    <w:p w14:paraId="0C5E402B" w14:textId="77777777" w:rsidR="00B80EA1" w:rsidRDefault="00705B57" w:rsidP="00B80EA1">
      <w:pPr>
        <w:pStyle w:val="SingleTxtG"/>
        <w:tabs>
          <w:tab w:val="clear" w:pos="1701"/>
          <w:tab w:val="clear" w:pos="2268"/>
          <w:tab w:val="clear" w:pos="2835"/>
        </w:tabs>
        <w:ind w:left="2268" w:hanging="567"/>
        <w:rPr>
          <w:color w:val="000000" w:themeColor="text1"/>
        </w:rPr>
      </w:pPr>
      <w:r w:rsidRPr="00B80EA1">
        <w:rPr>
          <w:color w:val="000000" w:themeColor="text1"/>
        </w:rPr>
        <w:t>a)</w:t>
      </w:r>
      <w:r w:rsidRPr="00B80EA1">
        <w:rPr>
          <w:color w:val="000000" w:themeColor="text1"/>
        </w:rPr>
        <w:tab/>
        <w:t>De renforcer les critères existants concernant les perturbateurs endocriniens, les substances persistantes, bioaccumulables et toxiques et les substances persistantes, mobiles et toxiques</w:t>
      </w:r>
      <w:r w:rsidR="003D06F0" w:rsidRPr="00B80EA1">
        <w:rPr>
          <w:color w:val="000000" w:themeColor="text1"/>
        </w:rPr>
        <w:t> ;</w:t>
      </w:r>
    </w:p>
    <w:p w14:paraId="7396E5B2" w14:textId="6FD2FDC4" w:rsidR="00705B57" w:rsidRPr="00B80EA1" w:rsidRDefault="00705B57" w:rsidP="00B80EA1">
      <w:pPr>
        <w:pStyle w:val="SingleTxtG"/>
        <w:tabs>
          <w:tab w:val="clear" w:pos="1701"/>
          <w:tab w:val="clear" w:pos="2268"/>
          <w:tab w:val="clear" w:pos="2835"/>
        </w:tabs>
        <w:ind w:left="2268" w:hanging="567"/>
        <w:rPr>
          <w:color w:val="000000" w:themeColor="text1"/>
        </w:rPr>
      </w:pPr>
      <w:r w:rsidRPr="00B80EA1">
        <w:rPr>
          <w:color w:val="000000" w:themeColor="text1"/>
        </w:rPr>
        <w:t>b)</w:t>
      </w:r>
      <w:r w:rsidRPr="00B80EA1">
        <w:rPr>
          <w:color w:val="000000" w:themeColor="text1"/>
        </w:rPr>
        <w:tab/>
        <w:t>D’évaluer la nécessité de critères particuliers concernant l’immunotoxicité, la neurotoxicité et la toxicité pour les organismes terrestres.</w:t>
      </w:r>
    </w:p>
    <w:p w14:paraId="7EF6E4FB" w14:textId="24CFBE15" w:rsidR="00705B57" w:rsidRPr="00B80EA1" w:rsidRDefault="00705B57" w:rsidP="00705B57">
      <w:pPr>
        <w:pStyle w:val="SingleTxtG"/>
        <w:rPr>
          <w:color w:val="000000" w:themeColor="text1"/>
        </w:rPr>
      </w:pPr>
      <w:r w:rsidRPr="00B80EA1">
        <w:rPr>
          <w:color w:val="000000" w:themeColor="text1"/>
        </w:rPr>
        <w:t>57.</w:t>
      </w:r>
      <w:r w:rsidRPr="00B80EA1">
        <w:rPr>
          <w:color w:val="000000" w:themeColor="text1"/>
        </w:rPr>
        <w:tab/>
        <w:t>Pour atteindre les objectifs visés aux alinéas a) et b) ci-dessus, de nouvelles classes de danger devraient être créées et ajoutées au Règlement CLP, conformément à l’approche suivante</w:t>
      </w:r>
      <w:r w:rsidR="003D06F0" w:rsidRPr="00B80EA1">
        <w:rPr>
          <w:color w:val="000000" w:themeColor="text1"/>
        </w:rPr>
        <w:t> :</w:t>
      </w:r>
    </w:p>
    <w:p w14:paraId="60BB732F" w14:textId="72FCB60C" w:rsidR="00705B57" w:rsidRPr="00B80EA1" w:rsidRDefault="00705B57" w:rsidP="00B80EA1">
      <w:pPr>
        <w:pStyle w:val="SingleTxtG"/>
        <w:tabs>
          <w:tab w:val="clear" w:pos="1701"/>
          <w:tab w:val="clear" w:pos="2268"/>
          <w:tab w:val="clear" w:pos="2835"/>
        </w:tabs>
        <w:ind w:left="2268" w:hanging="567"/>
        <w:rPr>
          <w:color w:val="000000" w:themeColor="text1"/>
        </w:rPr>
      </w:pPr>
      <w:r w:rsidRPr="00B80EA1">
        <w:rPr>
          <w:color w:val="000000" w:themeColor="text1"/>
        </w:rPr>
        <w:t>a)</w:t>
      </w:r>
      <w:r w:rsidRPr="00B80EA1">
        <w:rPr>
          <w:color w:val="000000" w:themeColor="text1"/>
        </w:rPr>
        <w:tab/>
        <w:t>S’agissant de l’immunotoxicité, de la neurotoxicité et des dangers pour les organismes terrestres, une proposition visant à évaluer la nécessité de critères particuliers serait soumise au Sous-Comité pour examen au cours de la période biennale</w:t>
      </w:r>
      <w:r w:rsidR="00B80EA1">
        <w:rPr>
          <w:color w:val="000000" w:themeColor="text1"/>
        </w:rPr>
        <w:t xml:space="preserve"> 20</w:t>
      </w:r>
      <w:r w:rsidRPr="00B80EA1">
        <w:rPr>
          <w:color w:val="000000" w:themeColor="text1"/>
        </w:rPr>
        <w:t>23-2024</w:t>
      </w:r>
      <w:r w:rsidR="0088159D">
        <w:rPr>
          <w:color w:val="000000" w:themeColor="text1"/>
        </w:rPr>
        <w:t>.</w:t>
      </w:r>
    </w:p>
    <w:p w14:paraId="123EB19C" w14:textId="4C49A885" w:rsidR="00705B57" w:rsidRPr="00B80EA1" w:rsidRDefault="00705B57" w:rsidP="00B80EA1">
      <w:pPr>
        <w:pStyle w:val="SingleTxtG"/>
        <w:tabs>
          <w:tab w:val="clear" w:pos="1701"/>
          <w:tab w:val="clear" w:pos="2268"/>
          <w:tab w:val="clear" w:pos="2835"/>
        </w:tabs>
        <w:ind w:left="2268" w:hanging="567"/>
        <w:rPr>
          <w:color w:val="000000" w:themeColor="text1"/>
        </w:rPr>
      </w:pPr>
      <w:r w:rsidRPr="00B80EA1">
        <w:rPr>
          <w:color w:val="000000" w:themeColor="text1"/>
        </w:rPr>
        <w:t>b)</w:t>
      </w:r>
      <w:r w:rsidRPr="00B80EA1">
        <w:rPr>
          <w:color w:val="000000" w:themeColor="text1"/>
        </w:rPr>
        <w:tab/>
        <w:t>S’agissant des perturbateurs endocriniens, des substances persistantes, bioaccumulables et toxiques (y compris des substances très persistantes et très bioaccumulables) et des substances persistantes, mobiles et toxiques (y</w:t>
      </w:r>
      <w:r w:rsidR="00B80EA1">
        <w:rPr>
          <w:color w:val="000000" w:themeColor="text1"/>
        </w:rPr>
        <w:t> </w:t>
      </w:r>
      <w:r w:rsidRPr="00B80EA1">
        <w:rPr>
          <w:color w:val="000000" w:themeColor="text1"/>
        </w:rPr>
        <w:t>compris des substances très persistantes et très mobiles), une proposition fondée sur les normes internationales existantes était déjà en cours d’élaboration au niveau européen et devait être mise en application dans le cadre du Règlement CLP avant fin</w:t>
      </w:r>
      <w:r w:rsidR="00B80EA1">
        <w:rPr>
          <w:color w:val="000000" w:themeColor="text1"/>
        </w:rPr>
        <w:t xml:space="preserve"> 20</w:t>
      </w:r>
      <w:r w:rsidRPr="00B80EA1">
        <w:rPr>
          <w:color w:val="000000" w:themeColor="text1"/>
        </w:rPr>
        <w:t>22. Une fois les critères à appliquer au niveau européen dans le cadre du Règlement CLP adoptés, une proposition en vue de leur inclusion dans le SGH serait soumise au Sous-Comité pour examen pendant la période</w:t>
      </w:r>
      <w:r w:rsidR="00B80EA1">
        <w:rPr>
          <w:color w:val="000000" w:themeColor="text1"/>
        </w:rPr>
        <w:t xml:space="preserve"> 20</w:t>
      </w:r>
      <w:r w:rsidRPr="00B80EA1">
        <w:rPr>
          <w:color w:val="000000" w:themeColor="text1"/>
        </w:rPr>
        <w:t>23-2024.</w:t>
      </w:r>
    </w:p>
    <w:p w14:paraId="0A3077DB" w14:textId="77777777" w:rsidR="00705B57" w:rsidRPr="00B80EA1" w:rsidRDefault="00705B57" w:rsidP="00B80EA1">
      <w:pPr>
        <w:pStyle w:val="SingleTxtG"/>
      </w:pPr>
      <w:r w:rsidRPr="00B80EA1">
        <w:t>58.</w:t>
      </w:r>
      <w:r w:rsidRPr="00B80EA1">
        <w:tab/>
        <w:t>Le Sous-Comité a pris acte de l’engagement de l’Union européenne à envisager de réviser sa réglementation pour la mettre en conformité avec le SGH au cas où les classes de danger déjà prévues par le Règlement CLP seraient intégrées ultérieurement au SGH de façon différente.</w:t>
      </w:r>
    </w:p>
    <w:p w14:paraId="0072B94C" w14:textId="0318F83C" w:rsidR="00705B57" w:rsidRPr="00B80EA1" w:rsidRDefault="00705B57" w:rsidP="00B80EA1">
      <w:pPr>
        <w:pStyle w:val="SingleTxtG"/>
      </w:pPr>
      <w:r w:rsidRPr="00B80EA1">
        <w:t>59.</w:t>
      </w:r>
      <w:r w:rsidRPr="00B80EA1">
        <w:tab/>
        <w:t xml:space="preserve">Il a également été noté que les répercussions globales des propositions visées au </w:t>
      </w:r>
      <w:r w:rsidR="00E41DFB">
        <w:t xml:space="preserve">paragraphe </w:t>
      </w:r>
      <w:r w:rsidRPr="00B80EA1">
        <w:t>57 feraient l’objet d’une étude et seraient évaluées dans le cadre d’une étude d’impact. Des consultations ouvertes seraient également menées avec des parties prenantes (à l’intérieur et à l’extérieur de l’Union européenne). Les membres du Sous-Comité ont été invités à participer à la consultation ouverte en ligne sur le Règlement CLP prévue entre juillet et octobre</w:t>
      </w:r>
      <w:r w:rsidR="00B80EA1">
        <w:t xml:space="preserve"> 20</w:t>
      </w:r>
      <w:r w:rsidRPr="00B80EA1">
        <w:t>21 sur le site</w:t>
      </w:r>
      <w:r w:rsidR="00B80EA1">
        <w:t xml:space="preserve"> </w:t>
      </w:r>
      <w:r w:rsidRPr="00B80EA1">
        <w:t>Web de la Commission européenne</w:t>
      </w:r>
      <w:r w:rsidRPr="00B80EA1">
        <w:rPr>
          <w:rStyle w:val="FootnoteReference"/>
          <w:color w:val="000000" w:themeColor="text1"/>
        </w:rPr>
        <w:footnoteReference w:id="4"/>
      </w:r>
      <w:r w:rsidRPr="00B80EA1">
        <w:t>.</w:t>
      </w:r>
    </w:p>
    <w:p w14:paraId="4C3B3695" w14:textId="77777777" w:rsidR="00705B57" w:rsidRPr="00B80EA1" w:rsidRDefault="00705B57" w:rsidP="00B80EA1">
      <w:pPr>
        <w:pStyle w:val="SingleTxtG"/>
      </w:pPr>
      <w:r w:rsidRPr="00B80EA1">
        <w:t>60.</w:t>
      </w:r>
      <w:r w:rsidRPr="00B80EA1">
        <w:tab/>
        <w:t>Le Sous-Comité continuera d’être tenu au courant de l’avancement de l’exécution de la stratégie de l’Union européenne pour la durabilité dans le domaine des produits chimiques.</w:t>
      </w:r>
    </w:p>
    <w:p w14:paraId="16A9BEC9" w14:textId="77777777" w:rsidR="00705B57" w:rsidRPr="00B80EA1" w:rsidRDefault="00705B57" w:rsidP="00B80EA1">
      <w:pPr>
        <w:pStyle w:val="H23G"/>
      </w:pPr>
      <w:r w:rsidRPr="00B80EA1">
        <w:tab/>
        <w:t>6.</w:t>
      </w:r>
      <w:r w:rsidRPr="00B80EA1">
        <w:tab/>
        <w:t>Étude sur le rôle des accords commerciaux internationaux dans l’application du SGH</w:t>
      </w:r>
    </w:p>
    <w:p w14:paraId="0908DCFF" w14:textId="5CC99EC6" w:rsidR="00705B57" w:rsidRPr="00B80EA1" w:rsidRDefault="00705B57" w:rsidP="00550B69">
      <w:pPr>
        <w:pStyle w:val="SingleTxtG"/>
        <w:keepNext/>
        <w:tabs>
          <w:tab w:val="clear" w:pos="1701"/>
          <w:tab w:val="clear" w:pos="2268"/>
          <w:tab w:val="clear" w:pos="2835"/>
        </w:tabs>
        <w:ind w:left="3119" w:hanging="1985"/>
        <w:jc w:val="left"/>
        <w:rPr>
          <w:color w:val="000000" w:themeColor="text1"/>
        </w:rPr>
      </w:pPr>
      <w:r w:rsidRPr="00B80EA1">
        <w:rPr>
          <w:i/>
          <w:iCs/>
          <w:color w:val="000000" w:themeColor="text1"/>
        </w:rPr>
        <w:t>Document informel</w:t>
      </w:r>
      <w:r w:rsidR="003D06F0" w:rsidRPr="00B80EA1">
        <w:rPr>
          <w:i/>
          <w:iCs/>
          <w:color w:val="000000" w:themeColor="text1"/>
        </w:rPr>
        <w:t> </w:t>
      </w:r>
      <w:r w:rsidR="003D06F0" w:rsidRPr="00B80EA1">
        <w:rPr>
          <w:color w:val="000000" w:themeColor="text1"/>
        </w:rPr>
        <w:t>:</w:t>
      </w:r>
      <w:r w:rsidRPr="00B80EA1">
        <w:rPr>
          <w:color w:val="000000" w:themeColor="text1"/>
        </w:rPr>
        <w:tab/>
        <w:t>INF.14 (Suède)</w:t>
      </w:r>
      <w:r w:rsidR="00B80EA1">
        <w:rPr>
          <w:color w:val="000000" w:themeColor="text1"/>
        </w:rPr>
        <w:t>.</w:t>
      </w:r>
    </w:p>
    <w:p w14:paraId="3412CA0D" w14:textId="04F775E0" w:rsidR="00705B57" w:rsidRPr="00B80EA1" w:rsidRDefault="00705B57" w:rsidP="00B80EA1">
      <w:pPr>
        <w:pStyle w:val="SingleTxtG"/>
      </w:pPr>
      <w:r w:rsidRPr="00B80EA1">
        <w:t>61.</w:t>
      </w:r>
      <w:r w:rsidRPr="00B80EA1">
        <w:tab/>
        <w:t xml:space="preserve">Le Sous-Comité a pris note des conclusions, présentées aux </w:t>
      </w:r>
      <w:r w:rsidR="00E41DFB">
        <w:t xml:space="preserve">paragraphes </w:t>
      </w:r>
      <w:r w:rsidRPr="00B80EA1">
        <w:t>7 à 10 du document informel INF.14, de l’étude commanditée par l’Agence suédoise des produits chimiques (</w:t>
      </w:r>
      <w:proofErr w:type="spellStart"/>
      <w:r w:rsidRPr="00B80EA1">
        <w:t>KemI</w:t>
      </w:r>
      <w:proofErr w:type="spellEnd"/>
      <w:r w:rsidRPr="00B80EA1">
        <w:t>), qui visait à déterminer si des dispositions environnementales d’accords commerciaux régionaux étaient utilisées pour promouvoir l’application du SGH.</w:t>
      </w:r>
    </w:p>
    <w:p w14:paraId="4FDE1D07" w14:textId="3B57B22F" w:rsidR="00705B57" w:rsidRPr="00B80EA1" w:rsidRDefault="00705B57" w:rsidP="00B80EA1">
      <w:pPr>
        <w:pStyle w:val="SingleTxtG"/>
      </w:pPr>
      <w:r w:rsidRPr="00B80EA1">
        <w:t>62.</w:t>
      </w:r>
      <w:r w:rsidRPr="00B80EA1">
        <w:tab/>
        <w:t>Le Sous-Comité a été informé qu’une étude pilote était en cours pour déterminer dans quelle mesure les renseignements requis aux fins du classement et de l’étiquetage conformément au SGH étaient mis à disposition des pays importateurs de produits chimiques. L’expert de la Suède a indiqué que les premiers résultats pourraient être disponibles avant fin</w:t>
      </w:r>
      <w:r w:rsidR="00B80EA1">
        <w:t xml:space="preserve"> 20</w:t>
      </w:r>
      <w:r w:rsidRPr="00B80EA1">
        <w:t>21, auquel cas ils seraient communiqués au Sous-Comité à sa quarante et unième session.</w:t>
      </w:r>
    </w:p>
    <w:p w14:paraId="170C7A40" w14:textId="77777777" w:rsidR="00705B57" w:rsidRPr="00B80EA1" w:rsidRDefault="00705B57" w:rsidP="00B80EA1">
      <w:pPr>
        <w:pStyle w:val="H23G"/>
      </w:pPr>
      <w:r w:rsidRPr="00B80EA1">
        <w:tab/>
        <w:t>7.</w:t>
      </w:r>
      <w:r w:rsidRPr="00B80EA1">
        <w:tab/>
        <w:t>Activités de l’UNITAR en faveur de l’application du SGH</w:t>
      </w:r>
    </w:p>
    <w:p w14:paraId="54BAA185" w14:textId="2268D78F" w:rsidR="00705B57" w:rsidRPr="00B80EA1" w:rsidRDefault="00705B57" w:rsidP="00B80EA1">
      <w:pPr>
        <w:pStyle w:val="SingleTxtG"/>
      </w:pPr>
      <w:r w:rsidRPr="00B80EA1">
        <w:t>63.</w:t>
      </w:r>
      <w:r w:rsidRPr="00B80EA1">
        <w:tab/>
        <w:t>Le représentant de l’UNITAR a indiqué que des recherches de fond sur l’expérience des pays en ce qui concerne l’application du SGH étaient menées en coordination avec le Partenariat mondial pour le renforcement des capacités en vue de l’application du SGH. D’autres travaux devaient être publiés en</w:t>
      </w:r>
      <w:r w:rsidR="00B80EA1" w:rsidRPr="00B80EA1">
        <w:t xml:space="preserve"> 20</w:t>
      </w:r>
      <w:r w:rsidRPr="00B80EA1">
        <w:t xml:space="preserve">21, notamment une étude sur les enseignements tirés de l’application du SGH et un document d’orientation sur l’élaboration des textes d’application du SGH. Ces informations seraient </w:t>
      </w:r>
      <w:proofErr w:type="gramStart"/>
      <w:r w:rsidRPr="00B80EA1">
        <w:t>mis</w:t>
      </w:r>
      <w:proofErr w:type="gramEnd"/>
      <w:r w:rsidRPr="00B80EA1">
        <w:t xml:space="preserve"> en ligne sur le site Web du Partenariat</w:t>
      </w:r>
      <w:r w:rsidR="00B80EA1">
        <w:t> </w:t>
      </w:r>
      <w:r w:rsidRPr="00B80EA1">
        <w:t>mondial</w:t>
      </w:r>
      <w:r w:rsidRPr="00B80EA1">
        <w:rPr>
          <w:rStyle w:val="FootnoteReference"/>
          <w:color w:val="000000" w:themeColor="text1"/>
        </w:rPr>
        <w:footnoteReference w:id="5"/>
      </w:r>
      <w:r w:rsidRPr="00B80EA1">
        <w:t>.</w:t>
      </w:r>
    </w:p>
    <w:p w14:paraId="16D354F8" w14:textId="77777777" w:rsidR="00705B57" w:rsidRPr="00B80EA1" w:rsidRDefault="00705B57" w:rsidP="00B80EA1">
      <w:pPr>
        <w:pStyle w:val="SingleTxtG"/>
      </w:pPr>
      <w:r w:rsidRPr="00B80EA1">
        <w:t>64.</w:t>
      </w:r>
      <w:r w:rsidRPr="00B80EA1">
        <w:tab/>
        <w:t>Le Sous-Comité a également pris note de la publication d’un document sur les synergies entre les instruments de l’OIT et le SGH, établi par l’OIT.</w:t>
      </w:r>
    </w:p>
    <w:p w14:paraId="446F65EA" w14:textId="77777777" w:rsidR="00705B57" w:rsidRPr="00B80EA1" w:rsidRDefault="00705B57" w:rsidP="00B80EA1">
      <w:pPr>
        <w:pStyle w:val="H1G"/>
      </w:pPr>
      <w:r w:rsidRPr="00B80EA1">
        <w:tab/>
        <w:t>C.</w:t>
      </w:r>
      <w:r w:rsidRPr="00B80EA1">
        <w:tab/>
      </w:r>
      <w:r w:rsidRPr="00B80EA1">
        <w:tab/>
        <w:t>Coopération avec d’autres organes ou organisations internationales</w:t>
      </w:r>
    </w:p>
    <w:p w14:paraId="00A5A837" w14:textId="76F50414" w:rsidR="00705B57" w:rsidRPr="00B80EA1" w:rsidRDefault="00705B57" w:rsidP="00B80EA1">
      <w:pPr>
        <w:pStyle w:val="SingleTxtG"/>
      </w:pPr>
      <w:r w:rsidRPr="00B80EA1">
        <w:t>65.</w:t>
      </w:r>
      <w:r w:rsidRPr="00B80EA1">
        <w:tab/>
        <w:t xml:space="preserve">Aucun document n’ayant été soumis au titre de ce </w:t>
      </w:r>
      <w:r w:rsidR="00E41DFB">
        <w:t xml:space="preserve">point </w:t>
      </w:r>
      <w:r w:rsidRPr="00B80EA1">
        <w:t>de l’ordre du jour, la question n’a pas été abordée.</w:t>
      </w:r>
    </w:p>
    <w:p w14:paraId="6E32F02A" w14:textId="77777777" w:rsidR="00705B57" w:rsidRPr="00B80EA1" w:rsidRDefault="00705B57" w:rsidP="00B80EA1">
      <w:pPr>
        <w:pStyle w:val="H1G"/>
      </w:pPr>
      <w:r w:rsidRPr="00B80EA1">
        <w:tab/>
        <w:t>D.</w:t>
      </w:r>
      <w:r w:rsidRPr="00B80EA1">
        <w:tab/>
        <w:t>Autres questions</w:t>
      </w:r>
    </w:p>
    <w:p w14:paraId="33345F37" w14:textId="138D31D4" w:rsidR="00705B57" w:rsidRPr="00B80EA1" w:rsidRDefault="00705B57" w:rsidP="00B80EA1">
      <w:pPr>
        <w:pStyle w:val="SingleTxtG"/>
      </w:pPr>
      <w:r w:rsidRPr="00B80EA1">
        <w:t>66.</w:t>
      </w:r>
      <w:r w:rsidRPr="00B80EA1">
        <w:tab/>
        <w:t xml:space="preserve">Aucun document n’ayant été soumis au titre de ce </w:t>
      </w:r>
      <w:r w:rsidR="00E41DFB">
        <w:t xml:space="preserve">point </w:t>
      </w:r>
      <w:r w:rsidRPr="00B80EA1">
        <w:t>de l’ordre du jour, la question n’a pas été abordée.</w:t>
      </w:r>
    </w:p>
    <w:p w14:paraId="7B358BD5" w14:textId="17123BCD" w:rsidR="00705B57" w:rsidRPr="00B80EA1" w:rsidRDefault="00705B57" w:rsidP="00B80EA1">
      <w:pPr>
        <w:pStyle w:val="HChG"/>
      </w:pPr>
      <w:r w:rsidRPr="00B80EA1">
        <w:tab/>
        <w:t>V.</w:t>
      </w:r>
      <w:r w:rsidRPr="00B80EA1">
        <w:tab/>
        <w:t xml:space="preserve">Mise au </w:t>
      </w:r>
      <w:r w:rsidR="00E41DFB">
        <w:t xml:space="preserve">point </w:t>
      </w:r>
      <w:r w:rsidRPr="00B80EA1">
        <w:t>de directives pour l’application des critères du</w:t>
      </w:r>
      <w:r w:rsidR="00B80EA1">
        <w:t> </w:t>
      </w:r>
      <w:r w:rsidRPr="00B80EA1">
        <w:t>SGH (</w:t>
      </w:r>
      <w:r w:rsidR="00E41DFB">
        <w:t xml:space="preserve">point </w:t>
      </w:r>
      <w:r w:rsidRPr="00B80EA1">
        <w:t>4 de l’ordre du jour)</w:t>
      </w:r>
    </w:p>
    <w:p w14:paraId="504255D3" w14:textId="7F9EA142" w:rsidR="00705B57" w:rsidRPr="00B80EA1" w:rsidRDefault="00705B57" w:rsidP="00B80EA1">
      <w:pPr>
        <w:pStyle w:val="H1G"/>
      </w:pPr>
      <w:r w:rsidRPr="00B80EA1">
        <w:tab/>
        <w:t>A.</w:t>
      </w:r>
      <w:r w:rsidRPr="00B80EA1">
        <w:tab/>
        <w:t>Alignement de l’</w:t>
      </w:r>
      <w:r w:rsidR="0050077B" w:rsidRPr="00B80EA1">
        <w:t xml:space="preserve">annexe </w:t>
      </w:r>
      <w:r w:rsidRPr="00B80EA1">
        <w:t>9 (sect.</w:t>
      </w:r>
      <w:r w:rsidR="00B80EA1">
        <w:t> </w:t>
      </w:r>
      <w:r w:rsidRPr="00B80EA1">
        <w:t>A9.7) et de l’</w:t>
      </w:r>
      <w:r w:rsidR="0050077B" w:rsidRPr="00B80EA1">
        <w:t xml:space="preserve">annexe </w:t>
      </w:r>
      <w:r w:rsidRPr="00B80EA1">
        <w:t xml:space="preserve">10 sur les critères du </w:t>
      </w:r>
      <w:r w:rsidR="00E41DFB">
        <w:t xml:space="preserve">chapitre </w:t>
      </w:r>
      <w:r w:rsidRPr="00B80EA1">
        <w:t>4.1</w:t>
      </w:r>
    </w:p>
    <w:p w14:paraId="1BE36BC7" w14:textId="4798FC5E" w:rsidR="00705B57" w:rsidRPr="00B80EA1" w:rsidRDefault="00705B57" w:rsidP="00B80EA1">
      <w:pPr>
        <w:pStyle w:val="SingleTxtG"/>
      </w:pPr>
      <w:r w:rsidRPr="00B80EA1">
        <w:t>67.</w:t>
      </w:r>
      <w:r w:rsidRPr="00B80EA1">
        <w:tab/>
        <w:t>La représentante du Conseil international des mines et des métaux (CIMM) a informé le Sous-Comité des activités menées par le groupe de travail informel depuis la trente</w:t>
      </w:r>
      <w:r w:rsidR="0088159D">
        <w:noBreakHyphen/>
      </w:r>
      <w:r w:rsidRPr="00B80EA1">
        <w:t>neuvième session. Elle a mentionné que deux cycles de soumission d’observations écrites avaient été menés à bien, que le groupe de travail informel avait déjà procédé à l’examen approfondi de deux des questions ouvertes soulevées dans le document informel INF.9/Rev.1 (trente-neuvième session) et que deux autres questions restaient à examiner. Le Sous-Comité a pris note de l’avancement des travaux du groupe de travail informel en vue de la soumission d’un document pour examen à sa quarante et unième session.</w:t>
      </w:r>
    </w:p>
    <w:p w14:paraId="7EAA68E3" w14:textId="77777777" w:rsidR="00705B57" w:rsidRPr="00B80EA1" w:rsidRDefault="00705B57" w:rsidP="00E41DFB">
      <w:pPr>
        <w:pStyle w:val="H1G"/>
      </w:pPr>
      <w:r w:rsidRPr="00B80EA1">
        <w:tab/>
        <w:t>B.</w:t>
      </w:r>
      <w:r w:rsidRPr="00B80EA1">
        <w:tab/>
        <w:t>Questions pratiques de classification</w:t>
      </w:r>
    </w:p>
    <w:p w14:paraId="6A86C420" w14:textId="68F60E8C" w:rsidR="00705B57" w:rsidRPr="00B80EA1" w:rsidRDefault="00705B57" w:rsidP="00550B69">
      <w:pPr>
        <w:pStyle w:val="SingleTxtG"/>
        <w:keepNext/>
        <w:tabs>
          <w:tab w:val="clear" w:pos="1701"/>
          <w:tab w:val="clear" w:pos="2268"/>
          <w:tab w:val="clear" w:pos="2835"/>
        </w:tabs>
        <w:ind w:left="3119" w:hanging="1985"/>
        <w:jc w:val="left"/>
        <w:rPr>
          <w:color w:val="000000" w:themeColor="text1"/>
        </w:rPr>
      </w:pPr>
      <w:r w:rsidRPr="00B80EA1">
        <w:rPr>
          <w:i/>
          <w:iCs/>
          <w:color w:val="000000" w:themeColor="text1"/>
        </w:rPr>
        <w:t>Document informel</w:t>
      </w:r>
      <w:r w:rsidR="003D06F0" w:rsidRPr="00B80EA1">
        <w:rPr>
          <w:i/>
          <w:iCs/>
          <w:color w:val="000000" w:themeColor="text1"/>
        </w:rPr>
        <w:t> </w:t>
      </w:r>
      <w:r w:rsidR="003D06F0" w:rsidRPr="00E41DFB">
        <w:rPr>
          <w:color w:val="000000" w:themeColor="text1"/>
        </w:rPr>
        <w:t>:</w:t>
      </w:r>
      <w:r w:rsidRPr="00B80EA1">
        <w:rPr>
          <w:color w:val="000000" w:themeColor="text1"/>
        </w:rPr>
        <w:tab/>
        <w:t>INF.20 (États-Unis d’Amérique)</w:t>
      </w:r>
      <w:r w:rsidR="00E41DFB">
        <w:rPr>
          <w:color w:val="000000" w:themeColor="text1"/>
        </w:rPr>
        <w:t>.</w:t>
      </w:r>
    </w:p>
    <w:p w14:paraId="4F1EDC9C" w14:textId="5B2C1B45" w:rsidR="00705B57" w:rsidRPr="00B80EA1" w:rsidRDefault="00705B57" w:rsidP="00E41DFB">
      <w:pPr>
        <w:pStyle w:val="SingleTxtG"/>
      </w:pPr>
      <w:r w:rsidRPr="00B80EA1">
        <w:t>68.</w:t>
      </w:r>
      <w:r w:rsidRPr="00B80EA1">
        <w:tab/>
        <w:t xml:space="preserve">Le Sous-Comité a noté que le groupe de travail informel avait décidé de reporter l’examen du </w:t>
      </w:r>
      <w:r w:rsidR="00E41DFB">
        <w:t xml:space="preserve">point </w:t>
      </w:r>
      <w:r w:rsidRPr="00B80EA1">
        <w:t xml:space="preserve">f) de son programme de travail en attendant l’achèvement des travaux sur les </w:t>
      </w:r>
      <w:r w:rsidR="00E41DFB">
        <w:t xml:space="preserve">points </w:t>
      </w:r>
      <w:r w:rsidRPr="00B80EA1">
        <w:t>c) et d).</w:t>
      </w:r>
    </w:p>
    <w:p w14:paraId="6E023678" w14:textId="7E7E157F" w:rsidR="00705B57" w:rsidRPr="00B80EA1" w:rsidRDefault="00705B57" w:rsidP="00705B57">
      <w:pPr>
        <w:pStyle w:val="SingleTxtG"/>
        <w:rPr>
          <w:color w:val="000000" w:themeColor="text1"/>
        </w:rPr>
      </w:pPr>
      <w:r w:rsidRPr="00B80EA1">
        <w:rPr>
          <w:color w:val="000000" w:themeColor="text1"/>
        </w:rPr>
        <w:t>69.</w:t>
      </w:r>
      <w:r w:rsidRPr="00B80EA1">
        <w:rPr>
          <w:color w:val="000000" w:themeColor="text1"/>
        </w:rPr>
        <w:tab/>
        <w:t xml:space="preserve">Concernant le </w:t>
      </w:r>
      <w:r w:rsidR="00E41DFB">
        <w:rPr>
          <w:color w:val="000000" w:themeColor="text1"/>
        </w:rPr>
        <w:t xml:space="preserve">point </w:t>
      </w:r>
      <w:r w:rsidRPr="00B80EA1">
        <w:rPr>
          <w:color w:val="000000" w:themeColor="text1"/>
        </w:rPr>
        <w:t>c) (document d’orientation relatif à la conversion des valeurs de toxicité à l’inhalation pour les données d’essai obtenues avec une durée d’exposition autre que 1</w:t>
      </w:r>
      <w:r w:rsidR="00E41DFB">
        <w:rPr>
          <w:color w:val="000000" w:themeColor="text1"/>
        </w:rPr>
        <w:t> </w:t>
      </w:r>
      <w:r w:rsidRPr="00B80EA1">
        <w:rPr>
          <w:color w:val="000000" w:themeColor="text1"/>
        </w:rPr>
        <w:t>heure), le Sous-Comité a été informé que le groupe était parvenu à un accord sur plusieurs principes</w:t>
      </w:r>
      <w:r w:rsidR="00E41DFB">
        <w:rPr>
          <w:color w:val="000000" w:themeColor="text1"/>
        </w:rPr>
        <w:t xml:space="preserve"> clef</w:t>
      </w:r>
      <w:r w:rsidRPr="00B80EA1">
        <w:rPr>
          <w:color w:val="000000" w:themeColor="text1"/>
        </w:rPr>
        <w:t>s pour le document d’orientation et qu’une proposition devait être soumise pour examen à sa quarante et unième session.</w:t>
      </w:r>
    </w:p>
    <w:p w14:paraId="65F085B7" w14:textId="2EB9740A" w:rsidR="00705B57" w:rsidRPr="00B80EA1" w:rsidRDefault="00705B57" w:rsidP="00E41DFB">
      <w:pPr>
        <w:pStyle w:val="SingleTxtG"/>
      </w:pPr>
      <w:r w:rsidRPr="00B80EA1">
        <w:t>70.</w:t>
      </w:r>
      <w:r w:rsidRPr="00B80EA1">
        <w:tab/>
        <w:t xml:space="preserve">Concernant le </w:t>
      </w:r>
      <w:r w:rsidR="00E41DFB">
        <w:t xml:space="preserve">point </w:t>
      </w:r>
      <w:r w:rsidRPr="00B80EA1">
        <w:t xml:space="preserve">d) (additivité), le Sous-Comité a été informé qu’à l’issue des débats sur une piste de réflexion, l’Agence européenne des produits chimiques était en train de réfléchir à la meilleure manière de procéder pour proposer un texte pour le </w:t>
      </w:r>
      <w:r w:rsidR="00E41DFB">
        <w:t xml:space="preserve">chapitre </w:t>
      </w:r>
      <w:r w:rsidRPr="00B80EA1">
        <w:t>1.3 ainsi qu’à la nécessité d’élaborer un document d’orientation supplémentaire.</w:t>
      </w:r>
    </w:p>
    <w:p w14:paraId="57469B84" w14:textId="77777777" w:rsidR="00705B57" w:rsidRPr="00B80EA1" w:rsidRDefault="00705B57" w:rsidP="00E41DFB">
      <w:pPr>
        <w:pStyle w:val="H1G"/>
      </w:pPr>
      <w:r w:rsidRPr="00B80EA1">
        <w:tab/>
        <w:t>C.</w:t>
      </w:r>
      <w:r w:rsidRPr="00B80EA1">
        <w:tab/>
        <w:t>Questions pratiques d’étiquetage</w:t>
      </w:r>
    </w:p>
    <w:p w14:paraId="4AC8EF38" w14:textId="460B9900" w:rsidR="00705B57" w:rsidRPr="00B80EA1" w:rsidRDefault="00705B57" w:rsidP="00550B69">
      <w:pPr>
        <w:pStyle w:val="SingleTxtG"/>
        <w:keepNext/>
        <w:tabs>
          <w:tab w:val="clear" w:pos="1701"/>
          <w:tab w:val="clear" w:pos="2268"/>
          <w:tab w:val="clear" w:pos="2835"/>
        </w:tabs>
        <w:ind w:left="3119" w:hanging="1985"/>
        <w:jc w:val="left"/>
        <w:rPr>
          <w:color w:val="000000" w:themeColor="text1"/>
        </w:rPr>
      </w:pPr>
      <w:r w:rsidRPr="00B80EA1">
        <w:rPr>
          <w:i/>
          <w:iCs/>
          <w:color w:val="000000" w:themeColor="text1"/>
        </w:rPr>
        <w:t>Document informel</w:t>
      </w:r>
      <w:r w:rsidR="003D06F0" w:rsidRPr="00B80EA1">
        <w:rPr>
          <w:i/>
          <w:iCs/>
          <w:color w:val="000000" w:themeColor="text1"/>
        </w:rPr>
        <w:t> </w:t>
      </w:r>
      <w:r w:rsidR="003D06F0" w:rsidRPr="00E41DFB">
        <w:rPr>
          <w:color w:val="000000" w:themeColor="text1"/>
        </w:rPr>
        <w:t>:</w:t>
      </w:r>
      <w:r w:rsidRPr="00B80EA1">
        <w:rPr>
          <w:color w:val="000000" w:themeColor="text1"/>
        </w:rPr>
        <w:tab/>
        <w:t>INF.9 (CEFIC)</w:t>
      </w:r>
      <w:r w:rsidR="00E41DFB">
        <w:rPr>
          <w:color w:val="000000" w:themeColor="text1"/>
        </w:rPr>
        <w:t>.</w:t>
      </w:r>
    </w:p>
    <w:p w14:paraId="198E1023" w14:textId="0D12804C" w:rsidR="00705B57" w:rsidRPr="00B80EA1" w:rsidRDefault="00705B57" w:rsidP="00E41DFB">
      <w:pPr>
        <w:pStyle w:val="SingleTxtG"/>
      </w:pPr>
      <w:r w:rsidRPr="00B80EA1">
        <w:t>71.</w:t>
      </w:r>
      <w:r w:rsidRPr="00B80EA1">
        <w:tab/>
        <w:t xml:space="preserve">Le Sous-Comité a pris note des questions formulées au </w:t>
      </w:r>
      <w:r w:rsidR="00E41DFB">
        <w:t xml:space="preserve">paragraphe </w:t>
      </w:r>
      <w:r w:rsidRPr="00B80EA1">
        <w:t xml:space="preserve">5 du document informel INF.9. Un expert a suggéré d’examiner également à quel </w:t>
      </w:r>
      <w:r w:rsidR="00E41DFB">
        <w:t xml:space="preserve">point </w:t>
      </w:r>
      <w:r w:rsidRPr="00B80EA1">
        <w:t>il était difficile d’appliquer le passage au numérique sur le lieu de travail.</w:t>
      </w:r>
    </w:p>
    <w:p w14:paraId="7A0DCB8E" w14:textId="1E2FA6A6" w:rsidR="00705B57" w:rsidRPr="00B80EA1" w:rsidRDefault="00705B57" w:rsidP="00E41DFB">
      <w:pPr>
        <w:pStyle w:val="SingleTxtG"/>
      </w:pPr>
      <w:r w:rsidRPr="00B80EA1">
        <w:t>72.</w:t>
      </w:r>
      <w:r w:rsidRPr="00B80EA1">
        <w:tab/>
        <w:t>Le représentant du CEFIC a invité les experts à faire part au groupe de travail informel de leur éventuelle expérience en matière de dématérialisation des informations sur les</w:t>
      </w:r>
      <w:r w:rsidR="0088159D">
        <w:t> </w:t>
      </w:r>
      <w:r w:rsidRPr="00B80EA1">
        <w:t>dangers.</w:t>
      </w:r>
    </w:p>
    <w:p w14:paraId="7E46F34E" w14:textId="77777777" w:rsidR="00705B57" w:rsidRPr="00B80EA1" w:rsidRDefault="00705B57" w:rsidP="00E41DFB">
      <w:pPr>
        <w:pStyle w:val="H1G"/>
      </w:pPr>
      <w:r w:rsidRPr="00B80EA1">
        <w:tab/>
        <w:t>D.</w:t>
      </w:r>
      <w:r w:rsidRPr="00B80EA1">
        <w:tab/>
        <w:t>Autres questions</w:t>
      </w:r>
    </w:p>
    <w:p w14:paraId="02F0E6C2" w14:textId="3A527CC1" w:rsidR="00705B57" w:rsidRPr="00B80EA1" w:rsidRDefault="00705B57" w:rsidP="00E41DFB">
      <w:pPr>
        <w:pStyle w:val="SingleTxtG"/>
      </w:pPr>
      <w:r w:rsidRPr="00B80EA1">
        <w:t>73.</w:t>
      </w:r>
      <w:r w:rsidRPr="00B80EA1">
        <w:tab/>
        <w:t xml:space="preserve">Aucun document n’ayant été soumis au titre de ce </w:t>
      </w:r>
      <w:r w:rsidR="00E41DFB">
        <w:t xml:space="preserve">point </w:t>
      </w:r>
      <w:r w:rsidRPr="00B80EA1">
        <w:t>de l’ordre du jour, la question n’a pas été abordée.</w:t>
      </w:r>
    </w:p>
    <w:p w14:paraId="6ED157D9" w14:textId="62415FEC" w:rsidR="00705B57" w:rsidRPr="00B80EA1" w:rsidRDefault="00705B57" w:rsidP="00E41DFB">
      <w:pPr>
        <w:pStyle w:val="HChG"/>
      </w:pPr>
      <w:r w:rsidRPr="00B80EA1">
        <w:tab/>
        <w:t>VI.</w:t>
      </w:r>
      <w:r w:rsidRPr="00B80EA1">
        <w:tab/>
        <w:t>Renforcement des capacités (</w:t>
      </w:r>
      <w:r w:rsidR="00E41DFB">
        <w:t xml:space="preserve">point </w:t>
      </w:r>
      <w:r w:rsidRPr="00B80EA1">
        <w:t>5 de l’ordre du jour)</w:t>
      </w:r>
    </w:p>
    <w:p w14:paraId="70240296" w14:textId="63460BAD" w:rsidR="00705B57" w:rsidRPr="00B80EA1" w:rsidRDefault="00705B57" w:rsidP="00E41DFB">
      <w:pPr>
        <w:pStyle w:val="SingleTxtG"/>
      </w:pPr>
      <w:r w:rsidRPr="00B80EA1">
        <w:t>74.</w:t>
      </w:r>
      <w:r w:rsidRPr="00B80EA1">
        <w:tab/>
        <w:t>Le représentant de l’UNITAR a indiqué que les travaux visant à aider le Ghana et Kiribati à élaborer une législation pour appliquer le SGH étaient en cours et qu’un séminaire technique sur les fiches de données de sécurité, l’étiquetage et la recherche de données, à l’intention des parties prenantes hispanophones, avait été organisé en juin</w:t>
      </w:r>
      <w:r w:rsidR="00B80EA1">
        <w:t xml:space="preserve"> 20</w:t>
      </w:r>
      <w:r w:rsidRPr="00B80EA1">
        <w:t>21. Le Sous</w:t>
      </w:r>
      <w:r w:rsidR="00E41DFB">
        <w:noBreakHyphen/>
      </w:r>
      <w:r w:rsidRPr="00B80EA1">
        <w:t>Comité a pris note du fait que les prochains cycles de cours en ligne de l’UNITAR sur le</w:t>
      </w:r>
      <w:r w:rsidR="00E41DFB">
        <w:t xml:space="preserve"> </w:t>
      </w:r>
      <w:r w:rsidRPr="00B80EA1">
        <w:t>SGH auraient lieu du</w:t>
      </w:r>
      <w:r w:rsidR="00B80EA1">
        <w:t xml:space="preserve"> 20</w:t>
      </w:r>
      <w:r w:rsidRPr="00B80EA1">
        <w:t> septembre au 29 novembre (en anglais) et du 27 septembre au 6 décembre</w:t>
      </w:r>
      <w:r w:rsidR="00B80EA1">
        <w:t xml:space="preserve"> 20</w:t>
      </w:r>
      <w:r w:rsidRPr="00B80EA1">
        <w:t>21 (en espagnol).</w:t>
      </w:r>
    </w:p>
    <w:p w14:paraId="308434D8" w14:textId="6E753D7E" w:rsidR="00705B57" w:rsidRPr="00B80EA1" w:rsidRDefault="00705B57" w:rsidP="00E41DFB">
      <w:pPr>
        <w:pStyle w:val="SingleTxtG"/>
      </w:pPr>
      <w:r w:rsidRPr="00B80EA1">
        <w:t>75.</w:t>
      </w:r>
      <w:r w:rsidRPr="00B80EA1">
        <w:tab/>
        <w:t xml:space="preserve">L’expert de l’Argentine a présenté une synthèse des activités menées dans son pays pour favoriser l’application du SGH, notamment une assistance technique visant à aider l’industrie à mettre au </w:t>
      </w:r>
      <w:r w:rsidR="00E41DFB">
        <w:t xml:space="preserve">point </w:t>
      </w:r>
      <w:r w:rsidRPr="00B80EA1">
        <w:t>des fiches de données de sécurité, une classification, un étiquetage et des épreuves conformes au SGH, ainsi que des activités menées dans le cadre d’un projet du Fonds pour l’environnement mondial.</w:t>
      </w:r>
    </w:p>
    <w:p w14:paraId="5AEC2227" w14:textId="6DADB07E" w:rsidR="00705B57" w:rsidRPr="00B80EA1" w:rsidRDefault="00705B57" w:rsidP="00550B69">
      <w:pPr>
        <w:pStyle w:val="SingleTxtG"/>
        <w:keepNext/>
        <w:tabs>
          <w:tab w:val="clear" w:pos="1701"/>
          <w:tab w:val="clear" w:pos="2268"/>
          <w:tab w:val="clear" w:pos="2835"/>
        </w:tabs>
        <w:ind w:left="3119" w:hanging="1985"/>
        <w:jc w:val="left"/>
        <w:rPr>
          <w:color w:val="000000" w:themeColor="text1"/>
        </w:rPr>
      </w:pPr>
      <w:r w:rsidRPr="00B80EA1">
        <w:rPr>
          <w:i/>
          <w:iCs/>
          <w:color w:val="000000" w:themeColor="text1"/>
        </w:rPr>
        <w:t>Document informel</w:t>
      </w:r>
      <w:r w:rsidR="003D06F0" w:rsidRPr="00B80EA1">
        <w:rPr>
          <w:i/>
          <w:iCs/>
          <w:color w:val="000000" w:themeColor="text1"/>
        </w:rPr>
        <w:t> </w:t>
      </w:r>
      <w:r w:rsidR="003D06F0" w:rsidRPr="00E41DFB">
        <w:rPr>
          <w:color w:val="000000" w:themeColor="text1"/>
        </w:rPr>
        <w:t>:</w:t>
      </w:r>
      <w:r w:rsidRPr="00B80EA1">
        <w:rPr>
          <w:color w:val="000000" w:themeColor="text1"/>
        </w:rPr>
        <w:tab/>
        <w:t>INF.11 (RPMASA)</w:t>
      </w:r>
      <w:r w:rsidR="00E41DFB">
        <w:rPr>
          <w:color w:val="000000" w:themeColor="text1"/>
        </w:rPr>
        <w:t>.</w:t>
      </w:r>
    </w:p>
    <w:p w14:paraId="2FE70A49" w14:textId="77777777" w:rsidR="00705B57" w:rsidRPr="00B80EA1" w:rsidRDefault="00705B57" w:rsidP="00705B57">
      <w:pPr>
        <w:pStyle w:val="SingleTxtG"/>
        <w:spacing w:before="240"/>
        <w:rPr>
          <w:color w:val="000000" w:themeColor="text1"/>
        </w:rPr>
      </w:pPr>
      <w:r w:rsidRPr="00B80EA1">
        <w:rPr>
          <w:color w:val="000000" w:themeColor="text1"/>
        </w:rPr>
        <w:t>76.</w:t>
      </w:r>
      <w:r w:rsidRPr="00B80EA1">
        <w:rPr>
          <w:color w:val="000000" w:themeColor="text1"/>
        </w:rPr>
        <w:tab/>
        <w:t>Le Sous-Comité a pris note des informations communiquées par la RPMASA sur les activités de renforcement des capacités menées en Afrique du Sud.</w:t>
      </w:r>
    </w:p>
    <w:p w14:paraId="4D825D5F" w14:textId="7A96A94C" w:rsidR="00705B57" w:rsidRPr="00B80EA1" w:rsidRDefault="00705B57" w:rsidP="00E41DFB">
      <w:pPr>
        <w:pStyle w:val="HChG"/>
      </w:pPr>
      <w:r w:rsidRPr="00B80EA1">
        <w:tab/>
        <w:t>VII.</w:t>
      </w:r>
      <w:r w:rsidRPr="00B80EA1">
        <w:tab/>
        <w:t>Questions diverses (</w:t>
      </w:r>
      <w:r w:rsidR="00E41DFB">
        <w:t xml:space="preserve">point </w:t>
      </w:r>
      <w:r w:rsidRPr="00B80EA1">
        <w:t>6 de l’ordre du jour)</w:t>
      </w:r>
    </w:p>
    <w:p w14:paraId="1D44F0F6" w14:textId="57BBC9BE" w:rsidR="00705B57" w:rsidRPr="00B80EA1" w:rsidRDefault="00705B57" w:rsidP="00E41DFB">
      <w:pPr>
        <w:pStyle w:val="H1G"/>
      </w:pPr>
      <w:r w:rsidRPr="00B80EA1">
        <w:tab/>
        <w:t>A.</w:t>
      </w:r>
      <w:r w:rsidRPr="00B80EA1">
        <w:tab/>
        <w:t>Séminaire organisé à la suite de l’explosion survenue dans le port de</w:t>
      </w:r>
      <w:r w:rsidR="00E41DFB">
        <w:t> </w:t>
      </w:r>
      <w:r w:rsidRPr="00B80EA1">
        <w:t>Beyrouth en</w:t>
      </w:r>
      <w:r w:rsidR="00B80EA1">
        <w:t xml:space="preserve"> 20</w:t>
      </w:r>
      <w:r w:rsidRPr="00B80EA1">
        <w:t>20</w:t>
      </w:r>
    </w:p>
    <w:p w14:paraId="78DCD2F9" w14:textId="17C82FBF" w:rsidR="00705B57" w:rsidRPr="00B80EA1" w:rsidRDefault="00705B57" w:rsidP="00550B69">
      <w:pPr>
        <w:pStyle w:val="SingleTxtG"/>
        <w:keepNext/>
        <w:tabs>
          <w:tab w:val="clear" w:pos="1701"/>
          <w:tab w:val="clear" w:pos="2268"/>
          <w:tab w:val="clear" w:pos="2835"/>
        </w:tabs>
        <w:ind w:left="3119" w:hanging="1985"/>
        <w:jc w:val="left"/>
        <w:rPr>
          <w:color w:val="000000" w:themeColor="text1"/>
        </w:rPr>
      </w:pPr>
      <w:r w:rsidRPr="00B80EA1">
        <w:rPr>
          <w:i/>
          <w:iCs/>
          <w:color w:val="000000" w:themeColor="text1"/>
        </w:rPr>
        <w:t>Document informel</w:t>
      </w:r>
      <w:r w:rsidR="003D06F0" w:rsidRPr="00B80EA1">
        <w:rPr>
          <w:i/>
          <w:iCs/>
          <w:color w:val="000000" w:themeColor="text1"/>
        </w:rPr>
        <w:t> </w:t>
      </w:r>
      <w:r w:rsidR="003D06F0" w:rsidRPr="00E41DFB">
        <w:rPr>
          <w:color w:val="000000" w:themeColor="text1"/>
        </w:rPr>
        <w:t>:</w:t>
      </w:r>
      <w:r w:rsidRPr="00B80EA1">
        <w:rPr>
          <w:color w:val="000000" w:themeColor="text1"/>
        </w:rPr>
        <w:tab/>
        <w:t>INF.16 (secrétariat de la Convention de la CEE sur les effets transfrontières des accidents industriels)</w:t>
      </w:r>
      <w:r w:rsidR="00E41DFB">
        <w:rPr>
          <w:color w:val="000000" w:themeColor="text1"/>
        </w:rPr>
        <w:t>.</w:t>
      </w:r>
    </w:p>
    <w:p w14:paraId="4A9690D8" w14:textId="6FD3A96B" w:rsidR="00705B57" w:rsidRPr="00B80EA1" w:rsidRDefault="00705B57" w:rsidP="00E41DFB">
      <w:pPr>
        <w:pStyle w:val="SingleTxtG"/>
      </w:pPr>
      <w:r w:rsidRPr="00B80EA1">
        <w:t>77.</w:t>
      </w:r>
      <w:r w:rsidRPr="00B80EA1">
        <w:tab/>
        <w:t>Le Sous-Comité a pris note des informations concernant l’organisation d’un séminaire en ligne sur les expériences, les bonnes pratiques et les enseignements tirés à la suite de l’explosion d’une importante quantité de nitrate d’ammonium survenue dans le port de Beyrouth le 4 août</w:t>
      </w:r>
      <w:r w:rsidR="00B80EA1">
        <w:t xml:space="preserve"> 20</w:t>
      </w:r>
      <w:r w:rsidRPr="00B80EA1">
        <w:t>20. Les experts qui souhaitaient participer au séminaire en tant que membres du groupe consultatif, en répondant à une enquête sur les orientations et les bonnes pratiques existantes ou en faisant part de leurs connaissances, ont été invités à prendre contact avec le secrétariat. Il a été indiqué que l’enquête était en cours d’élaboration et qu’elle devrait être disponible prochainement.</w:t>
      </w:r>
    </w:p>
    <w:p w14:paraId="0D3F8803" w14:textId="77777777" w:rsidR="00705B57" w:rsidRPr="00B80EA1" w:rsidRDefault="00705B57" w:rsidP="00E41DFB">
      <w:pPr>
        <w:pStyle w:val="SingleTxtG"/>
      </w:pPr>
      <w:r w:rsidRPr="00B80EA1">
        <w:t>78.</w:t>
      </w:r>
      <w:r w:rsidRPr="00B80EA1">
        <w:tab/>
        <w:t>L’expert des États-Unis d’Amérique a dit qu’il souhaitait réfléchir à la manière dont il pouvait participer et contribuer au séminaire.</w:t>
      </w:r>
    </w:p>
    <w:p w14:paraId="595190E3" w14:textId="77777777" w:rsidR="00705B57" w:rsidRPr="00B80EA1" w:rsidRDefault="00705B57" w:rsidP="00E41DFB">
      <w:pPr>
        <w:pStyle w:val="H1G"/>
      </w:pPr>
      <w:r w:rsidRPr="00B80EA1">
        <w:tab/>
        <w:t>B.</w:t>
      </w:r>
      <w:r w:rsidRPr="00B80EA1">
        <w:tab/>
        <w:t>Dates de la quarante et unième session et délais de soumission</w:t>
      </w:r>
    </w:p>
    <w:p w14:paraId="29303E57" w14:textId="67B670F6" w:rsidR="00705B57" w:rsidRPr="00B80EA1" w:rsidRDefault="00705B57" w:rsidP="00E41DFB">
      <w:pPr>
        <w:pStyle w:val="SingleTxtG"/>
      </w:pPr>
      <w:bookmarkStart w:id="1" w:name="_Hlk76294479"/>
      <w:r w:rsidRPr="00B80EA1">
        <w:t>79.</w:t>
      </w:r>
      <w:r w:rsidRPr="00B80EA1">
        <w:tab/>
        <w:t>Un membre du secrétariat a informé le Sous-Comité que le calendrier des réunions pour</w:t>
      </w:r>
      <w:r w:rsidR="00B80EA1">
        <w:t xml:space="preserve"> 20</w:t>
      </w:r>
      <w:r w:rsidRPr="00B80EA1">
        <w:t>21 était examiné chaque trimestre par la Section de la gestion des réunions de la Division de la gestion des conférences et que la planification du dernier trimestre de l’année était toujours à l’étude. Il a été indiqué que, même si c’était peu probable, on ne pouvait pas exclure complètement la possibilité que des modifications soient apportées à l’organisation de la quarante et unième session du Sous-Comité. En attendant l’issue des discussions sur la planification au niveau de la CEE, le Sous-Comité a été invité à prendre note des dates de sa quarante et unième session et des délais de soumission des documents, à savoir</w:t>
      </w:r>
      <w:r w:rsidR="003D06F0" w:rsidRPr="00B80EA1">
        <w:t> :</w:t>
      </w:r>
    </w:p>
    <w:p w14:paraId="3AD45C55" w14:textId="2306036B" w:rsidR="00705B57" w:rsidRPr="00B80EA1" w:rsidRDefault="00705B57" w:rsidP="00E41DFB">
      <w:pPr>
        <w:pStyle w:val="Bullet1G"/>
      </w:pPr>
      <w:r w:rsidRPr="00B80EA1">
        <w:t>Dates de la session</w:t>
      </w:r>
      <w:r w:rsidR="003D06F0" w:rsidRPr="00B80EA1">
        <w:t> :</w:t>
      </w:r>
      <w:r w:rsidRPr="00B80EA1">
        <w:t xml:space="preserve"> du 8 au 10 décembre</w:t>
      </w:r>
      <w:r w:rsidR="00B80EA1">
        <w:t xml:space="preserve"> 20</w:t>
      </w:r>
      <w:r w:rsidRPr="00B80EA1">
        <w:t>21.</w:t>
      </w:r>
    </w:p>
    <w:p w14:paraId="7FE702B7" w14:textId="658FCCEF" w:rsidR="00705B57" w:rsidRPr="00B80EA1" w:rsidRDefault="00705B57" w:rsidP="00E41DFB">
      <w:pPr>
        <w:pStyle w:val="Bullet1G"/>
      </w:pPr>
      <w:r w:rsidRPr="00B80EA1">
        <w:t xml:space="preserve">Dates limites de soumission des documents </w:t>
      </w:r>
      <w:r w:rsidRPr="00E41DFB">
        <w:t>officiels</w:t>
      </w:r>
      <w:r w:rsidR="003D06F0" w:rsidRPr="00B80EA1">
        <w:t> :</w:t>
      </w:r>
      <w:r w:rsidRPr="00B80EA1">
        <w:t xml:space="preserve"> 15 septembre</w:t>
      </w:r>
      <w:r w:rsidR="00B80EA1">
        <w:t xml:space="preserve"> 20</w:t>
      </w:r>
      <w:r w:rsidRPr="00B80EA1">
        <w:t>21 (pour les documents soumis à l’examen du Sous-Comité SGH uniquement) et 6 septembre</w:t>
      </w:r>
      <w:r w:rsidR="00B80EA1">
        <w:t xml:space="preserve"> 20</w:t>
      </w:r>
      <w:r w:rsidRPr="00B80EA1">
        <w:t>21 (pour les documents soumis à l’examen des Sous-Comités TMD et SGH).</w:t>
      </w:r>
    </w:p>
    <w:p w14:paraId="5C601E84" w14:textId="6EC9529F" w:rsidR="00705B57" w:rsidRPr="00B80EA1" w:rsidRDefault="00705B57" w:rsidP="00E41DFB">
      <w:pPr>
        <w:pStyle w:val="H1G"/>
      </w:pPr>
      <w:r w:rsidRPr="00B80EA1">
        <w:tab/>
        <w:t>C.</w:t>
      </w:r>
      <w:r w:rsidRPr="00B80EA1">
        <w:tab/>
        <w:t>Hommage à M</w:t>
      </w:r>
      <w:r w:rsidRPr="00B80EA1">
        <w:rPr>
          <w:vertAlign w:val="superscript"/>
        </w:rPr>
        <w:t>me</w:t>
      </w:r>
      <w:r w:rsidRPr="00B80EA1">
        <w:t> Leroy</w:t>
      </w:r>
      <w:r w:rsidR="00AC3B8C">
        <w:t xml:space="preserve"> </w:t>
      </w:r>
      <w:r w:rsidRPr="00B80EA1">
        <w:t>(CEFIC)</w:t>
      </w:r>
    </w:p>
    <w:p w14:paraId="6E7F877D" w14:textId="7715A222" w:rsidR="00705B57" w:rsidRPr="00B80EA1" w:rsidRDefault="00705B57" w:rsidP="00E41DFB">
      <w:pPr>
        <w:pStyle w:val="SingleTxtG"/>
      </w:pPr>
      <w:r w:rsidRPr="00B80EA1">
        <w:t>80.</w:t>
      </w:r>
      <w:r w:rsidRPr="00B80EA1">
        <w:tab/>
        <w:t xml:space="preserve">Le Sous-Comité a été informé que </w:t>
      </w:r>
      <w:r w:rsidR="00E41DFB">
        <w:t>M</w:t>
      </w:r>
      <w:r w:rsidR="00E41DFB">
        <w:rPr>
          <w:vertAlign w:val="superscript"/>
        </w:rPr>
        <w:t>me</w:t>
      </w:r>
      <w:r w:rsidR="00E41DFB">
        <w:t> </w:t>
      </w:r>
      <w:r w:rsidRPr="00B80EA1">
        <w:t>Marie-Hélène Leroy, qui participait à ses travaux depuis</w:t>
      </w:r>
      <w:r w:rsidR="00B80EA1">
        <w:t xml:space="preserve"> 20</w:t>
      </w:r>
      <w:r w:rsidRPr="00B80EA1">
        <w:t>03, assistait pour la dernière fois à une session. Le Sous-Comité lui a exprimé sa gratitude pour ses travaux à la tête de la délégation du CEFIC et à la présidence du groupe de travail informel des questions pratiques d’étiquetage et lui a souhaité une heureuse retraite.</w:t>
      </w:r>
    </w:p>
    <w:bookmarkEnd w:id="1"/>
    <w:p w14:paraId="2D7DC8F0" w14:textId="2398C796" w:rsidR="00705B57" w:rsidRPr="00B80EA1" w:rsidRDefault="00705B57" w:rsidP="00E41DFB">
      <w:pPr>
        <w:pStyle w:val="HChG"/>
      </w:pPr>
      <w:r w:rsidRPr="00B80EA1">
        <w:tab/>
        <w:t>VIII.</w:t>
      </w:r>
      <w:r w:rsidRPr="00B80EA1">
        <w:tab/>
        <w:t>Adoption du rapport (</w:t>
      </w:r>
      <w:r w:rsidR="00E41DFB">
        <w:t xml:space="preserve">point </w:t>
      </w:r>
      <w:r w:rsidRPr="00B80EA1">
        <w:t>7 de l’ordre du jour)</w:t>
      </w:r>
    </w:p>
    <w:p w14:paraId="4D9262D9" w14:textId="77777777" w:rsidR="00705B57" w:rsidRPr="00B80EA1" w:rsidRDefault="00705B57" w:rsidP="00E41DFB">
      <w:pPr>
        <w:pStyle w:val="SingleTxtG"/>
      </w:pPr>
      <w:r w:rsidRPr="00B80EA1">
        <w:t>81.</w:t>
      </w:r>
      <w:r w:rsidRPr="00B80EA1">
        <w:tab/>
        <w:t>Le Sous-Comité a adopté le rapport de sa quarantième session (et ses annexes) sur la base d’un projet établi par le secrétariat.</w:t>
      </w:r>
    </w:p>
    <w:p w14:paraId="03E6F980" w14:textId="77777777" w:rsidR="00705B57" w:rsidRPr="00B80EA1" w:rsidRDefault="00705B57" w:rsidP="00705B57">
      <w:pPr>
        <w:suppressAutoHyphens w:val="0"/>
        <w:kinsoku/>
        <w:overflowPunct/>
        <w:autoSpaceDE/>
        <w:autoSpaceDN/>
        <w:adjustRightInd/>
        <w:snapToGrid/>
        <w:spacing w:after="200" w:line="276" w:lineRule="auto"/>
        <w:rPr>
          <w:color w:val="000000" w:themeColor="text1"/>
        </w:rPr>
      </w:pPr>
      <w:r w:rsidRPr="00B80EA1">
        <w:rPr>
          <w:color w:val="000000" w:themeColor="text1"/>
        </w:rPr>
        <w:br w:type="page"/>
      </w:r>
    </w:p>
    <w:p w14:paraId="4EFE4EBC" w14:textId="06BB7EE7" w:rsidR="00705B57" w:rsidRPr="00B80EA1" w:rsidRDefault="0050077B" w:rsidP="00AD0C20">
      <w:pPr>
        <w:pStyle w:val="HChG"/>
        <w:tabs>
          <w:tab w:val="clear" w:pos="851"/>
          <w:tab w:val="right" w:pos="8505"/>
        </w:tabs>
      </w:pPr>
      <w:r w:rsidRPr="00B80EA1">
        <w:t xml:space="preserve">Annexe </w:t>
      </w:r>
      <w:r w:rsidR="00705B57" w:rsidRPr="00B80EA1">
        <w:t>I</w:t>
      </w:r>
      <w:r w:rsidR="00705B57" w:rsidRPr="00B80EA1">
        <w:tab/>
      </w:r>
      <w:r w:rsidR="00AD0C20">
        <w:tab/>
      </w:r>
      <w:r w:rsidR="00705B57" w:rsidRPr="00AD0C20">
        <w:rPr>
          <w:b w:val="0"/>
          <w:bCs/>
          <w:sz w:val="20"/>
        </w:rPr>
        <w:t>[Original</w:t>
      </w:r>
      <w:r w:rsidR="003D06F0" w:rsidRPr="00AD0C20">
        <w:rPr>
          <w:b w:val="0"/>
          <w:bCs/>
          <w:sz w:val="20"/>
        </w:rPr>
        <w:t> :</w:t>
      </w:r>
      <w:r w:rsidR="00705B57" w:rsidRPr="00AD0C20">
        <w:rPr>
          <w:b w:val="0"/>
          <w:bCs/>
          <w:sz w:val="20"/>
        </w:rPr>
        <w:t xml:space="preserve"> anglais et français]</w:t>
      </w:r>
    </w:p>
    <w:p w14:paraId="151A57C6" w14:textId="77777777" w:rsidR="003F1C55" w:rsidRPr="004C2A3C" w:rsidRDefault="003F1C55" w:rsidP="003F1C55">
      <w:pPr>
        <w:keepNext/>
        <w:keepLines/>
        <w:tabs>
          <w:tab w:val="right" w:pos="851"/>
        </w:tabs>
        <w:spacing w:before="360" w:after="240" w:line="300" w:lineRule="exact"/>
        <w:ind w:left="1134" w:right="1134" w:hanging="1134"/>
        <w:rPr>
          <w:rFonts w:eastAsia="Times New Roman"/>
          <w:b/>
          <w:sz w:val="28"/>
          <w:lang w:val="fr-FR"/>
        </w:rPr>
      </w:pPr>
      <w:r w:rsidRPr="004C2A3C">
        <w:rPr>
          <w:rFonts w:eastAsia="Times New Roman"/>
          <w:b/>
          <w:sz w:val="28"/>
        </w:rPr>
        <w:tab/>
      </w:r>
      <w:r w:rsidRPr="004C2A3C">
        <w:rPr>
          <w:rFonts w:eastAsia="Times New Roman"/>
          <w:b/>
          <w:sz w:val="28"/>
        </w:rPr>
        <w:tab/>
      </w:r>
      <w:r w:rsidRPr="004C2A3C">
        <w:rPr>
          <w:rFonts w:eastAsia="Times New Roman"/>
          <w:b/>
          <w:sz w:val="28"/>
        </w:rPr>
        <w:tab/>
      </w:r>
      <w:r w:rsidRPr="004C2A3C">
        <w:rPr>
          <w:rFonts w:eastAsia="Times New Roman"/>
          <w:b/>
          <w:sz w:val="28"/>
          <w:lang w:val="fr-FR"/>
        </w:rPr>
        <w:t>Projet d</w:t>
      </w:r>
      <w:r>
        <w:rPr>
          <w:rFonts w:eastAsia="Times New Roman"/>
          <w:b/>
          <w:sz w:val="28"/>
          <w:lang w:val="fr-FR"/>
        </w:rPr>
        <w:t>’</w:t>
      </w:r>
      <w:r w:rsidRPr="004C2A3C">
        <w:rPr>
          <w:rFonts w:eastAsia="Times New Roman"/>
          <w:b/>
          <w:sz w:val="28"/>
          <w:lang w:val="fr-FR"/>
        </w:rPr>
        <w:t>amendements à la neuvième édition révisée du Système général harmonisé de classification et d</w:t>
      </w:r>
      <w:r>
        <w:rPr>
          <w:rFonts w:eastAsia="Times New Roman"/>
          <w:b/>
          <w:sz w:val="28"/>
          <w:lang w:val="fr-FR"/>
        </w:rPr>
        <w:t>’</w:t>
      </w:r>
      <w:r w:rsidRPr="004C2A3C">
        <w:rPr>
          <w:rFonts w:eastAsia="Times New Roman"/>
          <w:b/>
          <w:sz w:val="28"/>
          <w:lang w:val="fr-FR"/>
        </w:rPr>
        <w:t>étiquetage des produits chimiques (ST/SG/AC.10/30/Rev.9)</w:t>
      </w:r>
    </w:p>
    <w:p w14:paraId="2EA5F756" w14:textId="77777777" w:rsidR="003F1C55" w:rsidRPr="004C2A3C" w:rsidRDefault="003F1C55" w:rsidP="003F1C55">
      <w:pPr>
        <w:keepNext/>
        <w:keepLines/>
        <w:tabs>
          <w:tab w:val="right" w:pos="851"/>
        </w:tabs>
        <w:spacing w:before="360" w:after="240" w:line="270" w:lineRule="exact"/>
        <w:ind w:left="1134" w:right="1134" w:hanging="1134"/>
        <w:rPr>
          <w:rFonts w:eastAsia="Times New Roman"/>
          <w:b/>
          <w:sz w:val="24"/>
          <w:lang w:val="fr-FR"/>
        </w:rPr>
      </w:pPr>
      <w:r w:rsidRPr="004C2A3C">
        <w:rPr>
          <w:rFonts w:eastAsia="Times New Roman"/>
          <w:b/>
          <w:sz w:val="24"/>
          <w:lang w:val="fr-FR"/>
        </w:rPr>
        <w:tab/>
      </w:r>
      <w:r w:rsidRPr="004C2A3C">
        <w:rPr>
          <w:rFonts w:eastAsia="Times New Roman"/>
          <w:b/>
          <w:sz w:val="24"/>
          <w:lang w:val="fr-FR"/>
        </w:rPr>
        <w:tab/>
      </w:r>
      <w:r w:rsidRPr="004C2A3C">
        <w:rPr>
          <w:rFonts w:eastAsia="Times New Roman"/>
          <w:b/>
          <w:sz w:val="24"/>
          <w:lang w:val="fr-FR"/>
        </w:rPr>
        <w:tab/>
        <w:t>Chapitre 3.2</w:t>
      </w:r>
    </w:p>
    <w:p w14:paraId="300E5EC2" w14:textId="77777777" w:rsidR="003F1C55" w:rsidRPr="004C2A3C" w:rsidRDefault="003F1C55" w:rsidP="003F1C55">
      <w:pPr>
        <w:spacing w:after="120"/>
        <w:ind w:left="2268" w:right="1134" w:hanging="1134"/>
        <w:jc w:val="both"/>
        <w:rPr>
          <w:rFonts w:eastAsia="Times New Roman"/>
        </w:rPr>
      </w:pPr>
      <w:r w:rsidRPr="004C2A3C">
        <w:rPr>
          <w:rFonts w:eastAsia="Times New Roman"/>
        </w:rPr>
        <w:t>3.2.1.2</w:t>
      </w:r>
      <w:r w:rsidRPr="004C2A3C">
        <w:rPr>
          <w:rFonts w:eastAsia="Times New Roman"/>
        </w:rPr>
        <w:tab/>
      </w:r>
      <w:r w:rsidRPr="004C2A3C">
        <w:rPr>
          <w:rFonts w:eastAsia="Times New Roman"/>
        </w:rPr>
        <w:tab/>
        <w:t>Remplacer la deuxième phrase par la phrase suivante :</w:t>
      </w:r>
    </w:p>
    <w:p w14:paraId="3255FB04" w14:textId="77777777" w:rsidR="003F1C55" w:rsidRPr="004C2A3C" w:rsidRDefault="003F1C55" w:rsidP="003F1C55">
      <w:pPr>
        <w:spacing w:after="120"/>
        <w:ind w:left="2268" w:right="1134"/>
        <w:jc w:val="both"/>
        <w:rPr>
          <w:rFonts w:eastAsia="Times New Roman"/>
        </w:rPr>
      </w:pPr>
      <w:r w:rsidRPr="004C2A3C">
        <w:rPr>
          <w:rFonts w:eastAsia="Times New Roman"/>
        </w:rPr>
        <w:t>« Le classement doit être fondé sur des données acceptables pour toutes les parties, produites à l</w:t>
      </w:r>
      <w:r>
        <w:rPr>
          <w:rFonts w:eastAsia="Times New Roman"/>
        </w:rPr>
        <w:t>’</w:t>
      </w:r>
      <w:r w:rsidRPr="004C2A3C">
        <w:rPr>
          <w:rFonts w:eastAsia="Times New Roman"/>
        </w:rPr>
        <w:t>aide de méthodes validées selon des procédures internationales, telles que les lignes directrices de l</w:t>
      </w:r>
      <w:r>
        <w:rPr>
          <w:rFonts w:eastAsia="Times New Roman"/>
        </w:rPr>
        <w:t>’</w:t>
      </w:r>
      <w:r w:rsidRPr="004C2A3C">
        <w:rPr>
          <w:rFonts w:eastAsia="Times New Roman"/>
        </w:rPr>
        <w:t xml:space="preserve">OCDE ou des méthodes équivalentes (voir 1.3.2.4.3). ». </w:t>
      </w:r>
    </w:p>
    <w:p w14:paraId="278B8752" w14:textId="77777777" w:rsidR="003F1C55" w:rsidRPr="004C2A3C" w:rsidRDefault="003F1C55" w:rsidP="003F1C55">
      <w:pPr>
        <w:spacing w:after="120"/>
        <w:ind w:left="2268" w:right="1134"/>
        <w:jc w:val="both"/>
        <w:rPr>
          <w:rFonts w:eastAsia="Times New Roman"/>
        </w:rPr>
      </w:pPr>
      <w:r w:rsidRPr="004C2A3C">
        <w:rPr>
          <w:rFonts w:eastAsia="Times New Roman"/>
        </w:rPr>
        <w:t xml:space="preserve">Dans la dernière phrase, remplacer « 3.2.2.6 » par « 3.2.2.7 ». </w:t>
      </w:r>
    </w:p>
    <w:p w14:paraId="2ED3177A" w14:textId="77777777" w:rsidR="003F1C55" w:rsidRPr="004C2A3C" w:rsidRDefault="003F1C55" w:rsidP="003F1C55">
      <w:pPr>
        <w:spacing w:after="120"/>
        <w:ind w:left="2268" w:right="1134" w:hanging="1134"/>
        <w:jc w:val="both"/>
        <w:rPr>
          <w:rFonts w:eastAsia="Times New Roman"/>
        </w:rPr>
      </w:pPr>
      <w:r w:rsidRPr="004C2A3C">
        <w:rPr>
          <w:rFonts w:eastAsia="Times New Roman"/>
        </w:rPr>
        <w:t>3.2.1.3</w:t>
      </w:r>
      <w:r w:rsidRPr="004C2A3C">
        <w:rPr>
          <w:rFonts w:eastAsia="Times New Roman"/>
        </w:rPr>
        <w:tab/>
      </w:r>
      <w:r w:rsidRPr="004C2A3C">
        <w:rPr>
          <w:rFonts w:eastAsia="Times New Roman"/>
        </w:rPr>
        <w:tab/>
        <w:t xml:space="preserve">Dans la première phrase, remplacer « 3.2.2.7 » par « 3.2.2.8 ». </w:t>
      </w:r>
    </w:p>
    <w:p w14:paraId="7338701E" w14:textId="77777777" w:rsidR="003F1C55" w:rsidRPr="004C2A3C" w:rsidRDefault="003F1C55" w:rsidP="003F1C55">
      <w:pPr>
        <w:spacing w:after="120"/>
        <w:ind w:left="2268" w:right="1134"/>
        <w:jc w:val="both"/>
        <w:rPr>
          <w:rFonts w:eastAsia="Times New Roman"/>
        </w:rPr>
      </w:pPr>
      <w:r w:rsidRPr="004C2A3C">
        <w:rPr>
          <w:rFonts w:eastAsia="Times New Roman"/>
        </w:rPr>
        <w:t xml:space="preserve">Dans la dernière phrase, remplacer « 3.2.2.7.3 » par « 3.2.2.8.3 » et ajouter </w:t>
      </w:r>
      <w:proofErr w:type="gramStart"/>
      <w:r w:rsidRPr="004C2A3C">
        <w:rPr>
          <w:rFonts w:eastAsia="Times New Roman"/>
        </w:rPr>
        <w:t>« ,</w:t>
      </w:r>
      <w:proofErr w:type="gramEnd"/>
      <w:r w:rsidRPr="004C2A3C">
        <w:rPr>
          <w:rFonts w:eastAsia="Times New Roman"/>
        </w:rPr>
        <w:t xml:space="preserve"> 3.2.2.7 » après « 1.3.2.4.9 » dans les références entre parenthèses à la fin du paragraphe. </w:t>
      </w:r>
    </w:p>
    <w:p w14:paraId="57323611" w14:textId="77777777" w:rsidR="003F1C55" w:rsidRPr="004C2A3C" w:rsidRDefault="003F1C55" w:rsidP="003F1C55">
      <w:pPr>
        <w:spacing w:after="120"/>
        <w:ind w:left="2268" w:right="1134" w:hanging="1134"/>
        <w:jc w:val="both"/>
        <w:rPr>
          <w:rFonts w:eastAsia="Times New Roman"/>
        </w:rPr>
      </w:pPr>
      <w:r w:rsidRPr="004C2A3C">
        <w:rPr>
          <w:rFonts w:eastAsia="Times New Roman"/>
        </w:rPr>
        <w:t>3.2.2.1</w:t>
      </w:r>
      <w:r w:rsidRPr="004C2A3C">
        <w:rPr>
          <w:rFonts w:eastAsia="Times New Roman"/>
        </w:rPr>
        <w:tab/>
      </w:r>
      <w:r w:rsidRPr="004C2A3C">
        <w:rPr>
          <w:rFonts w:eastAsia="Times New Roman"/>
        </w:rPr>
        <w:tab/>
        <w:t>Ajouter « </w:t>
      </w:r>
      <w:r w:rsidRPr="004C2A3C">
        <w:rPr>
          <w:rFonts w:eastAsia="Times New Roman"/>
          <w:b/>
          <w:bCs/>
          <w:i/>
          <w:iCs/>
        </w:rPr>
        <w:t>(étape 1 dans la figure 3.2.1)</w:t>
      </w:r>
      <w:r w:rsidRPr="004C2A3C">
        <w:rPr>
          <w:rFonts w:eastAsia="Times New Roman"/>
        </w:rPr>
        <w:t xml:space="preserve"> » à la fin du titre. </w:t>
      </w:r>
    </w:p>
    <w:p w14:paraId="3C511E17" w14:textId="77777777" w:rsidR="003F1C55" w:rsidRPr="004C2A3C" w:rsidRDefault="003F1C55" w:rsidP="003F1C55">
      <w:pPr>
        <w:spacing w:after="120"/>
        <w:ind w:left="2268" w:right="1134" w:hanging="1134"/>
        <w:jc w:val="both"/>
        <w:rPr>
          <w:rFonts w:eastAsia="Times New Roman"/>
        </w:rPr>
      </w:pPr>
      <w:r w:rsidRPr="004C2A3C">
        <w:rPr>
          <w:rFonts w:eastAsia="Times New Roman"/>
        </w:rPr>
        <w:t>3.2.2.2</w:t>
      </w:r>
      <w:r w:rsidRPr="004C2A3C">
        <w:rPr>
          <w:rFonts w:eastAsia="Times New Roman"/>
        </w:rPr>
        <w:tab/>
      </w:r>
      <w:r w:rsidRPr="004C2A3C">
        <w:rPr>
          <w:rFonts w:eastAsia="Times New Roman"/>
        </w:rPr>
        <w:tab/>
        <w:t>Modifier le titre pour lire comme suit : « </w:t>
      </w:r>
      <w:r w:rsidRPr="004C2A3C">
        <w:rPr>
          <w:rFonts w:eastAsia="Times New Roman"/>
          <w:b/>
          <w:bCs/>
          <w:i/>
          <w:iCs/>
        </w:rPr>
        <w:t>Classification fondée sur des données normalisées obtenues sur les animaux (étape 1 dans la figure 3.2.1)</w:t>
      </w:r>
      <w:r w:rsidRPr="004C2A3C">
        <w:rPr>
          <w:rFonts w:eastAsia="Times New Roman"/>
        </w:rPr>
        <w:t xml:space="preserve"> ». </w:t>
      </w:r>
    </w:p>
    <w:p w14:paraId="0EFC321F" w14:textId="77777777" w:rsidR="003F1C55" w:rsidRPr="004C2A3C" w:rsidRDefault="003F1C55" w:rsidP="003F1C55">
      <w:pPr>
        <w:spacing w:after="120"/>
        <w:ind w:left="2268" w:right="1134"/>
        <w:jc w:val="both"/>
        <w:rPr>
          <w:rFonts w:eastAsia="Times New Roman"/>
        </w:rPr>
      </w:pPr>
      <w:r w:rsidRPr="004C2A3C">
        <w:rPr>
          <w:rFonts w:eastAsia="Times New Roman"/>
        </w:rPr>
        <w:t>Modifier le début de la première phrase pour lire comme suit : « La ligne directrice 404 de l</w:t>
      </w:r>
      <w:r>
        <w:rPr>
          <w:rFonts w:eastAsia="Times New Roman"/>
        </w:rPr>
        <w:t>’</w:t>
      </w:r>
      <w:r w:rsidRPr="004C2A3C">
        <w:rPr>
          <w:rFonts w:eastAsia="Times New Roman"/>
        </w:rPr>
        <w:t>OCDE est la méthode d</w:t>
      </w:r>
      <w:r>
        <w:rPr>
          <w:rFonts w:eastAsia="Times New Roman"/>
        </w:rPr>
        <w:t>’</w:t>
      </w:r>
      <w:r w:rsidRPr="004C2A3C">
        <w:rPr>
          <w:rFonts w:eastAsia="Times New Roman"/>
        </w:rPr>
        <w:t xml:space="preserve">essai sur les animaux acceptée </w:t>
      </w:r>
      <w:proofErr w:type="gramStart"/>
      <w:r w:rsidRPr="004C2A3C">
        <w:rPr>
          <w:rFonts w:eastAsia="Times New Roman"/>
        </w:rPr>
        <w:t>au</w:t>
      </w:r>
      <w:proofErr w:type="gramEnd"/>
      <w:r w:rsidRPr="004C2A3C">
        <w:rPr>
          <w:rFonts w:eastAsia="Times New Roman"/>
        </w:rPr>
        <w:t xml:space="preserve"> plan international... ».</w:t>
      </w:r>
    </w:p>
    <w:p w14:paraId="7C1B99F6" w14:textId="77777777" w:rsidR="003F1C55" w:rsidRPr="004C2A3C" w:rsidRDefault="003F1C55" w:rsidP="003F1C55">
      <w:pPr>
        <w:tabs>
          <w:tab w:val="left" w:pos="2268"/>
        </w:tabs>
        <w:spacing w:after="120"/>
        <w:ind w:left="2268" w:right="1134" w:hanging="1134"/>
        <w:jc w:val="both"/>
        <w:rPr>
          <w:rFonts w:eastAsia="Times New Roman"/>
          <w:b/>
          <w:i/>
          <w:iCs/>
          <w:lang w:val="fr-FR"/>
        </w:rPr>
      </w:pPr>
      <w:r w:rsidRPr="004C2A3C">
        <w:rPr>
          <w:rFonts w:eastAsia="Times New Roman"/>
          <w:lang w:val="fr-FR"/>
        </w:rPr>
        <w:t>3.2.2.3</w:t>
      </w:r>
      <w:r w:rsidRPr="004C2A3C">
        <w:rPr>
          <w:rFonts w:eastAsia="Times New Roman"/>
          <w:lang w:val="fr-FR"/>
        </w:rPr>
        <w:tab/>
        <w:t>Ajouter « </w:t>
      </w:r>
      <w:r w:rsidRPr="004C2A3C">
        <w:rPr>
          <w:rFonts w:eastAsia="Times New Roman"/>
          <w:b/>
          <w:i/>
          <w:iCs/>
          <w:lang w:val="fr-FR"/>
        </w:rPr>
        <w:t>(étape 2 dans la figure 3.2.1)</w:t>
      </w:r>
      <w:r w:rsidRPr="004C2A3C">
        <w:rPr>
          <w:rFonts w:eastAsia="Times New Roman"/>
          <w:lang w:val="fr-FR"/>
        </w:rPr>
        <w:t> » à la fin du titre.</w:t>
      </w:r>
    </w:p>
    <w:p w14:paraId="49EE763E" w14:textId="77777777" w:rsidR="003F1C55" w:rsidRPr="004C2A3C" w:rsidRDefault="003F1C55" w:rsidP="003F1C55">
      <w:pPr>
        <w:tabs>
          <w:tab w:val="left" w:pos="2268"/>
        </w:tabs>
        <w:spacing w:after="120"/>
        <w:ind w:left="2268" w:right="1134" w:hanging="1134"/>
        <w:jc w:val="both"/>
        <w:rPr>
          <w:rFonts w:eastAsia="Times New Roman"/>
          <w:lang w:val="fr-FR"/>
        </w:rPr>
      </w:pPr>
      <w:r w:rsidRPr="004C2A3C">
        <w:rPr>
          <w:rFonts w:eastAsia="Times New Roman"/>
          <w:lang w:val="fr-FR"/>
        </w:rPr>
        <w:t>3.2.2.3.2</w:t>
      </w:r>
      <w:r w:rsidRPr="004C2A3C">
        <w:rPr>
          <w:rFonts w:eastAsia="Times New Roman"/>
          <w:lang w:val="fr-FR"/>
        </w:rPr>
        <w:tab/>
        <w:t>Remplacer la première phrase (« Dans la mesure du possible ... par ces méthodes ») par la phrase suivante :</w:t>
      </w:r>
    </w:p>
    <w:p w14:paraId="5C3AF65F" w14:textId="77777777" w:rsidR="003F1C55" w:rsidRPr="004C2A3C" w:rsidRDefault="003F1C55" w:rsidP="003F1C55">
      <w:pPr>
        <w:tabs>
          <w:tab w:val="left" w:pos="2268"/>
        </w:tabs>
        <w:spacing w:after="120"/>
        <w:ind w:left="2268" w:right="1134"/>
        <w:jc w:val="both"/>
        <w:rPr>
          <w:rFonts w:eastAsia="Times New Roman"/>
          <w:lang w:val="fr-FR"/>
        </w:rPr>
      </w:pPr>
      <w:r w:rsidRPr="004C2A3C">
        <w:rPr>
          <w:rFonts w:eastAsia="Times New Roman"/>
          <w:lang w:val="fr-FR"/>
        </w:rPr>
        <w:tab/>
        <w:t>« Les critères de classification des méthodes d</w:t>
      </w:r>
      <w:r>
        <w:rPr>
          <w:rFonts w:eastAsia="Times New Roman"/>
          <w:lang w:val="fr-FR"/>
        </w:rPr>
        <w:t>’</w:t>
      </w:r>
      <w:r w:rsidRPr="004C2A3C">
        <w:rPr>
          <w:rFonts w:eastAsia="Times New Roman"/>
          <w:lang w:val="fr-FR"/>
        </w:rPr>
        <w:t>essai in vitro/ex vivo actuellement disponibles, adoptés par l</w:t>
      </w:r>
      <w:r>
        <w:rPr>
          <w:rFonts w:eastAsia="Times New Roman"/>
          <w:lang w:val="fr-FR"/>
        </w:rPr>
        <w:t>’</w:t>
      </w:r>
      <w:r w:rsidRPr="004C2A3C">
        <w:rPr>
          <w:rFonts w:eastAsia="Times New Roman"/>
          <w:lang w:val="fr-FR"/>
        </w:rPr>
        <w:t>OCDE dans les lignes directrices 430, 431, 435 et 439, sont décrits dans les tableaux 3.2.6 et 3.2.7 (voir 3.2.5.3.4). D</w:t>
      </w:r>
      <w:r>
        <w:rPr>
          <w:rFonts w:eastAsia="Times New Roman"/>
          <w:lang w:val="fr-FR"/>
        </w:rPr>
        <w:t>’</w:t>
      </w:r>
      <w:r w:rsidRPr="004C2A3C">
        <w:rPr>
          <w:rFonts w:eastAsia="Times New Roman"/>
          <w:lang w:val="fr-FR"/>
        </w:rPr>
        <w:t>autres méthodes d</w:t>
      </w:r>
      <w:r>
        <w:rPr>
          <w:rFonts w:eastAsia="Times New Roman"/>
          <w:lang w:val="fr-FR"/>
        </w:rPr>
        <w:t>’</w:t>
      </w:r>
      <w:r w:rsidRPr="004C2A3C">
        <w:rPr>
          <w:rFonts w:eastAsia="Times New Roman"/>
          <w:lang w:val="fr-FR"/>
        </w:rPr>
        <w:t>essai in vitro/ex vivo validées et acceptées par certaines autorités peuvent également être envisagées. Une autorité compétente peut décider quels critères de classification doivent éventuellement être appliqués à d</w:t>
      </w:r>
      <w:r>
        <w:rPr>
          <w:rFonts w:eastAsia="Times New Roman"/>
          <w:lang w:val="fr-FR"/>
        </w:rPr>
        <w:t>’</w:t>
      </w:r>
      <w:r w:rsidRPr="004C2A3C">
        <w:rPr>
          <w:rFonts w:eastAsia="Times New Roman"/>
          <w:lang w:val="fr-FR"/>
        </w:rPr>
        <w:t>autres méthodes d</w:t>
      </w:r>
      <w:r>
        <w:rPr>
          <w:rFonts w:eastAsia="Times New Roman"/>
          <w:lang w:val="fr-FR"/>
        </w:rPr>
        <w:t>’</w:t>
      </w:r>
      <w:r w:rsidRPr="004C2A3C">
        <w:rPr>
          <w:rFonts w:eastAsia="Times New Roman"/>
          <w:lang w:val="fr-FR"/>
        </w:rPr>
        <w:t>essai pour conclure à la classification ou l</w:t>
      </w:r>
      <w:r>
        <w:rPr>
          <w:rFonts w:eastAsia="Times New Roman"/>
          <w:lang w:val="fr-FR"/>
        </w:rPr>
        <w:t>’</w:t>
      </w:r>
      <w:r w:rsidRPr="004C2A3C">
        <w:rPr>
          <w:rFonts w:eastAsia="Times New Roman"/>
          <w:lang w:val="fr-FR"/>
        </w:rPr>
        <w:t>absence de classification d</w:t>
      </w:r>
      <w:r>
        <w:rPr>
          <w:rFonts w:eastAsia="Times New Roman"/>
          <w:lang w:val="fr-FR"/>
        </w:rPr>
        <w:t>’</w:t>
      </w:r>
      <w:r w:rsidRPr="004C2A3C">
        <w:rPr>
          <w:rFonts w:eastAsia="Times New Roman"/>
          <w:lang w:val="fr-FR"/>
        </w:rPr>
        <w:t>une substance pour ses effets cutanés. ».</w:t>
      </w:r>
    </w:p>
    <w:p w14:paraId="5D0A9026" w14:textId="77777777" w:rsidR="003F1C55" w:rsidRPr="004C2A3C" w:rsidRDefault="003F1C55" w:rsidP="003F1C55">
      <w:pPr>
        <w:keepNext/>
        <w:keepLines/>
        <w:tabs>
          <w:tab w:val="left" w:pos="2268"/>
        </w:tabs>
        <w:spacing w:after="120"/>
        <w:ind w:left="2268" w:right="1134" w:hanging="1134"/>
        <w:jc w:val="both"/>
        <w:rPr>
          <w:rFonts w:eastAsia="Times New Roman"/>
          <w:lang w:val="fr-FR"/>
        </w:rPr>
      </w:pPr>
      <w:r w:rsidRPr="004C2A3C">
        <w:rPr>
          <w:rFonts w:eastAsia="Times New Roman"/>
          <w:spacing w:val="-4"/>
          <w:lang w:val="fr-FR"/>
        </w:rPr>
        <w:t>3.2.2.3.3 (nouveau)</w:t>
      </w:r>
      <w:r w:rsidRPr="004C2A3C">
        <w:rPr>
          <w:rFonts w:eastAsia="Times New Roman"/>
          <w:lang w:val="fr-FR"/>
        </w:rPr>
        <w:tab/>
        <w:t>Placer les deux dernières phrases de l</w:t>
      </w:r>
      <w:r>
        <w:rPr>
          <w:rFonts w:eastAsia="Times New Roman"/>
          <w:lang w:val="fr-FR"/>
        </w:rPr>
        <w:t>’</w:t>
      </w:r>
      <w:r w:rsidRPr="004C2A3C">
        <w:rPr>
          <w:rFonts w:eastAsia="Times New Roman"/>
          <w:lang w:val="fr-FR"/>
        </w:rPr>
        <w:t>actuel paragraphe 3.2.2.3.2 (« Les données in vitro/ex vivo... prises en compte ») dans un nouveau paragraphe 3.2.2.3.3 et remplacer « des méthodes d</w:t>
      </w:r>
      <w:r>
        <w:rPr>
          <w:rFonts w:eastAsia="Times New Roman"/>
          <w:lang w:val="fr-FR"/>
        </w:rPr>
        <w:t>’</w:t>
      </w:r>
      <w:r w:rsidRPr="004C2A3C">
        <w:rPr>
          <w:rFonts w:eastAsia="Times New Roman"/>
          <w:lang w:val="fr-FR"/>
        </w:rPr>
        <w:t>essai utilisées » par « de la ou des méthode(s) d</w:t>
      </w:r>
      <w:r>
        <w:rPr>
          <w:rFonts w:eastAsia="Times New Roman"/>
          <w:lang w:val="fr-FR"/>
        </w:rPr>
        <w:t>’</w:t>
      </w:r>
      <w:r w:rsidRPr="004C2A3C">
        <w:rPr>
          <w:rFonts w:eastAsia="Times New Roman"/>
          <w:lang w:val="fr-FR"/>
        </w:rPr>
        <w:t>essai utilisée(s) ».</w:t>
      </w:r>
    </w:p>
    <w:p w14:paraId="7948E262" w14:textId="77777777" w:rsidR="003F1C55" w:rsidRPr="004C2A3C" w:rsidRDefault="003F1C55" w:rsidP="003F1C55">
      <w:pPr>
        <w:tabs>
          <w:tab w:val="left" w:pos="2268"/>
        </w:tabs>
        <w:spacing w:after="120"/>
        <w:ind w:left="2268" w:right="1134" w:hanging="1134"/>
        <w:jc w:val="both"/>
        <w:rPr>
          <w:rFonts w:eastAsia="Times New Roman"/>
          <w:lang w:val="fr-FR"/>
        </w:rPr>
      </w:pPr>
      <w:r w:rsidRPr="004C2A3C">
        <w:rPr>
          <w:rFonts w:eastAsia="Times New Roman"/>
          <w:lang w:val="fr-FR"/>
        </w:rPr>
        <w:t>Les paragraphes 3.2.2.2.3 à 3.2.2.3.3.3 actuels deviennent les 3.2.2.3.4 à 3.2.2.3.4.3.</w:t>
      </w:r>
    </w:p>
    <w:p w14:paraId="7C21CEF8" w14:textId="77777777" w:rsidR="003F1C55" w:rsidRPr="004C2A3C" w:rsidRDefault="003F1C55" w:rsidP="003F1C55">
      <w:pPr>
        <w:tabs>
          <w:tab w:val="left" w:pos="2268"/>
        </w:tabs>
        <w:spacing w:after="120"/>
        <w:ind w:left="2268" w:right="1134" w:hanging="1134"/>
        <w:jc w:val="both"/>
        <w:rPr>
          <w:rFonts w:eastAsia="Times New Roman"/>
          <w:lang w:val="fr-FR"/>
        </w:rPr>
      </w:pPr>
      <w:r w:rsidRPr="004C2A3C">
        <w:rPr>
          <w:rFonts w:eastAsia="Times New Roman"/>
          <w:lang w:val="fr-FR"/>
        </w:rPr>
        <w:t>3.2.2.3.4.1 (nouveau, ancien 3.2.2.3.3.1)</w:t>
      </w:r>
      <w:r w:rsidRPr="004C2A3C">
        <w:rPr>
          <w:rFonts w:eastAsia="Times New Roman"/>
          <w:lang w:val="fr-FR"/>
        </w:rPr>
        <w:tab/>
        <w:t>Ajouter « (voir 3.2.5.3.4) » à la fin du paragraphe, après « tableau 3.2.6 ».</w:t>
      </w:r>
    </w:p>
    <w:p w14:paraId="380E0C96" w14:textId="77777777" w:rsidR="003F1C55" w:rsidRPr="004C2A3C" w:rsidRDefault="003F1C55" w:rsidP="003F1C55">
      <w:pPr>
        <w:tabs>
          <w:tab w:val="left" w:pos="2268"/>
        </w:tabs>
        <w:spacing w:after="120"/>
        <w:ind w:left="2268" w:right="1134" w:hanging="1134"/>
        <w:jc w:val="both"/>
        <w:rPr>
          <w:rFonts w:eastAsia="Times New Roman"/>
          <w:lang w:val="fr-FR"/>
        </w:rPr>
      </w:pPr>
      <w:r w:rsidRPr="004C2A3C">
        <w:rPr>
          <w:rFonts w:eastAsia="Times New Roman"/>
          <w:lang w:val="fr-FR"/>
        </w:rPr>
        <w:t>Les paragraphes 3.2.2.2.4 à 3.2.2.3.4.2 actuels deviennent les 3.2.2.3.5 à 3.2.2.3.5.2.</w:t>
      </w:r>
    </w:p>
    <w:p w14:paraId="0E05A026" w14:textId="77777777" w:rsidR="003F1C55" w:rsidRPr="004C2A3C" w:rsidRDefault="003F1C55" w:rsidP="003F1C55">
      <w:pPr>
        <w:tabs>
          <w:tab w:val="left" w:pos="2268"/>
        </w:tabs>
        <w:spacing w:after="120"/>
        <w:ind w:left="2268" w:right="1134" w:hanging="1134"/>
        <w:jc w:val="both"/>
        <w:rPr>
          <w:rFonts w:eastAsia="Times New Roman"/>
          <w:lang w:val="fr-FR"/>
        </w:rPr>
      </w:pPr>
      <w:r w:rsidRPr="004C2A3C">
        <w:rPr>
          <w:rFonts w:eastAsia="Times New Roman"/>
          <w:lang w:val="fr-FR"/>
        </w:rPr>
        <w:t>3.2.2.3.5.1 (nouveau, ancien 3.2.2.3.4.1)</w:t>
      </w:r>
      <w:r w:rsidRPr="004C2A3C">
        <w:rPr>
          <w:rFonts w:eastAsia="Times New Roman"/>
          <w:lang w:val="fr-FR"/>
        </w:rPr>
        <w:tab/>
        <w:t>Ajouter « (voir 3.2.5.3.4) » à la fin du paragraphe, après « tableau 3.2.7 ».</w:t>
      </w:r>
    </w:p>
    <w:p w14:paraId="08DD9A7D" w14:textId="77777777" w:rsidR="003F1C55" w:rsidRPr="004C2A3C" w:rsidRDefault="003F1C55" w:rsidP="003F1C55">
      <w:pPr>
        <w:tabs>
          <w:tab w:val="left" w:pos="2268"/>
        </w:tabs>
        <w:spacing w:after="120"/>
        <w:ind w:left="2268" w:right="1134" w:hanging="1134"/>
        <w:jc w:val="both"/>
        <w:rPr>
          <w:rFonts w:eastAsia="Times New Roman"/>
          <w:lang w:val="fr-FR"/>
        </w:rPr>
      </w:pPr>
      <w:r w:rsidRPr="004C2A3C">
        <w:rPr>
          <w:rFonts w:eastAsia="Times New Roman"/>
          <w:lang w:val="fr-FR"/>
        </w:rPr>
        <w:t>3.2.2.3.5.2 (nouveau, ancien 3.2.2.3.4.2)</w:t>
      </w:r>
      <w:r w:rsidRPr="004C2A3C">
        <w:rPr>
          <w:rFonts w:eastAsia="Times New Roman"/>
          <w:lang w:val="fr-FR"/>
        </w:rPr>
        <w:tab/>
        <w:t>Supprimer la dernière phrase.</w:t>
      </w:r>
    </w:p>
    <w:p w14:paraId="387C683B" w14:textId="77777777" w:rsidR="003F1C55" w:rsidRPr="004C2A3C" w:rsidRDefault="003F1C55" w:rsidP="003F1C55">
      <w:pPr>
        <w:keepNext/>
        <w:keepLines/>
        <w:tabs>
          <w:tab w:val="left" w:pos="2268"/>
        </w:tabs>
        <w:spacing w:after="120"/>
        <w:ind w:left="2268" w:right="1134" w:hanging="1134"/>
        <w:jc w:val="both"/>
        <w:rPr>
          <w:rFonts w:eastAsia="Times New Roman"/>
          <w:lang w:val="fr-FR"/>
        </w:rPr>
      </w:pPr>
      <w:r w:rsidRPr="004C2A3C">
        <w:rPr>
          <w:rFonts w:eastAsia="Times New Roman"/>
          <w:lang w:val="fr-FR"/>
        </w:rPr>
        <w:t>3.2.2.3.6 (nouveau)</w:t>
      </w:r>
      <w:r w:rsidRPr="004C2A3C">
        <w:rPr>
          <w:rFonts w:eastAsia="Times New Roman"/>
          <w:lang w:val="fr-FR"/>
        </w:rPr>
        <w:tab/>
        <w:t>Ajouter un nouveau titre, libellé comme suit :</w:t>
      </w:r>
    </w:p>
    <w:p w14:paraId="17B76977" w14:textId="77777777" w:rsidR="003F1C55" w:rsidRPr="004C2A3C" w:rsidRDefault="003F1C55" w:rsidP="003F1C55">
      <w:pPr>
        <w:tabs>
          <w:tab w:val="left" w:pos="2268"/>
        </w:tabs>
        <w:spacing w:after="120"/>
        <w:ind w:left="2268" w:right="1134" w:hanging="1134"/>
        <w:jc w:val="both"/>
        <w:rPr>
          <w:rFonts w:eastAsia="Times New Roman"/>
          <w:lang w:val="fr-FR"/>
        </w:rPr>
      </w:pPr>
      <w:r w:rsidRPr="004C2A3C">
        <w:rPr>
          <w:rFonts w:eastAsia="Times New Roman"/>
          <w:lang w:val="fr-FR"/>
        </w:rPr>
        <w:tab/>
        <w:t>« 3.2.2.3.6</w:t>
      </w:r>
      <w:r w:rsidRPr="004C2A3C">
        <w:rPr>
          <w:rFonts w:eastAsia="Times New Roman"/>
          <w:lang w:val="fr-FR"/>
        </w:rPr>
        <w:tab/>
      </w:r>
      <w:r w:rsidRPr="004C2A3C">
        <w:rPr>
          <w:rFonts w:eastAsia="Times New Roman"/>
          <w:i/>
          <w:iCs/>
          <w:lang w:val="fr-FR"/>
        </w:rPr>
        <w:t>Absence de classement au titre des effets cutanés</w:t>
      </w:r>
      <w:r w:rsidRPr="004C2A3C">
        <w:rPr>
          <w:rFonts w:eastAsia="Times New Roman"/>
          <w:lang w:val="fr-FR"/>
        </w:rPr>
        <w:t> ».</w:t>
      </w:r>
    </w:p>
    <w:p w14:paraId="7255BF63" w14:textId="77777777" w:rsidR="003F1C55" w:rsidRPr="004C2A3C" w:rsidRDefault="003F1C55" w:rsidP="003F1C55">
      <w:pPr>
        <w:tabs>
          <w:tab w:val="left" w:pos="2268"/>
        </w:tabs>
        <w:spacing w:after="120"/>
        <w:ind w:left="2268" w:right="1134" w:hanging="1134"/>
        <w:jc w:val="both"/>
        <w:rPr>
          <w:rFonts w:eastAsia="Times New Roman"/>
          <w:lang w:val="fr-FR"/>
        </w:rPr>
      </w:pPr>
      <w:r w:rsidRPr="004C2A3C">
        <w:rPr>
          <w:rFonts w:eastAsia="Times New Roman"/>
          <w:lang w:val="fr-FR"/>
        </w:rPr>
        <w:t>3.2.2.3.6.1 (nouveau, ancien 3.2.2.3.4.3)</w:t>
      </w:r>
      <w:r w:rsidRPr="004C2A3C">
        <w:rPr>
          <w:rFonts w:eastAsia="Times New Roman"/>
          <w:lang w:val="fr-FR"/>
        </w:rPr>
        <w:tab/>
        <w:t>Modifier pour lire comme suit :</w:t>
      </w:r>
    </w:p>
    <w:p w14:paraId="5E9C2BE7" w14:textId="77777777" w:rsidR="003F1C55" w:rsidRPr="004C2A3C" w:rsidRDefault="003F1C55" w:rsidP="003F1C55">
      <w:pPr>
        <w:tabs>
          <w:tab w:val="left" w:pos="2268"/>
        </w:tabs>
        <w:spacing w:after="120"/>
        <w:ind w:left="2268" w:right="1134" w:hanging="1134"/>
        <w:jc w:val="both"/>
        <w:rPr>
          <w:rFonts w:eastAsia="Times New Roman"/>
          <w:lang w:val="fr-FR"/>
        </w:rPr>
      </w:pPr>
      <w:r w:rsidRPr="004C2A3C">
        <w:rPr>
          <w:rFonts w:eastAsia="Times New Roman"/>
          <w:lang w:val="fr-FR"/>
        </w:rPr>
        <w:tab/>
        <w:t>« 3.2.2.3.6.1</w:t>
      </w:r>
      <w:r w:rsidRPr="004C2A3C">
        <w:rPr>
          <w:rFonts w:eastAsia="Times New Roman"/>
          <w:lang w:val="fr-FR"/>
        </w:rPr>
        <w:tab/>
        <w:t>Lorsque les autorités compétentes n</w:t>
      </w:r>
      <w:r>
        <w:rPr>
          <w:rFonts w:eastAsia="Times New Roman"/>
          <w:lang w:val="fr-FR"/>
        </w:rPr>
        <w:t>’</w:t>
      </w:r>
      <w:r w:rsidRPr="004C2A3C">
        <w:rPr>
          <w:rFonts w:eastAsia="Times New Roman"/>
          <w:lang w:val="fr-FR"/>
        </w:rPr>
        <w:t>adoptent pas la catégorie 3, un résultat négatif obtenu à l</w:t>
      </w:r>
      <w:r>
        <w:rPr>
          <w:rFonts w:eastAsia="Times New Roman"/>
          <w:lang w:val="fr-FR"/>
        </w:rPr>
        <w:t>’</w:t>
      </w:r>
      <w:r w:rsidRPr="004C2A3C">
        <w:rPr>
          <w:rFonts w:eastAsia="Times New Roman"/>
          <w:lang w:val="fr-FR"/>
        </w:rPr>
        <w:t>aide d</w:t>
      </w:r>
      <w:r>
        <w:rPr>
          <w:rFonts w:eastAsia="Times New Roman"/>
          <w:lang w:val="fr-FR"/>
        </w:rPr>
        <w:t>’</w:t>
      </w:r>
      <w:r w:rsidRPr="004C2A3C">
        <w:rPr>
          <w:rFonts w:eastAsia="Times New Roman"/>
          <w:lang w:val="fr-FR"/>
        </w:rPr>
        <w:t>une méthode d</w:t>
      </w:r>
      <w:r>
        <w:rPr>
          <w:rFonts w:eastAsia="Times New Roman"/>
          <w:lang w:val="fr-FR"/>
        </w:rPr>
        <w:t>’</w:t>
      </w:r>
      <w:r w:rsidRPr="004C2A3C">
        <w:rPr>
          <w:rFonts w:eastAsia="Times New Roman"/>
          <w:lang w:val="fr-FR"/>
        </w:rPr>
        <w:t>essai in vitro/ex vivo pour l</w:t>
      </w:r>
      <w:r>
        <w:rPr>
          <w:rFonts w:eastAsia="Times New Roman"/>
          <w:lang w:val="fr-FR"/>
        </w:rPr>
        <w:t>’</w:t>
      </w:r>
      <w:r w:rsidRPr="004C2A3C">
        <w:rPr>
          <w:rFonts w:eastAsia="Times New Roman"/>
          <w:lang w:val="fr-FR"/>
        </w:rPr>
        <w:t>irritation cutanée qui est validée selon des procédures internationales, par exemple la ligne directrice 439 de l</w:t>
      </w:r>
      <w:r>
        <w:rPr>
          <w:rFonts w:eastAsia="Times New Roman"/>
          <w:lang w:val="fr-FR"/>
        </w:rPr>
        <w:t>’</w:t>
      </w:r>
      <w:r w:rsidRPr="004C2A3C">
        <w:rPr>
          <w:rFonts w:eastAsia="Times New Roman"/>
          <w:lang w:val="fr-FR"/>
        </w:rPr>
        <w:t>OCDE, peut être utilisé pour conclure à l</w:t>
      </w:r>
      <w:r>
        <w:rPr>
          <w:rFonts w:eastAsia="Times New Roman"/>
          <w:lang w:val="fr-FR"/>
        </w:rPr>
        <w:t>’</w:t>
      </w:r>
      <w:r w:rsidRPr="004C2A3C">
        <w:rPr>
          <w:rFonts w:eastAsia="Times New Roman"/>
          <w:lang w:val="fr-FR"/>
        </w:rPr>
        <w:t>absence de classement au titre de l</w:t>
      </w:r>
      <w:r>
        <w:rPr>
          <w:rFonts w:eastAsia="Times New Roman"/>
          <w:lang w:val="fr-FR"/>
        </w:rPr>
        <w:t>’</w:t>
      </w:r>
      <w:r w:rsidRPr="004C2A3C">
        <w:rPr>
          <w:rFonts w:eastAsia="Times New Roman"/>
          <w:lang w:val="fr-FR"/>
        </w:rPr>
        <w:t>irritation cutanée. Si les autorités compétentes adoptent la catégorie 3, des informations complémentaires sont nécessaires pour établir une distinction entre la catégorie 3 et l</w:t>
      </w:r>
      <w:r>
        <w:rPr>
          <w:rFonts w:eastAsia="Times New Roman"/>
          <w:lang w:val="fr-FR"/>
        </w:rPr>
        <w:t>’</w:t>
      </w:r>
      <w:r w:rsidRPr="004C2A3C">
        <w:rPr>
          <w:rFonts w:eastAsia="Times New Roman"/>
          <w:lang w:val="fr-FR"/>
        </w:rPr>
        <w:t>absence de classement. ».</w:t>
      </w:r>
    </w:p>
    <w:p w14:paraId="284D2F56" w14:textId="77777777" w:rsidR="003F1C55" w:rsidRPr="004C2A3C" w:rsidRDefault="003F1C55" w:rsidP="003F1C55">
      <w:pPr>
        <w:spacing w:after="120"/>
        <w:ind w:left="2268" w:right="1134" w:hanging="1134"/>
        <w:jc w:val="both"/>
        <w:rPr>
          <w:rFonts w:eastAsia="Times New Roman"/>
        </w:rPr>
      </w:pPr>
      <w:r w:rsidRPr="004C2A3C">
        <w:rPr>
          <w:rFonts w:eastAsia="Times New Roman"/>
        </w:rPr>
        <w:t>3.2.2.4</w:t>
      </w:r>
      <w:r w:rsidRPr="004C2A3C">
        <w:rPr>
          <w:rFonts w:eastAsia="Times New Roman"/>
        </w:rPr>
        <w:tab/>
      </w:r>
      <w:r w:rsidRPr="004C2A3C">
        <w:rPr>
          <w:rFonts w:eastAsia="Times New Roman"/>
        </w:rPr>
        <w:tab/>
        <w:t xml:space="preserve">Modifier le titre pour lire comme suit : </w:t>
      </w:r>
    </w:p>
    <w:p w14:paraId="341DB7BB" w14:textId="77777777" w:rsidR="003F1C55" w:rsidRPr="004C2A3C" w:rsidRDefault="003F1C55" w:rsidP="003F1C55">
      <w:pPr>
        <w:spacing w:after="120"/>
        <w:ind w:left="2268" w:right="1134"/>
        <w:jc w:val="both"/>
        <w:rPr>
          <w:rFonts w:eastAsia="Times New Roman"/>
          <w:b/>
          <w:bCs/>
          <w:i/>
          <w:iCs/>
        </w:rPr>
      </w:pPr>
      <w:r w:rsidRPr="004C2A3C">
        <w:rPr>
          <w:rFonts w:eastAsia="Times New Roman"/>
        </w:rPr>
        <w:t>« </w:t>
      </w:r>
      <w:r w:rsidRPr="004C2A3C">
        <w:rPr>
          <w:rFonts w:eastAsia="Times New Roman"/>
          <w:b/>
          <w:bCs/>
        </w:rPr>
        <w:t>3.2.2.4</w:t>
      </w:r>
      <w:r w:rsidRPr="004C2A3C">
        <w:rPr>
          <w:rFonts w:eastAsia="Times New Roman"/>
        </w:rPr>
        <w:tab/>
      </w:r>
      <w:r w:rsidRPr="004C2A3C">
        <w:rPr>
          <w:rFonts w:eastAsia="Times New Roman"/>
          <w:b/>
          <w:bCs/>
          <w:i/>
          <w:iCs/>
        </w:rPr>
        <w:t>Classification fondée sur d</w:t>
      </w:r>
      <w:r>
        <w:rPr>
          <w:rFonts w:eastAsia="Times New Roman"/>
          <w:b/>
          <w:bCs/>
          <w:i/>
          <w:iCs/>
        </w:rPr>
        <w:t>’</w:t>
      </w:r>
      <w:r w:rsidRPr="004C2A3C">
        <w:rPr>
          <w:rFonts w:eastAsia="Times New Roman"/>
          <w:b/>
          <w:bCs/>
          <w:i/>
          <w:iCs/>
        </w:rPr>
        <w:t>autres données existantes sur des effets cutanés sur animaux (étape 3 dans la figure 3.2.1)</w:t>
      </w:r>
      <w:r w:rsidRPr="004C2A3C">
        <w:rPr>
          <w:rFonts w:eastAsia="Times New Roman"/>
          <w:b/>
          <w:bCs/>
        </w:rPr>
        <w:t> </w:t>
      </w:r>
      <w:r w:rsidRPr="004C2A3C">
        <w:rPr>
          <w:rFonts w:eastAsia="Times New Roman"/>
        </w:rPr>
        <w:t>».</w:t>
      </w:r>
    </w:p>
    <w:p w14:paraId="731E5154" w14:textId="77777777" w:rsidR="003F1C55" w:rsidRPr="004C2A3C" w:rsidRDefault="003F1C55" w:rsidP="003F1C55">
      <w:pPr>
        <w:spacing w:after="120"/>
        <w:ind w:left="2268" w:right="1134" w:hanging="1134"/>
        <w:jc w:val="both"/>
        <w:rPr>
          <w:rFonts w:eastAsia="Times New Roman"/>
          <w:i/>
          <w:iCs/>
        </w:rPr>
      </w:pPr>
      <w:r w:rsidRPr="004C2A3C">
        <w:rPr>
          <w:rFonts w:eastAsia="Times New Roman"/>
        </w:rPr>
        <w:t>3.2.2.5</w:t>
      </w:r>
      <w:r w:rsidRPr="004C2A3C">
        <w:rPr>
          <w:rFonts w:eastAsia="Times New Roman"/>
        </w:rPr>
        <w:tab/>
      </w:r>
      <w:r w:rsidRPr="004C2A3C">
        <w:rPr>
          <w:rFonts w:eastAsia="Times New Roman"/>
        </w:rPr>
        <w:tab/>
        <w:t>Modifier pour lire comme suit :</w:t>
      </w:r>
    </w:p>
    <w:p w14:paraId="6D22FFE5" w14:textId="77777777" w:rsidR="003F1C55" w:rsidRPr="004C2A3C" w:rsidRDefault="003F1C55" w:rsidP="003F1C55">
      <w:pPr>
        <w:spacing w:after="120"/>
        <w:ind w:left="2268" w:right="1134"/>
        <w:jc w:val="both"/>
        <w:rPr>
          <w:rFonts w:eastAsia="Times New Roman"/>
          <w:b/>
          <w:bCs/>
          <w:i/>
          <w:iCs/>
        </w:rPr>
      </w:pPr>
      <w:r w:rsidRPr="004C2A3C">
        <w:rPr>
          <w:rFonts w:eastAsia="Times New Roman"/>
        </w:rPr>
        <w:t>« </w:t>
      </w:r>
      <w:r w:rsidRPr="004C2A3C">
        <w:rPr>
          <w:rFonts w:eastAsia="Times New Roman"/>
          <w:b/>
          <w:bCs/>
        </w:rPr>
        <w:t>3.2.2.5</w:t>
      </w:r>
      <w:r w:rsidRPr="004C2A3C">
        <w:rPr>
          <w:rFonts w:eastAsia="Times New Roman"/>
        </w:rPr>
        <w:tab/>
      </w:r>
      <w:r w:rsidRPr="004C2A3C">
        <w:rPr>
          <w:rFonts w:eastAsia="Times New Roman"/>
          <w:b/>
          <w:bCs/>
          <w:i/>
          <w:iCs/>
        </w:rPr>
        <w:t>Classification fondée sur un pH extrême (≤2 ou ≥11,5) et une réserve acide ou alcaline (étape 4 dans la figure 3.2.1)</w:t>
      </w:r>
    </w:p>
    <w:p w14:paraId="72BFE21C" w14:textId="77777777" w:rsidR="003F1C55" w:rsidRPr="004C2A3C" w:rsidRDefault="003F1C55" w:rsidP="003F1C55">
      <w:pPr>
        <w:spacing w:after="120"/>
        <w:ind w:left="2268" w:right="1134"/>
        <w:jc w:val="both"/>
        <w:rPr>
          <w:rFonts w:eastAsia="Times New Roman"/>
        </w:rPr>
      </w:pPr>
      <w:r w:rsidRPr="004C2A3C">
        <w:rPr>
          <w:rFonts w:eastAsia="Times New Roman"/>
        </w:rPr>
        <w:t>En général, on peut s</w:t>
      </w:r>
      <w:r>
        <w:rPr>
          <w:rFonts w:eastAsia="Times New Roman"/>
        </w:rPr>
        <w:t>’</w:t>
      </w:r>
      <w:r w:rsidRPr="004C2A3C">
        <w:rPr>
          <w:rFonts w:eastAsia="Times New Roman"/>
        </w:rPr>
        <w:t>attendre à ce que les substances ayant un pH extrême (≤ 2 ou ≥ 11,5) provoquent des effets cutanés importants, surtout lorsque ce pH est associé à une réserve acide/alcaline. Une substance dont le pH est ≤ 2 ou ≥ 11,5 est donc considérée comme corrosive pour la peau (catégorie 1) à cette étape si elle présente une réserve acide/alcaline significative ou s</w:t>
      </w:r>
      <w:r>
        <w:rPr>
          <w:rFonts w:eastAsia="Times New Roman"/>
        </w:rPr>
        <w:t>’</w:t>
      </w:r>
      <w:r w:rsidRPr="004C2A3C">
        <w:rPr>
          <w:rFonts w:eastAsia="Times New Roman"/>
        </w:rPr>
        <w:t>il n</w:t>
      </w:r>
      <w:r>
        <w:rPr>
          <w:rFonts w:eastAsia="Times New Roman"/>
        </w:rPr>
        <w:t>’</w:t>
      </w:r>
      <w:r w:rsidRPr="004C2A3C">
        <w:rPr>
          <w:rFonts w:eastAsia="Times New Roman"/>
        </w:rPr>
        <w:t>existe pas de données concernant la réserve acide/alcaline. Toutefois, si l</w:t>
      </w:r>
      <w:r>
        <w:rPr>
          <w:rFonts w:eastAsia="Times New Roman"/>
        </w:rPr>
        <w:t>’</w:t>
      </w:r>
      <w:r w:rsidRPr="004C2A3C">
        <w:rPr>
          <w:rFonts w:eastAsia="Times New Roman"/>
        </w:rPr>
        <w:t>examen de la réserve acide/alcaline laisse penser que la substance pourrait ne pas être corrosive en dépit d</w:t>
      </w:r>
      <w:r>
        <w:rPr>
          <w:rFonts w:eastAsia="Times New Roman"/>
        </w:rPr>
        <w:t>’</w:t>
      </w:r>
      <w:r w:rsidRPr="004C2A3C">
        <w:rPr>
          <w:rFonts w:eastAsia="Times New Roman"/>
        </w:rPr>
        <w:t>un pH extrême, le résultat est jugé non concluant à cette étape (voir la figure 3.2.1). Une valeur de pH &gt; 2 ou &lt; 11,5 est considérée comme non concluante et ne peut être utilisée aux fins de classement. La réserve acide/alcaline et le pH peuvent être déterminés à l</w:t>
      </w:r>
      <w:r>
        <w:rPr>
          <w:rFonts w:eastAsia="Times New Roman"/>
        </w:rPr>
        <w:t>’</w:t>
      </w:r>
      <w:r w:rsidRPr="004C2A3C">
        <w:rPr>
          <w:rFonts w:eastAsia="Times New Roman"/>
        </w:rPr>
        <w:t>aide de différentes méthodes, notamment celles décrites dans la ligne directrice 122 de l</w:t>
      </w:r>
      <w:r>
        <w:rPr>
          <w:rFonts w:eastAsia="Times New Roman"/>
        </w:rPr>
        <w:t>’</w:t>
      </w:r>
      <w:r w:rsidRPr="004C2A3C">
        <w:rPr>
          <w:rFonts w:eastAsia="Times New Roman"/>
        </w:rPr>
        <w:t xml:space="preserve">OCDE et dans Young </w:t>
      </w:r>
      <w:r w:rsidRPr="004C2A3C">
        <w:rPr>
          <w:rFonts w:eastAsia="Times New Roman"/>
          <w:i/>
          <w:iCs/>
        </w:rPr>
        <w:t>et al.</w:t>
      </w:r>
      <w:r w:rsidRPr="004C2A3C">
        <w:rPr>
          <w:rFonts w:eastAsia="Times New Roman"/>
        </w:rPr>
        <w:t xml:space="preserve"> (1988), en tenant compte des différences qui existent entre ces méthodes (voir 3.2.5.3.6). Une autorité compétente peut décider quels critères appliquer pour déterminer si une réserve acide/alcaline est significative. ».</w:t>
      </w:r>
    </w:p>
    <w:p w14:paraId="465237FE" w14:textId="77777777" w:rsidR="003F1C55" w:rsidRPr="004C2A3C" w:rsidRDefault="003F1C55" w:rsidP="003F1C55">
      <w:pPr>
        <w:spacing w:after="120"/>
        <w:ind w:left="2268" w:right="1134" w:hanging="1134"/>
        <w:jc w:val="both"/>
        <w:rPr>
          <w:rFonts w:eastAsia="Times New Roman"/>
          <w:b/>
          <w:bCs/>
          <w:i/>
          <w:iCs/>
        </w:rPr>
      </w:pPr>
      <w:r w:rsidRPr="004C2A3C">
        <w:rPr>
          <w:rFonts w:eastAsia="Times New Roman"/>
        </w:rPr>
        <w:t>3.2.2.6</w:t>
      </w:r>
      <w:r w:rsidRPr="004C2A3C">
        <w:rPr>
          <w:rFonts w:eastAsia="Times New Roman"/>
        </w:rPr>
        <w:tab/>
        <w:t xml:space="preserve"> Ajouter « </w:t>
      </w:r>
      <w:r w:rsidRPr="004C2A3C">
        <w:rPr>
          <w:rFonts w:eastAsia="Times New Roman"/>
          <w:b/>
          <w:bCs/>
          <w:i/>
          <w:iCs/>
        </w:rPr>
        <w:t>(étape 5 dans la figure 3.2.1)</w:t>
      </w:r>
      <w:r w:rsidRPr="004C2A3C">
        <w:rPr>
          <w:rFonts w:eastAsia="Times New Roman"/>
        </w:rPr>
        <w:t> » à la fin du titre.</w:t>
      </w:r>
    </w:p>
    <w:p w14:paraId="5B3AF3CC" w14:textId="77777777" w:rsidR="003F1C55" w:rsidRPr="004C2A3C" w:rsidRDefault="003F1C55" w:rsidP="003F1C55">
      <w:pPr>
        <w:spacing w:after="120"/>
        <w:ind w:left="2268" w:right="1134" w:hanging="1134"/>
        <w:jc w:val="both"/>
        <w:rPr>
          <w:rFonts w:eastAsia="Times New Roman"/>
        </w:rPr>
      </w:pPr>
      <w:r w:rsidRPr="004C2A3C">
        <w:rPr>
          <w:rFonts w:eastAsia="Times New Roman"/>
        </w:rPr>
        <w:t>3.2.2.6.1</w:t>
      </w:r>
      <w:r w:rsidRPr="004C2A3C">
        <w:rPr>
          <w:rFonts w:eastAsia="Times New Roman"/>
        </w:rPr>
        <w:tab/>
        <w:t xml:space="preserve">Modification sans objet en français. </w:t>
      </w:r>
    </w:p>
    <w:p w14:paraId="7FA7C1DB" w14:textId="77777777" w:rsidR="003F1C55" w:rsidRPr="004C2A3C" w:rsidRDefault="003F1C55" w:rsidP="003F1C55">
      <w:pPr>
        <w:spacing w:after="120"/>
        <w:ind w:left="2268" w:right="1134" w:hanging="1134"/>
        <w:jc w:val="both"/>
        <w:rPr>
          <w:rFonts w:eastAsia="Times New Roman"/>
        </w:rPr>
      </w:pPr>
      <w:r w:rsidRPr="004C2A3C">
        <w:rPr>
          <w:rFonts w:eastAsia="Times New Roman"/>
        </w:rPr>
        <w:t>3.2.2.7 (nouveau)</w:t>
      </w:r>
      <w:r w:rsidRPr="004C2A3C">
        <w:rPr>
          <w:rFonts w:eastAsia="Times New Roman"/>
        </w:rPr>
        <w:tab/>
        <w:t>Ajouter une nouvelle section 3.2.2.7, libellée comme suit :</w:t>
      </w:r>
    </w:p>
    <w:p w14:paraId="61C4EC36" w14:textId="77777777" w:rsidR="003F1C55" w:rsidRPr="004C2A3C" w:rsidRDefault="003F1C55" w:rsidP="003F1C55">
      <w:pPr>
        <w:spacing w:after="120"/>
        <w:ind w:left="2268" w:right="1134"/>
        <w:jc w:val="both"/>
        <w:rPr>
          <w:rFonts w:eastAsia="Times New Roman"/>
          <w:i/>
          <w:iCs/>
        </w:rPr>
      </w:pPr>
      <w:r w:rsidRPr="004C2A3C">
        <w:rPr>
          <w:rFonts w:eastAsia="Times New Roman"/>
        </w:rPr>
        <w:t>« </w:t>
      </w:r>
      <w:r w:rsidRPr="004C2A3C">
        <w:rPr>
          <w:rFonts w:eastAsia="Times New Roman"/>
          <w:b/>
          <w:bCs/>
        </w:rPr>
        <w:t>3.2.2.7</w:t>
      </w:r>
      <w:r w:rsidRPr="004C2A3C">
        <w:rPr>
          <w:rFonts w:eastAsia="Times New Roman"/>
        </w:rPr>
        <w:tab/>
      </w:r>
      <w:r w:rsidRPr="004C2A3C">
        <w:rPr>
          <w:rFonts w:eastAsia="Times New Roman"/>
          <w:b/>
          <w:bCs/>
          <w:i/>
          <w:iCs/>
        </w:rPr>
        <w:t>Classification fondée sur une évaluation globale de la force probante des données (étape 6 dans la figure 3.2.1)</w:t>
      </w:r>
    </w:p>
    <w:p w14:paraId="5AA6C4FB" w14:textId="77777777" w:rsidR="003F1C55" w:rsidRPr="004C2A3C" w:rsidRDefault="003F1C55" w:rsidP="003F1C55">
      <w:pPr>
        <w:spacing w:after="120"/>
        <w:ind w:left="2268" w:right="1134"/>
        <w:jc w:val="both"/>
        <w:rPr>
          <w:rFonts w:eastAsia="Times New Roman"/>
        </w:rPr>
      </w:pPr>
      <w:r w:rsidRPr="004C2A3C">
        <w:rPr>
          <w:rFonts w:eastAsia="Times New Roman"/>
        </w:rPr>
        <w:t>3.2.2.7.1</w:t>
      </w:r>
      <w:r w:rsidRPr="004C2A3C">
        <w:rPr>
          <w:rFonts w:eastAsia="Times New Roman"/>
        </w:rPr>
        <w:tab/>
        <w:t>Une évaluation globale de la force probante des données est indiquée lorsqu</w:t>
      </w:r>
      <w:r>
        <w:rPr>
          <w:rFonts w:eastAsia="Times New Roman"/>
        </w:rPr>
        <w:t>’</w:t>
      </w:r>
      <w:r w:rsidRPr="004C2A3C">
        <w:rPr>
          <w:rFonts w:eastAsia="Times New Roman"/>
        </w:rPr>
        <w:t>aucune des étapes précédentes n</w:t>
      </w:r>
      <w:r>
        <w:rPr>
          <w:rFonts w:eastAsia="Times New Roman"/>
        </w:rPr>
        <w:t>’</w:t>
      </w:r>
      <w:r w:rsidRPr="004C2A3C">
        <w:rPr>
          <w:rFonts w:eastAsia="Times New Roman"/>
        </w:rPr>
        <w:t>a abouti à une conclusion définitive concernant la classification. Dans certains cas, lorsque la décision relative à la classification a été reportée jusqu</w:t>
      </w:r>
      <w:r>
        <w:rPr>
          <w:rFonts w:eastAsia="Times New Roman"/>
        </w:rPr>
        <w:t>’</w:t>
      </w:r>
      <w:r w:rsidRPr="004C2A3C">
        <w:rPr>
          <w:rFonts w:eastAsia="Times New Roman"/>
        </w:rPr>
        <w:t>à l</w:t>
      </w:r>
      <w:r>
        <w:rPr>
          <w:rFonts w:eastAsia="Times New Roman"/>
        </w:rPr>
        <w:t>’</w:t>
      </w:r>
      <w:r w:rsidRPr="004C2A3C">
        <w:rPr>
          <w:rFonts w:eastAsia="Times New Roman"/>
        </w:rPr>
        <w:t>étape de l</w:t>
      </w:r>
      <w:r>
        <w:rPr>
          <w:rFonts w:eastAsia="Times New Roman"/>
        </w:rPr>
        <w:t>’</w:t>
      </w:r>
      <w:r w:rsidRPr="004C2A3C">
        <w:rPr>
          <w:rFonts w:eastAsia="Times New Roman"/>
        </w:rPr>
        <w:t>évaluation globale de la force probante des données, mais qu</w:t>
      </w:r>
      <w:r>
        <w:rPr>
          <w:rFonts w:eastAsia="Times New Roman"/>
        </w:rPr>
        <w:t>’</w:t>
      </w:r>
      <w:r w:rsidRPr="004C2A3C">
        <w:rPr>
          <w:rFonts w:eastAsia="Times New Roman"/>
        </w:rPr>
        <w:t>aucune autre donnée n</w:t>
      </w:r>
      <w:r>
        <w:rPr>
          <w:rFonts w:eastAsia="Times New Roman"/>
        </w:rPr>
        <w:t>’</w:t>
      </w:r>
      <w:r w:rsidRPr="004C2A3C">
        <w:rPr>
          <w:rFonts w:eastAsia="Times New Roman"/>
        </w:rPr>
        <w:t>est disponible, il peut tout de même être possible de classer la substance.</w:t>
      </w:r>
    </w:p>
    <w:p w14:paraId="4ADFCA91" w14:textId="77777777" w:rsidR="003F1C55" w:rsidRPr="004C2A3C" w:rsidRDefault="003F1C55" w:rsidP="003F1C55">
      <w:pPr>
        <w:spacing w:after="120"/>
        <w:ind w:left="2268" w:right="1134"/>
        <w:jc w:val="both"/>
        <w:rPr>
          <w:rFonts w:eastAsia="Times New Roman"/>
        </w:rPr>
      </w:pPr>
      <w:r w:rsidRPr="004C2A3C">
        <w:rPr>
          <w:rFonts w:eastAsia="Times New Roman"/>
        </w:rPr>
        <w:t>3.2.2.7.2</w:t>
      </w:r>
      <w:r w:rsidRPr="004C2A3C">
        <w:rPr>
          <w:rFonts w:eastAsia="Times New Roman"/>
        </w:rPr>
        <w:tab/>
        <w:t>Une substance ayant un pH extrême (≤ 2 ou ≥ 11,5) et une réserve acide/alcaline négligeable (résultat jugé non concluant à l</w:t>
      </w:r>
      <w:r>
        <w:rPr>
          <w:rFonts w:eastAsia="Times New Roman"/>
        </w:rPr>
        <w:t>’</w:t>
      </w:r>
      <w:r w:rsidRPr="004C2A3C">
        <w:rPr>
          <w:rFonts w:eastAsia="Times New Roman"/>
        </w:rPr>
        <w:t>étape 4 ; voir 3.2.2.5) et pour laquelle il n</w:t>
      </w:r>
      <w:r>
        <w:rPr>
          <w:rFonts w:eastAsia="Times New Roman"/>
        </w:rPr>
        <w:t>’</w:t>
      </w:r>
      <w:r w:rsidRPr="004C2A3C">
        <w:rPr>
          <w:rFonts w:eastAsia="Times New Roman"/>
        </w:rPr>
        <w:t>existe pas d</w:t>
      </w:r>
      <w:r>
        <w:rPr>
          <w:rFonts w:eastAsia="Times New Roman"/>
        </w:rPr>
        <w:t>’</w:t>
      </w:r>
      <w:r w:rsidRPr="004C2A3C">
        <w:rPr>
          <w:rFonts w:eastAsia="Times New Roman"/>
        </w:rPr>
        <w:t>autre information devrait être classée dans la catégorie 1 (corrosion cutanée) à cette étape. Si des données non concluantes sont également disponibles à d</w:t>
      </w:r>
      <w:r>
        <w:rPr>
          <w:rFonts w:eastAsia="Times New Roman"/>
        </w:rPr>
        <w:t>’</w:t>
      </w:r>
      <w:r w:rsidRPr="004C2A3C">
        <w:rPr>
          <w:rFonts w:eastAsia="Times New Roman"/>
        </w:rPr>
        <w:t>autres étapes, mais que l</w:t>
      </w:r>
      <w:r>
        <w:rPr>
          <w:rFonts w:eastAsia="Times New Roman"/>
        </w:rPr>
        <w:t>’</w:t>
      </w:r>
      <w:r w:rsidRPr="004C2A3C">
        <w:rPr>
          <w:rFonts w:eastAsia="Times New Roman"/>
        </w:rPr>
        <w:t>évaluation globale de la force probante des données demeure non concluante, le résultat relatif au pH extrême (≤ 2 ou ≥ 11,5) doit l</w:t>
      </w:r>
      <w:r>
        <w:rPr>
          <w:rFonts w:eastAsia="Times New Roman"/>
        </w:rPr>
        <w:t>’</w:t>
      </w:r>
      <w:r w:rsidRPr="004C2A3C">
        <w:rPr>
          <w:rFonts w:eastAsia="Times New Roman"/>
        </w:rPr>
        <w:t>emporter et la substance être classée dans la catégorie de corrosion cutanée 1 à cette étape, indépendamment de la réserve acide/alcaline. Dans le cas des mélanges, une approche différente, détaillée au 3.2.3.1.3, est appliquée. ».</w:t>
      </w:r>
    </w:p>
    <w:p w14:paraId="066B0069" w14:textId="77777777" w:rsidR="003F1C55" w:rsidRPr="004C2A3C" w:rsidRDefault="003F1C55" w:rsidP="003F1C55">
      <w:pPr>
        <w:spacing w:after="120"/>
        <w:ind w:left="1134" w:right="1134"/>
        <w:jc w:val="both"/>
        <w:rPr>
          <w:rFonts w:eastAsia="Times New Roman"/>
        </w:rPr>
      </w:pPr>
      <w:r w:rsidRPr="004C2A3C">
        <w:rPr>
          <w:rFonts w:eastAsia="Times New Roman"/>
        </w:rPr>
        <w:t>L</w:t>
      </w:r>
      <w:r>
        <w:rPr>
          <w:rFonts w:eastAsia="Times New Roman"/>
        </w:rPr>
        <w:t>’</w:t>
      </w:r>
      <w:r w:rsidRPr="004C2A3C">
        <w:rPr>
          <w:rFonts w:eastAsia="Times New Roman"/>
        </w:rPr>
        <w:t xml:space="preserve">actuel paragraphe 3.2.2.7 devient le 3.2.2.8 et les paragraphes 3.2.2.7.1, 3.2.2.7.2 </w:t>
      </w:r>
      <w:proofErr w:type="gramStart"/>
      <w:r w:rsidRPr="004C2A3C">
        <w:rPr>
          <w:rFonts w:eastAsia="Times New Roman"/>
        </w:rPr>
        <w:t>et  3.2.2.7.3</w:t>
      </w:r>
      <w:proofErr w:type="gramEnd"/>
      <w:r w:rsidRPr="004C2A3C">
        <w:rPr>
          <w:rFonts w:eastAsia="Times New Roman"/>
        </w:rPr>
        <w:t xml:space="preserve"> deviennent les 3.2.2.8.1, 3.2.2.8.2 et 3.2.2.8.3.</w:t>
      </w:r>
    </w:p>
    <w:p w14:paraId="51FB668E" w14:textId="77777777" w:rsidR="003F1C55" w:rsidRPr="004C2A3C" w:rsidRDefault="003F1C55" w:rsidP="003F1C55">
      <w:pPr>
        <w:tabs>
          <w:tab w:val="left" w:pos="4253"/>
        </w:tabs>
        <w:spacing w:after="120"/>
        <w:ind w:left="1134" w:right="1134"/>
        <w:jc w:val="both"/>
        <w:rPr>
          <w:rFonts w:eastAsia="Times New Roman"/>
        </w:rPr>
      </w:pPr>
      <w:r w:rsidRPr="004C2A3C">
        <w:rPr>
          <w:rFonts w:eastAsia="Times New Roman"/>
        </w:rPr>
        <w:t>3.2.2.8 (nouveau, ancien 3.2.2.7)</w:t>
      </w:r>
      <w:r w:rsidRPr="004C2A3C">
        <w:rPr>
          <w:rFonts w:eastAsia="Times New Roman"/>
        </w:rPr>
        <w:tab/>
        <w:t>Ajouter « </w:t>
      </w:r>
      <w:r w:rsidRPr="004C2A3C">
        <w:rPr>
          <w:rFonts w:eastAsia="Times New Roman"/>
          <w:b/>
          <w:bCs/>
          <w:i/>
          <w:iCs/>
        </w:rPr>
        <w:t>(figure 3.2.1)</w:t>
      </w:r>
      <w:r w:rsidRPr="004C2A3C">
        <w:rPr>
          <w:rFonts w:eastAsia="Times New Roman"/>
        </w:rPr>
        <w:t xml:space="preserve"> » à la fin du titre. </w:t>
      </w:r>
    </w:p>
    <w:p w14:paraId="349A2815" w14:textId="77777777" w:rsidR="003F1C55" w:rsidRPr="004C2A3C" w:rsidRDefault="003F1C55" w:rsidP="003F1C55">
      <w:pPr>
        <w:tabs>
          <w:tab w:val="left" w:pos="4253"/>
        </w:tabs>
        <w:spacing w:after="120"/>
        <w:ind w:left="1134" w:right="1134"/>
        <w:jc w:val="both"/>
        <w:rPr>
          <w:rFonts w:eastAsia="Times New Roman"/>
        </w:rPr>
      </w:pPr>
      <w:r w:rsidRPr="004C2A3C">
        <w:rPr>
          <w:rFonts w:eastAsia="Times New Roman"/>
        </w:rPr>
        <w:t>3.2.2.8.2 (nouveau, ancien 3.2.2.7.2)</w:t>
      </w:r>
      <w:r w:rsidRPr="004C2A3C">
        <w:rPr>
          <w:rFonts w:eastAsia="Times New Roman"/>
        </w:rPr>
        <w:tab/>
        <w:t>Modifier la première phrase pour lire comme suit :</w:t>
      </w:r>
    </w:p>
    <w:p w14:paraId="190086F2" w14:textId="77777777" w:rsidR="003F1C55" w:rsidRPr="004C2A3C" w:rsidRDefault="003F1C55" w:rsidP="003F1C55">
      <w:pPr>
        <w:spacing w:after="120"/>
        <w:ind w:left="2268" w:right="1134"/>
        <w:jc w:val="both"/>
        <w:rPr>
          <w:rFonts w:eastAsia="Times New Roman"/>
        </w:rPr>
      </w:pPr>
      <w:r w:rsidRPr="004C2A3C">
        <w:rPr>
          <w:rFonts w:eastAsia="Times New Roman"/>
        </w:rPr>
        <w:t>« Dans la méthode par étapes (figure 3.2.1), les données existantes obtenues sur l</w:t>
      </w:r>
      <w:r>
        <w:rPr>
          <w:rFonts w:eastAsia="Times New Roman"/>
        </w:rPr>
        <w:t>’</w:t>
      </w:r>
      <w:r w:rsidRPr="004C2A3C">
        <w:rPr>
          <w:rFonts w:eastAsia="Times New Roman"/>
        </w:rPr>
        <w:t>homme et les données normalisées obtenues sur les animaux constituent l</w:t>
      </w:r>
      <w:r>
        <w:rPr>
          <w:rFonts w:eastAsia="Times New Roman"/>
        </w:rPr>
        <w:t>’</w:t>
      </w:r>
      <w:r w:rsidRPr="004C2A3C">
        <w:rPr>
          <w:rFonts w:eastAsia="Times New Roman"/>
        </w:rPr>
        <w:t xml:space="preserve">étape supérieure, suivies par les données </w:t>
      </w:r>
      <w:r w:rsidRPr="004C2A3C">
        <w:rPr>
          <w:rFonts w:eastAsia="Times New Roman"/>
          <w:i/>
          <w:iCs/>
        </w:rPr>
        <w:t>in vitro/ex vivo</w:t>
      </w:r>
      <w:r w:rsidRPr="004C2A3C">
        <w:rPr>
          <w:rFonts w:eastAsia="Times New Roman"/>
        </w:rPr>
        <w:t>, par les autres données existantes sur des effets cutanés sur les animaux, par le pH extrême et la réserve acide/alcaline et, enfin, par les méthodes non fondées sur des essais. ».</w:t>
      </w:r>
    </w:p>
    <w:p w14:paraId="4445B92C" w14:textId="77777777" w:rsidR="003F1C55" w:rsidRPr="004C2A3C" w:rsidRDefault="003F1C55" w:rsidP="003F1C55">
      <w:pPr>
        <w:spacing w:after="120"/>
        <w:ind w:left="2268" w:right="1134"/>
        <w:jc w:val="both"/>
        <w:rPr>
          <w:rFonts w:eastAsia="Times New Roman"/>
        </w:rPr>
      </w:pPr>
      <w:r w:rsidRPr="004C2A3C">
        <w:rPr>
          <w:rFonts w:eastAsia="Times New Roman"/>
        </w:rPr>
        <w:t xml:space="preserve">Dans la deuxième phrase, remplacer « méthode fondée sur la force probante des données » par « évaluation de la force probante des données ». </w:t>
      </w:r>
    </w:p>
    <w:p w14:paraId="41DD9CDC" w14:textId="77777777" w:rsidR="003F1C55" w:rsidRPr="004C2A3C" w:rsidRDefault="003F1C55" w:rsidP="003F1C55">
      <w:pPr>
        <w:spacing w:after="120"/>
        <w:ind w:left="2268" w:right="1134" w:hanging="1134"/>
        <w:jc w:val="both"/>
        <w:rPr>
          <w:rFonts w:eastAsia="Times New Roman"/>
        </w:rPr>
      </w:pPr>
      <w:r w:rsidRPr="004C2A3C">
        <w:rPr>
          <w:rFonts w:eastAsia="Times New Roman"/>
        </w:rPr>
        <w:t xml:space="preserve">3.2.2.8.3 (nouveau, ancien 3.2.2.7.3, remplacer « méthode globale fondée sur la force probante des données » par « évaluation globale de la force probante des données » (deux occurrences). </w:t>
      </w:r>
    </w:p>
    <w:p w14:paraId="6DD76F86" w14:textId="77777777" w:rsidR="003F1C55" w:rsidRPr="004C2A3C" w:rsidRDefault="003F1C55" w:rsidP="003F1C55">
      <w:pPr>
        <w:spacing w:after="120"/>
        <w:ind w:left="2268" w:right="1134"/>
        <w:jc w:val="both"/>
        <w:rPr>
          <w:rFonts w:eastAsia="Times New Roman"/>
        </w:rPr>
      </w:pPr>
      <w:r w:rsidRPr="004C2A3C">
        <w:rPr>
          <w:rFonts w:eastAsia="Times New Roman"/>
        </w:rPr>
        <w:t xml:space="preserve">Dans la dernière phrase, remplacer « irritation » par « irritation cutanée », remplacer « les épreuves » par « des épreuves » et ajouter « également » après « donneraient ». </w:t>
      </w:r>
    </w:p>
    <w:p w14:paraId="7CDE4C15" w14:textId="77777777" w:rsidR="003F1C55" w:rsidRPr="004C2A3C" w:rsidRDefault="003F1C55" w:rsidP="003F1C55">
      <w:pPr>
        <w:keepNext/>
        <w:spacing w:after="120"/>
        <w:ind w:left="1134" w:right="1134"/>
        <w:jc w:val="both"/>
        <w:rPr>
          <w:rFonts w:eastAsia="Times New Roman"/>
        </w:rPr>
      </w:pPr>
      <w:r w:rsidRPr="004C2A3C">
        <w:rPr>
          <w:rFonts w:eastAsia="Times New Roman"/>
        </w:rPr>
        <w:t>Figure 3.2.1, modifier pour lire comme suit :</w:t>
      </w:r>
    </w:p>
    <w:p w14:paraId="7719AAC0" w14:textId="77777777" w:rsidR="003F1C55" w:rsidRPr="004C2A3C" w:rsidRDefault="003F1C55" w:rsidP="003F1C55">
      <w:pPr>
        <w:keepLines/>
        <w:tabs>
          <w:tab w:val="left" w:pos="1701"/>
        </w:tabs>
        <w:spacing w:after="120"/>
        <w:ind w:left="1701" w:right="1134" w:hanging="170"/>
        <w:jc w:val="both"/>
        <w:rPr>
          <w:rFonts w:eastAsia="Times New Roman"/>
        </w:rPr>
      </w:pPr>
      <w:r w:rsidRPr="004C2A3C">
        <w:rPr>
          <w:rFonts w:eastAsia="Times New Roman"/>
        </w:rPr>
        <w:t>•</w:t>
      </w:r>
      <w:r w:rsidRPr="004C2A3C">
        <w:rPr>
          <w:rFonts w:eastAsia="Times New Roman"/>
        </w:rPr>
        <w:tab/>
      </w:r>
      <w:r w:rsidRPr="004C2A3C">
        <w:rPr>
          <w:rFonts w:eastAsia="Times New Roman"/>
        </w:rPr>
        <w:tab/>
        <w:t>Texte entre les cases « Étape 3 » et « Étape 4 » : remplacer « </w:t>
      </w:r>
      <w:r w:rsidRPr="004C2A3C">
        <w:rPr>
          <w:rFonts w:eastAsia="Times New Roman"/>
          <w:i/>
          <w:iCs/>
        </w:rPr>
        <w:t xml:space="preserve">Pas de données, données aboutissant à une absence de classification ou données non </w:t>
      </w:r>
      <w:proofErr w:type="spellStart"/>
      <w:r w:rsidRPr="004C2A3C">
        <w:rPr>
          <w:rFonts w:eastAsia="Times New Roman"/>
          <w:i/>
          <w:iCs/>
        </w:rPr>
        <w:t>concluantes</w:t>
      </w:r>
      <w:r w:rsidRPr="004C2A3C">
        <w:rPr>
          <w:rFonts w:eastAsia="Times New Roman"/>
          <w:vertAlign w:val="superscript"/>
        </w:rPr>
        <w:t>b</w:t>
      </w:r>
      <w:proofErr w:type="spellEnd"/>
      <w:r w:rsidRPr="004C2A3C">
        <w:rPr>
          <w:rFonts w:eastAsia="Times New Roman"/>
          <w:i/>
          <w:iCs/>
        </w:rPr>
        <w:t> </w:t>
      </w:r>
      <w:r w:rsidRPr="004C2A3C">
        <w:rPr>
          <w:rFonts w:eastAsia="Times New Roman"/>
        </w:rPr>
        <w:t>» par « </w:t>
      </w:r>
      <w:r w:rsidRPr="004C2A3C">
        <w:rPr>
          <w:rFonts w:eastAsia="Times New Roman"/>
          <w:i/>
          <w:iCs/>
        </w:rPr>
        <w:t xml:space="preserve">Pas de données, absence de classification au titre de la corrosion/irritation cutanée ou données non </w:t>
      </w:r>
      <w:proofErr w:type="spellStart"/>
      <w:r w:rsidRPr="004C2A3C">
        <w:rPr>
          <w:rFonts w:eastAsia="Times New Roman"/>
          <w:i/>
          <w:iCs/>
        </w:rPr>
        <w:t>concluantes</w:t>
      </w:r>
      <w:r w:rsidRPr="004C2A3C">
        <w:rPr>
          <w:rFonts w:eastAsia="Times New Roman"/>
          <w:vertAlign w:val="superscript"/>
        </w:rPr>
        <w:t>b</w:t>
      </w:r>
      <w:proofErr w:type="spellEnd"/>
      <w:r w:rsidRPr="004C2A3C">
        <w:rPr>
          <w:rFonts w:eastAsia="Times New Roman"/>
        </w:rPr>
        <w:t> ».</w:t>
      </w:r>
    </w:p>
    <w:p w14:paraId="2EB881F6" w14:textId="77777777" w:rsidR="003F1C55" w:rsidRPr="004C2A3C" w:rsidRDefault="003F1C55" w:rsidP="003F1C55">
      <w:pPr>
        <w:tabs>
          <w:tab w:val="left" w:pos="1701"/>
        </w:tabs>
        <w:spacing w:after="120"/>
        <w:ind w:left="1701" w:right="1134" w:hanging="170"/>
        <w:jc w:val="both"/>
        <w:rPr>
          <w:rFonts w:eastAsia="Times New Roman"/>
        </w:rPr>
      </w:pPr>
      <w:r w:rsidRPr="004C2A3C">
        <w:rPr>
          <w:rFonts w:eastAsia="Times New Roman"/>
        </w:rPr>
        <w:t>•</w:t>
      </w:r>
      <w:r w:rsidRPr="004C2A3C">
        <w:rPr>
          <w:rFonts w:eastAsia="Times New Roman"/>
        </w:rPr>
        <w:tab/>
        <w:t>Texte entre les cases « Étape 4 » et « Étape 5 » : remplacer « </w:t>
      </w:r>
      <w:r w:rsidRPr="004C2A3C">
        <w:rPr>
          <w:rFonts w:eastAsia="Times New Roman"/>
          <w:i/>
          <w:iCs/>
        </w:rPr>
        <w:t>données démontrant une réserve acide/alcaline faible ou nulle</w:t>
      </w:r>
      <w:r w:rsidRPr="004C2A3C">
        <w:rPr>
          <w:rFonts w:eastAsia="Times New Roman"/>
        </w:rPr>
        <w:t> » par « </w:t>
      </w:r>
      <w:r w:rsidRPr="004C2A3C">
        <w:rPr>
          <w:rFonts w:eastAsia="Times New Roman"/>
          <w:i/>
          <w:iCs/>
        </w:rPr>
        <w:t>données démontrant une réserve acide/alcaline négligeable</w:t>
      </w:r>
      <w:r w:rsidRPr="004C2A3C">
        <w:rPr>
          <w:rFonts w:eastAsia="Times New Roman"/>
        </w:rPr>
        <w:t> ».</w:t>
      </w:r>
    </w:p>
    <w:p w14:paraId="775E77BB" w14:textId="77777777" w:rsidR="003F1C55" w:rsidRPr="004C2A3C" w:rsidRDefault="003F1C55" w:rsidP="003F1C55">
      <w:pPr>
        <w:tabs>
          <w:tab w:val="left" w:pos="1701"/>
        </w:tabs>
        <w:spacing w:after="120"/>
        <w:ind w:left="1701" w:right="1134" w:hanging="170"/>
        <w:jc w:val="both"/>
        <w:rPr>
          <w:rFonts w:eastAsia="Times New Roman"/>
        </w:rPr>
      </w:pPr>
      <w:r w:rsidRPr="004C2A3C">
        <w:rPr>
          <w:rFonts w:eastAsia="Times New Roman"/>
        </w:rPr>
        <w:t>•</w:t>
      </w:r>
      <w:r w:rsidRPr="004C2A3C">
        <w:rPr>
          <w:rFonts w:eastAsia="Times New Roman"/>
        </w:rPr>
        <w:tab/>
        <w:t>Case « Étape 6 » : remplacer « (voir 3.2.2.7.3) » par « (voir 3.2.2.7) ».</w:t>
      </w:r>
    </w:p>
    <w:p w14:paraId="7E243811" w14:textId="77777777" w:rsidR="003F1C55" w:rsidRPr="004C2A3C" w:rsidRDefault="003F1C55" w:rsidP="003F1C55">
      <w:pPr>
        <w:tabs>
          <w:tab w:val="left" w:pos="1701"/>
        </w:tabs>
        <w:spacing w:after="120"/>
        <w:ind w:left="1701" w:right="1134" w:hanging="170"/>
        <w:jc w:val="both"/>
        <w:rPr>
          <w:rFonts w:eastAsia="Times New Roman"/>
        </w:rPr>
      </w:pPr>
      <w:r w:rsidRPr="004C2A3C">
        <w:rPr>
          <w:rFonts w:eastAsia="Times New Roman"/>
        </w:rPr>
        <w:t>•</w:t>
      </w:r>
      <w:r w:rsidRPr="004C2A3C">
        <w:rPr>
          <w:rFonts w:eastAsia="Times New Roman"/>
        </w:rPr>
        <w:tab/>
        <w:t xml:space="preserve">Case de sortie « Classification impossible » : remplacer le texte par « Classification impossible pour les </w:t>
      </w:r>
      <w:proofErr w:type="spellStart"/>
      <w:r w:rsidRPr="004C2A3C">
        <w:rPr>
          <w:rFonts w:eastAsia="Times New Roman"/>
        </w:rPr>
        <w:t>substances</w:t>
      </w:r>
      <w:r w:rsidRPr="004C2A3C">
        <w:rPr>
          <w:rFonts w:eastAsia="Times New Roman"/>
          <w:vertAlign w:val="superscript"/>
        </w:rPr>
        <w:t>c</w:t>
      </w:r>
      <w:proofErr w:type="spellEnd"/>
      <w:r w:rsidRPr="004C2A3C">
        <w:rPr>
          <w:rFonts w:eastAsia="Times New Roman"/>
        </w:rPr>
        <w:t> ».</w:t>
      </w:r>
    </w:p>
    <w:p w14:paraId="4E87DD2F" w14:textId="77777777" w:rsidR="003F1C55" w:rsidRPr="004C2A3C" w:rsidRDefault="003F1C55" w:rsidP="003F1C55">
      <w:pPr>
        <w:tabs>
          <w:tab w:val="left" w:pos="1701"/>
        </w:tabs>
        <w:spacing w:after="120"/>
        <w:ind w:left="1701" w:right="1134" w:hanging="170"/>
        <w:jc w:val="both"/>
        <w:rPr>
          <w:rFonts w:eastAsia="Times New Roman"/>
        </w:rPr>
      </w:pPr>
      <w:r w:rsidRPr="004C2A3C">
        <w:rPr>
          <w:rFonts w:eastAsia="Times New Roman"/>
        </w:rPr>
        <w:t>•</w:t>
      </w:r>
      <w:r w:rsidRPr="004C2A3C">
        <w:rPr>
          <w:rFonts w:eastAsia="Times New Roman"/>
        </w:rPr>
        <w:tab/>
        <w:t>Case de droite commençant par « Évaluation de la cohérence avec les étapes de rang inférieur » : remplacer « 3.2.2.7.3 » par « 3.2.2.8.3 ».</w:t>
      </w:r>
    </w:p>
    <w:p w14:paraId="4D3D3B66" w14:textId="77777777" w:rsidR="003F1C55" w:rsidRPr="004C2A3C" w:rsidRDefault="003F1C55" w:rsidP="003F1C55">
      <w:pPr>
        <w:tabs>
          <w:tab w:val="left" w:pos="1701"/>
        </w:tabs>
        <w:spacing w:after="120"/>
        <w:ind w:left="1701" w:right="1134" w:hanging="170"/>
        <w:jc w:val="both"/>
        <w:rPr>
          <w:rFonts w:eastAsia="Times New Roman"/>
        </w:rPr>
      </w:pPr>
      <w:r w:rsidRPr="004C2A3C">
        <w:rPr>
          <w:rFonts w:eastAsia="Times New Roman"/>
        </w:rPr>
        <w:t>•</w:t>
      </w:r>
      <w:r w:rsidRPr="004C2A3C">
        <w:rPr>
          <w:rFonts w:eastAsia="Times New Roman"/>
        </w:rPr>
        <w:tab/>
        <w:t>Note « a » : remplacer « 3.2.2.7 » par « 3.2.2.8 ».</w:t>
      </w:r>
    </w:p>
    <w:p w14:paraId="411CA467" w14:textId="77777777" w:rsidR="003F1C55" w:rsidRPr="004C2A3C" w:rsidRDefault="003F1C55" w:rsidP="003F1C55">
      <w:pPr>
        <w:tabs>
          <w:tab w:val="left" w:pos="1701"/>
        </w:tabs>
        <w:spacing w:after="120"/>
        <w:ind w:left="1701" w:right="1134" w:hanging="170"/>
        <w:jc w:val="both"/>
        <w:rPr>
          <w:rFonts w:eastAsia="Times New Roman"/>
        </w:rPr>
      </w:pPr>
      <w:r w:rsidRPr="004C2A3C">
        <w:rPr>
          <w:rFonts w:eastAsia="Times New Roman"/>
        </w:rPr>
        <w:t>•</w:t>
      </w:r>
      <w:r w:rsidRPr="004C2A3C">
        <w:rPr>
          <w:rFonts w:eastAsia="Times New Roman"/>
        </w:rPr>
        <w:tab/>
        <w:t>Ajouter une nouvelle note « c » libellée comme suit : « </w:t>
      </w:r>
      <w:proofErr w:type="gramStart"/>
      <w:r w:rsidRPr="004C2A3C">
        <w:rPr>
          <w:rFonts w:eastAsia="Times New Roman"/>
          <w:b/>
          <w:bCs/>
          <w:vertAlign w:val="superscript"/>
        </w:rPr>
        <w:t>c</w:t>
      </w:r>
      <w:r w:rsidRPr="004C2A3C">
        <w:rPr>
          <w:rFonts w:eastAsia="Times New Roman"/>
        </w:rPr>
        <w:t xml:space="preserve">  </w:t>
      </w:r>
      <w:r w:rsidRPr="004C2A3C">
        <w:rPr>
          <w:rFonts w:eastAsia="Times New Roman"/>
          <w:i/>
          <w:iCs/>
        </w:rPr>
        <w:t>Dans</w:t>
      </w:r>
      <w:proofErr w:type="gramEnd"/>
      <w:r w:rsidRPr="004C2A3C">
        <w:rPr>
          <w:rFonts w:eastAsia="Times New Roman"/>
          <w:i/>
          <w:iCs/>
        </w:rPr>
        <w:t xml:space="preserve"> le cas des mélanges, il convient de suivre le diagramme de décision de la figure 3.2.2.</w:t>
      </w:r>
      <w:r w:rsidRPr="004C2A3C">
        <w:rPr>
          <w:rFonts w:eastAsia="Times New Roman"/>
        </w:rPr>
        <w:t> ».</w:t>
      </w:r>
    </w:p>
    <w:p w14:paraId="02DBCFEC" w14:textId="77777777" w:rsidR="003F1C55" w:rsidRPr="004C2A3C" w:rsidRDefault="003F1C55" w:rsidP="003F1C55">
      <w:pPr>
        <w:spacing w:after="120"/>
        <w:ind w:left="2268" w:right="1134" w:hanging="1134"/>
        <w:jc w:val="both"/>
        <w:rPr>
          <w:rFonts w:eastAsia="Times New Roman"/>
        </w:rPr>
      </w:pPr>
      <w:r w:rsidRPr="004C2A3C">
        <w:rPr>
          <w:rFonts w:eastAsia="Times New Roman"/>
        </w:rPr>
        <w:t>3.2.3</w:t>
      </w:r>
      <w:r w:rsidRPr="004C2A3C">
        <w:rPr>
          <w:rFonts w:eastAsia="Times New Roman"/>
        </w:rPr>
        <w:tab/>
        <w:t>Ajouter le nouveau texte et la nouvelle figure ci-après sous le titre actuel :</w:t>
      </w:r>
    </w:p>
    <w:p w14:paraId="45C455AB" w14:textId="77777777" w:rsidR="003F1C55" w:rsidRPr="004C2A3C" w:rsidRDefault="003F1C55" w:rsidP="003F1C55">
      <w:pPr>
        <w:spacing w:after="120"/>
        <w:ind w:left="2268" w:right="1134"/>
        <w:jc w:val="both"/>
        <w:rPr>
          <w:rFonts w:eastAsia="Times New Roman"/>
        </w:rPr>
      </w:pPr>
      <w:r w:rsidRPr="004C2A3C">
        <w:rPr>
          <w:rFonts w:eastAsia="Times New Roman"/>
        </w:rPr>
        <w:t>« Dans la classification de corrosion ou d</w:t>
      </w:r>
      <w:r>
        <w:rPr>
          <w:rFonts w:eastAsia="Times New Roman"/>
        </w:rPr>
        <w:t>’</w:t>
      </w:r>
      <w:r w:rsidRPr="004C2A3C">
        <w:rPr>
          <w:rFonts w:eastAsia="Times New Roman"/>
        </w:rPr>
        <w:t xml:space="preserve">irritation cutanée, on procède par étapes en fonction des informations disponibles pour le mélange en tant que tel et pour ses composants. Le processus est représenté de façon schématique dans la figure 3.2.2. </w:t>
      </w:r>
    </w:p>
    <w:p w14:paraId="18175F29" w14:textId="77777777" w:rsidR="003F1C55" w:rsidRPr="004C2A3C" w:rsidRDefault="003F1C55" w:rsidP="003F1C55">
      <w:pPr>
        <w:keepNext/>
        <w:keepLines/>
        <w:spacing w:after="120" w:line="240" w:lineRule="auto"/>
        <w:ind w:left="1134"/>
        <w:jc w:val="center"/>
        <w:outlineLvl w:val="0"/>
        <w:rPr>
          <w:rFonts w:eastAsia="Times New Roman"/>
          <w:b/>
          <w:bCs/>
        </w:rPr>
      </w:pPr>
      <w:r w:rsidRPr="004C2A3C">
        <w:rPr>
          <w:rFonts w:eastAsia="Times New Roman"/>
          <w:b/>
          <w:bCs/>
        </w:rPr>
        <w:t>Figure 3.2.2</w:t>
      </w:r>
      <w:r w:rsidRPr="004C2A3C">
        <w:rPr>
          <w:rFonts w:eastAsia="Times New Roman"/>
          <w:b/>
          <w:bCs/>
        </w:rPr>
        <w:br/>
        <w:t>Étapes de la classification des mélanges pour la corrosion ou l</w:t>
      </w:r>
      <w:r>
        <w:rPr>
          <w:rFonts w:eastAsia="Times New Roman"/>
          <w:b/>
          <w:bCs/>
        </w:rPr>
        <w:t>’</w:t>
      </w:r>
      <w:r w:rsidRPr="004C2A3C">
        <w:rPr>
          <w:rFonts w:eastAsia="Times New Roman"/>
          <w:b/>
          <w:bCs/>
        </w:rPr>
        <w:t>irritation cutanée</w:t>
      </w:r>
    </w:p>
    <w:p w14:paraId="53AA70CD" w14:textId="77777777" w:rsidR="003F1C55" w:rsidRPr="004C2A3C" w:rsidRDefault="003F1C55" w:rsidP="003F1C55">
      <w:pPr>
        <w:spacing w:after="120"/>
        <w:ind w:left="1134" w:right="1134"/>
        <w:jc w:val="center"/>
        <w:rPr>
          <w:rFonts w:eastAsia="Times New Roman"/>
          <w:lang w:val="en-US"/>
        </w:rPr>
      </w:pPr>
      <w:r w:rsidRPr="004C2A3C">
        <w:rPr>
          <w:rFonts w:eastAsia="Times New Roman"/>
          <w:noProof/>
        </w:rPr>
        <w:object w:dxaOrig="6865" w:dyaOrig="7825" w14:anchorId="3CB88E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4pt;height:390pt;mso-width-percent:0;mso-height-percent:0;mso-width-percent:0;mso-height-percent:0" o:ole="">
            <v:imagedata r:id="rId8" o:title=""/>
          </v:shape>
          <o:OLEObject Type="Embed" ProgID="Visio.Drawing.15" ShapeID="_x0000_i1025" DrawAspect="Content" ObjectID="_1700643204" r:id="rId9"/>
        </w:object>
      </w:r>
    </w:p>
    <w:p w14:paraId="4CB63832" w14:textId="77777777" w:rsidR="003F1C55" w:rsidRPr="004C2A3C" w:rsidRDefault="003F1C55" w:rsidP="003F1C55">
      <w:pPr>
        <w:spacing w:before="240" w:after="120" w:line="220" w:lineRule="atLeast"/>
        <w:ind w:left="1134" w:right="1134" w:firstLine="170"/>
        <w:jc w:val="both"/>
        <w:rPr>
          <w:rFonts w:eastAsia="Times New Roman"/>
          <w:i/>
          <w:iCs/>
          <w:sz w:val="18"/>
          <w:szCs w:val="18"/>
          <w:shd w:val="clear" w:color="auto" w:fill="FFFFFF"/>
        </w:rPr>
      </w:pPr>
      <w:proofErr w:type="gramStart"/>
      <w:r w:rsidRPr="004C2A3C">
        <w:rPr>
          <w:rFonts w:eastAsia="Times New Roman"/>
          <w:b/>
          <w:bCs/>
          <w:i/>
          <w:iCs/>
          <w:sz w:val="18"/>
          <w:szCs w:val="18"/>
          <w:vertAlign w:val="superscript"/>
        </w:rPr>
        <w:t>a</w:t>
      </w:r>
      <w:r w:rsidRPr="004C2A3C">
        <w:rPr>
          <w:rFonts w:eastAsia="Times New Roman"/>
          <w:sz w:val="18"/>
          <w:szCs w:val="18"/>
        </w:rPr>
        <w:t xml:space="preserve">  </w:t>
      </w:r>
      <w:r w:rsidRPr="004C2A3C">
        <w:rPr>
          <w:rFonts w:eastAsia="Times New Roman"/>
          <w:i/>
          <w:iCs/>
          <w:sz w:val="18"/>
          <w:szCs w:val="18"/>
        </w:rPr>
        <w:t>Les</w:t>
      </w:r>
      <w:proofErr w:type="gramEnd"/>
      <w:r w:rsidRPr="004C2A3C">
        <w:rPr>
          <w:rFonts w:eastAsia="Times New Roman"/>
          <w:i/>
          <w:iCs/>
          <w:sz w:val="18"/>
          <w:szCs w:val="18"/>
        </w:rPr>
        <w:t xml:space="preserve"> cases entourées d</w:t>
      </w:r>
      <w:r>
        <w:rPr>
          <w:rFonts w:eastAsia="Times New Roman"/>
          <w:i/>
          <w:iCs/>
          <w:sz w:val="18"/>
          <w:szCs w:val="18"/>
        </w:rPr>
        <w:t>’</w:t>
      </w:r>
      <w:r w:rsidRPr="004C2A3C">
        <w:rPr>
          <w:rFonts w:eastAsia="Times New Roman"/>
          <w:i/>
          <w:iCs/>
          <w:sz w:val="18"/>
          <w:szCs w:val="18"/>
        </w:rPr>
        <w:t>une ligne tiretée représentent une sous-étape particulière à l</w:t>
      </w:r>
      <w:r>
        <w:rPr>
          <w:rFonts w:eastAsia="Times New Roman"/>
          <w:i/>
          <w:iCs/>
          <w:sz w:val="18"/>
          <w:szCs w:val="18"/>
        </w:rPr>
        <w:t>’</w:t>
      </w:r>
      <w:r w:rsidRPr="004C2A3C">
        <w:rPr>
          <w:rFonts w:eastAsia="Times New Roman"/>
          <w:i/>
          <w:iCs/>
          <w:sz w:val="18"/>
          <w:szCs w:val="18"/>
        </w:rPr>
        <w:t>étape des données concluantes sur le mélange en tant que tel.</w:t>
      </w:r>
      <w:r w:rsidRPr="004C2A3C">
        <w:rPr>
          <w:rFonts w:eastAsia="Times New Roman"/>
          <w:sz w:val="18"/>
          <w:szCs w:val="18"/>
        </w:rPr>
        <w:t xml:space="preserve"> </w:t>
      </w:r>
      <w:r w:rsidRPr="004C2A3C">
        <w:rPr>
          <w:rFonts w:eastAsia="Times New Roman"/>
          <w:i/>
          <w:iCs/>
          <w:sz w:val="18"/>
          <w:szCs w:val="18"/>
        </w:rPr>
        <w:t>Toutefois, contrairement aux prescriptions concernant les substances, dans le cas des mélanges présentant « un pH extrême (≤ 2 ou ≥ 11,5) et une réserve acide/alcaline négligeable », mais pour lesquels il n</w:t>
      </w:r>
      <w:r>
        <w:rPr>
          <w:rFonts w:eastAsia="Times New Roman"/>
          <w:i/>
          <w:iCs/>
          <w:sz w:val="18"/>
          <w:szCs w:val="18"/>
        </w:rPr>
        <w:t>’</w:t>
      </w:r>
      <w:r w:rsidRPr="004C2A3C">
        <w:rPr>
          <w:rFonts w:eastAsia="Times New Roman"/>
          <w:i/>
          <w:iCs/>
          <w:sz w:val="18"/>
          <w:szCs w:val="18"/>
        </w:rPr>
        <w:t>existe pas d</w:t>
      </w:r>
      <w:r>
        <w:rPr>
          <w:rFonts w:eastAsia="Times New Roman"/>
          <w:i/>
          <w:iCs/>
          <w:sz w:val="18"/>
          <w:szCs w:val="18"/>
        </w:rPr>
        <w:t>’</w:t>
      </w:r>
      <w:r w:rsidRPr="004C2A3C">
        <w:rPr>
          <w:rFonts w:eastAsia="Times New Roman"/>
          <w:i/>
          <w:iCs/>
          <w:sz w:val="18"/>
          <w:szCs w:val="18"/>
        </w:rPr>
        <w:t>autres données concluantes sur le mélange en tant que tel, ou pour lesquels l</w:t>
      </w:r>
      <w:r>
        <w:rPr>
          <w:rFonts w:eastAsia="Times New Roman"/>
          <w:i/>
          <w:iCs/>
          <w:sz w:val="18"/>
          <w:szCs w:val="18"/>
        </w:rPr>
        <w:t>’</w:t>
      </w:r>
      <w:r w:rsidRPr="004C2A3C">
        <w:rPr>
          <w:rFonts w:eastAsia="Times New Roman"/>
          <w:i/>
          <w:iCs/>
          <w:sz w:val="18"/>
          <w:szCs w:val="18"/>
        </w:rPr>
        <w:t>évaluation globale de la force probante des données à partir de l</w:t>
      </w:r>
      <w:r>
        <w:rPr>
          <w:rFonts w:eastAsia="Times New Roman"/>
          <w:i/>
          <w:iCs/>
          <w:sz w:val="18"/>
          <w:szCs w:val="18"/>
        </w:rPr>
        <w:t>’</w:t>
      </w:r>
      <w:r w:rsidRPr="004C2A3C">
        <w:rPr>
          <w:rFonts w:eastAsia="Times New Roman"/>
          <w:i/>
          <w:iCs/>
          <w:sz w:val="18"/>
          <w:szCs w:val="18"/>
        </w:rPr>
        <w:t>ensemble des données disponibles sur le mélange en tant que tel n</w:t>
      </w:r>
      <w:r>
        <w:rPr>
          <w:rFonts w:eastAsia="Times New Roman"/>
          <w:i/>
          <w:iCs/>
          <w:sz w:val="18"/>
          <w:szCs w:val="18"/>
        </w:rPr>
        <w:t>’</w:t>
      </w:r>
      <w:r w:rsidRPr="004C2A3C">
        <w:rPr>
          <w:rFonts w:eastAsia="Times New Roman"/>
          <w:i/>
          <w:iCs/>
          <w:sz w:val="18"/>
          <w:szCs w:val="18"/>
        </w:rPr>
        <w:t>est pas concluante, les données sont considérées comme non concluantes à chaque sous-étape de l</w:t>
      </w:r>
      <w:r>
        <w:rPr>
          <w:rFonts w:eastAsia="Times New Roman"/>
          <w:i/>
          <w:iCs/>
          <w:sz w:val="18"/>
          <w:szCs w:val="18"/>
        </w:rPr>
        <w:t>’</w:t>
      </w:r>
      <w:r w:rsidRPr="004C2A3C">
        <w:rPr>
          <w:rFonts w:eastAsia="Times New Roman"/>
          <w:i/>
          <w:iCs/>
          <w:sz w:val="18"/>
          <w:szCs w:val="18"/>
        </w:rPr>
        <w:t>étape des données concluantes sur le mélange en tant que tel.</w:t>
      </w:r>
      <w:r w:rsidRPr="004C2A3C">
        <w:rPr>
          <w:rFonts w:eastAsia="Times New Roman"/>
          <w:sz w:val="18"/>
          <w:szCs w:val="18"/>
        </w:rPr>
        <w:t xml:space="preserve"> </w:t>
      </w:r>
      <w:r w:rsidRPr="004C2A3C">
        <w:rPr>
          <w:rFonts w:eastAsia="Times New Roman"/>
          <w:i/>
          <w:iCs/>
          <w:sz w:val="18"/>
          <w:szCs w:val="18"/>
        </w:rPr>
        <w:t>Ces mélanges doivent faire l</w:t>
      </w:r>
      <w:r>
        <w:rPr>
          <w:rFonts w:eastAsia="Times New Roman"/>
          <w:i/>
          <w:iCs/>
          <w:sz w:val="18"/>
          <w:szCs w:val="18"/>
        </w:rPr>
        <w:t>’</w:t>
      </w:r>
      <w:r w:rsidRPr="004C2A3C">
        <w:rPr>
          <w:rFonts w:eastAsia="Times New Roman"/>
          <w:i/>
          <w:iCs/>
          <w:sz w:val="18"/>
          <w:szCs w:val="18"/>
        </w:rPr>
        <w:t>objet d</w:t>
      </w:r>
      <w:r>
        <w:rPr>
          <w:rFonts w:eastAsia="Times New Roman"/>
          <w:i/>
          <w:iCs/>
          <w:sz w:val="18"/>
          <w:szCs w:val="18"/>
        </w:rPr>
        <w:t>’</w:t>
      </w:r>
      <w:r w:rsidRPr="004C2A3C">
        <w:rPr>
          <w:rFonts w:eastAsia="Times New Roman"/>
          <w:i/>
          <w:iCs/>
          <w:sz w:val="18"/>
          <w:szCs w:val="18"/>
        </w:rPr>
        <w:t>une évaluation conformément aux principes d</w:t>
      </w:r>
      <w:r>
        <w:rPr>
          <w:rFonts w:eastAsia="Times New Roman"/>
          <w:i/>
          <w:iCs/>
          <w:sz w:val="18"/>
          <w:szCs w:val="18"/>
        </w:rPr>
        <w:t>’</w:t>
      </w:r>
      <w:r w:rsidRPr="004C2A3C">
        <w:rPr>
          <w:rFonts w:eastAsia="Times New Roman"/>
          <w:i/>
          <w:iCs/>
          <w:sz w:val="18"/>
          <w:szCs w:val="18"/>
        </w:rPr>
        <w:t>extrapolation avant que le pH extrême puisse être considéré comme concluant aux fins de la classification.</w:t>
      </w:r>
      <w:r w:rsidRPr="004C2A3C">
        <w:rPr>
          <w:rFonts w:eastAsia="Times New Roman"/>
          <w:sz w:val="18"/>
          <w:szCs w:val="18"/>
        </w:rPr>
        <w:t> ».</w:t>
      </w:r>
    </w:p>
    <w:p w14:paraId="0596BA32" w14:textId="77777777" w:rsidR="003F1C55" w:rsidRPr="004C2A3C" w:rsidRDefault="003F1C55" w:rsidP="003F1C55">
      <w:pPr>
        <w:spacing w:after="120"/>
        <w:ind w:left="2268" w:right="1134" w:hanging="1134"/>
        <w:jc w:val="both"/>
        <w:rPr>
          <w:rFonts w:eastAsia="Times New Roman"/>
        </w:rPr>
      </w:pPr>
      <w:r w:rsidRPr="004C2A3C">
        <w:rPr>
          <w:rFonts w:eastAsia="Times New Roman"/>
        </w:rPr>
        <w:t>3.2.3.1.1</w:t>
      </w:r>
      <w:r w:rsidRPr="004C2A3C">
        <w:rPr>
          <w:rFonts w:eastAsia="Times New Roman"/>
        </w:rPr>
        <w:tab/>
        <w:t>Dans la dernière phrase, remplacer « méthode de calcul » par « classification fondée sur les composants ».</w:t>
      </w:r>
    </w:p>
    <w:p w14:paraId="0271D673" w14:textId="77777777" w:rsidR="003F1C55" w:rsidRPr="004C2A3C" w:rsidRDefault="003F1C55" w:rsidP="003F1C55">
      <w:pPr>
        <w:keepNext/>
        <w:spacing w:after="120"/>
        <w:ind w:left="2268" w:right="1134" w:hanging="1134"/>
        <w:rPr>
          <w:rFonts w:eastAsia="Times New Roman"/>
        </w:rPr>
      </w:pPr>
      <w:bookmarkStart w:id="2" w:name="_Hlk69887375"/>
      <w:r w:rsidRPr="004C2A3C">
        <w:rPr>
          <w:rFonts w:eastAsia="Times New Roman"/>
        </w:rPr>
        <w:t>3.2.3.1.2</w:t>
      </w:r>
      <w:r w:rsidRPr="004C2A3C">
        <w:rPr>
          <w:rFonts w:eastAsia="Times New Roman"/>
        </w:rPr>
        <w:tab/>
        <w:t xml:space="preserve">Modifier la première phrase pour lire comme suit : </w:t>
      </w:r>
    </w:p>
    <w:p w14:paraId="643CBBCA" w14:textId="77777777" w:rsidR="003F1C55" w:rsidRPr="004C2A3C" w:rsidRDefault="003F1C55" w:rsidP="003F1C55">
      <w:pPr>
        <w:spacing w:after="120"/>
        <w:ind w:left="2268" w:right="1134"/>
        <w:jc w:val="both"/>
        <w:rPr>
          <w:rFonts w:eastAsia="Times New Roman"/>
        </w:rPr>
      </w:pPr>
      <w:r w:rsidRPr="004C2A3C">
        <w:rPr>
          <w:rFonts w:eastAsia="Times New Roman"/>
        </w:rPr>
        <w:t>« Les méthodes d</w:t>
      </w:r>
      <w:r>
        <w:rPr>
          <w:rFonts w:eastAsia="Times New Roman"/>
        </w:rPr>
        <w:t>’</w:t>
      </w:r>
      <w:r w:rsidRPr="004C2A3C">
        <w:rPr>
          <w:rFonts w:eastAsia="Times New Roman"/>
        </w:rPr>
        <w:t xml:space="preserve">essai </w:t>
      </w:r>
      <w:r w:rsidRPr="004C2A3C">
        <w:rPr>
          <w:rFonts w:eastAsia="Times New Roman"/>
          <w:i/>
          <w:iCs/>
        </w:rPr>
        <w:t>in vitro/ex vivo</w:t>
      </w:r>
      <w:r w:rsidRPr="004C2A3C">
        <w:rPr>
          <w:rFonts w:eastAsia="Times New Roman"/>
        </w:rPr>
        <w:t xml:space="preserve"> validées selon des procédures internationales peuvent ne pas avoir été validées en utilisant des mélanges ; bien que ces méthodes soient considérées comme étant largement applicables à ceux-ci, elles ne peuvent être utilisées pour le classement des mélanges que si tous les ingrédients les composant relèvent du domaine d</w:t>
      </w:r>
      <w:r>
        <w:rPr>
          <w:rFonts w:eastAsia="Times New Roman"/>
        </w:rPr>
        <w:t>’</w:t>
      </w:r>
      <w:r w:rsidRPr="004C2A3C">
        <w:rPr>
          <w:rFonts w:eastAsia="Times New Roman"/>
        </w:rPr>
        <w:t>application de la ou des méthodes d</w:t>
      </w:r>
      <w:r>
        <w:rPr>
          <w:rFonts w:eastAsia="Times New Roman"/>
        </w:rPr>
        <w:t>’</w:t>
      </w:r>
      <w:r w:rsidRPr="004C2A3C">
        <w:rPr>
          <w:rFonts w:eastAsia="Times New Roman"/>
        </w:rPr>
        <w:t xml:space="preserve">essai utilisées. ». </w:t>
      </w:r>
    </w:p>
    <w:bookmarkEnd w:id="2"/>
    <w:p w14:paraId="08FD0F34" w14:textId="77777777" w:rsidR="003F1C55" w:rsidRPr="004C2A3C" w:rsidRDefault="003F1C55" w:rsidP="003F1C55">
      <w:pPr>
        <w:keepNext/>
        <w:keepLines/>
        <w:spacing w:after="120"/>
        <w:ind w:left="1134" w:right="1134"/>
        <w:jc w:val="both"/>
        <w:rPr>
          <w:rFonts w:eastAsia="Times New Roman"/>
        </w:rPr>
      </w:pPr>
      <w:r w:rsidRPr="004C2A3C">
        <w:rPr>
          <w:rFonts w:eastAsia="Times New Roman"/>
        </w:rPr>
        <w:t>3.2.3.1.3</w:t>
      </w:r>
      <w:r w:rsidRPr="004C2A3C">
        <w:rPr>
          <w:rFonts w:eastAsia="Times New Roman"/>
        </w:rPr>
        <w:tab/>
        <w:t>Modifier pour lire comme suit :</w:t>
      </w:r>
    </w:p>
    <w:p w14:paraId="6F3CE7B3" w14:textId="77777777" w:rsidR="003F1C55" w:rsidRPr="004C2A3C" w:rsidRDefault="003F1C55" w:rsidP="003F1C55">
      <w:pPr>
        <w:spacing w:after="120"/>
        <w:ind w:left="2268" w:right="1134"/>
        <w:jc w:val="both"/>
        <w:rPr>
          <w:rFonts w:eastAsia="Times New Roman"/>
        </w:rPr>
      </w:pPr>
      <w:r w:rsidRPr="004C2A3C">
        <w:rPr>
          <w:rFonts w:eastAsia="Times New Roman"/>
        </w:rPr>
        <w:t>« Un mélange ayant un pH extrême (≤ 2 ou ≥ 11,5) est considéré comme corrosif (catégorie 1) à l</w:t>
      </w:r>
      <w:r>
        <w:rPr>
          <w:rFonts w:eastAsia="Times New Roman"/>
        </w:rPr>
        <w:t>’</w:t>
      </w:r>
      <w:r w:rsidRPr="004C2A3C">
        <w:rPr>
          <w:rFonts w:eastAsia="Times New Roman"/>
        </w:rPr>
        <w:t>étape 4 s</w:t>
      </w:r>
      <w:r>
        <w:rPr>
          <w:rFonts w:eastAsia="Times New Roman"/>
        </w:rPr>
        <w:t>’</w:t>
      </w:r>
      <w:r w:rsidRPr="004C2A3C">
        <w:rPr>
          <w:rFonts w:eastAsia="Times New Roman"/>
        </w:rPr>
        <w:t>il présente une réserve acide/alcaline significative ou s</w:t>
      </w:r>
      <w:r>
        <w:rPr>
          <w:rFonts w:eastAsia="Times New Roman"/>
        </w:rPr>
        <w:t>’</w:t>
      </w:r>
      <w:r w:rsidRPr="004C2A3C">
        <w:rPr>
          <w:rFonts w:eastAsia="Times New Roman"/>
        </w:rPr>
        <w:t>il n</w:t>
      </w:r>
      <w:r>
        <w:rPr>
          <w:rFonts w:eastAsia="Times New Roman"/>
        </w:rPr>
        <w:t>’</w:t>
      </w:r>
      <w:r w:rsidRPr="004C2A3C">
        <w:rPr>
          <w:rFonts w:eastAsia="Times New Roman"/>
        </w:rPr>
        <w:t>existe pas de données concernant la réserve acide/alcaline. Toutefois, si l</w:t>
      </w:r>
      <w:r>
        <w:rPr>
          <w:rFonts w:eastAsia="Times New Roman"/>
        </w:rPr>
        <w:t>’</w:t>
      </w:r>
      <w:r w:rsidRPr="004C2A3C">
        <w:rPr>
          <w:rFonts w:eastAsia="Times New Roman"/>
        </w:rPr>
        <w:t>examen de la réserve acide/alcaline laisse penser que le mélange pourrait ne pas être corrosif en dépit d</w:t>
      </w:r>
      <w:r>
        <w:rPr>
          <w:rFonts w:eastAsia="Times New Roman"/>
        </w:rPr>
        <w:t>’</w:t>
      </w:r>
      <w:r w:rsidRPr="004C2A3C">
        <w:rPr>
          <w:rFonts w:eastAsia="Times New Roman"/>
        </w:rPr>
        <w:t>un pH extrême, le résultat est jugé non concluant à l</w:t>
      </w:r>
      <w:r>
        <w:rPr>
          <w:rFonts w:eastAsia="Times New Roman"/>
        </w:rPr>
        <w:t>’</w:t>
      </w:r>
      <w:r w:rsidRPr="004C2A3C">
        <w:rPr>
          <w:rFonts w:eastAsia="Times New Roman"/>
        </w:rPr>
        <w:t>étape 4 (voir la figure 3.2.1). Si l</w:t>
      </w:r>
      <w:r>
        <w:rPr>
          <w:rFonts w:eastAsia="Times New Roman"/>
        </w:rPr>
        <w:t>’</w:t>
      </w:r>
      <w:r w:rsidRPr="004C2A3C">
        <w:rPr>
          <w:rFonts w:eastAsia="Times New Roman"/>
        </w:rPr>
        <w:t>évaluation globale de la force probante des données n</w:t>
      </w:r>
      <w:r>
        <w:rPr>
          <w:rFonts w:eastAsia="Times New Roman"/>
        </w:rPr>
        <w:t>’</w:t>
      </w:r>
      <w:r w:rsidRPr="004C2A3C">
        <w:rPr>
          <w:rFonts w:eastAsia="Times New Roman"/>
        </w:rPr>
        <w:t>est toujours pas concluante ou s</w:t>
      </w:r>
      <w:r>
        <w:rPr>
          <w:rFonts w:eastAsia="Times New Roman"/>
        </w:rPr>
        <w:t>’</w:t>
      </w:r>
      <w:r w:rsidRPr="004C2A3C">
        <w:rPr>
          <w:rFonts w:eastAsia="Times New Roman"/>
        </w:rPr>
        <w:t>il n</w:t>
      </w:r>
      <w:r>
        <w:rPr>
          <w:rFonts w:eastAsia="Times New Roman"/>
        </w:rPr>
        <w:t>’</w:t>
      </w:r>
      <w:r w:rsidRPr="004C2A3C">
        <w:rPr>
          <w:rFonts w:eastAsia="Times New Roman"/>
        </w:rPr>
        <w:t>existe pas d</w:t>
      </w:r>
      <w:r>
        <w:rPr>
          <w:rFonts w:eastAsia="Times New Roman"/>
        </w:rPr>
        <w:t>’</w:t>
      </w:r>
      <w:r w:rsidRPr="004C2A3C">
        <w:rPr>
          <w:rFonts w:eastAsia="Times New Roman"/>
        </w:rPr>
        <w:t>autres données que le pH et la réserve acide/alcaline, les mélanges ayant un pH extrême (≤ 2 ou ≥ 11,5) et une réserve acide/alcaline négligeable doivent être évalués à l</w:t>
      </w:r>
      <w:r>
        <w:rPr>
          <w:rFonts w:eastAsia="Times New Roman"/>
        </w:rPr>
        <w:t>’</w:t>
      </w:r>
      <w:r w:rsidRPr="004C2A3C">
        <w:rPr>
          <w:rFonts w:eastAsia="Times New Roman"/>
        </w:rPr>
        <w:t>aide des principes d</w:t>
      </w:r>
      <w:r>
        <w:rPr>
          <w:rFonts w:eastAsia="Times New Roman"/>
        </w:rPr>
        <w:t>’</w:t>
      </w:r>
      <w:r w:rsidRPr="004C2A3C">
        <w:rPr>
          <w:rFonts w:eastAsia="Times New Roman"/>
        </w:rPr>
        <w:t>extrapolation décrits au 3.2.3.2. Si les principes d</w:t>
      </w:r>
      <w:r>
        <w:rPr>
          <w:rFonts w:eastAsia="Times New Roman"/>
        </w:rPr>
        <w:t>’</w:t>
      </w:r>
      <w:r w:rsidRPr="004C2A3C">
        <w:rPr>
          <w:rFonts w:eastAsia="Times New Roman"/>
        </w:rPr>
        <w:t>extrapolation ne peuvent être appliqués, les mélanges ayant un pH extrême (≤ 2 ou ≥ 11,5) et une réserve acide/alcaline négligeable doivent être classés dans la catégorie 1 en ce qui concerne les effets cutanés (voir la figure 3.2.2). Une valeur de pH &gt; 2 ou &lt; 11,5 est considérée comme non concluante et ne peut être utilisée aux fins de classement. La réserve acide/alcaline et le pH peuvent être déterminés à l</w:t>
      </w:r>
      <w:r>
        <w:rPr>
          <w:rFonts w:eastAsia="Times New Roman"/>
        </w:rPr>
        <w:t>’</w:t>
      </w:r>
      <w:r w:rsidRPr="004C2A3C">
        <w:rPr>
          <w:rFonts w:eastAsia="Times New Roman"/>
        </w:rPr>
        <w:t>aide de différentes méthodes, notamment celles décrites dans la ligne directrice 122 de l</w:t>
      </w:r>
      <w:r>
        <w:rPr>
          <w:rFonts w:eastAsia="Times New Roman"/>
        </w:rPr>
        <w:t>’</w:t>
      </w:r>
      <w:r w:rsidRPr="004C2A3C">
        <w:rPr>
          <w:rFonts w:eastAsia="Times New Roman"/>
        </w:rPr>
        <w:t xml:space="preserve">OCDE et dans Young </w:t>
      </w:r>
      <w:r w:rsidRPr="004C2A3C">
        <w:rPr>
          <w:rFonts w:eastAsia="Times New Roman"/>
          <w:i/>
          <w:iCs/>
        </w:rPr>
        <w:t>et al.</w:t>
      </w:r>
      <w:r w:rsidRPr="004C2A3C">
        <w:rPr>
          <w:rFonts w:eastAsia="Times New Roman"/>
        </w:rPr>
        <w:t xml:space="preserve"> (1988), en tenant compte des différences qui existent entre ces méthodes (voir 3.2.5.3.6). Une autorité compétente peut décider quels critères appliquer pour déterminer si une réserve acide/alcaline est significative. ».</w:t>
      </w:r>
    </w:p>
    <w:p w14:paraId="0E91A582" w14:textId="77777777" w:rsidR="003F1C55" w:rsidRPr="004C2A3C" w:rsidRDefault="003F1C55" w:rsidP="003F1C55">
      <w:pPr>
        <w:spacing w:after="120"/>
        <w:ind w:left="1134" w:right="1134"/>
        <w:jc w:val="both"/>
        <w:rPr>
          <w:rFonts w:eastAsia="Times New Roman"/>
        </w:rPr>
      </w:pPr>
      <w:r w:rsidRPr="004C2A3C">
        <w:rPr>
          <w:rFonts w:eastAsia="Times New Roman"/>
        </w:rPr>
        <w:t>3.2.3.2.5</w:t>
      </w:r>
      <w:r w:rsidRPr="004C2A3C">
        <w:rPr>
          <w:rFonts w:eastAsia="Times New Roman"/>
        </w:rPr>
        <w:tab/>
        <w:t>Modification sans objet en français.</w:t>
      </w:r>
    </w:p>
    <w:p w14:paraId="048719DD" w14:textId="77777777" w:rsidR="003F1C55" w:rsidRPr="004C2A3C" w:rsidRDefault="003F1C55" w:rsidP="003F1C55">
      <w:pPr>
        <w:spacing w:after="120"/>
        <w:ind w:left="2268" w:right="1134" w:hanging="1134"/>
        <w:jc w:val="both"/>
        <w:rPr>
          <w:rFonts w:eastAsia="Times New Roman"/>
        </w:rPr>
      </w:pPr>
      <w:r w:rsidRPr="004C2A3C">
        <w:rPr>
          <w:rFonts w:eastAsia="Times New Roman"/>
        </w:rPr>
        <w:t>3.2.3.3.4</w:t>
      </w:r>
      <w:r w:rsidRPr="004C2A3C">
        <w:rPr>
          <w:rFonts w:eastAsia="Times New Roman"/>
        </w:rPr>
        <w:tab/>
        <w:t>Modifier le milieu de la troisième phrase pour lire comme suit : « …le pH est le critère de classification (voir 3.2.3.1.3) car le pH extrême offre... ».</w:t>
      </w:r>
    </w:p>
    <w:p w14:paraId="4DF7D826" w14:textId="77777777" w:rsidR="003F1C55" w:rsidRPr="004C2A3C" w:rsidRDefault="003F1C55" w:rsidP="003F1C55">
      <w:pPr>
        <w:spacing w:after="120"/>
        <w:ind w:left="2268" w:right="1134" w:hanging="1134"/>
        <w:jc w:val="both"/>
        <w:rPr>
          <w:rFonts w:eastAsia="Times New Roman"/>
        </w:rPr>
      </w:pPr>
      <w:r w:rsidRPr="004C2A3C">
        <w:rPr>
          <w:rFonts w:eastAsia="Times New Roman"/>
        </w:rPr>
        <w:t>3.2.5.1</w:t>
      </w:r>
      <w:r w:rsidRPr="004C2A3C">
        <w:rPr>
          <w:rFonts w:eastAsia="Times New Roman"/>
        </w:rPr>
        <w:tab/>
      </w:r>
      <w:r w:rsidRPr="004C2A3C">
        <w:rPr>
          <w:rFonts w:eastAsia="Times New Roman"/>
        </w:rPr>
        <w:tab/>
        <w:t>Dans le diagramme de décision 3.2.1, modifier la question commençant par « </w:t>
      </w:r>
      <w:r w:rsidRPr="004C2A3C">
        <w:rPr>
          <w:rFonts w:eastAsia="Times New Roman"/>
          <w:b/>
          <w:bCs/>
        </w:rPr>
        <w:t>La substance ou le mélange</w:t>
      </w:r>
      <w:r w:rsidRPr="004C2A3C">
        <w:rPr>
          <w:rFonts w:eastAsia="Times New Roman"/>
        </w:rPr>
        <w:t xml:space="preserve"> sont-ils » pour lire comme suit :</w:t>
      </w:r>
    </w:p>
    <w:p w14:paraId="382C11BB" w14:textId="77777777" w:rsidR="003F1C55" w:rsidRPr="004C2A3C" w:rsidRDefault="003F1C55" w:rsidP="003F1C55">
      <w:pPr>
        <w:spacing w:after="120"/>
        <w:ind w:left="2268" w:right="1134"/>
        <w:jc w:val="both"/>
        <w:rPr>
          <w:rFonts w:eastAsia="Times New Roman"/>
        </w:rPr>
      </w:pPr>
      <w:r w:rsidRPr="004C2A3C">
        <w:rPr>
          <w:rFonts w:eastAsia="Times New Roman"/>
        </w:rPr>
        <w:t>« </w:t>
      </w:r>
      <w:r w:rsidRPr="004C2A3C">
        <w:rPr>
          <w:rFonts w:eastAsia="Times New Roman"/>
          <w:b/>
          <w:bCs/>
        </w:rPr>
        <w:t>La substance ou le mélange</w:t>
      </w:r>
      <w:r w:rsidRPr="004C2A3C">
        <w:rPr>
          <w:rFonts w:eastAsia="Times New Roman"/>
        </w:rPr>
        <w:t xml:space="preserve"> sont-ils </w:t>
      </w:r>
      <w:r w:rsidRPr="004C2A3C">
        <w:rPr>
          <w:rFonts w:eastAsia="Times New Roman"/>
          <w:b/>
          <w:bCs/>
        </w:rPr>
        <w:t>corrosifs, irritants ou irritants légers</w:t>
      </w:r>
      <w:r w:rsidRPr="004C2A3C">
        <w:rPr>
          <w:rFonts w:eastAsia="Times New Roman"/>
        </w:rPr>
        <w:t xml:space="preserve"> (voir 3.2.2 et 3.2.3.1) conformément à la méthode par étapes (voir 3.2.2.8 et figures 3.2.1 et 3.2.2) ? ».</w:t>
      </w:r>
    </w:p>
    <w:p w14:paraId="0DB10A4E" w14:textId="77777777" w:rsidR="003F1C55" w:rsidRPr="004C2A3C" w:rsidRDefault="003F1C55" w:rsidP="003F1C55">
      <w:pPr>
        <w:suppressAutoHyphens w:val="0"/>
        <w:kinsoku/>
        <w:overflowPunct/>
        <w:autoSpaceDE/>
        <w:autoSpaceDN/>
        <w:adjustRightInd/>
        <w:snapToGrid/>
        <w:spacing w:after="200" w:line="276" w:lineRule="auto"/>
        <w:rPr>
          <w:rFonts w:eastAsia="Times New Roman"/>
        </w:rPr>
      </w:pPr>
      <w:r w:rsidRPr="004C2A3C">
        <w:rPr>
          <w:rFonts w:eastAsia="Times New Roman"/>
        </w:rPr>
        <w:br w:type="page"/>
      </w:r>
    </w:p>
    <w:p w14:paraId="5BE4FDDE" w14:textId="77777777" w:rsidR="003F1C55" w:rsidRPr="004C2A3C" w:rsidRDefault="003F1C55" w:rsidP="003F1C55">
      <w:pPr>
        <w:tabs>
          <w:tab w:val="left" w:pos="2268"/>
        </w:tabs>
        <w:spacing w:line="240" w:lineRule="auto"/>
        <w:ind w:left="1134"/>
        <w:rPr>
          <w:rFonts w:eastAsia="Times New Roman"/>
          <w:bCs/>
        </w:rPr>
      </w:pPr>
      <w:r w:rsidRPr="004C2A3C">
        <w:rPr>
          <w:rFonts w:eastAsia="Times New Roman"/>
        </w:rPr>
        <w:t>3.2.5.2</w:t>
      </w:r>
      <w:r w:rsidRPr="004C2A3C">
        <w:rPr>
          <w:rFonts w:eastAsia="Times New Roman"/>
        </w:rPr>
        <w:tab/>
        <w:t>Remplacer le diagramme de décision 3.2.2 par ce qui suit :</w:t>
      </w:r>
    </w:p>
    <w:p w14:paraId="7AEC1BF1" w14:textId="77777777" w:rsidR="003F1C55" w:rsidRPr="004C2A3C" w:rsidRDefault="003F1C55" w:rsidP="003F1C55">
      <w:pPr>
        <w:spacing w:line="240" w:lineRule="auto"/>
        <w:ind w:left="1134"/>
        <w:rPr>
          <w:rFonts w:eastAsia="Times New Roman"/>
        </w:rPr>
      </w:pPr>
      <w:r w:rsidRPr="004C2A3C">
        <w:rPr>
          <w:rFonts w:eastAsia="Times New Roman"/>
        </w:rPr>
        <w:t xml:space="preserve">« </w:t>
      </w:r>
    </w:p>
    <w:p w14:paraId="4EF8D4C7" w14:textId="77777777" w:rsidR="003F1C55" w:rsidRPr="004C2A3C" w:rsidRDefault="003F1C55" w:rsidP="003F1C55">
      <w:pPr>
        <w:spacing w:after="120"/>
        <w:ind w:left="1134" w:right="1134"/>
        <w:jc w:val="both"/>
        <w:rPr>
          <w:rFonts w:eastAsia="Times New Roman"/>
          <w:lang w:val="en-US"/>
        </w:rPr>
      </w:pPr>
      <w:r w:rsidRPr="004C2A3C">
        <w:rPr>
          <w:rFonts w:eastAsia="Times New Roman"/>
          <w:noProof/>
        </w:rPr>
        <w:object w:dxaOrig="7753" w:dyaOrig="11497" w14:anchorId="0F4393AC">
          <v:shape id="_x0000_i1026" type="#_x0000_t75" alt="" style="width:368pt;height:546pt;mso-width-percent:0;mso-height-percent:0;mso-width-percent:0;mso-height-percent:0" o:ole="">
            <v:imagedata r:id="rId10" o:title=""/>
          </v:shape>
          <o:OLEObject Type="Embed" ProgID="Visio.Drawing.15" ShapeID="_x0000_i1026" DrawAspect="Content" ObjectID="_1700643205" r:id="rId11"/>
        </w:object>
      </w:r>
    </w:p>
    <w:p w14:paraId="3B07A33F" w14:textId="77777777" w:rsidR="003F1C55" w:rsidRPr="004C2A3C" w:rsidRDefault="003F1C55" w:rsidP="003F1C55">
      <w:pPr>
        <w:spacing w:line="240" w:lineRule="auto"/>
        <w:ind w:left="567" w:right="1134"/>
        <w:jc w:val="right"/>
        <w:rPr>
          <w:rFonts w:eastAsia="Times New Roman"/>
        </w:rPr>
      </w:pPr>
      <w:r w:rsidRPr="004C2A3C">
        <w:rPr>
          <w:rFonts w:eastAsia="Times New Roman"/>
          <w:lang w:val="fr-FR"/>
        </w:rPr>
        <w:t> </w:t>
      </w:r>
      <w:r w:rsidRPr="004C2A3C">
        <w:rPr>
          <w:rFonts w:eastAsia="Times New Roman"/>
        </w:rPr>
        <w:t>».</w:t>
      </w:r>
    </w:p>
    <w:p w14:paraId="2F0E7045" w14:textId="77777777" w:rsidR="003F1C55" w:rsidRPr="004C2A3C" w:rsidRDefault="003F1C55" w:rsidP="003F1C55">
      <w:pPr>
        <w:spacing w:after="120"/>
        <w:ind w:left="1134" w:right="1134"/>
        <w:jc w:val="both"/>
        <w:rPr>
          <w:rFonts w:eastAsia="Times New Roman"/>
        </w:rPr>
      </w:pPr>
      <w:r w:rsidRPr="004C2A3C">
        <w:rPr>
          <w:rFonts w:eastAsia="Times New Roman"/>
        </w:rPr>
        <w:t>Dans la note 2 de bas de page, remplacer « </w:t>
      </w:r>
      <w:r w:rsidRPr="004C2A3C">
        <w:rPr>
          <w:rFonts w:eastAsia="Times New Roman"/>
          <w:i/>
          <w:iCs/>
        </w:rPr>
        <w:t>voir 3.2.3.3.6</w:t>
      </w:r>
      <w:r w:rsidRPr="004C2A3C">
        <w:rPr>
          <w:rFonts w:eastAsia="Times New Roman"/>
        </w:rPr>
        <w:t> » par « </w:t>
      </w:r>
      <w:r w:rsidRPr="004C2A3C">
        <w:rPr>
          <w:rFonts w:eastAsia="Times New Roman"/>
          <w:i/>
          <w:iCs/>
        </w:rPr>
        <w:t>voir 3.2.3.3.5 et 3.2.3.3.6</w:t>
      </w:r>
      <w:r w:rsidRPr="004C2A3C">
        <w:rPr>
          <w:rFonts w:eastAsia="Times New Roman"/>
        </w:rPr>
        <w:t> ».</w:t>
      </w:r>
    </w:p>
    <w:p w14:paraId="57F5CC60" w14:textId="77777777" w:rsidR="003F1C55" w:rsidRPr="004C2A3C" w:rsidRDefault="003F1C55" w:rsidP="003F1C55">
      <w:pPr>
        <w:spacing w:after="120"/>
        <w:ind w:left="2268" w:right="1134" w:hanging="1134"/>
        <w:jc w:val="both"/>
        <w:rPr>
          <w:rFonts w:eastAsia="Times New Roman"/>
        </w:rPr>
      </w:pPr>
      <w:r w:rsidRPr="004C2A3C">
        <w:rPr>
          <w:rFonts w:eastAsia="Times New Roman"/>
        </w:rPr>
        <w:t xml:space="preserve">3.2.5.3.1 </w:t>
      </w:r>
      <w:r w:rsidRPr="004C2A3C">
        <w:rPr>
          <w:rFonts w:eastAsia="Times New Roman"/>
        </w:rPr>
        <w:tab/>
        <w:t xml:space="preserve">Remplacer « méthode fondée sur la force probante des données » par « évaluation de la force probante des données ». </w:t>
      </w:r>
    </w:p>
    <w:p w14:paraId="0BAE5964" w14:textId="77777777" w:rsidR="003F1C55" w:rsidRPr="004C2A3C" w:rsidRDefault="003F1C55" w:rsidP="003F1C55">
      <w:pPr>
        <w:spacing w:after="120"/>
        <w:ind w:left="2268" w:right="1134" w:hanging="1134"/>
        <w:jc w:val="both"/>
        <w:rPr>
          <w:rFonts w:eastAsia="Times New Roman"/>
        </w:rPr>
      </w:pPr>
      <w:r w:rsidRPr="004C2A3C">
        <w:rPr>
          <w:rFonts w:eastAsia="Times New Roman"/>
        </w:rPr>
        <w:t>3.2.5.3.4</w:t>
      </w:r>
      <w:r w:rsidRPr="004C2A3C">
        <w:rPr>
          <w:rFonts w:eastAsia="Times New Roman"/>
        </w:rPr>
        <w:tab/>
        <w:t xml:space="preserve">Modifications sans objet en français. </w:t>
      </w:r>
    </w:p>
    <w:p w14:paraId="3AA814FD" w14:textId="77777777" w:rsidR="003F1C55" w:rsidRPr="004C2A3C" w:rsidRDefault="003F1C55" w:rsidP="003F1C55">
      <w:pPr>
        <w:keepNext/>
        <w:keepLines/>
        <w:spacing w:after="120"/>
        <w:ind w:left="2268" w:right="1134" w:hanging="1134"/>
        <w:jc w:val="both"/>
        <w:rPr>
          <w:rFonts w:eastAsia="Times New Roman"/>
        </w:rPr>
      </w:pPr>
      <w:r w:rsidRPr="004C2A3C">
        <w:rPr>
          <w:rFonts w:eastAsia="Times New Roman"/>
        </w:rPr>
        <w:t>3.2.5.3.6</w:t>
      </w:r>
      <w:r w:rsidRPr="004C2A3C">
        <w:rPr>
          <w:rFonts w:eastAsia="Times New Roman"/>
        </w:rPr>
        <w:tab/>
        <w:t>Ajouter les nouveaux paragraphes ci-après :</w:t>
      </w:r>
    </w:p>
    <w:p w14:paraId="5D3A0892" w14:textId="77777777" w:rsidR="003F1C55" w:rsidRPr="004C2A3C" w:rsidRDefault="003F1C55" w:rsidP="003F1C55">
      <w:pPr>
        <w:keepNext/>
        <w:keepLines/>
        <w:spacing w:after="120"/>
        <w:ind w:left="2268" w:right="1134"/>
        <w:rPr>
          <w:rFonts w:eastAsia="Times New Roman"/>
          <w:i/>
          <w:iCs/>
        </w:rPr>
      </w:pPr>
      <w:r w:rsidRPr="004C2A3C">
        <w:rPr>
          <w:rFonts w:eastAsia="Times New Roman"/>
        </w:rPr>
        <w:t>« 3.2.5.3.6</w:t>
      </w:r>
      <w:r w:rsidRPr="004C2A3C">
        <w:rPr>
          <w:rFonts w:eastAsia="Times New Roman"/>
        </w:rPr>
        <w:tab/>
      </w:r>
      <w:r w:rsidRPr="004C2A3C">
        <w:rPr>
          <w:rFonts w:eastAsia="Times New Roman"/>
          <w:i/>
          <w:iCs/>
        </w:rPr>
        <w:t>Instructions d</w:t>
      </w:r>
      <w:r>
        <w:rPr>
          <w:rFonts w:eastAsia="Times New Roman"/>
          <w:i/>
          <w:iCs/>
        </w:rPr>
        <w:t>’</w:t>
      </w:r>
      <w:r w:rsidRPr="004C2A3C">
        <w:rPr>
          <w:rFonts w:eastAsia="Times New Roman"/>
          <w:i/>
          <w:iCs/>
        </w:rPr>
        <w:t>utilisation du pH et de la réserve acide/alcaline pour le classement au titre de la corrosion cutanée ou de l</w:t>
      </w:r>
      <w:r>
        <w:rPr>
          <w:rFonts w:eastAsia="Times New Roman"/>
          <w:i/>
          <w:iCs/>
        </w:rPr>
        <w:t>’</w:t>
      </w:r>
      <w:r w:rsidRPr="004C2A3C">
        <w:rPr>
          <w:rFonts w:eastAsia="Times New Roman"/>
          <w:i/>
          <w:iCs/>
        </w:rPr>
        <w:t>irritation cutanée</w:t>
      </w:r>
    </w:p>
    <w:p w14:paraId="1667C101" w14:textId="77777777" w:rsidR="003F1C55" w:rsidRPr="004C2A3C" w:rsidRDefault="003F1C55" w:rsidP="003F1C55">
      <w:pPr>
        <w:keepNext/>
        <w:keepLines/>
        <w:spacing w:after="120"/>
        <w:ind w:left="2268" w:right="1134"/>
        <w:jc w:val="both"/>
        <w:rPr>
          <w:rFonts w:eastAsia="Times New Roman"/>
        </w:rPr>
      </w:pPr>
      <w:r w:rsidRPr="004C2A3C">
        <w:rPr>
          <w:rFonts w:eastAsia="Times New Roman"/>
        </w:rPr>
        <w:t>3.2.5.3.6.1</w:t>
      </w:r>
      <w:r w:rsidRPr="004C2A3C">
        <w:rPr>
          <w:rFonts w:eastAsia="Times New Roman"/>
        </w:rPr>
        <w:tab/>
        <w:t>Les méthodes permettant de déterminer le pH, telles que la ligne directrice 122 de l</w:t>
      </w:r>
      <w:r>
        <w:rPr>
          <w:rFonts w:eastAsia="Times New Roman"/>
        </w:rPr>
        <w:t>’</w:t>
      </w:r>
      <w:r w:rsidRPr="004C2A3C">
        <w:rPr>
          <w:rFonts w:eastAsia="Times New Roman"/>
        </w:rPr>
        <w:t xml:space="preserve">OCDE et la méthode décrite par Young </w:t>
      </w:r>
      <w:r w:rsidRPr="004C2A3C">
        <w:rPr>
          <w:rFonts w:eastAsia="Times New Roman"/>
          <w:i/>
          <w:iCs/>
        </w:rPr>
        <w:t>et al.</w:t>
      </w:r>
      <w:r w:rsidRPr="004C2A3C">
        <w:rPr>
          <w:rFonts w:eastAsia="Times New Roman"/>
        </w:rPr>
        <w:t xml:space="preserve"> (1988), divergent en ce qui concerne la concentration de la substance ou du mélange dont le pH est déterminé, avec des valeurs de 1 %, 10 % et 100 %. La réserve acide/alcaline est aussi déterminée différemment entre ces méthodes, à savoir jusqu</w:t>
      </w:r>
      <w:r>
        <w:rPr>
          <w:rFonts w:eastAsia="Times New Roman"/>
        </w:rPr>
        <w:t>’</w:t>
      </w:r>
      <w:r w:rsidRPr="004C2A3C">
        <w:rPr>
          <w:rFonts w:eastAsia="Times New Roman"/>
        </w:rPr>
        <w:t>à un pH de 7 pour les acides et les bases (ligne directrice 122 de l</w:t>
      </w:r>
      <w:r>
        <w:rPr>
          <w:rFonts w:eastAsia="Times New Roman"/>
        </w:rPr>
        <w:t>’</w:t>
      </w:r>
      <w:r w:rsidRPr="004C2A3C">
        <w:rPr>
          <w:rFonts w:eastAsia="Times New Roman"/>
        </w:rPr>
        <w:t>OCDE) ou jusqu</w:t>
      </w:r>
      <w:r>
        <w:rPr>
          <w:rFonts w:eastAsia="Times New Roman"/>
        </w:rPr>
        <w:t>’</w:t>
      </w:r>
      <w:r w:rsidRPr="004C2A3C">
        <w:rPr>
          <w:rFonts w:eastAsia="Times New Roman"/>
        </w:rPr>
        <w:t xml:space="preserve">à un pH de 4 pour les acides et de 10 pour les bases (Young </w:t>
      </w:r>
      <w:r w:rsidRPr="004C2A3C">
        <w:rPr>
          <w:rFonts w:eastAsia="Times New Roman"/>
          <w:i/>
          <w:iCs/>
        </w:rPr>
        <w:t>et al.</w:t>
      </w:r>
      <w:r w:rsidRPr="004C2A3C">
        <w:rPr>
          <w:rFonts w:eastAsia="Times New Roman"/>
        </w:rPr>
        <w:t>, 1988). En outre, les unités utilisées pour exprimer la réserve acide/alcaline sont différentes entre ces deux méthodes.</w:t>
      </w:r>
    </w:p>
    <w:p w14:paraId="2563EF6C" w14:textId="77777777" w:rsidR="003F1C55" w:rsidRPr="004C2A3C" w:rsidRDefault="003F1C55" w:rsidP="003F1C55">
      <w:pPr>
        <w:keepNext/>
        <w:keepLines/>
        <w:spacing w:after="120"/>
        <w:ind w:left="2268" w:right="1134"/>
        <w:jc w:val="both"/>
        <w:rPr>
          <w:rFonts w:eastAsia="Times New Roman"/>
        </w:rPr>
      </w:pPr>
      <w:r w:rsidRPr="004C2A3C">
        <w:rPr>
          <w:rFonts w:eastAsia="Times New Roman"/>
        </w:rPr>
        <w:t>3.2.5.3.6.2</w:t>
      </w:r>
      <w:r w:rsidRPr="004C2A3C">
        <w:rPr>
          <w:rFonts w:eastAsia="Times New Roman"/>
        </w:rPr>
        <w:tab/>
        <w:t>Des critères permettant de déterminer les substances et les mélanges devant être classés dans la catégorie 1 pour les effets cutanés en fonction du pH et de la réserve acide/alcaline ont été mis au point, à partir d</w:t>
      </w:r>
      <w:r>
        <w:rPr>
          <w:rFonts w:eastAsia="Times New Roman"/>
        </w:rPr>
        <w:t>’</w:t>
      </w:r>
      <w:r w:rsidRPr="004C2A3C">
        <w:rPr>
          <w:rFonts w:eastAsia="Times New Roman"/>
        </w:rPr>
        <w:t xml:space="preserve">une combinaison de valeurs de pH et de réserve acide/alcaline calculées selon une méthode particulière (Young </w:t>
      </w:r>
      <w:r w:rsidRPr="004C2A3C">
        <w:rPr>
          <w:rFonts w:eastAsia="Times New Roman"/>
          <w:i/>
          <w:iCs/>
        </w:rPr>
        <w:t>et al.</w:t>
      </w:r>
      <w:r w:rsidRPr="004C2A3C">
        <w:rPr>
          <w:rFonts w:eastAsia="Times New Roman"/>
        </w:rPr>
        <w:t>, 1988). Il se peut donc que ces critères ne soient pas directement applicables lorsque d</w:t>
      </w:r>
      <w:r>
        <w:rPr>
          <w:rFonts w:eastAsia="Times New Roman"/>
        </w:rPr>
        <w:t>’</w:t>
      </w:r>
      <w:r w:rsidRPr="004C2A3C">
        <w:rPr>
          <w:rFonts w:eastAsia="Times New Roman"/>
        </w:rPr>
        <w:t>autres concentrations ou méthodes d</w:t>
      </w:r>
      <w:r>
        <w:rPr>
          <w:rFonts w:eastAsia="Times New Roman"/>
        </w:rPr>
        <w:t>’</w:t>
      </w:r>
      <w:r w:rsidRPr="004C2A3C">
        <w:rPr>
          <w:rFonts w:eastAsia="Times New Roman"/>
        </w:rPr>
        <w:t>essai sont utilisées pour mesurer le pH et la réserve acide/alcaline. Par ailleurs, l</w:t>
      </w:r>
      <w:r>
        <w:rPr>
          <w:rFonts w:eastAsia="Times New Roman"/>
        </w:rPr>
        <w:t>’</w:t>
      </w:r>
      <w:r w:rsidRPr="004C2A3C">
        <w:rPr>
          <w:rFonts w:eastAsia="Times New Roman"/>
        </w:rPr>
        <w:t xml:space="preserve">étalonnage et la validation de ces critères étaient fondés sur un ensemble de données limité concernant les effets cutanés. La valeur prédictive de la combinaison du pH et de la réserve acide/alcaline pour la classification dans la catégorie 1 au titre des effets cutanés est donc limitée, en particulier pour les substances et les mélanges présentant un pH extrême, mais une réserve acide/alcaline négligeable. Les critères élaborés par Young </w:t>
      </w:r>
      <w:r w:rsidRPr="004C2A3C">
        <w:rPr>
          <w:rFonts w:eastAsia="Times New Roman"/>
          <w:i/>
          <w:iCs/>
        </w:rPr>
        <w:t>et al.</w:t>
      </w:r>
      <w:r w:rsidRPr="004C2A3C">
        <w:rPr>
          <w:rFonts w:eastAsia="Times New Roman"/>
        </w:rPr>
        <w:t xml:space="preserve"> (1988) pour la classification dans la catégorie 1 peuvent servir de point de départ pour déterminer si une substance ou un mélange a une réserve acide/alcaline significative ou négligeable. Une autorité compétente peut décider quels critères appliquer pour déterminer si une réserve acide/alcaline est significative. ».</w:t>
      </w:r>
    </w:p>
    <w:p w14:paraId="05E4D496" w14:textId="77777777" w:rsidR="003F1C55" w:rsidRPr="004C2A3C" w:rsidRDefault="003F1C55" w:rsidP="003F1C55">
      <w:pPr>
        <w:spacing w:after="120"/>
        <w:ind w:left="1134" w:right="1134"/>
        <w:rPr>
          <w:rFonts w:eastAsia="Times New Roman"/>
          <w:lang w:val="en-US"/>
        </w:rPr>
      </w:pPr>
      <w:r w:rsidRPr="004C2A3C">
        <w:rPr>
          <w:rFonts w:eastAsia="Times New Roman"/>
          <w:lang w:val="en-US"/>
        </w:rPr>
        <w:t>______________</w:t>
      </w:r>
    </w:p>
    <w:p w14:paraId="36BC2382" w14:textId="77777777" w:rsidR="003F1C55" w:rsidRPr="004C2A3C" w:rsidRDefault="003F1C55" w:rsidP="003F1C55">
      <w:pPr>
        <w:suppressAutoHyphens w:val="0"/>
        <w:kinsoku/>
        <w:overflowPunct/>
        <w:snapToGrid/>
        <w:spacing w:before="240" w:after="240" w:line="220" w:lineRule="atLeast"/>
        <w:ind w:left="1134" w:right="1134"/>
        <w:outlineLvl w:val="2"/>
        <w:rPr>
          <w:rFonts w:eastAsia="Times New Roman"/>
          <w:color w:val="000000"/>
          <w:sz w:val="22"/>
          <w:szCs w:val="22"/>
          <w:lang w:eastAsia="fr-FR"/>
        </w:rPr>
      </w:pPr>
      <w:r w:rsidRPr="004C2A3C">
        <w:rPr>
          <w:rFonts w:eastAsia="Times New Roman"/>
          <w:color w:val="000000"/>
          <w:lang w:val="en-US" w:eastAsia="fr-FR"/>
        </w:rPr>
        <w:t xml:space="preserve">*  </w:t>
      </w:r>
      <w:proofErr w:type="spellStart"/>
      <w:proofErr w:type="gramStart"/>
      <w:r w:rsidRPr="004C2A3C">
        <w:rPr>
          <w:rFonts w:eastAsia="Times New Roman"/>
          <w:i/>
          <w:iCs/>
          <w:color w:val="000000"/>
          <w:sz w:val="18"/>
          <w:szCs w:val="18"/>
          <w:lang w:val="en-US" w:eastAsia="fr-FR"/>
        </w:rPr>
        <w:t>Références</w:t>
      </w:r>
      <w:proofErr w:type="spellEnd"/>
      <w:r w:rsidRPr="004C2A3C">
        <w:rPr>
          <w:rFonts w:eastAsia="Times New Roman"/>
          <w:i/>
          <w:iCs/>
          <w:color w:val="000000"/>
          <w:sz w:val="18"/>
          <w:szCs w:val="18"/>
          <w:lang w:val="en-US" w:eastAsia="fr-FR"/>
        </w:rPr>
        <w:t> :</w:t>
      </w:r>
      <w:proofErr w:type="gramEnd"/>
      <w:r w:rsidRPr="004C2A3C">
        <w:rPr>
          <w:rFonts w:eastAsia="Times New Roman"/>
          <w:i/>
          <w:iCs/>
          <w:color w:val="000000"/>
          <w:sz w:val="18"/>
          <w:szCs w:val="18"/>
          <w:lang w:val="en-US" w:eastAsia="fr-FR"/>
        </w:rPr>
        <w:t xml:space="preserve"> J. R. Young, M. J. How, A. P. Walker et W. M. Worth. 1988. Classification as corrosive or irritant to skin of preparations containing acidic or alkaline substances, without testing on animals. </w:t>
      </w:r>
      <w:proofErr w:type="spellStart"/>
      <w:r w:rsidRPr="004C2A3C">
        <w:rPr>
          <w:rFonts w:eastAsia="Times New Roman"/>
          <w:i/>
          <w:iCs/>
          <w:color w:val="000000"/>
          <w:sz w:val="18"/>
          <w:szCs w:val="18"/>
          <w:lang w:eastAsia="fr-FR"/>
        </w:rPr>
        <w:t>Toxicol</w:t>
      </w:r>
      <w:proofErr w:type="spellEnd"/>
      <w:r w:rsidRPr="004C2A3C">
        <w:rPr>
          <w:rFonts w:eastAsia="Times New Roman"/>
          <w:i/>
          <w:iCs/>
          <w:color w:val="000000"/>
          <w:sz w:val="18"/>
          <w:szCs w:val="18"/>
          <w:lang w:eastAsia="fr-FR"/>
        </w:rPr>
        <w:t>. In Vitro, 2(1</w:t>
      </w:r>
      <w:proofErr w:type="gramStart"/>
      <w:r w:rsidRPr="004C2A3C">
        <w:rPr>
          <w:rFonts w:eastAsia="Times New Roman"/>
          <w:i/>
          <w:iCs/>
          <w:color w:val="000000"/>
          <w:sz w:val="18"/>
          <w:szCs w:val="18"/>
          <w:lang w:eastAsia="fr-FR"/>
        </w:rPr>
        <w:t>):</w:t>
      </w:r>
      <w:proofErr w:type="gramEnd"/>
      <w:r w:rsidRPr="004C2A3C">
        <w:rPr>
          <w:rFonts w:eastAsia="Times New Roman"/>
          <w:i/>
          <w:iCs/>
          <w:color w:val="000000"/>
          <w:sz w:val="18"/>
          <w:szCs w:val="18"/>
          <w:lang w:eastAsia="fr-FR"/>
        </w:rPr>
        <w:t xml:space="preserve"> 19-26. </w:t>
      </w:r>
      <w:proofErr w:type="spellStart"/>
      <w:proofErr w:type="gramStart"/>
      <w:r w:rsidRPr="004C2A3C">
        <w:rPr>
          <w:rFonts w:eastAsia="Times New Roman"/>
          <w:i/>
          <w:iCs/>
          <w:color w:val="000000"/>
          <w:sz w:val="18"/>
          <w:szCs w:val="18"/>
          <w:lang w:eastAsia="fr-FR"/>
        </w:rPr>
        <w:t>doi</w:t>
      </w:r>
      <w:proofErr w:type="spellEnd"/>
      <w:r w:rsidRPr="004C2A3C">
        <w:rPr>
          <w:rFonts w:eastAsia="Times New Roman"/>
          <w:i/>
          <w:iCs/>
          <w:color w:val="000000"/>
          <w:sz w:val="18"/>
          <w:szCs w:val="18"/>
          <w:lang w:eastAsia="fr-FR"/>
        </w:rPr>
        <w:t>:</w:t>
      </w:r>
      <w:proofErr w:type="gramEnd"/>
      <w:r w:rsidRPr="004C2A3C">
        <w:rPr>
          <w:rFonts w:eastAsia="Times New Roman"/>
          <w:i/>
          <w:iCs/>
          <w:color w:val="000000"/>
          <w:sz w:val="18"/>
          <w:szCs w:val="18"/>
          <w:lang w:eastAsia="fr-FR"/>
        </w:rPr>
        <w:t xml:space="preserve"> 10.1016/0887-2333(88)90032-x.</w:t>
      </w:r>
      <w:r w:rsidRPr="004C2A3C">
        <w:rPr>
          <w:rFonts w:eastAsia="Times New Roman"/>
          <w:color w:val="000000"/>
          <w:sz w:val="22"/>
          <w:szCs w:val="22"/>
          <w:lang w:eastAsia="fr-FR"/>
        </w:rPr>
        <w:t> ».</w:t>
      </w:r>
    </w:p>
    <w:p w14:paraId="6AAB01B9" w14:textId="77777777" w:rsidR="003F1C55" w:rsidRPr="004C2A3C" w:rsidRDefault="003F1C55" w:rsidP="003F1C55">
      <w:pPr>
        <w:spacing w:after="120"/>
        <w:ind w:left="1134" w:right="1134"/>
        <w:jc w:val="both"/>
        <w:rPr>
          <w:rFonts w:eastAsia="Times New Roman"/>
          <w:i/>
          <w:iCs/>
          <w:lang w:val="fr-FR"/>
        </w:rPr>
      </w:pPr>
      <w:r w:rsidRPr="004C2A3C">
        <w:rPr>
          <w:rFonts w:eastAsia="Times New Roman"/>
          <w:i/>
          <w:iCs/>
          <w:lang w:val="fr-FR"/>
        </w:rPr>
        <w:tab/>
        <w:t xml:space="preserve">(Document de référence : </w:t>
      </w:r>
      <w:r w:rsidRPr="004C2A3C">
        <w:rPr>
          <w:rFonts w:eastAsia="Times New Roman"/>
          <w:i/>
          <w:iCs/>
        </w:rPr>
        <w:t>ST/SG/AC.10/C.4/2021/5 tel que modifié par le document informel INF.22)</w:t>
      </w:r>
    </w:p>
    <w:p w14:paraId="3D6E0BB2" w14:textId="77777777" w:rsidR="003F1C55" w:rsidRPr="004C2A3C" w:rsidRDefault="003F1C55" w:rsidP="003F1C55">
      <w:pPr>
        <w:keepNext/>
        <w:keepLines/>
        <w:tabs>
          <w:tab w:val="right" w:pos="851"/>
        </w:tabs>
        <w:spacing w:before="360" w:after="240" w:line="270" w:lineRule="exact"/>
        <w:ind w:left="1134" w:right="1134" w:hanging="1134"/>
        <w:rPr>
          <w:rFonts w:eastAsia="Times New Roman"/>
          <w:b/>
          <w:sz w:val="24"/>
          <w:lang w:val="fr-FR"/>
        </w:rPr>
      </w:pPr>
      <w:r w:rsidRPr="004C2A3C">
        <w:rPr>
          <w:rFonts w:eastAsia="Times New Roman"/>
          <w:b/>
          <w:sz w:val="24"/>
          <w:lang w:val="fr-FR"/>
        </w:rPr>
        <w:tab/>
      </w:r>
      <w:r w:rsidRPr="004C2A3C">
        <w:rPr>
          <w:rFonts w:eastAsia="Times New Roman"/>
          <w:b/>
          <w:sz w:val="24"/>
          <w:lang w:val="fr-FR"/>
        </w:rPr>
        <w:tab/>
        <w:t>Chapitre 3.3</w:t>
      </w:r>
    </w:p>
    <w:p w14:paraId="41C37E4F" w14:textId="77777777" w:rsidR="003F1C55" w:rsidRPr="004C2A3C" w:rsidRDefault="003F1C55" w:rsidP="003F1C55">
      <w:pPr>
        <w:tabs>
          <w:tab w:val="left" w:pos="2268"/>
        </w:tabs>
        <w:spacing w:after="120"/>
        <w:ind w:left="1134" w:right="1134"/>
        <w:jc w:val="both"/>
        <w:rPr>
          <w:rFonts w:eastAsia="Times New Roman"/>
          <w:color w:val="000000" w:themeColor="text1"/>
          <w:lang w:val="fr-FR"/>
        </w:rPr>
      </w:pPr>
      <w:r w:rsidRPr="004C2A3C">
        <w:rPr>
          <w:rFonts w:eastAsia="Times New Roman"/>
          <w:color w:val="000000" w:themeColor="text1"/>
          <w:lang w:val="fr-FR"/>
        </w:rPr>
        <w:t>3.3.1.2</w:t>
      </w:r>
      <w:r w:rsidRPr="004C2A3C">
        <w:rPr>
          <w:rFonts w:eastAsia="Times New Roman"/>
          <w:color w:val="000000" w:themeColor="text1"/>
          <w:lang w:val="fr-FR"/>
        </w:rPr>
        <w:tab/>
        <w:t>Remplacer le texte actuel par le texte suivant :</w:t>
      </w:r>
    </w:p>
    <w:p w14:paraId="03D183F4" w14:textId="77777777" w:rsidR="003F1C55" w:rsidRPr="004C2A3C" w:rsidRDefault="003F1C55" w:rsidP="003F1C55">
      <w:pPr>
        <w:spacing w:after="120"/>
        <w:ind w:left="2268" w:right="1134"/>
        <w:jc w:val="both"/>
        <w:rPr>
          <w:rFonts w:eastAsia="Times New Roman"/>
          <w:color w:val="000000" w:themeColor="text1"/>
          <w:sz w:val="24"/>
          <w:lang w:val="fr-FR"/>
        </w:rPr>
      </w:pPr>
      <w:r w:rsidRPr="004C2A3C">
        <w:rPr>
          <w:rFonts w:eastAsia="Times New Roman"/>
          <w:color w:val="000000" w:themeColor="text1"/>
          <w:lang w:val="fr-FR"/>
        </w:rPr>
        <w:t>« 3.3.1.2</w:t>
      </w:r>
      <w:r w:rsidRPr="004C2A3C">
        <w:rPr>
          <w:rFonts w:eastAsia="Times New Roman"/>
          <w:color w:val="000000" w:themeColor="text1"/>
          <w:lang w:val="fr-FR"/>
        </w:rPr>
        <w:tab/>
        <w:t>À des fins de classement, toutes les informations disponibles et utiles sur les lésions oculaires graves/l</w:t>
      </w:r>
      <w:r>
        <w:rPr>
          <w:rFonts w:eastAsia="Times New Roman"/>
          <w:color w:val="000000" w:themeColor="text1"/>
          <w:lang w:val="fr-FR"/>
        </w:rPr>
        <w:t>’</w:t>
      </w:r>
      <w:r w:rsidRPr="004C2A3C">
        <w:rPr>
          <w:rFonts w:eastAsia="Times New Roman"/>
          <w:color w:val="000000" w:themeColor="text1"/>
          <w:lang w:val="fr-FR"/>
        </w:rPr>
        <w:t>irritation oculaire sont collectées, et leur qualité est évaluée en fonction de leur pertinence et de leur fiabilité. Le classement doit être fondé sur des données/des résultats acceptables pour toutes les parties, obtenus au moyen de méthodes et/ou de méthodes définies</w:t>
      </w:r>
      <w:r w:rsidRPr="004C2A3C">
        <w:rPr>
          <w:rFonts w:eastAsia="Times New Roman"/>
          <w:color w:val="000000" w:themeColor="text1"/>
          <w:sz w:val="18"/>
          <w:szCs w:val="18"/>
          <w:vertAlign w:val="superscript"/>
          <w:lang w:val="fr-FR"/>
        </w:rPr>
        <w:t>1</w:t>
      </w:r>
      <w:r w:rsidRPr="004C2A3C">
        <w:rPr>
          <w:rFonts w:eastAsia="Times New Roman"/>
          <w:color w:val="000000" w:themeColor="text1"/>
          <w:lang w:val="fr-FR"/>
        </w:rPr>
        <w:t xml:space="preserve"> validées selon des procédures internationales. Il s</w:t>
      </w:r>
      <w:r>
        <w:rPr>
          <w:rFonts w:eastAsia="Times New Roman"/>
          <w:color w:val="000000" w:themeColor="text1"/>
          <w:lang w:val="fr-FR"/>
        </w:rPr>
        <w:t>’</w:t>
      </w:r>
      <w:r w:rsidRPr="004C2A3C">
        <w:rPr>
          <w:rFonts w:eastAsia="Times New Roman"/>
          <w:color w:val="000000" w:themeColor="text1"/>
          <w:lang w:val="fr-FR"/>
        </w:rPr>
        <w:t>agit notamment des lignes directrices de l</w:t>
      </w:r>
      <w:r>
        <w:rPr>
          <w:rFonts w:eastAsia="Times New Roman"/>
          <w:color w:val="000000" w:themeColor="text1"/>
          <w:lang w:val="fr-FR"/>
        </w:rPr>
        <w:t>’</w:t>
      </w:r>
      <w:r w:rsidRPr="004C2A3C">
        <w:rPr>
          <w:rFonts w:eastAsia="Times New Roman"/>
          <w:color w:val="000000" w:themeColor="text1"/>
          <w:lang w:val="fr-FR"/>
        </w:rPr>
        <w:t>OCDE et des méthodes équivalentes/méthodes définies (voir 1.3.2.4.3). On trouvera dans les sections 3.3.2.1 à 3.3.2.8 des critères de classification pour les différents types d</w:t>
      </w:r>
      <w:r>
        <w:rPr>
          <w:rFonts w:eastAsia="Times New Roman"/>
          <w:color w:val="000000" w:themeColor="text1"/>
          <w:lang w:val="fr-FR"/>
        </w:rPr>
        <w:t>’</w:t>
      </w:r>
      <w:r w:rsidRPr="004C2A3C">
        <w:rPr>
          <w:rFonts w:eastAsia="Times New Roman"/>
          <w:color w:val="000000" w:themeColor="text1"/>
          <w:lang w:val="fr-FR"/>
        </w:rPr>
        <w:t>informations pouvant être disponibles. ».</w:t>
      </w:r>
      <w:bookmarkStart w:id="3" w:name="_Hlk69397694"/>
      <w:bookmarkEnd w:id="3"/>
    </w:p>
    <w:p w14:paraId="17BFE6A8" w14:textId="77777777" w:rsidR="003F1C55" w:rsidRPr="004C2A3C" w:rsidRDefault="003F1C55" w:rsidP="003F1C55">
      <w:pPr>
        <w:keepNext/>
        <w:spacing w:after="120"/>
        <w:ind w:left="2268" w:right="1134"/>
        <w:jc w:val="both"/>
        <w:rPr>
          <w:rFonts w:eastAsia="Times New Roman"/>
          <w:color w:val="000000" w:themeColor="text1"/>
          <w:lang w:val="fr-FR"/>
        </w:rPr>
      </w:pPr>
      <w:r w:rsidRPr="004C2A3C">
        <w:rPr>
          <w:rFonts w:eastAsia="Times New Roman"/>
          <w:color w:val="000000" w:themeColor="text1"/>
          <w:lang w:val="fr-FR"/>
        </w:rPr>
        <w:t>Ajouter la nouvelle note de bas de page 1, comme suit :</w:t>
      </w:r>
    </w:p>
    <w:p w14:paraId="38008BA8" w14:textId="77777777" w:rsidR="003F1C55" w:rsidRPr="004C2A3C" w:rsidRDefault="003F1C55" w:rsidP="003F1C55">
      <w:pPr>
        <w:spacing w:after="120"/>
        <w:ind w:left="2268" w:right="1134"/>
        <w:jc w:val="both"/>
        <w:rPr>
          <w:rFonts w:eastAsia="Times New Roman"/>
          <w:i/>
          <w:iCs/>
          <w:lang w:val="fr-FR"/>
        </w:rPr>
      </w:pPr>
      <w:r w:rsidRPr="004C2A3C">
        <w:rPr>
          <w:rFonts w:eastAsia="Times New Roman"/>
          <w:lang w:val="fr-FR"/>
        </w:rPr>
        <w:tab/>
      </w:r>
      <w:r w:rsidRPr="004C2A3C">
        <w:rPr>
          <w:rFonts w:eastAsia="Times New Roman"/>
          <w:i/>
          <w:iCs/>
          <w:lang w:val="fr-FR"/>
        </w:rPr>
        <w:t>« </w:t>
      </w:r>
      <w:r w:rsidRPr="004C2A3C">
        <w:rPr>
          <w:rFonts w:eastAsia="Times New Roman"/>
          <w:i/>
          <w:iCs/>
          <w:vertAlign w:val="superscript"/>
          <w:lang w:val="fr-FR"/>
        </w:rPr>
        <w:t>1</w:t>
      </w:r>
      <w:r w:rsidRPr="004C2A3C">
        <w:rPr>
          <w:rFonts w:eastAsia="Times New Roman"/>
          <w:i/>
          <w:iCs/>
          <w:lang w:val="fr-FR"/>
        </w:rPr>
        <w:tab/>
        <w:t>Selon le document d</w:t>
      </w:r>
      <w:r>
        <w:rPr>
          <w:rFonts w:eastAsia="Times New Roman"/>
          <w:i/>
          <w:iCs/>
          <w:lang w:val="fr-FR"/>
        </w:rPr>
        <w:t>’</w:t>
      </w:r>
      <w:r w:rsidRPr="004C2A3C">
        <w:rPr>
          <w:rFonts w:eastAsia="Times New Roman"/>
          <w:i/>
          <w:iCs/>
          <w:lang w:val="fr-FR"/>
        </w:rPr>
        <w:t>orientation 255 de l</w:t>
      </w:r>
      <w:r>
        <w:rPr>
          <w:rFonts w:eastAsia="Times New Roman"/>
          <w:i/>
          <w:iCs/>
          <w:lang w:val="fr-FR"/>
        </w:rPr>
        <w:t>’</w:t>
      </w:r>
      <w:r w:rsidRPr="004C2A3C">
        <w:rPr>
          <w:rFonts w:eastAsia="Times New Roman"/>
          <w:i/>
          <w:iCs/>
          <w:lang w:val="fr-FR"/>
        </w:rPr>
        <w:t>OCDE concernant la notification des méthodes définies à utiliser dans le cadre des méthodes intégrées d</w:t>
      </w:r>
      <w:r>
        <w:rPr>
          <w:rFonts w:eastAsia="Times New Roman"/>
          <w:i/>
          <w:iCs/>
          <w:lang w:val="fr-FR"/>
        </w:rPr>
        <w:t>’</w:t>
      </w:r>
      <w:r w:rsidRPr="004C2A3C">
        <w:rPr>
          <w:rFonts w:eastAsia="Times New Roman"/>
          <w:i/>
          <w:iCs/>
          <w:lang w:val="fr-FR"/>
        </w:rPr>
        <w:t>essai et d</w:t>
      </w:r>
      <w:r>
        <w:rPr>
          <w:rFonts w:eastAsia="Times New Roman"/>
          <w:i/>
          <w:iCs/>
          <w:lang w:val="fr-FR"/>
        </w:rPr>
        <w:t>’</w:t>
      </w:r>
      <w:r w:rsidRPr="004C2A3C">
        <w:rPr>
          <w:rFonts w:eastAsia="Times New Roman"/>
          <w:i/>
          <w:iCs/>
          <w:lang w:val="fr-FR"/>
        </w:rPr>
        <w:t>évaluation, les méthodes définies d</w:t>
      </w:r>
      <w:r>
        <w:rPr>
          <w:rFonts w:eastAsia="Times New Roman"/>
          <w:i/>
          <w:iCs/>
          <w:lang w:val="fr-FR"/>
        </w:rPr>
        <w:t>’</w:t>
      </w:r>
      <w:r w:rsidRPr="004C2A3C">
        <w:rPr>
          <w:rFonts w:eastAsia="Times New Roman"/>
          <w:i/>
          <w:iCs/>
          <w:lang w:val="fr-FR"/>
        </w:rPr>
        <w:t>essai et d</w:t>
      </w:r>
      <w:r>
        <w:rPr>
          <w:rFonts w:eastAsia="Times New Roman"/>
          <w:i/>
          <w:iCs/>
          <w:lang w:val="fr-FR"/>
        </w:rPr>
        <w:t>’</w:t>
      </w:r>
      <w:r w:rsidRPr="004C2A3C">
        <w:rPr>
          <w:rFonts w:eastAsia="Times New Roman"/>
          <w:i/>
          <w:iCs/>
          <w:lang w:val="fr-FR"/>
        </w:rPr>
        <w:t>évaluation consistent à appliquer une procédure déterminée d</w:t>
      </w:r>
      <w:r>
        <w:rPr>
          <w:rFonts w:eastAsia="Times New Roman"/>
          <w:i/>
          <w:iCs/>
          <w:lang w:val="fr-FR"/>
        </w:rPr>
        <w:t>’</w:t>
      </w:r>
      <w:r w:rsidRPr="004C2A3C">
        <w:rPr>
          <w:rFonts w:eastAsia="Times New Roman"/>
          <w:i/>
          <w:iCs/>
          <w:lang w:val="fr-FR"/>
        </w:rPr>
        <w:t>interprétation des données aux données obtenues à partir d</w:t>
      </w:r>
      <w:r>
        <w:rPr>
          <w:rFonts w:eastAsia="Times New Roman"/>
          <w:i/>
          <w:iCs/>
          <w:lang w:val="fr-FR"/>
        </w:rPr>
        <w:t>’</w:t>
      </w:r>
      <w:r w:rsidRPr="004C2A3C">
        <w:rPr>
          <w:rFonts w:eastAsia="Times New Roman"/>
          <w:i/>
          <w:iCs/>
          <w:lang w:val="fr-FR"/>
        </w:rPr>
        <w:t>un ensemble défini de sources d</w:t>
      </w:r>
      <w:r>
        <w:rPr>
          <w:rFonts w:eastAsia="Times New Roman"/>
          <w:i/>
          <w:iCs/>
          <w:lang w:val="fr-FR"/>
        </w:rPr>
        <w:t>’</w:t>
      </w:r>
      <w:r w:rsidRPr="004C2A3C">
        <w:rPr>
          <w:rFonts w:eastAsia="Times New Roman"/>
          <w:i/>
          <w:iCs/>
          <w:lang w:val="fr-FR"/>
        </w:rPr>
        <w:t>information, afin d</w:t>
      </w:r>
      <w:r>
        <w:rPr>
          <w:rFonts w:eastAsia="Times New Roman"/>
          <w:i/>
          <w:iCs/>
          <w:lang w:val="fr-FR"/>
        </w:rPr>
        <w:t>’</w:t>
      </w:r>
      <w:r w:rsidRPr="004C2A3C">
        <w:rPr>
          <w:rFonts w:eastAsia="Times New Roman"/>
          <w:i/>
          <w:iCs/>
          <w:lang w:val="fr-FR"/>
        </w:rPr>
        <w:t>obtenir des résultats qui puissent être utilisés seuls, ou avec d</w:t>
      </w:r>
      <w:r>
        <w:rPr>
          <w:rFonts w:eastAsia="Times New Roman"/>
          <w:i/>
          <w:iCs/>
          <w:lang w:val="fr-FR"/>
        </w:rPr>
        <w:t>’</w:t>
      </w:r>
      <w:r w:rsidRPr="004C2A3C">
        <w:rPr>
          <w:rFonts w:eastAsia="Times New Roman"/>
          <w:i/>
          <w:iCs/>
          <w:lang w:val="fr-FR"/>
        </w:rPr>
        <w:t>autres sources d</w:t>
      </w:r>
      <w:r>
        <w:rPr>
          <w:rFonts w:eastAsia="Times New Roman"/>
          <w:i/>
          <w:iCs/>
          <w:lang w:val="fr-FR"/>
        </w:rPr>
        <w:t>’</w:t>
      </w:r>
      <w:r w:rsidRPr="004C2A3C">
        <w:rPr>
          <w:rFonts w:eastAsia="Times New Roman"/>
          <w:i/>
          <w:iCs/>
          <w:lang w:val="fr-FR"/>
        </w:rPr>
        <w:t>information dans le cadre d</w:t>
      </w:r>
      <w:r>
        <w:rPr>
          <w:rFonts w:eastAsia="Times New Roman"/>
          <w:i/>
          <w:iCs/>
          <w:lang w:val="fr-FR"/>
        </w:rPr>
        <w:t>’</w:t>
      </w:r>
      <w:r w:rsidRPr="004C2A3C">
        <w:rPr>
          <w:rFonts w:eastAsia="Times New Roman"/>
          <w:i/>
          <w:iCs/>
          <w:lang w:val="fr-FR"/>
        </w:rPr>
        <w:t>une évaluation globale de la force probante des données, de façon à répondre à un besoin particulier en matière de réglementation. ».</w:t>
      </w:r>
    </w:p>
    <w:p w14:paraId="07FA7098" w14:textId="77777777" w:rsidR="003F1C55" w:rsidRPr="004C2A3C" w:rsidRDefault="003F1C55" w:rsidP="003F1C55">
      <w:pPr>
        <w:keepNext/>
        <w:spacing w:after="120"/>
        <w:ind w:left="1134" w:right="1134"/>
        <w:jc w:val="both"/>
        <w:rPr>
          <w:rFonts w:eastAsia="Times New Roman"/>
          <w:color w:val="000000" w:themeColor="text1"/>
          <w:lang w:val="fr-FR"/>
        </w:rPr>
      </w:pPr>
      <w:r w:rsidRPr="004C2A3C">
        <w:rPr>
          <w:rFonts w:eastAsia="Times New Roman"/>
          <w:color w:val="000000" w:themeColor="text1"/>
          <w:lang w:val="fr-FR"/>
        </w:rPr>
        <w:t>3.3.1.3 et 3.3.1.4</w:t>
      </w:r>
      <w:r w:rsidRPr="004C2A3C">
        <w:rPr>
          <w:rFonts w:eastAsia="Times New Roman"/>
          <w:color w:val="000000" w:themeColor="text1"/>
          <w:lang w:val="fr-FR"/>
        </w:rPr>
        <w:tab/>
        <w:t>Ajouter les deux nouveaux paragraphes suivants :</w:t>
      </w:r>
    </w:p>
    <w:p w14:paraId="2DBE326A" w14:textId="77777777" w:rsidR="003F1C55" w:rsidRPr="004C2A3C" w:rsidRDefault="003F1C55" w:rsidP="003F1C55">
      <w:pPr>
        <w:spacing w:after="120"/>
        <w:ind w:left="2268" w:right="1134"/>
        <w:jc w:val="both"/>
        <w:rPr>
          <w:rFonts w:eastAsia="Times New Roman"/>
          <w:color w:val="000000" w:themeColor="text1"/>
          <w:lang w:val="fr-FR"/>
        </w:rPr>
      </w:pPr>
      <w:bookmarkStart w:id="4" w:name="_Hlk69397739"/>
      <w:r w:rsidRPr="004C2A3C">
        <w:rPr>
          <w:rFonts w:eastAsia="Times New Roman"/>
          <w:color w:val="000000" w:themeColor="text1"/>
          <w:lang w:val="fr-FR"/>
        </w:rPr>
        <w:t>« 3.3.1.3</w:t>
      </w:r>
      <w:r w:rsidRPr="004C2A3C">
        <w:rPr>
          <w:rFonts w:eastAsia="Times New Roman"/>
          <w:color w:val="000000" w:themeColor="text1"/>
          <w:lang w:val="fr-FR"/>
        </w:rPr>
        <w:tab/>
        <w:t xml:space="preserve">Une </w:t>
      </w:r>
      <w:r w:rsidRPr="004C2A3C">
        <w:rPr>
          <w:rFonts w:eastAsia="Times New Roman"/>
          <w:i/>
          <w:iCs/>
          <w:color w:val="000000" w:themeColor="text1"/>
          <w:lang w:val="fr-FR"/>
        </w:rPr>
        <w:t>méthode par étapes</w:t>
      </w:r>
      <w:r w:rsidRPr="004C2A3C">
        <w:rPr>
          <w:rFonts w:eastAsia="Times New Roman"/>
          <w:color w:val="000000" w:themeColor="text1"/>
          <w:lang w:val="fr-FR"/>
        </w:rPr>
        <w:t xml:space="preserve"> (voir 3.3.2.10) organise les informations disponibles par niveaux ou étapes permettant de prendre des décisions d</w:t>
      </w:r>
      <w:r>
        <w:rPr>
          <w:rFonts w:eastAsia="Times New Roman"/>
          <w:color w:val="000000" w:themeColor="text1"/>
          <w:lang w:val="fr-FR"/>
        </w:rPr>
        <w:t>’</w:t>
      </w:r>
      <w:r w:rsidRPr="004C2A3C">
        <w:rPr>
          <w:rFonts w:eastAsia="Times New Roman"/>
          <w:color w:val="000000" w:themeColor="text1"/>
          <w:lang w:val="fr-FR"/>
        </w:rPr>
        <w:t>une manière structurée et progressive. Le classement s</w:t>
      </w:r>
      <w:r>
        <w:rPr>
          <w:rFonts w:eastAsia="Times New Roman"/>
          <w:color w:val="000000" w:themeColor="text1"/>
          <w:lang w:val="fr-FR"/>
        </w:rPr>
        <w:t>’</w:t>
      </w:r>
      <w:r w:rsidRPr="004C2A3C">
        <w:rPr>
          <w:rFonts w:eastAsia="Times New Roman"/>
          <w:color w:val="000000" w:themeColor="text1"/>
          <w:lang w:val="fr-FR"/>
        </w:rPr>
        <w:t>effectue automatiquement quand les informations répondent systématiquement aux critères. Cependant, lorsque les informations disponibles donnent des résultats incohérents ou contradictoires à une même étape, le classement d</w:t>
      </w:r>
      <w:r>
        <w:rPr>
          <w:rFonts w:eastAsia="Times New Roman"/>
          <w:color w:val="000000" w:themeColor="text1"/>
          <w:lang w:val="fr-FR"/>
        </w:rPr>
        <w:t>’</w:t>
      </w:r>
      <w:r w:rsidRPr="004C2A3C">
        <w:rPr>
          <w:rFonts w:eastAsia="Times New Roman"/>
          <w:color w:val="000000" w:themeColor="text1"/>
          <w:lang w:val="fr-FR"/>
        </w:rPr>
        <w:t>une substance ou d</w:t>
      </w:r>
      <w:r>
        <w:rPr>
          <w:rFonts w:eastAsia="Times New Roman"/>
          <w:color w:val="000000" w:themeColor="text1"/>
          <w:lang w:val="fr-FR"/>
        </w:rPr>
        <w:t>’</w:t>
      </w:r>
      <w:r w:rsidRPr="004C2A3C">
        <w:rPr>
          <w:rFonts w:eastAsia="Times New Roman"/>
          <w:color w:val="000000" w:themeColor="text1"/>
          <w:lang w:val="fr-FR"/>
        </w:rPr>
        <w:t>un mélange s</w:t>
      </w:r>
      <w:r>
        <w:rPr>
          <w:rFonts w:eastAsia="Times New Roman"/>
          <w:color w:val="000000" w:themeColor="text1"/>
          <w:lang w:val="fr-FR"/>
        </w:rPr>
        <w:t>’</w:t>
      </w:r>
      <w:r w:rsidRPr="004C2A3C">
        <w:rPr>
          <w:rFonts w:eastAsia="Times New Roman"/>
          <w:color w:val="000000" w:themeColor="text1"/>
          <w:lang w:val="fr-FR"/>
        </w:rPr>
        <w:t>effectue sur la base de la force probante des données à cette étape. Dans certains cas, lorsque les informations provenant de différentes étapes donnent des résultats incohérents ou contradictoires (voir 3.3.2.10.3), ou lorsque, prises séparément, les données ne sont pas suffisantes pour déterminer le classement, on a recours à une évaluation globale de la force probante des données (voir 1.3.2.4.9, 3.3.2.9 et 3.3.5.3.1).</w:t>
      </w:r>
    </w:p>
    <w:p w14:paraId="74A0D303" w14:textId="77777777" w:rsidR="003F1C55" w:rsidRPr="004C2A3C" w:rsidRDefault="003F1C55" w:rsidP="003F1C55">
      <w:pPr>
        <w:spacing w:after="120"/>
        <w:ind w:left="2268" w:right="1134"/>
        <w:jc w:val="both"/>
        <w:rPr>
          <w:rFonts w:eastAsia="Times New Roman"/>
          <w:color w:val="000000" w:themeColor="text1"/>
          <w:lang w:val="fr-FR"/>
        </w:rPr>
      </w:pPr>
      <w:r w:rsidRPr="004C2A3C">
        <w:rPr>
          <w:rFonts w:eastAsia="Times New Roman"/>
          <w:color w:val="000000" w:themeColor="text1"/>
          <w:lang w:val="fr-FR"/>
        </w:rPr>
        <w:t>3.3.1.4</w:t>
      </w:r>
      <w:r w:rsidRPr="004C2A3C">
        <w:rPr>
          <w:rFonts w:eastAsia="Times New Roman"/>
          <w:color w:val="000000" w:themeColor="text1"/>
          <w:lang w:val="fr-FR"/>
        </w:rPr>
        <w:tab/>
      </w:r>
      <w:r w:rsidRPr="004C2A3C">
        <w:rPr>
          <w:rFonts w:eastAsia="Times New Roman"/>
          <w:color w:val="000000" w:themeColor="text1"/>
          <w:lang w:val="fr-FR"/>
        </w:rPr>
        <w:tab/>
        <w:t>On trouve dans le 3.3.5.3 des indications relatives à l</w:t>
      </w:r>
      <w:r>
        <w:rPr>
          <w:rFonts w:eastAsia="Times New Roman"/>
          <w:color w:val="000000" w:themeColor="text1"/>
          <w:lang w:val="fr-FR"/>
        </w:rPr>
        <w:t>’</w:t>
      </w:r>
      <w:r w:rsidRPr="004C2A3C">
        <w:rPr>
          <w:rFonts w:eastAsia="Times New Roman"/>
          <w:color w:val="000000" w:themeColor="text1"/>
          <w:lang w:val="fr-FR"/>
        </w:rPr>
        <w:t>interprétation des critères et des renvois aux documents d</w:t>
      </w:r>
      <w:r>
        <w:rPr>
          <w:rFonts w:eastAsia="Times New Roman"/>
          <w:color w:val="000000" w:themeColor="text1"/>
          <w:lang w:val="fr-FR"/>
        </w:rPr>
        <w:t>’</w:t>
      </w:r>
      <w:r w:rsidRPr="004C2A3C">
        <w:rPr>
          <w:rFonts w:eastAsia="Times New Roman"/>
          <w:color w:val="000000" w:themeColor="text1"/>
          <w:lang w:val="fr-FR"/>
        </w:rPr>
        <w:t>orientation pertinents. ».</w:t>
      </w:r>
    </w:p>
    <w:bookmarkEnd w:id="4"/>
    <w:p w14:paraId="58CC175E" w14:textId="77777777" w:rsidR="003F1C55" w:rsidRPr="004C2A3C" w:rsidRDefault="003F1C55" w:rsidP="003F1C55">
      <w:pPr>
        <w:spacing w:after="120"/>
        <w:ind w:left="2268" w:right="1134" w:hanging="1134"/>
        <w:jc w:val="both"/>
        <w:rPr>
          <w:rFonts w:eastAsia="Times New Roman"/>
          <w:color w:val="000000" w:themeColor="text1"/>
          <w:lang w:val="fr-FR"/>
        </w:rPr>
      </w:pPr>
      <w:r w:rsidRPr="004C2A3C">
        <w:rPr>
          <w:rFonts w:eastAsia="Times New Roman"/>
          <w:color w:val="000000" w:themeColor="text1"/>
          <w:lang w:val="fr-FR"/>
        </w:rPr>
        <w:t>3.3.2</w:t>
      </w:r>
      <w:r w:rsidRPr="004C2A3C">
        <w:rPr>
          <w:rFonts w:eastAsia="Times New Roman"/>
          <w:color w:val="000000" w:themeColor="text1"/>
          <w:lang w:val="fr-FR"/>
        </w:rPr>
        <w:tab/>
        <w:t>Supprimer « (voir tableau 3.3.1) » à l</w:t>
      </w:r>
      <w:r>
        <w:rPr>
          <w:rFonts w:eastAsia="Times New Roman"/>
          <w:color w:val="000000" w:themeColor="text1"/>
          <w:lang w:val="fr-FR"/>
        </w:rPr>
        <w:t>’</w:t>
      </w:r>
      <w:r w:rsidRPr="004C2A3C">
        <w:rPr>
          <w:rFonts w:eastAsia="Times New Roman"/>
          <w:color w:val="000000" w:themeColor="text1"/>
          <w:lang w:val="fr-FR"/>
        </w:rPr>
        <w:t>alinéa a) et « (voir tableau 3.3.2) » à l</w:t>
      </w:r>
      <w:r>
        <w:rPr>
          <w:rFonts w:eastAsia="Times New Roman"/>
          <w:color w:val="000000" w:themeColor="text1"/>
          <w:lang w:val="fr-FR"/>
        </w:rPr>
        <w:t>’</w:t>
      </w:r>
      <w:r w:rsidRPr="004C2A3C">
        <w:rPr>
          <w:rFonts w:eastAsia="Times New Roman"/>
          <w:color w:val="000000" w:themeColor="text1"/>
          <w:lang w:val="fr-FR"/>
        </w:rPr>
        <w:t>alinéa b) et dans la dernière phrase.</w:t>
      </w:r>
    </w:p>
    <w:p w14:paraId="28A965F7" w14:textId="77777777" w:rsidR="003F1C55" w:rsidRPr="004C2A3C" w:rsidRDefault="003F1C55" w:rsidP="003F1C55">
      <w:pPr>
        <w:keepNext/>
        <w:spacing w:after="120"/>
        <w:ind w:left="2268" w:right="1134" w:hanging="1134"/>
        <w:jc w:val="both"/>
        <w:rPr>
          <w:rFonts w:eastAsia="Times New Roman"/>
          <w:color w:val="000000" w:themeColor="text1"/>
          <w:lang w:val="fr-FR"/>
        </w:rPr>
      </w:pPr>
      <w:r w:rsidRPr="004C2A3C">
        <w:rPr>
          <w:rFonts w:eastAsia="Times New Roman"/>
          <w:color w:val="000000" w:themeColor="text1"/>
          <w:lang w:val="fr-FR"/>
        </w:rPr>
        <w:t>3.3.2.1 et 3.3.2.2 (nouveaux)</w:t>
      </w:r>
      <w:r w:rsidRPr="004C2A3C">
        <w:rPr>
          <w:rFonts w:eastAsia="Times New Roman"/>
          <w:color w:val="000000" w:themeColor="text1"/>
          <w:lang w:val="fr-FR"/>
        </w:rPr>
        <w:tab/>
        <w:t>Ajouter les nouveaux paragraphes 3.3.2.1 et 3.3.2.2, suivants :</w:t>
      </w:r>
    </w:p>
    <w:p w14:paraId="05B96F07" w14:textId="77777777" w:rsidR="003F1C55" w:rsidRPr="004C2A3C" w:rsidRDefault="003F1C55" w:rsidP="003F1C55">
      <w:pPr>
        <w:spacing w:after="120"/>
        <w:ind w:left="2268" w:right="1134"/>
        <w:jc w:val="both"/>
        <w:rPr>
          <w:rFonts w:eastAsia="Times New Roman"/>
          <w:b/>
          <w:bCs/>
          <w:i/>
          <w:iCs/>
          <w:color w:val="000000" w:themeColor="text1"/>
          <w:lang w:val="fr-FR"/>
        </w:rPr>
      </w:pPr>
      <w:r w:rsidRPr="004C2A3C">
        <w:rPr>
          <w:rFonts w:eastAsia="Times New Roman"/>
          <w:color w:val="000000" w:themeColor="text1"/>
          <w:lang w:val="fr-FR"/>
        </w:rPr>
        <w:t>« </w:t>
      </w:r>
      <w:r w:rsidRPr="004C2A3C">
        <w:rPr>
          <w:rFonts w:eastAsia="Times New Roman"/>
          <w:b/>
          <w:bCs/>
          <w:color w:val="000000" w:themeColor="text1"/>
          <w:lang w:val="fr-FR"/>
        </w:rPr>
        <w:t>3.3.2.1</w:t>
      </w:r>
      <w:r w:rsidRPr="004C2A3C">
        <w:rPr>
          <w:rFonts w:eastAsia="Times New Roman"/>
          <w:b/>
          <w:bCs/>
          <w:color w:val="000000" w:themeColor="text1"/>
          <w:lang w:val="fr-FR"/>
        </w:rPr>
        <w:tab/>
      </w:r>
      <w:r w:rsidRPr="004C2A3C">
        <w:rPr>
          <w:rFonts w:eastAsia="Times New Roman"/>
          <w:b/>
          <w:bCs/>
          <w:i/>
          <w:iCs/>
          <w:color w:val="000000" w:themeColor="text1"/>
          <w:lang w:val="fr-FR"/>
        </w:rPr>
        <w:t>Classification fondée sur des données obtenues sur l</w:t>
      </w:r>
      <w:r>
        <w:rPr>
          <w:rFonts w:eastAsia="Times New Roman"/>
          <w:b/>
          <w:bCs/>
          <w:i/>
          <w:iCs/>
          <w:color w:val="000000" w:themeColor="text1"/>
          <w:lang w:val="fr-FR"/>
        </w:rPr>
        <w:t>’</w:t>
      </w:r>
      <w:r w:rsidRPr="004C2A3C">
        <w:rPr>
          <w:rFonts w:eastAsia="Times New Roman"/>
          <w:b/>
          <w:bCs/>
          <w:i/>
          <w:iCs/>
          <w:color w:val="000000" w:themeColor="text1"/>
          <w:lang w:val="fr-FR"/>
        </w:rPr>
        <w:t>homme (étape 1 de la figure 3.3.1)</w:t>
      </w:r>
    </w:p>
    <w:p w14:paraId="35E51F28" w14:textId="77777777" w:rsidR="003F1C55" w:rsidRPr="004C2A3C" w:rsidRDefault="003F1C55" w:rsidP="003F1C55">
      <w:pPr>
        <w:tabs>
          <w:tab w:val="left" w:pos="3402"/>
        </w:tabs>
        <w:spacing w:after="120"/>
        <w:ind w:left="2268" w:right="1134" w:firstLine="1134"/>
        <w:jc w:val="both"/>
        <w:rPr>
          <w:rFonts w:eastAsia="Times New Roman"/>
          <w:color w:val="000000" w:themeColor="text1"/>
          <w:lang w:val="fr-FR"/>
        </w:rPr>
      </w:pPr>
      <w:r w:rsidRPr="004C2A3C">
        <w:rPr>
          <w:rFonts w:eastAsia="Times New Roman"/>
          <w:color w:val="000000" w:themeColor="text1"/>
          <w:lang w:val="fr-FR"/>
        </w:rPr>
        <w:t>Les données fiables et de bonne qualité existantes relatives aux lésions oculaires graves/à l</w:t>
      </w:r>
      <w:r>
        <w:rPr>
          <w:rFonts w:eastAsia="Times New Roman"/>
          <w:color w:val="000000" w:themeColor="text1"/>
          <w:lang w:val="fr-FR"/>
        </w:rPr>
        <w:t>’</w:t>
      </w:r>
      <w:r w:rsidRPr="004C2A3C">
        <w:rPr>
          <w:rFonts w:eastAsia="Times New Roman"/>
          <w:color w:val="000000" w:themeColor="text1"/>
          <w:lang w:val="fr-FR"/>
        </w:rPr>
        <w:t>irritation oculaire obtenues sur l</w:t>
      </w:r>
      <w:r>
        <w:rPr>
          <w:rFonts w:eastAsia="Times New Roman"/>
          <w:color w:val="000000" w:themeColor="text1"/>
          <w:lang w:val="fr-FR"/>
        </w:rPr>
        <w:t>’</w:t>
      </w:r>
      <w:r w:rsidRPr="004C2A3C">
        <w:rPr>
          <w:rFonts w:eastAsia="Times New Roman"/>
          <w:color w:val="000000" w:themeColor="text1"/>
          <w:lang w:val="fr-FR"/>
        </w:rPr>
        <w:t>homme devraient être dûment exploitées lorsqu</w:t>
      </w:r>
      <w:r>
        <w:rPr>
          <w:rFonts w:eastAsia="Times New Roman"/>
          <w:color w:val="000000" w:themeColor="text1"/>
          <w:lang w:val="fr-FR"/>
        </w:rPr>
        <w:t>’</w:t>
      </w:r>
      <w:r w:rsidRPr="004C2A3C">
        <w:rPr>
          <w:rFonts w:eastAsia="Times New Roman"/>
          <w:color w:val="000000" w:themeColor="text1"/>
          <w:lang w:val="fr-FR"/>
        </w:rPr>
        <w:t>elles présentent un intérêt pour le classement (voir 3.3.5.3.2) et devraient être évaluées en premier lieu, dans la mesure où elles donnent des informations en relation directe avec les effets sur l</w:t>
      </w:r>
      <w:r>
        <w:rPr>
          <w:rFonts w:eastAsia="Times New Roman"/>
          <w:color w:val="000000" w:themeColor="text1"/>
          <w:lang w:val="fr-FR"/>
        </w:rPr>
        <w:t>’</w:t>
      </w:r>
      <w:r w:rsidRPr="004C2A3C">
        <w:rPr>
          <w:rFonts w:eastAsia="Times New Roman"/>
          <w:color w:val="000000" w:themeColor="text1"/>
          <w:lang w:val="fr-FR"/>
        </w:rPr>
        <w:t>œil. Les données existantes obtenues sur l</w:t>
      </w:r>
      <w:r>
        <w:rPr>
          <w:rFonts w:eastAsia="Times New Roman"/>
          <w:color w:val="000000" w:themeColor="text1"/>
          <w:lang w:val="fr-FR"/>
        </w:rPr>
        <w:t>’</w:t>
      </w:r>
      <w:r w:rsidRPr="004C2A3C">
        <w:rPr>
          <w:rFonts w:eastAsia="Times New Roman"/>
          <w:color w:val="000000" w:themeColor="text1"/>
          <w:lang w:val="fr-FR"/>
        </w:rPr>
        <w:t>homme peuvent résulter d</w:t>
      </w:r>
      <w:r>
        <w:rPr>
          <w:rFonts w:eastAsia="Times New Roman"/>
          <w:color w:val="000000" w:themeColor="text1"/>
          <w:lang w:val="fr-FR"/>
        </w:rPr>
        <w:t>’</w:t>
      </w:r>
      <w:r w:rsidRPr="004C2A3C">
        <w:rPr>
          <w:rFonts w:eastAsia="Times New Roman"/>
          <w:color w:val="000000" w:themeColor="text1"/>
          <w:lang w:val="fr-FR"/>
        </w:rPr>
        <w:t>une exposition unique ou d</w:t>
      </w:r>
      <w:r>
        <w:rPr>
          <w:rFonts w:eastAsia="Times New Roman"/>
          <w:color w:val="000000" w:themeColor="text1"/>
          <w:lang w:val="fr-FR"/>
        </w:rPr>
        <w:t>’</w:t>
      </w:r>
      <w:r w:rsidRPr="004C2A3C">
        <w:rPr>
          <w:rFonts w:eastAsia="Times New Roman"/>
          <w:color w:val="000000" w:themeColor="text1"/>
          <w:lang w:val="fr-FR"/>
        </w:rPr>
        <w:t>expositions répétées dans divers cas de figure relevant, par exemple, de la vie professionnelle, de la consommation, des transports ou des interventions d</w:t>
      </w:r>
      <w:r>
        <w:rPr>
          <w:rFonts w:eastAsia="Times New Roman"/>
          <w:color w:val="000000" w:themeColor="text1"/>
          <w:lang w:val="fr-FR"/>
        </w:rPr>
        <w:t>’</w:t>
      </w:r>
      <w:r w:rsidRPr="004C2A3C">
        <w:rPr>
          <w:rFonts w:eastAsia="Times New Roman"/>
          <w:color w:val="000000" w:themeColor="text1"/>
          <w:lang w:val="fr-FR"/>
        </w:rPr>
        <w:t>urgence, et être rapportées dans des études cliniques et épidémiologiques et dans des études de cas et des observations bien étayées (voir 1.1.2.5 c), 1.3.2.4.7 et 1.3.2.4.9). Bien que les données obtenues sur l</w:t>
      </w:r>
      <w:r>
        <w:rPr>
          <w:rFonts w:eastAsia="Times New Roman"/>
          <w:color w:val="000000" w:themeColor="text1"/>
          <w:lang w:val="fr-FR"/>
        </w:rPr>
        <w:t>’</w:t>
      </w:r>
      <w:r w:rsidRPr="004C2A3C">
        <w:rPr>
          <w:rFonts w:eastAsia="Times New Roman"/>
          <w:color w:val="000000" w:themeColor="text1"/>
          <w:lang w:val="fr-FR"/>
        </w:rPr>
        <w:t>homme provenant des bases de données sur les accidents ou de celles des centres antipoison puissent servir aux fins de la classification, l</w:t>
      </w:r>
      <w:r>
        <w:rPr>
          <w:rFonts w:eastAsia="Times New Roman"/>
          <w:color w:val="000000" w:themeColor="text1"/>
          <w:lang w:val="fr-FR"/>
        </w:rPr>
        <w:t>’</w:t>
      </w:r>
      <w:r w:rsidRPr="004C2A3C">
        <w:rPr>
          <w:rFonts w:eastAsia="Times New Roman"/>
          <w:color w:val="000000" w:themeColor="text1"/>
          <w:lang w:val="fr-FR"/>
        </w:rPr>
        <w:t>absence d</w:t>
      </w:r>
      <w:r>
        <w:rPr>
          <w:rFonts w:eastAsia="Times New Roman"/>
          <w:color w:val="000000" w:themeColor="text1"/>
          <w:lang w:val="fr-FR"/>
        </w:rPr>
        <w:t>’</w:t>
      </w:r>
      <w:r w:rsidRPr="004C2A3C">
        <w:rPr>
          <w:rFonts w:eastAsia="Times New Roman"/>
          <w:color w:val="000000" w:themeColor="text1"/>
          <w:lang w:val="fr-FR"/>
        </w:rPr>
        <w:t>incidents ne suffit pas à elle seule à justifier l</w:t>
      </w:r>
      <w:r>
        <w:rPr>
          <w:rFonts w:eastAsia="Times New Roman"/>
          <w:color w:val="000000" w:themeColor="text1"/>
          <w:lang w:val="fr-FR"/>
        </w:rPr>
        <w:t>’</w:t>
      </w:r>
      <w:r w:rsidRPr="004C2A3C">
        <w:rPr>
          <w:rFonts w:eastAsia="Times New Roman"/>
          <w:color w:val="000000" w:themeColor="text1"/>
          <w:lang w:val="fr-FR"/>
        </w:rPr>
        <w:t>absence de classification, étant donné que les expositions sont généralement inconnues ou incertaines.</w:t>
      </w:r>
    </w:p>
    <w:p w14:paraId="31E9238A" w14:textId="77777777" w:rsidR="003F1C55" w:rsidRPr="004C2A3C" w:rsidRDefault="003F1C55" w:rsidP="003F1C55">
      <w:pPr>
        <w:tabs>
          <w:tab w:val="left" w:pos="2268"/>
          <w:tab w:val="left" w:pos="3402"/>
        </w:tabs>
        <w:spacing w:after="120"/>
        <w:ind w:left="2268" w:right="1134"/>
        <w:jc w:val="both"/>
        <w:rPr>
          <w:rFonts w:eastAsia="Times New Roman"/>
          <w:b/>
          <w:bCs/>
          <w:i/>
          <w:iCs/>
          <w:color w:val="000000" w:themeColor="text1"/>
          <w:lang w:val="fr-FR"/>
        </w:rPr>
      </w:pPr>
      <w:r w:rsidRPr="004C2A3C">
        <w:rPr>
          <w:rFonts w:eastAsia="Times New Roman"/>
          <w:b/>
          <w:bCs/>
          <w:color w:val="000000" w:themeColor="text1"/>
          <w:lang w:val="fr-FR"/>
        </w:rPr>
        <w:t>3.3.2.2</w:t>
      </w:r>
      <w:r w:rsidRPr="004C2A3C">
        <w:rPr>
          <w:rFonts w:eastAsia="Times New Roman"/>
          <w:b/>
          <w:bCs/>
          <w:color w:val="000000" w:themeColor="text1"/>
          <w:lang w:val="fr-FR"/>
        </w:rPr>
        <w:tab/>
      </w:r>
      <w:r w:rsidRPr="004C2A3C">
        <w:rPr>
          <w:rFonts w:eastAsia="Times New Roman"/>
          <w:b/>
          <w:bCs/>
          <w:i/>
          <w:iCs/>
          <w:color w:val="000000" w:themeColor="text1"/>
          <w:lang w:val="fr-FR"/>
        </w:rPr>
        <w:t>Classification fondée sur les résultats d</w:t>
      </w:r>
      <w:r>
        <w:rPr>
          <w:rFonts w:eastAsia="Times New Roman"/>
          <w:b/>
          <w:bCs/>
          <w:i/>
          <w:iCs/>
          <w:color w:val="000000" w:themeColor="text1"/>
          <w:lang w:val="fr-FR"/>
        </w:rPr>
        <w:t>’</w:t>
      </w:r>
      <w:r w:rsidRPr="004C2A3C">
        <w:rPr>
          <w:rFonts w:eastAsia="Times New Roman"/>
          <w:b/>
          <w:bCs/>
          <w:i/>
          <w:iCs/>
          <w:color w:val="000000" w:themeColor="text1"/>
          <w:lang w:val="fr-FR"/>
        </w:rPr>
        <w:t>essais normalisés sur les animaux (étape 1 de la figure 3.3.1)</w:t>
      </w:r>
    </w:p>
    <w:p w14:paraId="58052F16" w14:textId="77777777" w:rsidR="003F1C55" w:rsidRPr="004C2A3C" w:rsidRDefault="003F1C55" w:rsidP="003F1C55">
      <w:pPr>
        <w:tabs>
          <w:tab w:val="left" w:pos="3402"/>
        </w:tabs>
        <w:spacing w:after="120"/>
        <w:ind w:left="2268" w:right="1134" w:firstLine="1134"/>
        <w:jc w:val="both"/>
        <w:rPr>
          <w:rFonts w:eastAsia="Times New Roman"/>
          <w:color w:val="000000" w:themeColor="text1"/>
          <w:lang w:val="fr-FR"/>
        </w:rPr>
      </w:pPr>
      <w:r w:rsidRPr="004C2A3C">
        <w:rPr>
          <w:rFonts w:eastAsia="Times New Roman"/>
          <w:color w:val="000000" w:themeColor="text1"/>
          <w:lang w:val="fr-FR"/>
        </w:rPr>
        <w:t>La ligne directrice 405 de l</w:t>
      </w:r>
      <w:r>
        <w:rPr>
          <w:rFonts w:eastAsia="Times New Roman"/>
          <w:color w:val="000000" w:themeColor="text1"/>
          <w:lang w:val="fr-FR"/>
        </w:rPr>
        <w:t>’</w:t>
      </w:r>
      <w:r w:rsidRPr="004C2A3C">
        <w:rPr>
          <w:rFonts w:eastAsia="Times New Roman"/>
          <w:color w:val="000000" w:themeColor="text1"/>
          <w:lang w:val="fr-FR"/>
        </w:rPr>
        <w:t>OCDE est la méthode d</w:t>
      </w:r>
      <w:r>
        <w:rPr>
          <w:rFonts w:eastAsia="Times New Roman"/>
          <w:color w:val="000000" w:themeColor="text1"/>
          <w:lang w:val="fr-FR"/>
        </w:rPr>
        <w:t>’</w:t>
      </w:r>
      <w:r w:rsidRPr="004C2A3C">
        <w:rPr>
          <w:rFonts w:eastAsia="Times New Roman"/>
          <w:color w:val="000000" w:themeColor="text1"/>
          <w:lang w:val="fr-FR"/>
        </w:rPr>
        <w:t xml:space="preserve">essai sur les animaux disponible actuellement et acceptée </w:t>
      </w:r>
      <w:proofErr w:type="gramStart"/>
      <w:r w:rsidRPr="004C2A3C">
        <w:rPr>
          <w:rFonts w:eastAsia="Times New Roman"/>
          <w:color w:val="000000" w:themeColor="text1"/>
          <w:lang w:val="fr-FR"/>
        </w:rPr>
        <w:t>au</w:t>
      </w:r>
      <w:proofErr w:type="gramEnd"/>
      <w:r w:rsidRPr="004C2A3C">
        <w:rPr>
          <w:rFonts w:eastAsia="Times New Roman"/>
          <w:color w:val="000000" w:themeColor="text1"/>
          <w:lang w:val="fr-FR"/>
        </w:rPr>
        <w:t xml:space="preserve"> plan international aux fins de la classification au titre des lésions oculaires graves ou une irritation oculaire (voir tableaux 3.3.1 et 3.3.2, respectivement) ; c</w:t>
      </w:r>
      <w:r>
        <w:rPr>
          <w:rFonts w:eastAsia="Times New Roman"/>
          <w:color w:val="000000" w:themeColor="text1"/>
          <w:lang w:val="fr-FR"/>
        </w:rPr>
        <w:t>’</w:t>
      </w:r>
      <w:r w:rsidRPr="004C2A3C">
        <w:rPr>
          <w:rFonts w:eastAsia="Times New Roman"/>
          <w:color w:val="000000" w:themeColor="text1"/>
          <w:lang w:val="fr-FR"/>
        </w:rPr>
        <w:t>est en outre l</w:t>
      </w:r>
      <w:r>
        <w:rPr>
          <w:rFonts w:eastAsia="Times New Roman"/>
          <w:color w:val="000000" w:themeColor="text1"/>
          <w:lang w:val="fr-FR"/>
        </w:rPr>
        <w:t>’</w:t>
      </w:r>
      <w:r w:rsidRPr="004C2A3C">
        <w:rPr>
          <w:rFonts w:eastAsia="Times New Roman"/>
          <w:color w:val="000000" w:themeColor="text1"/>
          <w:lang w:val="fr-FR"/>
        </w:rPr>
        <w:t>essai normalisé sur les animaux. Dans sa version actuelle, la ligne directrice 405 nécessite d</w:t>
      </w:r>
      <w:r>
        <w:rPr>
          <w:rFonts w:eastAsia="Times New Roman"/>
          <w:color w:val="000000" w:themeColor="text1"/>
          <w:lang w:val="fr-FR"/>
        </w:rPr>
        <w:t>’</w:t>
      </w:r>
      <w:r w:rsidRPr="004C2A3C">
        <w:rPr>
          <w:rFonts w:eastAsia="Times New Roman"/>
          <w:color w:val="000000" w:themeColor="text1"/>
          <w:lang w:val="fr-FR"/>
        </w:rPr>
        <w:t>utiliser au maximum trois animaux. Les résultats des études menées sur les animaux en application des précédentes versions de la ligne directrice 405, pour lesquelles on utilisait plus de trois animaux, sont également considérés comme des essais normalisés sur les animaux lorsqu</w:t>
      </w:r>
      <w:r>
        <w:rPr>
          <w:rFonts w:eastAsia="Times New Roman"/>
          <w:color w:val="000000" w:themeColor="text1"/>
          <w:lang w:val="fr-FR"/>
        </w:rPr>
        <w:t>’</w:t>
      </w:r>
      <w:r w:rsidRPr="004C2A3C">
        <w:rPr>
          <w:rFonts w:eastAsia="Times New Roman"/>
          <w:color w:val="000000" w:themeColor="text1"/>
          <w:lang w:val="fr-FR"/>
        </w:rPr>
        <w:t>ils sont interprétés conformément au 3.3.5.3.3. ».</w:t>
      </w:r>
    </w:p>
    <w:p w14:paraId="59EC438B" w14:textId="77777777" w:rsidR="003F1C55" w:rsidRPr="004C2A3C" w:rsidRDefault="003F1C55" w:rsidP="003F1C55">
      <w:pPr>
        <w:spacing w:after="120"/>
        <w:ind w:left="2268" w:right="1134" w:hanging="1134"/>
        <w:jc w:val="both"/>
        <w:rPr>
          <w:rFonts w:eastAsia="Times New Roman"/>
          <w:color w:val="000000" w:themeColor="text1"/>
          <w:lang w:val="fr-FR"/>
        </w:rPr>
      </w:pPr>
      <w:r w:rsidRPr="004C2A3C">
        <w:rPr>
          <w:rFonts w:eastAsia="Times New Roman"/>
          <w:color w:val="000000" w:themeColor="text1"/>
          <w:lang w:val="fr-FR"/>
        </w:rPr>
        <w:t>3.3.2.1.1 à 3.3.2.1.2.3</w:t>
      </w:r>
      <w:r w:rsidRPr="004C2A3C">
        <w:rPr>
          <w:rFonts w:eastAsia="Times New Roman"/>
          <w:color w:val="000000" w:themeColor="text1"/>
          <w:lang w:val="fr-FR"/>
        </w:rPr>
        <w:tab/>
        <w:t>Les paragraphes actuels 3.3.2.1.1 à 3.3.2.1.2.3 deviennent les nouveaux paragraphes 3.3.2.2.1 à 3.3.2.2.2.3.</w:t>
      </w:r>
    </w:p>
    <w:p w14:paraId="57E8228E" w14:textId="77777777" w:rsidR="003F1C55" w:rsidRPr="004C2A3C" w:rsidRDefault="003F1C55" w:rsidP="003F1C55">
      <w:pPr>
        <w:spacing w:after="120"/>
        <w:ind w:left="2268" w:right="1134" w:hanging="1134"/>
        <w:jc w:val="both"/>
        <w:rPr>
          <w:rFonts w:eastAsia="Times New Roman"/>
          <w:color w:val="000000" w:themeColor="text1"/>
          <w:lang w:val="fr-FR"/>
        </w:rPr>
      </w:pPr>
      <w:r w:rsidRPr="004C2A3C">
        <w:rPr>
          <w:rFonts w:eastAsia="Times New Roman"/>
          <w:color w:val="000000" w:themeColor="text1"/>
          <w:spacing w:val="-2"/>
          <w:lang w:val="fr-FR"/>
        </w:rPr>
        <w:t>Tableau 3.3.1</w:t>
      </w:r>
      <w:r w:rsidRPr="004C2A3C">
        <w:rPr>
          <w:rFonts w:eastAsia="Times New Roman"/>
          <w:color w:val="000000" w:themeColor="text1"/>
          <w:lang w:val="fr-FR"/>
        </w:rPr>
        <w:tab/>
        <w:t xml:space="preserve">Supprimer la note « a ». Les notes « b » et « c » actuelles deviennent </w:t>
      </w:r>
      <w:proofErr w:type="gramStart"/>
      <w:r w:rsidRPr="004C2A3C">
        <w:rPr>
          <w:rFonts w:eastAsia="Times New Roman"/>
          <w:color w:val="000000" w:themeColor="text1"/>
          <w:lang w:val="fr-FR"/>
        </w:rPr>
        <w:t>« a »</w:t>
      </w:r>
      <w:proofErr w:type="gramEnd"/>
      <w:r w:rsidRPr="004C2A3C">
        <w:rPr>
          <w:rFonts w:eastAsia="Times New Roman"/>
          <w:color w:val="000000" w:themeColor="text1"/>
          <w:lang w:val="fr-FR"/>
        </w:rPr>
        <w:t xml:space="preserve"> et « b » respectivement.</w:t>
      </w:r>
    </w:p>
    <w:p w14:paraId="7F829379" w14:textId="77777777" w:rsidR="003F1C55" w:rsidRPr="004C2A3C" w:rsidRDefault="003F1C55" w:rsidP="003F1C55">
      <w:pPr>
        <w:spacing w:after="120"/>
        <w:ind w:left="2268" w:right="1134"/>
        <w:jc w:val="both"/>
        <w:rPr>
          <w:rFonts w:eastAsia="Times New Roman"/>
          <w:color w:val="000000" w:themeColor="text1"/>
          <w:lang w:val="fr-FR"/>
        </w:rPr>
      </w:pPr>
      <w:r w:rsidRPr="004C2A3C">
        <w:rPr>
          <w:rFonts w:eastAsia="Times New Roman"/>
          <w:color w:val="000000" w:themeColor="text1"/>
          <w:lang w:val="fr-FR"/>
        </w:rPr>
        <w:t>Dans la note « b », remplacer « 3.3.5.3 » par « 3.3.5.3.3 ».</w:t>
      </w:r>
    </w:p>
    <w:p w14:paraId="4F608CC1" w14:textId="77777777" w:rsidR="003F1C55" w:rsidRPr="004C2A3C" w:rsidRDefault="003F1C55" w:rsidP="003F1C55">
      <w:pPr>
        <w:tabs>
          <w:tab w:val="left" w:pos="2268"/>
        </w:tabs>
        <w:spacing w:after="120"/>
        <w:ind w:left="2268" w:right="1134" w:hanging="1134"/>
        <w:jc w:val="both"/>
        <w:rPr>
          <w:rFonts w:eastAsia="Times New Roman"/>
          <w:color w:val="000000" w:themeColor="text1"/>
          <w:lang w:val="fr-FR"/>
        </w:rPr>
      </w:pPr>
      <w:r w:rsidRPr="004C2A3C">
        <w:rPr>
          <w:rFonts w:eastAsia="Times New Roman"/>
          <w:color w:val="000000" w:themeColor="text1"/>
          <w:lang w:val="fr-FR"/>
        </w:rPr>
        <w:t>3.3.2.2.2.1 (nouveau, ancien 3.3.2.1.2.1)</w:t>
      </w:r>
      <w:r w:rsidRPr="004C2A3C">
        <w:rPr>
          <w:rFonts w:eastAsia="Times New Roman"/>
          <w:color w:val="000000" w:themeColor="text1"/>
          <w:lang w:val="fr-FR"/>
        </w:rPr>
        <w:tab/>
        <w:t>Dans la dernière phrase, remplacer « un produit chimique » par « une substance ».</w:t>
      </w:r>
    </w:p>
    <w:p w14:paraId="4604B56F" w14:textId="77777777" w:rsidR="003F1C55" w:rsidRPr="004C2A3C" w:rsidRDefault="003F1C55" w:rsidP="003F1C55">
      <w:pPr>
        <w:tabs>
          <w:tab w:val="left" w:pos="2268"/>
        </w:tabs>
        <w:spacing w:after="120"/>
        <w:ind w:left="2268" w:right="1134" w:hanging="1134"/>
        <w:jc w:val="both"/>
        <w:rPr>
          <w:rFonts w:eastAsia="Times New Roman"/>
          <w:color w:val="000000" w:themeColor="text1"/>
          <w:lang w:val="fr-FR"/>
        </w:rPr>
      </w:pPr>
      <w:r w:rsidRPr="004C2A3C">
        <w:rPr>
          <w:rFonts w:eastAsia="Times New Roman"/>
          <w:color w:val="000000" w:themeColor="text1"/>
          <w:lang w:val="fr-FR"/>
        </w:rPr>
        <w:t>3.3.2.2.2.2 (nouveau, ancien 3.3.2.1.2.2)</w:t>
      </w:r>
      <w:r w:rsidRPr="004C2A3C">
        <w:rPr>
          <w:rFonts w:eastAsia="Times New Roman"/>
          <w:color w:val="000000" w:themeColor="text1"/>
          <w:lang w:val="fr-FR"/>
        </w:rPr>
        <w:tab/>
        <w:t>Remplacer « Catégories 2A et 2B » par « catégorie 2A et catégorie 2B ».</w:t>
      </w:r>
    </w:p>
    <w:p w14:paraId="3DB13DB0" w14:textId="77777777" w:rsidR="003F1C55" w:rsidRPr="004C2A3C" w:rsidRDefault="003F1C55" w:rsidP="003F1C55">
      <w:pPr>
        <w:spacing w:after="120"/>
        <w:ind w:left="2268" w:right="1134" w:hanging="1134"/>
        <w:jc w:val="both"/>
        <w:rPr>
          <w:rFonts w:eastAsia="Times New Roman"/>
          <w:color w:val="000000" w:themeColor="text1"/>
          <w:lang w:val="fr-FR"/>
        </w:rPr>
      </w:pPr>
      <w:r w:rsidRPr="004C2A3C">
        <w:rPr>
          <w:rFonts w:eastAsia="Times New Roman"/>
          <w:color w:val="000000" w:themeColor="text1"/>
          <w:spacing w:val="-2"/>
          <w:lang w:val="fr-FR"/>
        </w:rPr>
        <w:t>Tableau 3.3.2</w:t>
      </w:r>
      <w:r w:rsidRPr="004C2A3C">
        <w:rPr>
          <w:rFonts w:eastAsia="Times New Roman"/>
          <w:color w:val="000000" w:themeColor="text1"/>
          <w:lang w:val="fr-FR"/>
        </w:rPr>
        <w:tab/>
        <w:t xml:space="preserve">Supprimer la note « a ». Les notes « b » et « c » actuelles deviennent </w:t>
      </w:r>
      <w:proofErr w:type="gramStart"/>
      <w:r w:rsidRPr="004C2A3C">
        <w:rPr>
          <w:rFonts w:eastAsia="Times New Roman"/>
          <w:color w:val="000000" w:themeColor="text1"/>
          <w:lang w:val="fr-FR"/>
        </w:rPr>
        <w:t>« a »</w:t>
      </w:r>
      <w:proofErr w:type="gramEnd"/>
      <w:r w:rsidRPr="004C2A3C">
        <w:rPr>
          <w:rFonts w:eastAsia="Times New Roman"/>
          <w:color w:val="000000" w:themeColor="text1"/>
          <w:lang w:val="fr-FR"/>
        </w:rPr>
        <w:t xml:space="preserve"> et « b », respectivement.</w:t>
      </w:r>
    </w:p>
    <w:p w14:paraId="53986506" w14:textId="77777777" w:rsidR="003F1C55" w:rsidRPr="004C2A3C" w:rsidRDefault="003F1C55" w:rsidP="003F1C55">
      <w:pPr>
        <w:spacing w:after="120"/>
        <w:ind w:left="2268" w:right="1134"/>
        <w:jc w:val="both"/>
        <w:rPr>
          <w:rFonts w:eastAsia="Times New Roman"/>
          <w:color w:val="000000" w:themeColor="text1"/>
          <w:lang w:val="fr-FR"/>
        </w:rPr>
      </w:pPr>
      <w:r w:rsidRPr="004C2A3C">
        <w:rPr>
          <w:rFonts w:eastAsia="Times New Roman"/>
          <w:color w:val="000000" w:themeColor="text1"/>
          <w:lang w:val="fr-FR"/>
        </w:rPr>
        <w:t>Dans la note « b », remplacer « 3.3.5.3 » par « 3.3.5.3.3 ».</w:t>
      </w:r>
    </w:p>
    <w:p w14:paraId="18687A16" w14:textId="77777777" w:rsidR="003F1C55" w:rsidRPr="004C2A3C" w:rsidRDefault="003F1C55" w:rsidP="003F1C55">
      <w:pPr>
        <w:tabs>
          <w:tab w:val="left" w:pos="2268"/>
        </w:tabs>
        <w:spacing w:after="120"/>
        <w:ind w:left="2268" w:right="1134" w:hanging="1134"/>
        <w:jc w:val="both"/>
        <w:rPr>
          <w:rFonts w:eastAsia="Times New Roman"/>
          <w:color w:val="000000" w:themeColor="text1"/>
          <w:lang w:val="fr-FR"/>
        </w:rPr>
      </w:pPr>
      <w:r w:rsidRPr="004C2A3C">
        <w:rPr>
          <w:rFonts w:eastAsia="Times New Roman"/>
          <w:color w:val="000000" w:themeColor="text1"/>
          <w:lang w:val="fr-FR"/>
        </w:rPr>
        <w:t>3.3.2.2 et 3.3.2.2.1</w:t>
      </w:r>
      <w:r w:rsidRPr="004C2A3C">
        <w:rPr>
          <w:rFonts w:eastAsia="Times New Roman"/>
          <w:color w:val="000000" w:themeColor="text1"/>
          <w:lang w:val="fr-FR"/>
        </w:rPr>
        <w:tab/>
      </w:r>
      <w:r w:rsidRPr="004C2A3C">
        <w:rPr>
          <w:rFonts w:eastAsia="Times New Roman"/>
          <w:color w:val="000000" w:themeColor="text1"/>
          <w:lang w:val="fr-FR"/>
        </w:rPr>
        <w:tab/>
        <w:t>Les paragraphes 3.3.2.2 et 3.3.2.2.1 actuels deviennent les nouveaux paragraphes 3.3.2.10 et 3.3.2.10.1.</w:t>
      </w:r>
    </w:p>
    <w:p w14:paraId="7B206ED6" w14:textId="77777777" w:rsidR="003F1C55" w:rsidRPr="004C2A3C" w:rsidRDefault="003F1C55" w:rsidP="003F1C55">
      <w:pPr>
        <w:spacing w:after="120"/>
        <w:ind w:left="2268" w:right="1134"/>
        <w:jc w:val="both"/>
        <w:rPr>
          <w:rFonts w:eastAsia="Times New Roman"/>
          <w:color w:val="000000" w:themeColor="text1"/>
          <w:lang w:val="fr-FR"/>
        </w:rPr>
      </w:pPr>
      <w:r w:rsidRPr="004C2A3C">
        <w:rPr>
          <w:rFonts w:eastAsia="Times New Roman"/>
          <w:color w:val="000000" w:themeColor="text1"/>
          <w:lang w:val="fr-FR"/>
        </w:rPr>
        <w:t>Supprimer les paragraphes 3.3.2.2.2, 3.3.2.2.3, 3.3.2.2.4, 3.3.2.2.5 et 3.3.2.2.6.</w:t>
      </w:r>
    </w:p>
    <w:p w14:paraId="26490792" w14:textId="77777777" w:rsidR="003F1C55" w:rsidRPr="004C2A3C" w:rsidRDefault="003F1C55" w:rsidP="003F1C55">
      <w:pPr>
        <w:spacing w:after="120"/>
        <w:ind w:left="2268" w:right="1134" w:hanging="1134"/>
        <w:jc w:val="both"/>
        <w:rPr>
          <w:rFonts w:eastAsia="Times New Roman"/>
          <w:color w:val="000000" w:themeColor="text1"/>
          <w:lang w:val="fr-FR"/>
        </w:rPr>
      </w:pPr>
      <w:r w:rsidRPr="004C2A3C">
        <w:rPr>
          <w:rFonts w:eastAsia="Times New Roman"/>
          <w:color w:val="000000" w:themeColor="text1"/>
          <w:lang w:val="fr-FR"/>
        </w:rPr>
        <w:t>3.3.2.3 à 3.3.2.9</w:t>
      </w:r>
      <w:r w:rsidRPr="004C2A3C">
        <w:rPr>
          <w:rFonts w:eastAsia="Times New Roman"/>
          <w:color w:val="000000" w:themeColor="text1"/>
          <w:lang w:val="fr-FR"/>
        </w:rPr>
        <w:tab/>
        <w:t>Ajouter les nouveaux paragraphes suivants (et les notes de bas de page 2 et 3 correspondantes) :</w:t>
      </w:r>
    </w:p>
    <w:p w14:paraId="5AB44162" w14:textId="77777777" w:rsidR="003F1C55" w:rsidRPr="004C2A3C" w:rsidRDefault="003F1C55" w:rsidP="003F1C55">
      <w:pPr>
        <w:spacing w:after="120"/>
        <w:ind w:left="2268" w:right="1134"/>
        <w:jc w:val="both"/>
        <w:rPr>
          <w:rFonts w:eastAsia="Times New Roman"/>
          <w:b/>
          <w:i/>
          <w:color w:val="000000" w:themeColor="text1"/>
          <w:lang w:val="fr-FR"/>
        </w:rPr>
      </w:pPr>
      <w:r w:rsidRPr="004C2A3C">
        <w:rPr>
          <w:rFonts w:eastAsia="Times New Roman"/>
          <w:color w:val="000000" w:themeColor="text1"/>
        </w:rPr>
        <w:t>« </w:t>
      </w:r>
      <w:r w:rsidRPr="004C2A3C">
        <w:rPr>
          <w:rFonts w:eastAsia="Times New Roman"/>
          <w:b/>
          <w:bCs/>
          <w:color w:val="000000" w:themeColor="text1"/>
          <w:lang w:val="fr-FR"/>
        </w:rPr>
        <w:t>3.3.2.3</w:t>
      </w:r>
      <w:r w:rsidRPr="004C2A3C">
        <w:rPr>
          <w:rFonts w:eastAsia="Times New Roman"/>
          <w:color w:val="000000" w:themeColor="text1"/>
          <w:lang w:val="fr-FR"/>
        </w:rPr>
        <w:tab/>
      </w:r>
      <w:r w:rsidRPr="004C2A3C">
        <w:rPr>
          <w:rFonts w:eastAsia="Times New Roman"/>
          <w:b/>
          <w:bCs/>
          <w:i/>
          <w:iCs/>
          <w:color w:val="000000" w:themeColor="text1"/>
          <w:lang w:val="fr-FR"/>
        </w:rPr>
        <w:t>Classification fondée sur des méthodes définies (étape 2 de la figure 3.3.1)</w:t>
      </w:r>
    </w:p>
    <w:p w14:paraId="503D222B" w14:textId="77777777" w:rsidR="003F1C55" w:rsidRPr="004C2A3C" w:rsidRDefault="003F1C55" w:rsidP="003F1C55">
      <w:pPr>
        <w:tabs>
          <w:tab w:val="left" w:pos="3402"/>
        </w:tabs>
        <w:spacing w:after="120"/>
        <w:ind w:left="2268" w:right="1134" w:firstLine="1134"/>
        <w:jc w:val="both"/>
        <w:rPr>
          <w:rFonts w:eastAsia="Times New Roman"/>
          <w:color w:val="000000" w:themeColor="text1"/>
          <w:lang w:val="fr-FR"/>
        </w:rPr>
      </w:pPr>
      <w:r w:rsidRPr="004C2A3C">
        <w:rPr>
          <w:rFonts w:eastAsia="Times New Roman"/>
          <w:color w:val="000000" w:themeColor="text1"/>
          <w:lang w:val="fr-FR"/>
        </w:rPr>
        <w:t>Les méthodes définies consistent à utiliser une combinaison, fondée sur des règles, de données obtenues à partir d</w:t>
      </w:r>
      <w:r>
        <w:rPr>
          <w:rFonts w:eastAsia="Times New Roman"/>
          <w:color w:val="000000" w:themeColor="text1"/>
          <w:lang w:val="fr-FR"/>
        </w:rPr>
        <w:t>’</w:t>
      </w:r>
      <w:r w:rsidRPr="004C2A3C">
        <w:rPr>
          <w:rFonts w:eastAsia="Times New Roman"/>
          <w:color w:val="000000" w:themeColor="text1"/>
          <w:lang w:val="fr-FR"/>
        </w:rPr>
        <w:t>un ensemble prédéfini de sources d</w:t>
      </w:r>
      <w:r>
        <w:rPr>
          <w:rFonts w:eastAsia="Times New Roman"/>
          <w:color w:val="000000" w:themeColor="text1"/>
          <w:lang w:val="fr-FR"/>
        </w:rPr>
        <w:t>’</w:t>
      </w:r>
      <w:r w:rsidRPr="004C2A3C">
        <w:rPr>
          <w:rFonts w:eastAsia="Times New Roman"/>
          <w:color w:val="000000" w:themeColor="text1"/>
          <w:lang w:val="fr-FR"/>
        </w:rPr>
        <w:t xml:space="preserve">information différentes (par exemple, méthodes </w:t>
      </w:r>
      <w:r w:rsidRPr="004C2A3C">
        <w:rPr>
          <w:rFonts w:eastAsia="Times New Roman"/>
          <w:i/>
          <w:iCs/>
          <w:color w:val="000000" w:themeColor="text1"/>
          <w:lang w:val="fr-FR"/>
        </w:rPr>
        <w:t>in vitro</w:t>
      </w:r>
      <w:r w:rsidRPr="004C2A3C">
        <w:rPr>
          <w:rFonts w:eastAsia="Times New Roman"/>
          <w:color w:val="000000" w:themeColor="text1"/>
          <w:lang w:val="fr-FR"/>
        </w:rPr>
        <w:t xml:space="preserve">, méthodes </w:t>
      </w:r>
      <w:r w:rsidRPr="004C2A3C">
        <w:rPr>
          <w:rFonts w:eastAsia="Times New Roman"/>
          <w:i/>
          <w:iCs/>
          <w:color w:val="000000" w:themeColor="text1"/>
          <w:lang w:val="fr-FR"/>
        </w:rPr>
        <w:t>ex vivo</w:t>
      </w:r>
      <w:r w:rsidRPr="004C2A3C">
        <w:rPr>
          <w:rFonts w:eastAsia="Times New Roman"/>
          <w:color w:val="000000" w:themeColor="text1"/>
          <w:lang w:val="fr-FR"/>
        </w:rPr>
        <w:t xml:space="preserve">, propriétés physico-chimiques ou méthodes non fondées sur des essais). Il est reconnu que la plupart des méthodes </w:t>
      </w:r>
      <w:r w:rsidRPr="004C2A3C">
        <w:rPr>
          <w:rFonts w:eastAsia="Times New Roman"/>
          <w:i/>
          <w:iCs/>
          <w:color w:val="000000" w:themeColor="text1"/>
          <w:lang w:val="fr-FR"/>
        </w:rPr>
        <w:t>in vitro</w:t>
      </w:r>
      <w:r w:rsidRPr="004C2A3C">
        <w:rPr>
          <w:rFonts w:eastAsia="Times New Roman"/>
          <w:iCs/>
          <w:color w:val="000000" w:themeColor="text1"/>
          <w:lang w:val="fr-FR"/>
        </w:rPr>
        <w:t>/</w:t>
      </w:r>
      <w:r w:rsidRPr="004C2A3C">
        <w:rPr>
          <w:rFonts w:eastAsia="Times New Roman"/>
          <w:i/>
          <w:iCs/>
          <w:color w:val="000000" w:themeColor="text1"/>
          <w:lang w:val="fr-FR"/>
        </w:rPr>
        <w:t>ex vivo</w:t>
      </w:r>
      <w:r w:rsidRPr="004C2A3C">
        <w:rPr>
          <w:rFonts w:eastAsia="Times New Roman"/>
          <w:color w:val="000000" w:themeColor="text1"/>
          <w:lang w:val="fr-FR"/>
        </w:rPr>
        <w:t xml:space="preserve"> appliquées séparément ne sont pas en mesure de remplacer entièrement les méthodes </w:t>
      </w:r>
      <w:r w:rsidRPr="004C2A3C">
        <w:rPr>
          <w:rFonts w:eastAsia="Times New Roman"/>
          <w:i/>
          <w:iCs/>
          <w:color w:val="000000" w:themeColor="text1"/>
          <w:lang w:val="fr-FR"/>
        </w:rPr>
        <w:t>in vivo</w:t>
      </w:r>
      <w:r w:rsidRPr="004C2A3C">
        <w:rPr>
          <w:rFonts w:eastAsia="Times New Roman"/>
          <w:color w:val="000000" w:themeColor="text1"/>
          <w:lang w:val="fr-FR"/>
        </w:rPr>
        <w:t xml:space="preserve"> pour la plupart des critères terminaux d</w:t>
      </w:r>
      <w:r>
        <w:rPr>
          <w:rFonts w:eastAsia="Times New Roman"/>
          <w:color w:val="000000" w:themeColor="text1"/>
          <w:lang w:val="fr-FR"/>
        </w:rPr>
        <w:t>’</w:t>
      </w:r>
      <w:r w:rsidRPr="004C2A3C">
        <w:rPr>
          <w:rFonts w:eastAsia="Times New Roman"/>
          <w:color w:val="000000" w:themeColor="text1"/>
          <w:lang w:val="fr-FR"/>
        </w:rPr>
        <w:t>évaluation prévus par les réglementations. Dans ce contexte, les méthodes définies peuvent avantageusement servir à combiner des données pour la classification des substances et des mélanges. Les résultats obtenus avec une méthode définie validée selon des procédures internationales, telles qu</w:t>
      </w:r>
      <w:r>
        <w:rPr>
          <w:rFonts w:eastAsia="Times New Roman"/>
          <w:color w:val="000000" w:themeColor="text1"/>
          <w:lang w:val="fr-FR"/>
        </w:rPr>
        <w:t>’</w:t>
      </w:r>
      <w:r w:rsidRPr="004C2A3C">
        <w:rPr>
          <w:rFonts w:eastAsia="Times New Roman"/>
          <w:color w:val="000000" w:themeColor="text1"/>
          <w:lang w:val="fr-FR"/>
        </w:rPr>
        <w:t>une ligne directrice de l</w:t>
      </w:r>
      <w:r>
        <w:rPr>
          <w:rFonts w:eastAsia="Times New Roman"/>
          <w:color w:val="000000" w:themeColor="text1"/>
          <w:lang w:val="fr-FR"/>
        </w:rPr>
        <w:t>’</w:t>
      </w:r>
      <w:r w:rsidRPr="004C2A3C">
        <w:rPr>
          <w:rFonts w:eastAsia="Times New Roman"/>
          <w:color w:val="000000" w:themeColor="text1"/>
          <w:lang w:val="fr-FR"/>
        </w:rPr>
        <w:t>OCDE sur une méthode définie ou une méthode équivalente, sont concluants pour la classification des lésions oculaires graves/de l</w:t>
      </w:r>
      <w:r>
        <w:rPr>
          <w:rFonts w:eastAsia="Times New Roman"/>
          <w:color w:val="000000" w:themeColor="text1"/>
          <w:lang w:val="fr-FR"/>
        </w:rPr>
        <w:t>’</w:t>
      </w:r>
      <w:r w:rsidRPr="004C2A3C">
        <w:rPr>
          <w:rFonts w:eastAsia="Times New Roman"/>
          <w:color w:val="000000" w:themeColor="text1"/>
          <w:lang w:val="fr-FR"/>
        </w:rPr>
        <w:t>irritation oculaire si les critères</w:t>
      </w:r>
      <w:r w:rsidRPr="004C2A3C">
        <w:rPr>
          <w:rFonts w:eastAsia="Times New Roman"/>
          <w:i/>
          <w:iCs/>
          <w:color w:val="000000" w:themeColor="text1"/>
          <w:lang w:val="fr-FR"/>
        </w:rPr>
        <w:t xml:space="preserve"> </w:t>
      </w:r>
      <w:r w:rsidRPr="004C2A3C">
        <w:rPr>
          <w:rFonts w:eastAsia="Times New Roman"/>
          <w:color w:val="000000" w:themeColor="text1"/>
          <w:lang w:val="fr-FR"/>
        </w:rPr>
        <w:t>de la méthode définie sont satisfaits</w:t>
      </w:r>
      <w:r w:rsidRPr="004C2A3C">
        <w:rPr>
          <w:rFonts w:eastAsia="Times New Roman"/>
          <w:i/>
          <w:iCs/>
          <w:color w:val="000000" w:themeColor="text1"/>
          <w:lang w:val="fr-FR"/>
        </w:rPr>
        <w:t xml:space="preserve"> </w:t>
      </w:r>
      <w:r w:rsidRPr="004C2A3C">
        <w:rPr>
          <w:rFonts w:eastAsia="Times New Roman"/>
          <w:color w:val="000000" w:themeColor="text1"/>
          <w:lang w:val="fr-FR"/>
        </w:rPr>
        <w:t>(voir 3.3.5.3.4)</w:t>
      </w:r>
      <w:r w:rsidRPr="004C2A3C">
        <w:rPr>
          <w:rFonts w:eastAsia="Times New Roman"/>
          <w:color w:val="000000" w:themeColor="text1"/>
          <w:sz w:val="18"/>
          <w:szCs w:val="18"/>
          <w:vertAlign w:val="superscript"/>
          <w:lang w:val="fr-FR"/>
        </w:rPr>
        <w:t>2</w:t>
      </w:r>
      <w:r w:rsidRPr="004C2A3C">
        <w:rPr>
          <w:rFonts w:eastAsia="Times New Roman"/>
          <w:color w:val="000000" w:themeColor="text1"/>
          <w:lang w:val="fr-FR"/>
        </w:rPr>
        <w:t>. Les données obtenues au moyen d</w:t>
      </w:r>
      <w:r>
        <w:rPr>
          <w:rFonts w:eastAsia="Times New Roman"/>
          <w:color w:val="000000" w:themeColor="text1"/>
          <w:lang w:val="fr-FR"/>
        </w:rPr>
        <w:t>’</w:t>
      </w:r>
      <w:r w:rsidRPr="004C2A3C">
        <w:rPr>
          <w:rFonts w:eastAsia="Times New Roman"/>
          <w:color w:val="000000" w:themeColor="text1"/>
          <w:lang w:val="fr-FR"/>
        </w:rPr>
        <w:t>une méthode définie ne peuvent être utilisées à des fins de classement que lorsque la substance soumise à l</w:t>
      </w:r>
      <w:r>
        <w:rPr>
          <w:rFonts w:eastAsia="Times New Roman"/>
          <w:color w:val="000000" w:themeColor="text1"/>
          <w:lang w:val="fr-FR"/>
        </w:rPr>
        <w:t>’</w:t>
      </w:r>
      <w:r w:rsidRPr="004C2A3C">
        <w:rPr>
          <w:rFonts w:eastAsia="Times New Roman"/>
          <w:color w:val="000000" w:themeColor="text1"/>
          <w:lang w:val="fr-FR"/>
        </w:rPr>
        <w:t>essai relève du domaine d</w:t>
      </w:r>
      <w:r>
        <w:rPr>
          <w:rFonts w:eastAsia="Times New Roman"/>
          <w:color w:val="000000" w:themeColor="text1"/>
          <w:lang w:val="fr-FR"/>
        </w:rPr>
        <w:t>’</w:t>
      </w:r>
      <w:r w:rsidRPr="004C2A3C">
        <w:rPr>
          <w:rFonts w:eastAsia="Times New Roman"/>
          <w:color w:val="000000" w:themeColor="text1"/>
          <w:lang w:val="fr-FR"/>
        </w:rPr>
        <w:t>application de ladite méthode définie. Les limites supplémentaires décrites dans les documents publiés sur la question doivent également être prises en compte.</w:t>
      </w:r>
    </w:p>
    <w:p w14:paraId="5454B618" w14:textId="77777777" w:rsidR="003F1C55" w:rsidRPr="004C2A3C" w:rsidRDefault="003F1C55" w:rsidP="003F1C55">
      <w:pPr>
        <w:tabs>
          <w:tab w:val="left" w:pos="2268"/>
          <w:tab w:val="left" w:pos="3402"/>
        </w:tabs>
        <w:spacing w:after="120"/>
        <w:ind w:left="2268" w:right="1134"/>
        <w:jc w:val="both"/>
        <w:rPr>
          <w:rFonts w:eastAsia="Times New Roman"/>
          <w:b/>
          <w:bCs/>
          <w:i/>
          <w:iCs/>
          <w:color w:val="000000" w:themeColor="text1"/>
          <w:lang w:val="fr-FR"/>
        </w:rPr>
      </w:pPr>
      <w:r w:rsidRPr="004C2A3C">
        <w:rPr>
          <w:rFonts w:eastAsia="Times New Roman"/>
          <w:b/>
          <w:bCs/>
          <w:color w:val="000000" w:themeColor="text1"/>
          <w:lang w:val="fr-FR"/>
        </w:rPr>
        <w:t>3.3.2.4</w:t>
      </w:r>
      <w:r w:rsidRPr="004C2A3C">
        <w:rPr>
          <w:rFonts w:eastAsia="Times New Roman"/>
          <w:b/>
          <w:bCs/>
          <w:color w:val="000000" w:themeColor="text1"/>
          <w:lang w:val="fr-FR"/>
        </w:rPr>
        <w:tab/>
      </w:r>
      <w:r w:rsidRPr="004C2A3C">
        <w:rPr>
          <w:rFonts w:eastAsia="Times New Roman"/>
          <w:b/>
          <w:bCs/>
          <w:i/>
          <w:iCs/>
          <w:color w:val="000000" w:themeColor="text1"/>
          <w:lang w:val="fr-FR"/>
        </w:rPr>
        <w:t>Classification fondée sur des données in vitro/ex vivo (étape 2 de la figure 3.3.1)</w:t>
      </w:r>
    </w:p>
    <w:p w14:paraId="50DA94D4" w14:textId="77777777" w:rsidR="003F1C55" w:rsidRPr="004C2A3C" w:rsidRDefault="003F1C55" w:rsidP="003F1C55">
      <w:pPr>
        <w:tabs>
          <w:tab w:val="left" w:pos="2268"/>
          <w:tab w:val="left" w:pos="3402"/>
        </w:tabs>
        <w:spacing w:after="120"/>
        <w:ind w:left="2268" w:right="1134"/>
        <w:jc w:val="both"/>
        <w:rPr>
          <w:rFonts w:eastAsia="Times New Roman"/>
          <w:color w:val="000000" w:themeColor="text1"/>
          <w:lang w:val="fr-FR"/>
        </w:rPr>
      </w:pPr>
      <w:r w:rsidRPr="004C2A3C">
        <w:rPr>
          <w:rFonts w:eastAsia="Times New Roman"/>
          <w:color w:val="000000" w:themeColor="text1"/>
          <w:spacing w:val="-2"/>
          <w:lang w:val="fr-FR"/>
        </w:rPr>
        <w:t>3.3.2.4.1</w:t>
      </w:r>
      <w:r w:rsidRPr="004C2A3C">
        <w:rPr>
          <w:rFonts w:eastAsia="Times New Roman"/>
          <w:color w:val="000000" w:themeColor="text1"/>
          <w:spacing w:val="-2"/>
          <w:lang w:val="fr-FR"/>
        </w:rPr>
        <w:tab/>
        <w:t>Les critères de classification des</w:t>
      </w:r>
      <w:r w:rsidRPr="004C2A3C">
        <w:rPr>
          <w:rFonts w:eastAsia="Times New Roman"/>
          <w:i/>
          <w:iCs/>
          <w:color w:val="000000" w:themeColor="text1"/>
          <w:spacing w:val="-2"/>
          <w:lang w:val="fr-FR"/>
        </w:rPr>
        <w:t xml:space="preserve"> </w:t>
      </w:r>
      <w:r w:rsidRPr="004C2A3C">
        <w:rPr>
          <w:rFonts w:eastAsia="Times New Roman"/>
          <w:color w:val="000000" w:themeColor="text1"/>
          <w:spacing w:val="-2"/>
          <w:lang w:val="fr-FR"/>
        </w:rPr>
        <w:t>méthodes d</w:t>
      </w:r>
      <w:r>
        <w:rPr>
          <w:rFonts w:eastAsia="Times New Roman"/>
          <w:color w:val="000000" w:themeColor="text1"/>
          <w:spacing w:val="-2"/>
          <w:lang w:val="fr-FR"/>
        </w:rPr>
        <w:t>’</w:t>
      </w:r>
      <w:r w:rsidRPr="004C2A3C">
        <w:rPr>
          <w:rFonts w:eastAsia="Times New Roman"/>
          <w:color w:val="000000" w:themeColor="text1"/>
          <w:spacing w:val="-2"/>
          <w:lang w:val="fr-FR"/>
        </w:rPr>
        <w:t>essai</w:t>
      </w:r>
      <w:r w:rsidRPr="004C2A3C">
        <w:rPr>
          <w:rFonts w:eastAsia="Times New Roman"/>
          <w:i/>
          <w:iCs/>
          <w:color w:val="000000" w:themeColor="text1"/>
          <w:spacing w:val="-2"/>
          <w:lang w:val="fr-FR"/>
        </w:rPr>
        <w:t xml:space="preserve"> in vitro</w:t>
      </w:r>
      <w:r w:rsidRPr="004C2A3C">
        <w:rPr>
          <w:rFonts w:eastAsia="Times New Roman"/>
          <w:iCs/>
          <w:color w:val="000000" w:themeColor="text1"/>
          <w:spacing w:val="-2"/>
          <w:lang w:val="fr-FR"/>
        </w:rPr>
        <w:t>/</w:t>
      </w:r>
      <w:r w:rsidRPr="004C2A3C">
        <w:rPr>
          <w:rFonts w:eastAsia="Times New Roman"/>
          <w:i/>
          <w:iCs/>
          <w:color w:val="000000" w:themeColor="text1"/>
          <w:spacing w:val="-2"/>
          <w:lang w:val="fr-FR"/>
        </w:rPr>
        <w:t xml:space="preserve">ex vivo </w:t>
      </w:r>
      <w:r w:rsidRPr="004C2A3C">
        <w:rPr>
          <w:rFonts w:eastAsia="Times New Roman"/>
          <w:color w:val="000000" w:themeColor="text1"/>
          <w:spacing w:val="-2"/>
          <w:lang w:val="fr-FR"/>
        </w:rPr>
        <w:t>actuellement disponibles, adoptés par l</w:t>
      </w:r>
      <w:r>
        <w:rPr>
          <w:rFonts w:eastAsia="Times New Roman"/>
          <w:color w:val="000000" w:themeColor="text1"/>
          <w:spacing w:val="-2"/>
          <w:lang w:val="fr-FR"/>
        </w:rPr>
        <w:t>’</w:t>
      </w:r>
      <w:r w:rsidRPr="004C2A3C">
        <w:rPr>
          <w:rFonts w:eastAsia="Times New Roman"/>
          <w:color w:val="000000" w:themeColor="text1"/>
          <w:spacing w:val="-2"/>
          <w:lang w:val="fr-FR"/>
        </w:rPr>
        <w:t xml:space="preserve">OCDE dans les lignes directrices 437, 438, 460, 491, 492, 494 et 496, sont décrits dans le tableau 3.3.6 (voir 3.3.5.3.5.1). Considérées individuellement, ces lignes directrices pour les essais </w:t>
      </w:r>
      <w:r w:rsidRPr="004C2A3C">
        <w:rPr>
          <w:rFonts w:eastAsia="Times New Roman"/>
          <w:i/>
          <w:iCs/>
          <w:color w:val="000000" w:themeColor="text1"/>
          <w:spacing w:val="-2"/>
          <w:lang w:val="fr-FR"/>
        </w:rPr>
        <w:t>in vitro</w:t>
      </w:r>
      <w:r w:rsidRPr="004C2A3C">
        <w:rPr>
          <w:rFonts w:eastAsia="Times New Roman"/>
          <w:iCs/>
          <w:color w:val="000000" w:themeColor="text1"/>
          <w:spacing w:val="-2"/>
          <w:lang w:val="fr-FR"/>
        </w:rPr>
        <w:t>/</w:t>
      </w:r>
      <w:r w:rsidRPr="004C2A3C">
        <w:rPr>
          <w:rFonts w:eastAsia="Times New Roman"/>
          <w:i/>
          <w:iCs/>
          <w:color w:val="000000" w:themeColor="text1"/>
          <w:spacing w:val="-2"/>
          <w:lang w:val="fr-FR"/>
        </w:rPr>
        <w:t>ex vivo</w:t>
      </w:r>
      <w:r w:rsidRPr="004C2A3C">
        <w:rPr>
          <w:rFonts w:eastAsia="Times New Roman"/>
          <w:color w:val="000000" w:themeColor="text1"/>
          <w:spacing w:val="-2"/>
          <w:lang w:val="fr-FR"/>
        </w:rPr>
        <w:t xml:space="preserve"> traitent des lésions oculaires graves ou de l</w:t>
      </w:r>
      <w:r>
        <w:rPr>
          <w:rFonts w:eastAsia="Times New Roman"/>
          <w:color w:val="000000" w:themeColor="text1"/>
          <w:spacing w:val="-2"/>
          <w:lang w:val="fr-FR"/>
        </w:rPr>
        <w:t>’</w:t>
      </w:r>
      <w:r w:rsidRPr="004C2A3C">
        <w:rPr>
          <w:rFonts w:eastAsia="Times New Roman"/>
          <w:color w:val="000000" w:themeColor="text1"/>
          <w:spacing w:val="-2"/>
          <w:lang w:val="fr-FR"/>
        </w:rPr>
        <w:t>absence de classification concernant le danger pour l</w:t>
      </w:r>
      <w:r>
        <w:rPr>
          <w:rFonts w:eastAsia="Times New Roman"/>
          <w:color w:val="000000" w:themeColor="text1"/>
          <w:spacing w:val="-2"/>
          <w:lang w:val="fr-FR"/>
        </w:rPr>
        <w:t>’</w:t>
      </w:r>
      <w:r w:rsidRPr="004C2A3C">
        <w:rPr>
          <w:rFonts w:eastAsia="Times New Roman"/>
          <w:color w:val="000000" w:themeColor="text1"/>
          <w:spacing w:val="-2"/>
          <w:lang w:val="fr-FR"/>
        </w:rPr>
        <w:t>œil, mais ne traitent pas de l</w:t>
      </w:r>
      <w:r>
        <w:rPr>
          <w:rFonts w:eastAsia="Times New Roman"/>
          <w:color w:val="000000" w:themeColor="text1"/>
          <w:spacing w:val="-2"/>
          <w:lang w:val="fr-FR"/>
        </w:rPr>
        <w:t>’</w:t>
      </w:r>
      <w:r w:rsidRPr="004C2A3C">
        <w:rPr>
          <w:rFonts w:eastAsia="Times New Roman"/>
          <w:color w:val="000000" w:themeColor="text1"/>
          <w:spacing w:val="-2"/>
          <w:lang w:val="fr-FR"/>
        </w:rPr>
        <w:t>irritation oculaire. Par conséquent, les données provenant d</w:t>
      </w:r>
      <w:r>
        <w:rPr>
          <w:rFonts w:eastAsia="Times New Roman"/>
          <w:color w:val="000000" w:themeColor="text1"/>
          <w:spacing w:val="-2"/>
          <w:lang w:val="fr-FR"/>
        </w:rPr>
        <w:t>’</w:t>
      </w:r>
      <w:r w:rsidRPr="004C2A3C">
        <w:rPr>
          <w:rFonts w:eastAsia="Times New Roman"/>
          <w:color w:val="000000" w:themeColor="text1"/>
          <w:spacing w:val="-2"/>
          <w:lang w:val="fr-FR"/>
        </w:rPr>
        <w:t>un essai conforme à une ligne directrice de l</w:t>
      </w:r>
      <w:r>
        <w:rPr>
          <w:rFonts w:eastAsia="Times New Roman"/>
          <w:color w:val="000000" w:themeColor="text1"/>
          <w:spacing w:val="-2"/>
          <w:lang w:val="fr-FR"/>
        </w:rPr>
        <w:t>’</w:t>
      </w:r>
      <w:r w:rsidRPr="004C2A3C">
        <w:rPr>
          <w:rFonts w:eastAsia="Times New Roman"/>
          <w:color w:val="000000" w:themeColor="text1"/>
          <w:spacing w:val="-2"/>
          <w:lang w:val="fr-FR"/>
        </w:rPr>
        <w:t>OCDE pour les essais</w:t>
      </w:r>
      <w:r w:rsidRPr="004C2A3C">
        <w:rPr>
          <w:rFonts w:eastAsia="Times New Roman"/>
          <w:i/>
          <w:iCs/>
          <w:color w:val="000000" w:themeColor="text1"/>
          <w:spacing w:val="-2"/>
          <w:lang w:val="fr-FR"/>
        </w:rPr>
        <w:t xml:space="preserve"> in vitro</w:t>
      </w:r>
      <w:r w:rsidRPr="004C2A3C">
        <w:rPr>
          <w:rFonts w:eastAsia="Times New Roman"/>
          <w:iCs/>
          <w:color w:val="000000" w:themeColor="text1"/>
          <w:spacing w:val="-2"/>
          <w:lang w:val="fr-FR"/>
        </w:rPr>
        <w:t>/</w:t>
      </w:r>
      <w:r w:rsidRPr="004C2A3C">
        <w:rPr>
          <w:rFonts w:eastAsia="Times New Roman"/>
          <w:i/>
          <w:iCs/>
          <w:color w:val="000000" w:themeColor="text1"/>
          <w:spacing w:val="-2"/>
          <w:lang w:val="fr-FR"/>
        </w:rPr>
        <w:t>ex vivo</w:t>
      </w:r>
      <w:r w:rsidRPr="004C2A3C">
        <w:rPr>
          <w:rFonts w:eastAsia="Times New Roman"/>
          <w:color w:val="000000" w:themeColor="text1"/>
          <w:spacing w:val="-2"/>
          <w:lang w:val="fr-FR"/>
        </w:rPr>
        <w:t xml:space="preserve"> prise individuellement peuvent être utilisées uniquement pour conclure à une classification dans la catégorie 1 ou à l</w:t>
      </w:r>
      <w:r>
        <w:rPr>
          <w:rFonts w:eastAsia="Times New Roman"/>
          <w:color w:val="000000" w:themeColor="text1"/>
          <w:spacing w:val="-2"/>
          <w:lang w:val="fr-FR"/>
        </w:rPr>
        <w:t>’</w:t>
      </w:r>
      <w:r w:rsidRPr="004C2A3C">
        <w:rPr>
          <w:rFonts w:eastAsia="Times New Roman"/>
          <w:color w:val="000000" w:themeColor="text1"/>
          <w:spacing w:val="-2"/>
          <w:lang w:val="fr-FR"/>
        </w:rPr>
        <w:t>absence de classification, et ne peuvent être utilisées pour conclure à une classification dans la catégorie 2.</w:t>
      </w:r>
      <w:r w:rsidRPr="004C2A3C">
        <w:rPr>
          <w:rFonts w:eastAsia="Times New Roman"/>
          <w:color w:val="000000" w:themeColor="text1"/>
          <w:lang w:val="fr-FR"/>
        </w:rPr>
        <w:t xml:space="preserve"> Lorsque le résultat obtenu au moyen d</w:t>
      </w:r>
      <w:r>
        <w:rPr>
          <w:rFonts w:eastAsia="Times New Roman"/>
          <w:color w:val="000000" w:themeColor="text1"/>
          <w:lang w:val="fr-FR"/>
        </w:rPr>
        <w:t>’</w:t>
      </w:r>
      <w:r w:rsidRPr="004C2A3C">
        <w:rPr>
          <w:rFonts w:eastAsia="Times New Roman"/>
          <w:color w:val="000000" w:themeColor="text1"/>
          <w:lang w:val="fr-FR"/>
        </w:rPr>
        <w:t xml:space="preserve">une méthode </w:t>
      </w:r>
      <w:r w:rsidRPr="004C2A3C">
        <w:rPr>
          <w:rFonts w:eastAsia="Times New Roman"/>
          <w:i/>
          <w:iCs/>
          <w:color w:val="000000" w:themeColor="text1"/>
          <w:lang w:val="fr-FR"/>
        </w:rPr>
        <w:t>in vitro</w:t>
      </w:r>
      <w:r w:rsidRPr="004C2A3C">
        <w:rPr>
          <w:rFonts w:eastAsia="Times New Roman"/>
          <w:iCs/>
          <w:color w:val="000000" w:themeColor="text1"/>
          <w:lang w:val="fr-FR"/>
        </w:rPr>
        <w:t>/</w:t>
      </w:r>
      <w:r w:rsidRPr="004C2A3C">
        <w:rPr>
          <w:rFonts w:eastAsia="Times New Roman"/>
          <w:i/>
          <w:iCs/>
          <w:color w:val="000000" w:themeColor="text1"/>
          <w:lang w:val="fr-FR"/>
        </w:rPr>
        <w:t>ex vivo</w:t>
      </w:r>
      <w:r w:rsidRPr="004C2A3C">
        <w:rPr>
          <w:rFonts w:eastAsia="Times New Roman"/>
          <w:color w:val="000000" w:themeColor="text1"/>
          <w:lang w:val="fr-FR"/>
        </w:rPr>
        <w:t xml:space="preserve"> appliquée individuellement est « qu</w:t>
      </w:r>
      <w:r>
        <w:rPr>
          <w:rFonts w:eastAsia="Times New Roman"/>
          <w:color w:val="000000" w:themeColor="text1"/>
          <w:lang w:val="fr-FR"/>
        </w:rPr>
        <w:t>’</w:t>
      </w:r>
      <w:r w:rsidRPr="004C2A3C">
        <w:rPr>
          <w:rFonts w:eastAsia="Times New Roman"/>
          <w:color w:val="000000" w:themeColor="text1"/>
          <w:lang w:val="fr-FR"/>
        </w:rPr>
        <w:t>aucune prédiction ne peut être faite sur la base de ce seul essai » (voir par exemple le tableau 3.3.6), une conclusion ne peut être tirée sur la base de ce seul résultat et des données supplémentaires sont donc nécessaires pour effectuer la classification (voir 3.3.5.3.4.3 et 3.3.5.3.4.4).</w:t>
      </w:r>
    </w:p>
    <w:p w14:paraId="6C8C683F" w14:textId="77777777" w:rsidR="003F1C55" w:rsidRPr="004C2A3C" w:rsidRDefault="003F1C55" w:rsidP="003F1C55">
      <w:pPr>
        <w:spacing w:after="120"/>
        <w:ind w:left="2268" w:right="1134"/>
        <w:jc w:val="both"/>
        <w:rPr>
          <w:rFonts w:eastAsia="Times New Roman"/>
          <w:color w:val="000000" w:themeColor="text1"/>
          <w:lang w:val="fr-FR"/>
        </w:rPr>
      </w:pPr>
      <w:r w:rsidRPr="004C2A3C">
        <w:rPr>
          <w:rFonts w:eastAsia="Times New Roman"/>
          <w:color w:val="000000" w:themeColor="text1"/>
          <w:lang w:val="fr-FR"/>
        </w:rPr>
        <w:t>3.3.2.4.2</w:t>
      </w:r>
      <w:r w:rsidRPr="004C2A3C">
        <w:rPr>
          <w:rFonts w:eastAsia="Times New Roman"/>
          <w:color w:val="000000" w:themeColor="text1"/>
          <w:lang w:val="fr-FR"/>
        </w:rPr>
        <w:tab/>
        <w:t>D</w:t>
      </w:r>
      <w:r>
        <w:rPr>
          <w:rFonts w:eastAsia="Times New Roman"/>
          <w:color w:val="000000" w:themeColor="text1"/>
          <w:lang w:val="fr-FR"/>
        </w:rPr>
        <w:t>’</w:t>
      </w:r>
      <w:r w:rsidRPr="004C2A3C">
        <w:rPr>
          <w:rFonts w:eastAsia="Times New Roman"/>
          <w:color w:val="000000" w:themeColor="text1"/>
          <w:lang w:val="fr-FR"/>
        </w:rPr>
        <w:t>autres méthodes d</w:t>
      </w:r>
      <w:r>
        <w:rPr>
          <w:rFonts w:eastAsia="Times New Roman"/>
          <w:color w:val="000000" w:themeColor="text1"/>
          <w:lang w:val="fr-FR"/>
        </w:rPr>
        <w:t>’</w:t>
      </w:r>
      <w:r w:rsidRPr="004C2A3C">
        <w:rPr>
          <w:rFonts w:eastAsia="Times New Roman"/>
          <w:color w:val="000000" w:themeColor="text1"/>
          <w:lang w:val="fr-FR"/>
        </w:rPr>
        <w:t xml:space="preserve">essai </w:t>
      </w:r>
      <w:r w:rsidRPr="004C2A3C">
        <w:rPr>
          <w:rFonts w:eastAsia="Times New Roman"/>
          <w:i/>
          <w:iCs/>
          <w:color w:val="000000" w:themeColor="text1"/>
          <w:lang w:val="fr-FR"/>
        </w:rPr>
        <w:t>in vitro</w:t>
      </w:r>
      <w:r w:rsidRPr="004C2A3C">
        <w:rPr>
          <w:rFonts w:eastAsia="Times New Roman"/>
          <w:iCs/>
          <w:color w:val="000000" w:themeColor="text1"/>
          <w:lang w:val="fr-FR"/>
        </w:rPr>
        <w:t>/</w:t>
      </w:r>
      <w:r w:rsidRPr="004C2A3C">
        <w:rPr>
          <w:rFonts w:eastAsia="Times New Roman"/>
          <w:i/>
          <w:iCs/>
          <w:color w:val="000000" w:themeColor="text1"/>
          <w:lang w:val="fr-FR"/>
        </w:rPr>
        <w:t>ex vivo</w:t>
      </w:r>
      <w:r w:rsidRPr="004C2A3C">
        <w:rPr>
          <w:rFonts w:eastAsia="Times New Roman"/>
          <w:color w:val="000000" w:themeColor="text1"/>
          <w:lang w:val="fr-FR"/>
        </w:rPr>
        <w:t xml:space="preserve"> validées et acceptées par certaines autorités compétentes sont décrites au 3.3.5.3.5.2. Certaines de ces méthodes peuvent être utiles pour effectuer une classification dans la catégorie 2. Une autorité compétente peut décider quels critères de classification doivent éventuellement être appliqués à ces méthodes d</w:t>
      </w:r>
      <w:r>
        <w:rPr>
          <w:rFonts w:eastAsia="Times New Roman"/>
          <w:color w:val="000000" w:themeColor="text1"/>
          <w:lang w:val="fr-FR"/>
        </w:rPr>
        <w:t>’</w:t>
      </w:r>
      <w:r w:rsidRPr="004C2A3C">
        <w:rPr>
          <w:rFonts w:eastAsia="Times New Roman"/>
          <w:color w:val="000000" w:themeColor="text1"/>
          <w:lang w:val="fr-FR"/>
        </w:rPr>
        <w:t>essai pour conclure à la classification ou l</w:t>
      </w:r>
      <w:r>
        <w:rPr>
          <w:rFonts w:eastAsia="Times New Roman"/>
          <w:color w:val="000000" w:themeColor="text1"/>
          <w:lang w:val="fr-FR"/>
        </w:rPr>
        <w:t>’</w:t>
      </w:r>
      <w:r w:rsidRPr="004C2A3C">
        <w:rPr>
          <w:rFonts w:eastAsia="Times New Roman"/>
          <w:color w:val="000000" w:themeColor="text1"/>
          <w:lang w:val="fr-FR"/>
        </w:rPr>
        <w:t>absence de classification d</w:t>
      </w:r>
      <w:r>
        <w:rPr>
          <w:rFonts w:eastAsia="Times New Roman"/>
          <w:color w:val="000000" w:themeColor="text1"/>
          <w:lang w:val="fr-FR"/>
        </w:rPr>
        <w:t>’</w:t>
      </w:r>
      <w:r w:rsidRPr="004C2A3C">
        <w:rPr>
          <w:rFonts w:eastAsia="Times New Roman"/>
          <w:color w:val="000000" w:themeColor="text1"/>
          <w:lang w:val="fr-FR"/>
        </w:rPr>
        <w:t>une substance pour ses effets sur l</w:t>
      </w:r>
      <w:r>
        <w:rPr>
          <w:rFonts w:eastAsia="Times New Roman"/>
          <w:color w:val="000000" w:themeColor="text1"/>
          <w:lang w:val="fr-FR"/>
        </w:rPr>
        <w:t>’</w:t>
      </w:r>
      <w:r w:rsidRPr="004C2A3C">
        <w:rPr>
          <w:rFonts w:eastAsia="Times New Roman"/>
          <w:color w:val="000000" w:themeColor="text1"/>
          <w:lang w:val="fr-FR"/>
        </w:rPr>
        <w:t>œil.</w:t>
      </w:r>
    </w:p>
    <w:p w14:paraId="618833EB" w14:textId="77777777" w:rsidR="003F1C55" w:rsidRPr="004C2A3C" w:rsidRDefault="003F1C55" w:rsidP="003F1C55">
      <w:pPr>
        <w:spacing w:after="120"/>
        <w:ind w:left="2268" w:right="1134"/>
        <w:jc w:val="both"/>
        <w:rPr>
          <w:rFonts w:eastAsia="Times New Roman"/>
          <w:color w:val="000000" w:themeColor="text1"/>
          <w:lang w:val="fr-FR"/>
        </w:rPr>
      </w:pPr>
      <w:r w:rsidRPr="004C2A3C">
        <w:rPr>
          <w:rFonts w:eastAsia="Times New Roman"/>
          <w:color w:val="000000" w:themeColor="text1"/>
          <w:lang w:val="fr-FR"/>
        </w:rPr>
        <w:t>3.3.2.4.3</w:t>
      </w:r>
      <w:r w:rsidRPr="004C2A3C">
        <w:rPr>
          <w:rFonts w:eastAsia="Times New Roman"/>
          <w:color w:val="000000" w:themeColor="text1"/>
          <w:lang w:val="fr-FR"/>
        </w:rPr>
        <w:tab/>
        <w:t xml:space="preserve">Les données </w:t>
      </w:r>
      <w:r w:rsidRPr="004C2A3C">
        <w:rPr>
          <w:rFonts w:eastAsia="Times New Roman"/>
          <w:i/>
          <w:iCs/>
          <w:color w:val="000000" w:themeColor="text1"/>
          <w:lang w:val="fr-FR"/>
        </w:rPr>
        <w:t>in vitro</w:t>
      </w:r>
      <w:r w:rsidRPr="004C2A3C">
        <w:rPr>
          <w:rFonts w:eastAsia="Times New Roman"/>
          <w:iCs/>
          <w:color w:val="000000" w:themeColor="text1"/>
          <w:lang w:val="fr-FR"/>
        </w:rPr>
        <w:t>/</w:t>
      </w:r>
      <w:r w:rsidRPr="004C2A3C">
        <w:rPr>
          <w:rFonts w:eastAsia="Times New Roman"/>
          <w:i/>
          <w:iCs/>
          <w:color w:val="000000" w:themeColor="text1"/>
          <w:lang w:val="fr-FR"/>
        </w:rPr>
        <w:t>ex vivo</w:t>
      </w:r>
      <w:r w:rsidRPr="004C2A3C">
        <w:rPr>
          <w:rFonts w:eastAsia="Times New Roman"/>
          <w:color w:val="000000" w:themeColor="text1"/>
          <w:lang w:val="fr-FR"/>
        </w:rPr>
        <w:t xml:space="preserve"> ne peuvent être utilisées à des fins de classement que lorsque la substance soumise à l</w:t>
      </w:r>
      <w:r>
        <w:rPr>
          <w:rFonts w:eastAsia="Times New Roman"/>
          <w:color w:val="000000" w:themeColor="text1"/>
          <w:lang w:val="fr-FR"/>
        </w:rPr>
        <w:t>’</w:t>
      </w:r>
      <w:r w:rsidRPr="004C2A3C">
        <w:rPr>
          <w:rFonts w:eastAsia="Times New Roman"/>
          <w:color w:val="000000" w:themeColor="text1"/>
          <w:lang w:val="fr-FR"/>
        </w:rPr>
        <w:t>essai relève du domaine d</w:t>
      </w:r>
      <w:r>
        <w:rPr>
          <w:rFonts w:eastAsia="Times New Roman"/>
          <w:color w:val="000000" w:themeColor="text1"/>
          <w:lang w:val="fr-FR"/>
        </w:rPr>
        <w:t>’</w:t>
      </w:r>
      <w:r w:rsidRPr="004C2A3C">
        <w:rPr>
          <w:rFonts w:eastAsia="Times New Roman"/>
          <w:color w:val="000000" w:themeColor="text1"/>
          <w:lang w:val="fr-FR"/>
        </w:rPr>
        <w:t>application de la (des) méthode(s) d</w:t>
      </w:r>
      <w:r>
        <w:rPr>
          <w:rFonts w:eastAsia="Times New Roman"/>
          <w:color w:val="000000" w:themeColor="text1"/>
          <w:lang w:val="fr-FR"/>
        </w:rPr>
        <w:t>’</w:t>
      </w:r>
      <w:r w:rsidRPr="004C2A3C">
        <w:rPr>
          <w:rFonts w:eastAsia="Times New Roman"/>
          <w:color w:val="000000" w:themeColor="text1"/>
          <w:lang w:val="fr-FR"/>
        </w:rPr>
        <w:t>essai utilisée(s). Les limites supplémentaires décrites dans les documents publiés sur la question doivent également être prises en compte.</w:t>
      </w:r>
    </w:p>
    <w:p w14:paraId="413CA21A" w14:textId="77777777" w:rsidR="003F1C55" w:rsidRPr="004C2A3C" w:rsidRDefault="003F1C55" w:rsidP="003F1C55">
      <w:pPr>
        <w:spacing w:after="120"/>
        <w:ind w:left="2268" w:right="1134"/>
        <w:jc w:val="both"/>
        <w:rPr>
          <w:rFonts w:eastAsia="Times New Roman"/>
          <w:i/>
          <w:iCs/>
          <w:color w:val="000000" w:themeColor="text1"/>
          <w:lang w:val="fr-FR"/>
        </w:rPr>
      </w:pPr>
      <w:r w:rsidRPr="004C2A3C">
        <w:rPr>
          <w:rFonts w:eastAsia="Times New Roman"/>
          <w:color w:val="000000" w:themeColor="text1"/>
          <w:lang w:val="fr-FR"/>
        </w:rPr>
        <w:t>3.3.2.4.4</w:t>
      </w:r>
      <w:r w:rsidRPr="004C2A3C">
        <w:rPr>
          <w:rFonts w:eastAsia="Times New Roman"/>
          <w:i/>
          <w:iCs/>
          <w:color w:val="000000" w:themeColor="text1"/>
          <w:lang w:val="fr-FR"/>
        </w:rPr>
        <w:tab/>
        <w:t xml:space="preserve">Lésions oculaires graves (catégorie </w:t>
      </w:r>
      <w:proofErr w:type="gramStart"/>
      <w:r w:rsidRPr="004C2A3C">
        <w:rPr>
          <w:rFonts w:eastAsia="Times New Roman"/>
          <w:i/>
          <w:iCs/>
          <w:color w:val="000000" w:themeColor="text1"/>
          <w:lang w:val="fr-FR"/>
        </w:rPr>
        <w:t>1)/</w:t>
      </w:r>
      <w:proofErr w:type="gramEnd"/>
      <w:r w:rsidRPr="004C2A3C">
        <w:rPr>
          <w:rFonts w:eastAsia="Times New Roman"/>
          <w:i/>
          <w:iCs/>
          <w:color w:val="000000" w:themeColor="text1"/>
          <w:lang w:val="fr-FR"/>
        </w:rPr>
        <w:t>Effets irréversibles sur les yeux</w:t>
      </w:r>
    </w:p>
    <w:p w14:paraId="4E239038" w14:textId="77777777" w:rsidR="003F1C55" w:rsidRPr="004C2A3C" w:rsidRDefault="003F1C55" w:rsidP="003F1C55">
      <w:pPr>
        <w:spacing w:after="120"/>
        <w:ind w:left="2268" w:right="1134"/>
        <w:jc w:val="both"/>
        <w:rPr>
          <w:rFonts w:eastAsia="Times New Roman"/>
          <w:color w:val="000000" w:themeColor="text1"/>
          <w:lang w:val="fr-FR"/>
        </w:rPr>
      </w:pPr>
      <w:r w:rsidRPr="004C2A3C">
        <w:rPr>
          <w:rFonts w:eastAsia="Times New Roman"/>
          <w:color w:val="000000" w:themeColor="text1"/>
          <w:lang w:val="fr-FR"/>
        </w:rPr>
        <w:t>3.3.2.4.4.1</w:t>
      </w:r>
      <w:r w:rsidRPr="004C2A3C">
        <w:rPr>
          <w:rFonts w:eastAsia="Times New Roman"/>
          <w:color w:val="000000" w:themeColor="text1"/>
          <w:lang w:val="fr-FR"/>
        </w:rPr>
        <w:tab/>
        <w:t>Lorsque des essais ont été menés conformément aux lignes directrices 437, 438, 460, 491 ou 496 de l</w:t>
      </w:r>
      <w:r>
        <w:rPr>
          <w:rFonts w:eastAsia="Times New Roman"/>
          <w:color w:val="000000" w:themeColor="text1"/>
          <w:lang w:val="fr-FR"/>
        </w:rPr>
        <w:t>’</w:t>
      </w:r>
      <w:r w:rsidRPr="004C2A3C">
        <w:rPr>
          <w:rFonts w:eastAsia="Times New Roman"/>
          <w:color w:val="000000" w:themeColor="text1"/>
          <w:lang w:val="fr-FR"/>
        </w:rPr>
        <w:t>OCDE, une substance est classée pour les lésions oculaires graves dans la catégorie 1 sur la base des critères indiqués dans le tableau 3.3.6. (</w:t>
      </w:r>
      <w:proofErr w:type="gramStart"/>
      <w:r w:rsidRPr="004C2A3C">
        <w:rPr>
          <w:rFonts w:eastAsia="Times New Roman"/>
          <w:color w:val="000000" w:themeColor="text1"/>
          <w:lang w:val="fr-FR"/>
        </w:rPr>
        <w:t>voir</w:t>
      </w:r>
      <w:proofErr w:type="gramEnd"/>
      <w:r w:rsidRPr="004C2A3C">
        <w:rPr>
          <w:rFonts w:eastAsia="Times New Roman"/>
          <w:color w:val="000000" w:themeColor="text1"/>
          <w:lang w:val="fr-FR"/>
        </w:rPr>
        <w:t xml:space="preserve"> 3.3.5.3.5.1).</w:t>
      </w:r>
    </w:p>
    <w:p w14:paraId="456086D7" w14:textId="77777777" w:rsidR="003F1C55" w:rsidRPr="004C2A3C" w:rsidRDefault="003F1C55" w:rsidP="003F1C55">
      <w:pPr>
        <w:spacing w:after="120"/>
        <w:ind w:left="2268" w:right="1134"/>
        <w:jc w:val="both"/>
        <w:rPr>
          <w:rFonts w:eastAsia="Times New Roman"/>
          <w:color w:val="000000" w:themeColor="text1"/>
          <w:lang w:val="fr-FR"/>
        </w:rPr>
      </w:pPr>
      <w:r w:rsidRPr="004C2A3C">
        <w:rPr>
          <w:rFonts w:eastAsia="Times New Roman"/>
          <w:color w:val="000000" w:themeColor="text1"/>
          <w:lang w:val="fr-FR"/>
        </w:rPr>
        <w:t>3.3.2.4.4.2</w:t>
      </w:r>
      <w:r w:rsidRPr="004C2A3C">
        <w:rPr>
          <w:rFonts w:eastAsia="Times New Roman"/>
          <w:color w:val="000000" w:themeColor="text1"/>
          <w:lang w:val="fr-FR"/>
        </w:rPr>
        <w:tab/>
        <w:t>Bien que les lignes directrices de l</w:t>
      </w:r>
      <w:r>
        <w:rPr>
          <w:rFonts w:eastAsia="Times New Roman"/>
          <w:color w:val="000000" w:themeColor="text1"/>
          <w:lang w:val="fr-FR"/>
        </w:rPr>
        <w:t>’</w:t>
      </w:r>
      <w:r w:rsidRPr="004C2A3C">
        <w:rPr>
          <w:rFonts w:eastAsia="Times New Roman"/>
          <w:color w:val="000000" w:themeColor="text1"/>
          <w:lang w:val="fr-FR"/>
        </w:rPr>
        <w:t xml:space="preserve">OCDE pour les essais </w:t>
      </w:r>
      <w:r w:rsidRPr="004C2A3C">
        <w:rPr>
          <w:rFonts w:eastAsia="Times New Roman"/>
          <w:i/>
          <w:iCs/>
          <w:color w:val="000000" w:themeColor="text1"/>
          <w:lang w:val="fr-FR"/>
        </w:rPr>
        <w:t>in vitro</w:t>
      </w:r>
      <w:r w:rsidRPr="004C2A3C">
        <w:rPr>
          <w:rFonts w:eastAsia="Times New Roman"/>
          <w:iCs/>
          <w:color w:val="000000" w:themeColor="text1"/>
          <w:lang w:val="fr-FR"/>
        </w:rPr>
        <w:t>/</w:t>
      </w:r>
      <w:r w:rsidRPr="004C2A3C">
        <w:rPr>
          <w:rFonts w:eastAsia="Times New Roman"/>
          <w:i/>
          <w:iCs/>
          <w:color w:val="000000" w:themeColor="text1"/>
          <w:lang w:val="fr-FR"/>
        </w:rPr>
        <w:t>ex vivo</w:t>
      </w:r>
      <w:r w:rsidRPr="004C2A3C">
        <w:rPr>
          <w:rFonts w:eastAsia="Times New Roman"/>
          <w:color w:val="000000" w:themeColor="text1"/>
          <w:lang w:val="fr-FR"/>
        </w:rPr>
        <w:t xml:space="preserve"> et les méthodes équivalentes actuellement disponibles n</w:t>
      </w:r>
      <w:r>
        <w:rPr>
          <w:rFonts w:eastAsia="Times New Roman"/>
          <w:color w:val="000000" w:themeColor="text1"/>
          <w:lang w:val="fr-FR"/>
        </w:rPr>
        <w:t>’</w:t>
      </w:r>
      <w:r w:rsidRPr="004C2A3C">
        <w:rPr>
          <w:rFonts w:eastAsia="Times New Roman"/>
          <w:color w:val="000000" w:themeColor="text1"/>
          <w:lang w:val="fr-FR"/>
        </w:rPr>
        <w:t>aient pas été conçues pour mettre en évidence les substances induisant une décoloration de l</w:t>
      </w:r>
      <w:r>
        <w:rPr>
          <w:rFonts w:eastAsia="Times New Roman"/>
          <w:color w:val="000000" w:themeColor="text1"/>
          <w:lang w:val="fr-FR"/>
        </w:rPr>
        <w:t>’</w:t>
      </w:r>
      <w:r w:rsidRPr="004C2A3C">
        <w:rPr>
          <w:rFonts w:eastAsia="Times New Roman"/>
          <w:color w:val="000000" w:themeColor="text1"/>
          <w:lang w:val="fr-FR"/>
        </w:rPr>
        <w:t>œil, certains effets comparables peuvent néanmoins être observés au moyen de ces essais. Par conséquent, lorsque, après lavage, une décoloration de la cornée ou des cellules soumises à l</w:t>
      </w:r>
      <w:r>
        <w:rPr>
          <w:rFonts w:eastAsia="Times New Roman"/>
          <w:color w:val="000000" w:themeColor="text1"/>
          <w:lang w:val="fr-FR"/>
        </w:rPr>
        <w:t>’</w:t>
      </w:r>
      <w:r w:rsidRPr="004C2A3C">
        <w:rPr>
          <w:rFonts w:eastAsia="Times New Roman"/>
          <w:color w:val="000000" w:themeColor="text1"/>
          <w:lang w:val="fr-FR"/>
        </w:rPr>
        <w:t>essai par rapport au témoin est observée au moyen d</w:t>
      </w:r>
      <w:r>
        <w:rPr>
          <w:rFonts w:eastAsia="Times New Roman"/>
          <w:color w:val="000000" w:themeColor="text1"/>
          <w:lang w:val="fr-FR"/>
        </w:rPr>
        <w:t>’</w:t>
      </w:r>
      <w:r w:rsidRPr="004C2A3C">
        <w:rPr>
          <w:rFonts w:eastAsia="Times New Roman"/>
          <w:color w:val="000000" w:themeColor="text1"/>
          <w:lang w:val="fr-FR"/>
        </w:rPr>
        <w:t>une méthode conforme aux lignes directrices 437, 438, 492 ou 494 de l</w:t>
      </w:r>
      <w:r>
        <w:rPr>
          <w:rFonts w:eastAsia="Times New Roman"/>
          <w:color w:val="000000" w:themeColor="text1"/>
          <w:lang w:val="fr-FR"/>
        </w:rPr>
        <w:t>’</w:t>
      </w:r>
      <w:r w:rsidRPr="004C2A3C">
        <w:rPr>
          <w:rFonts w:eastAsia="Times New Roman"/>
          <w:color w:val="000000" w:themeColor="text1"/>
          <w:lang w:val="fr-FR"/>
        </w:rPr>
        <w:t>OCDE, ou d</w:t>
      </w:r>
      <w:r>
        <w:rPr>
          <w:rFonts w:eastAsia="Times New Roman"/>
          <w:color w:val="000000" w:themeColor="text1"/>
          <w:lang w:val="fr-FR"/>
        </w:rPr>
        <w:t>’</w:t>
      </w:r>
      <w:r w:rsidRPr="004C2A3C">
        <w:rPr>
          <w:rFonts w:eastAsia="Times New Roman"/>
          <w:color w:val="000000" w:themeColor="text1"/>
          <w:lang w:val="fr-FR"/>
        </w:rPr>
        <w:t>autres méthodes équivalentes, indiquant que l</w:t>
      </w:r>
      <w:r>
        <w:rPr>
          <w:rFonts w:eastAsia="Times New Roman"/>
          <w:color w:val="000000" w:themeColor="text1"/>
          <w:lang w:val="fr-FR"/>
        </w:rPr>
        <w:t>’</w:t>
      </w:r>
      <w:r w:rsidRPr="004C2A3C">
        <w:rPr>
          <w:rFonts w:eastAsia="Times New Roman"/>
          <w:color w:val="000000" w:themeColor="text1"/>
          <w:lang w:val="fr-FR"/>
        </w:rPr>
        <w:t>effet observé est permanent, une autorité compétente peut exiger la classification d</w:t>
      </w:r>
      <w:r>
        <w:rPr>
          <w:rFonts w:eastAsia="Times New Roman"/>
          <w:color w:val="000000" w:themeColor="text1"/>
          <w:lang w:val="fr-FR"/>
        </w:rPr>
        <w:t>’</w:t>
      </w:r>
      <w:r w:rsidRPr="004C2A3C">
        <w:rPr>
          <w:rFonts w:eastAsia="Times New Roman"/>
          <w:color w:val="000000" w:themeColor="text1"/>
          <w:lang w:val="fr-FR"/>
        </w:rPr>
        <w:t>une substance pour les lésions oculaires graves dans la catégorie 1.</w:t>
      </w:r>
    </w:p>
    <w:p w14:paraId="2321BF6C" w14:textId="77777777" w:rsidR="003F1C55" w:rsidRPr="004C2A3C" w:rsidRDefault="003F1C55" w:rsidP="003F1C55">
      <w:pPr>
        <w:spacing w:after="120"/>
        <w:ind w:left="2268" w:right="1134"/>
        <w:jc w:val="both"/>
        <w:rPr>
          <w:rFonts w:eastAsia="Times New Roman"/>
          <w:color w:val="000000" w:themeColor="text1"/>
          <w:lang w:val="fr-FR"/>
        </w:rPr>
      </w:pPr>
      <w:r w:rsidRPr="004C2A3C">
        <w:rPr>
          <w:rFonts w:eastAsia="Times New Roman"/>
          <w:color w:val="000000" w:themeColor="text1"/>
          <w:lang w:val="fr-FR"/>
        </w:rPr>
        <w:t>3.3.2.4.5</w:t>
      </w:r>
      <w:r w:rsidRPr="004C2A3C">
        <w:rPr>
          <w:rFonts w:eastAsia="Times New Roman"/>
          <w:color w:val="000000" w:themeColor="text1"/>
          <w:lang w:val="fr-FR"/>
        </w:rPr>
        <w:tab/>
      </w:r>
      <w:r w:rsidRPr="004C2A3C">
        <w:rPr>
          <w:rFonts w:eastAsia="Times New Roman"/>
          <w:i/>
          <w:iCs/>
          <w:color w:val="000000" w:themeColor="text1"/>
          <w:lang w:val="fr-FR"/>
        </w:rPr>
        <w:t xml:space="preserve">Irritation oculaire (catégorie </w:t>
      </w:r>
      <w:proofErr w:type="gramStart"/>
      <w:r w:rsidRPr="004C2A3C">
        <w:rPr>
          <w:rFonts w:eastAsia="Times New Roman"/>
          <w:i/>
          <w:iCs/>
          <w:color w:val="000000" w:themeColor="text1"/>
          <w:lang w:val="fr-FR"/>
        </w:rPr>
        <w:t>2)/</w:t>
      </w:r>
      <w:proofErr w:type="gramEnd"/>
      <w:r w:rsidRPr="004C2A3C">
        <w:rPr>
          <w:rFonts w:eastAsia="Times New Roman"/>
          <w:i/>
          <w:iCs/>
          <w:color w:val="000000" w:themeColor="text1"/>
          <w:lang w:val="fr-FR"/>
        </w:rPr>
        <w:t>Effets réversibles sur les yeux</w:t>
      </w:r>
    </w:p>
    <w:p w14:paraId="60B9597D" w14:textId="77777777" w:rsidR="003F1C55" w:rsidRPr="004C2A3C" w:rsidRDefault="003F1C55" w:rsidP="003F1C55">
      <w:pPr>
        <w:spacing w:after="120"/>
        <w:ind w:left="2268" w:right="1134"/>
        <w:jc w:val="both"/>
        <w:rPr>
          <w:rFonts w:eastAsia="Times New Roman"/>
          <w:color w:val="000000" w:themeColor="text1"/>
          <w:lang w:val="fr-FR"/>
        </w:rPr>
      </w:pPr>
      <w:bookmarkStart w:id="5" w:name="_Hlk25673670"/>
      <w:r w:rsidRPr="004C2A3C">
        <w:rPr>
          <w:rFonts w:eastAsia="Times New Roman"/>
          <w:color w:val="000000" w:themeColor="text1"/>
          <w:lang w:val="fr-FR"/>
        </w:rPr>
        <w:t>3.3.2.4.5.1</w:t>
      </w:r>
      <w:r w:rsidRPr="004C2A3C">
        <w:rPr>
          <w:rFonts w:eastAsia="Times New Roman"/>
          <w:color w:val="000000" w:themeColor="text1"/>
          <w:lang w:val="fr-FR"/>
        </w:rPr>
        <w:tab/>
        <w:t>Des résultats positifs obtenus au moyen d</w:t>
      </w:r>
      <w:r>
        <w:rPr>
          <w:rFonts w:eastAsia="Times New Roman"/>
          <w:color w:val="000000" w:themeColor="text1"/>
          <w:lang w:val="fr-FR"/>
        </w:rPr>
        <w:t>’</w:t>
      </w:r>
      <w:r w:rsidRPr="004C2A3C">
        <w:rPr>
          <w:rFonts w:eastAsia="Times New Roman"/>
          <w:color w:val="000000" w:themeColor="text1"/>
          <w:lang w:val="fr-FR"/>
        </w:rPr>
        <w:t>une méthode d</w:t>
      </w:r>
      <w:r>
        <w:rPr>
          <w:rFonts w:eastAsia="Times New Roman"/>
          <w:color w:val="000000" w:themeColor="text1"/>
          <w:lang w:val="fr-FR"/>
        </w:rPr>
        <w:t>’</w:t>
      </w:r>
      <w:r w:rsidRPr="004C2A3C">
        <w:rPr>
          <w:rFonts w:eastAsia="Times New Roman"/>
          <w:color w:val="000000" w:themeColor="text1"/>
          <w:lang w:val="fr-FR"/>
        </w:rPr>
        <w:t xml:space="preserve">essai </w:t>
      </w:r>
      <w:r w:rsidRPr="004C2A3C">
        <w:rPr>
          <w:rFonts w:eastAsia="Times New Roman"/>
          <w:i/>
          <w:iCs/>
          <w:color w:val="000000" w:themeColor="text1"/>
          <w:lang w:val="fr-FR"/>
        </w:rPr>
        <w:t>in vitro</w:t>
      </w:r>
      <w:r w:rsidRPr="004C2A3C">
        <w:rPr>
          <w:rFonts w:eastAsia="Times New Roman"/>
          <w:iCs/>
          <w:color w:val="000000" w:themeColor="text1"/>
          <w:lang w:val="fr-FR"/>
        </w:rPr>
        <w:t>/</w:t>
      </w:r>
      <w:r w:rsidRPr="004C2A3C">
        <w:rPr>
          <w:rFonts w:eastAsia="Times New Roman"/>
          <w:i/>
          <w:iCs/>
          <w:color w:val="000000" w:themeColor="text1"/>
          <w:lang w:val="fr-FR"/>
        </w:rPr>
        <w:t>ex vivo</w:t>
      </w:r>
      <w:r w:rsidRPr="004C2A3C">
        <w:rPr>
          <w:rFonts w:eastAsia="Times New Roman"/>
          <w:color w:val="000000" w:themeColor="text1"/>
          <w:lang w:val="fr-FR"/>
        </w:rPr>
        <w:t xml:space="preserve"> validée selon des procédures internationales pour le recensement des substances induisant une irritation oculaire peuvent être utilisés pour classer une substance dans la Catégorie 2/2A</w:t>
      </w:r>
      <w:r w:rsidRPr="004C2A3C">
        <w:rPr>
          <w:rFonts w:eastAsia="Times New Roman"/>
          <w:color w:val="000000" w:themeColor="text1"/>
          <w:sz w:val="18"/>
          <w:szCs w:val="18"/>
          <w:vertAlign w:val="superscript"/>
          <w:lang w:val="fr-FR"/>
        </w:rPr>
        <w:t>3</w:t>
      </w:r>
      <w:r w:rsidRPr="004C2A3C">
        <w:rPr>
          <w:rFonts w:eastAsia="Times New Roman"/>
          <w:color w:val="000000" w:themeColor="text1"/>
          <w:lang w:val="fr-FR"/>
        </w:rPr>
        <w:t>.</w:t>
      </w:r>
      <w:bookmarkEnd w:id="5"/>
    </w:p>
    <w:p w14:paraId="41AB06A6" w14:textId="77777777" w:rsidR="003F1C55" w:rsidRPr="004C2A3C" w:rsidRDefault="003F1C55" w:rsidP="003F1C55">
      <w:pPr>
        <w:spacing w:after="120"/>
        <w:ind w:left="2268" w:right="1134"/>
        <w:jc w:val="both"/>
        <w:rPr>
          <w:rFonts w:eastAsia="Times New Roman"/>
          <w:color w:val="000000" w:themeColor="text1"/>
          <w:lang w:val="fr-FR"/>
        </w:rPr>
      </w:pPr>
      <w:r w:rsidRPr="004C2A3C">
        <w:rPr>
          <w:rFonts w:eastAsia="Times New Roman"/>
          <w:color w:val="000000" w:themeColor="text1"/>
          <w:lang w:val="fr-FR"/>
        </w:rPr>
        <w:t>3.3.2.4.5.2</w:t>
      </w:r>
      <w:r w:rsidRPr="004C2A3C">
        <w:rPr>
          <w:rFonts w:eastAsia="Times New Roman"/>
          <w:color w:val="000000" w:themeColor="text1"/>
          <w:lang w:val="fr-FR"/>
        </w:rPr>
        <w:tab/>
        <w:t>Si les autorités compétentes optent pour la catégorie 2A ou la catégorie 2B, il est important de noter que les méthodes d</w:t>
      </w:r>
      <w:r>
        <w:rPr>
          <w:rFonts w:eastAsia="Times New Roman"/>
          <w:color w:val="000000" w:themeColor="text1"/>
          <w:lang w:val="fr-FR"/>
        </w:rPr>
        <w:t>’</w:t>
      </w:r>
      <w:r w:rsidRPr="004C2A3C">
        <w:rPr>
          <w:rFonts w:eastAsia="Times New Roman"/>
          <w:color w:val="000000" w:themeColor="text1"/>
          <w:lang w:val="fr-FR"/>
        </w:rPr>
        <w:t xml:space="preserve">essai </w:t>
      </w:r>
      <w:r w:rsidRPr="004C2A3C">
        <w:rPr>
          <w:rFonts w:eastAsia="Times New Roman"/>
          <w:i/>
          <w:iCs/>
          <w:color w:val="000000" w:themeColor="text1"/>
          <w:lang w:val="fr-FR"/>
        </w:rPr>
        <w:t>in vitro</w:t>
      </w:r>
      <w:r w:rsidRPr="004C2A3C">
        <w:rPr>
          <w:rFonts w:eastAsia="Times New Roman"/>
          <w:iCs/>
          <w:color w:val="000000" w:themeColor="text1"/>
          <w:lang w:val="fr-FR"/>
        </w:rPr>
        <w:t>/</w:t>
      </w:r>
      <w:r w:rsidRPr="004C2A3C">
        <w:rPr>
          <w:rFonts w:eastAsia="Times New Roman"/>
          <w:i/>
          <w:iCs/>
          <w:color w:val="000000" w:themeColor="text1"/>
          <w:lang w:val="fr-FR"/>
        </w:rPr>
        <w:t>ex vivo</w:t>
      </w:r>
      <w:r w:rsidRPr="004C2A3C">
        <w:rPr>
          <w:rFonts w:eastAsia="Times New Roman"/>
          <w:color w:val="000000" w:themeColor="text1"/>
          <w:lang w:val="fr-FR"/>
        </w:rPr>
        <w:t xml:space="preserve"> actuellement validées pour les effets sur l</w:t>
      </w:r>
      <w:r>
        <w:rPr>
          <w:rFonts w:eastAsia="Times New Roman"/>
          <w:color w:val="000000" w:themeColor="text1"/>
          <w:lang w:val="fr-FR"/>
        </w:rPr>
        <w:t>’</w:t>
      </w:r>
      <w:r w:rsidRPr="004C2A3C">
        <w:rPr>
          <w:rFonts w:eastAsia="Times New Roman"/>
          <w:color w:val="000000" w:themeColor="text1"/>
          <w:lang w:val="fr-FR"/>
        </w:rPr>
        <w:t>œil ne permettent pas de faire la distinction entre ces deux catégories. Dans ce cas, si les critères de classification dans la Catégorie 2 ont été considérés comme satisfaits et si aucune autre information pertinente n</w:t>
      </w:r>
      <w:r>
        <w:rPr>
          <w:rFonts w:eastAsia="Times New Roman"/>
          <w:color w:val="000000" w:themeColor="text1"/>
          <w:lang w:val="fr-FR"/>
        </w:rPr>
        <w:t>’</w:t>
      </w:r>
      <w:r w:rsidRPr="004C2A3C">
        <w:rPr>
          <w:rFonts w:eastAsia="Times New Roman"/>
          <w:color w:val="000000" w:themeColor="text1"/>
          <w:lang w:val="fr-FR"/>
        </w:rPr>
        <w:t>est disponible, la classification doit se faire dans la catégorie 2/2A.</w:t>
      </w:r>
    </w:p>
    <w:p w14:paraId="592AD9E8" w14:textId="77777777" w:rsidR="003F1C55" w:rsidRPr="004C2A3C" w:rsidRDefault="003F1C55" w:rsidP="003F1C55">
      <w:pPr>
        <w:spacing w:after="120"/>
        <w:ind w:left="2268" w:right="1134"/>
        <w:jc w:val="both"/>
        <w:rPr>
          <w:rFonts w:eastAsia="Times New Roman"/>
          <w:color w:val="000000" w:themeColor="text1"/>
          <w:lang w:val="fr-FR"/>
        </w:rPr>
      </w:pPr>
      <w:r w:rsidRPr="004C2A3C">
        <w:rPr>
          <w:rFonts w:eastAsia="Times New Roman"/>
          <w:color w:val="000000" w:themeColor="text1"/>
          <w:lang w:val="fr-FR"/>
        </w:rPr>
        <w:t>3.3.2.4.6</w:t>
      </w:r>
      <w:r w:rsidRPr="004C2A3C">
        <w:rPr>
          <w:rFonts w:eastAsia="Times New Roman"/>
          <w:color w:val="000000" w:themeColor="text1"/>
          <w:lang w:val="fr-FR"/>
        </w:rPr>
        <w:tab/>
      </w:r>
      <w:r w:rsidRPr="004C2A3C">
        <w:rPr>
          <w:rFonts w:eastAsia="Times New Roman"/>
          <w:i/>
          <w:iCs/>
          <w:color w:val="000000" w:themeColor="text1"/>
          <w:lang w:val="fr-FR"/>
        </w:rPr>
        <w:t>Pas de classification pour les effets sur l</w:t>
      </w:r>
      <w:r>
        <w:rPr>
          <w:rFonts w:eastAsia="Times New Roman"/>
          <w:i/>
          <w:iCs/>
          <w:color w:val="000000" w:themeColor="text1"/>
          <w:lang w:val="fr-FR"/>
        </w:rPr>
        <w:t>’</w:t>
      </w:r>
      <w:r w:rsidRPr="004C2A3C">
        <w:rPr>
          <w:rFonts w:eastAsia="Times New Roman"/>
          <w:i/>
          <w:iCs/>
          <w:color w:val="000000" w:themeColor="text1"/>
          <w:lang w:val="fr-FR"/>
        </w:rPr>
        <w:t>œil</w:t>
      </w:r>
    </w:p>
    <w:p w14:paraId="5BF67DAF" w14:textId="77777777" w:rsidR="003F1C55" w:rsidRPr="004C2A3C" w:rsidRDefault="003F1C55" w:rsidP="003F1C55">
      <w:pPr>
        <w:tabs>
          <w:tab w:val="left" w:pos="3402"/>
        </w:tabs>
        <w:spacing w:after="120"/>
        <w:ind w:left="2268" w:right="1134" w:firstLine="1134"/>
        <w:jc w:val="both"/>
        <w:rPr>
          <w:rFonts w:eastAsia="Times New Roman"/>
          <w:color w:val="000000" w:themeColor="text1"/>
          <w:lang w:val="fr-FR"/>
        </w:rPr>
      </w:pPr>
      <w:r w:rsidRPr="004C2A3C">
        <w:rPr>
          <w:rFonts w:eastAsia="Times New Roman"/>
          <w:color w:val="000000" w:themeColor="text1"/>
          <w:lang w:val="fr-FR"/>
        </w:rPr>
        <w:t>Les lignes directrices 437, 438, 491, 492, 494 et 496 de l</w:t>
      </w:r>
      <w:r>
        <w:rPr>
          <w:rFonts w:eastAsia="Times New Roman"/>
          <w:color w:val="000000" w:themeColor="text1"/>
          <w:lang w:val="fr-FR"/>
        </w:rPr>
        <w:t>’</w:t>
      </w:r>
      <w:r w:rsidRPr="004C2A3C">
        <w:rPr>
          <w:rFonts w:eastAsia="Times New Roman"/>
          <w:color w:val="000000" w:themeColor="text1"/>
          <w:lang w:val="fr-FR"/>
        </w:rPr>
        <w:t>OCDE (voir tableau 3.3.6 dans le 3.3.5.3.5.1) peuvent être utilisées pour conclure à l</w:t>
      </w:r>
      <w:r>
        <w:rPr>
          <w:rFonts w:eastAsia="Times New Roman"/>
          <w:color w:val="000000" w:themeColor="text1"/>
          <w:lang w:val="fr-FR"/>
        </w:rPr>
        <w:t>’</w:t>
      </w:r>
      <w:r w:rsidRPr="004C2A3C">
        <w:rPr>
          <w:rFonts w:eastAsia="Times New Roman"/>
          <w:color w:val="000000" w:themeColor="text1"/>
          <w:lang w:val="fr-FR"/>
        </w:rPr>
        <w:t>absence de classification d</w:t>
      </w:r>
      <w:r>
        <w:rPr>
          <w:rFonts w:eastAsia="Times New Roman"/>
          <w:color w:val="000000" w:themeColor="text1"/>
          <w:lang w:val="fr-FR"/>
        </w:rPr>
        <w:t>’</w:t>
      </w:r>
      <w:r w:rsidRPr="004C2A3C">
        <w:rPr>
          <w:rFonts w:eastAsia="Times New Roman"/>
          <w:color w:val="000000" w:themeColor="text1"/>
          <w:lang w:val="fr-FR"/>
        </w:rPr>
        <w:t>une substance pour ses effets sur l</w:t>
      </w:r>
      <w:r>
        <w:rPr>
          <w:rFonts w:eastAsia="Times New Roman"/>
          <w:color w:val="000000" w:themeColor="text1"/>
          <w:lang w:val="fr-FR"/>
        </w:rPr>
        <w:t>’</w:t>
      </w:r>
      <w:r w:rsidRPr="004C2A3C">
        <w:rPr>
          <w:rFonts w:eastAsia="Times New Roman"/>
          <w:color w:val="000000" w:themeColor="text1"/>
          <w:lang w:val="fr-FR"/>
        </w:rPr>
        <w:t>œil.</w:t>
      </w:r>
    </w:p>
    <w:p w14:paraId="1A408BB4" w14:textId="77777777" w:rsidR="003F1C55" w:rsidRPr="004C2A3C" w:rsidRDefault="003F1C55" w:rsidP="003F1C55">
      <w:pPr>
        <w:tabs>
          <w:tab w:val="left" w:pos="3402"/>
        </w:tabs>
        <w:spacing w:after="120"/>
        <w:ind w:left="2268" w:right="1134"/>
        <w:jc w:val="both"/>
        <w:rPr>
          <w:rFonts w:eastAsia="Times New Roman"/>
          <w:b/>
          <w:bCs/>
          <w:i/>
          <w:iCs/>
          <w:color w:val="000000" w:themeColor="text1"/>
          <w:lang w:val="fr-FR"/>
        </w:rPr>
      </w:pPr>
      <w:r w:rsidRPr="004C2A3C">
        <w:rPr>
          <w:rFonts w:eastAsia="Times New Roman"/>
          <w:b/>
          <w:bCs/>
          <w:color w:val="000000" w:themeColor="text1"/>
          <w:lang w:val="fr-FR"/>
        </w:rPr>
        <w:t>3.3.2.5</w:t>
      </w:r>
      <w:r w:rsidRPr="004C2A3C">
        <w:rPr>
          <w:rFonts w:eastAsia="Times New Roman"/>
          <w:b/>
          <w:bCs/>
          <w:color w:val="000000" w:themeColor="text1"/>
          <w:lang w:val="fr-FR"/>
        </w:rPr>
        <w:tab/>
      </w:r>
      <w:r w:rsidRPr="004C2A3C">
        <w:rPr>
          <w:rFonts w:eastAsia="Times New Roman"/>
          <w:b/>
          <w:bCs/>
          <w:i/>
          <w:iCs/>
          <w:color w:val="000000" w:themeColor="text1"/>
          <w:lang w:val="fr-FR"/>
        </w:rPr>
        <w:t>Classification fondée sur des données obtenues sur l</w:t>
      </w:r>
      <w:r>
        <w:rPr>
          <w:rFonts w:eastAsia="Times New Roman"/>
          <w:b/>
          <w:bCs/>
          <w:i/>
          <w:iCs/>
          <w:color w:val="000000" w:themeColor="text1"/>
          <w:lang w:val="fr-FR"/>
        </w:rPr>
        <w:t>’</w:t>
      </w:r>
      <w:r w:rsidRPr="004C2A3C">
        <w:rPr>
          <w:rFonts w:eastAsia="Times New Roman"/>
          <w:b/>
          <w:bCs/>
          <w:i/>
          <w:iCs/>
          <w:color w:val="000000" w:themeColor="text1"/>
          <w:lang w:val="fr-FR"/>
        </w:rPr>
        <w:t xml:space="preserve">homme, des données normalisées sur animaux ou des données </w:t>
      </w:r>
      <w:r w:rsidRPr="004C2A3C">
        <w:rPr>
          <w:rFonts w:eastAsia="Times New Roman"/>
          <w:b/>
          <w:bCs/>
          <w:color w:val="000000" w:themeColor="text1"/>
          <w:lang w:val="fr-FR"/>
        </w:rPr>
        <w:t>in vitro/ex vivo</w:t>
      </w:r>
      <w:r w:rsidRPr="004C2A3C">
        <w:rPr>
          <w:rFonts w:eastAsia="Times New Roman"/>
          <w:b/>
          <w:bCs/>
          <w:i/>
          <w:iCs/>
          <w:color w:val="000000" w:themeColor="text1"/>
          <w:lang w:val="fr-FR"/>
        </w:rPr>
        <w:t xml:space="preserve"> concluantes pour la corrosion cutanée (étape 3 de la figure 3.3.1)</w:t>
      </w:r>
    </w:p>
    <w:p w14:paraId="393C25CC" w14:textId="77777777" w:rsidR="003F1C55" w:rsidRPr="004C2A3C" w:rsidRDefault="003F1C55" w:rsidP="003F1C55">
      <w:pPr>
        <w:tabs>
          <w:tab w:val="left" w:pos="3402"/>
        </w:tabs>
        <w:spacing w:after="120"/>
        <w:ind w:left="2268" w:right="1134" w:firstLine="1134"/>
        <w:jc w:val="both"/>
        <w:rPr>
          <w:rFonts w:eastAsia="Times New Roman"/>
          <w:color w:val="000000" w:themeColor="text1"/>
          <w:lang w:val="fr-FR"/>
        </w:rPr>
      </w:pPr>
      <w:r w:rsidRPr="004C2A3C">
        <w:rPr>
          <w:rFonts w:eastAsia="Times New Roman"/>
          <w:color w:val="000000" w:themeColor="text1"/>
          <w:lang w:val="fr-FR"/>
        </w:rPr>
        <w:t>Les substances classées comme corrosives pour la peau (catégorie 1 cutanée) sur la base de données obtenues sur l</w:t>
      </w:r>
      <w:r>
        <w:rPr>
          <w:rFonts w:eastAsia="Times New Roman"/>
          <w:color w:val="000000" w:themeColor="text1"/>
          <w:lang w:val="fr-FR"/>
        </w:rPr>
        <w:t>’</w:t>
      </w:r>
      <w:r w:rsidRPr="004C2A3C">
        <w:rPr>
          <w:rFonts w:eastAsia="Times New Roman"/>
          <w:color w:val="000000" w:themeColor="text1"/>
          <w:lang w:val="fr-FR"/>
        </w:rPr>
        <w:t xml:space="preserve">homme, de données normalisées sur animaux ou de données </w:t>
      </w:r>
      <w:r w:rsidRPr="004C2A3C">
        <w:rPr>
          <w:rFonts w:eastAsia="Times New Roman"/>
          <w:i/>
          <w:iCs/>
          <w:color w:val="000000" w:themeColor="text1"/>
          <w:lang w:val="fr-FR"/>
        </w:rPr>
        <w:t>in vitro</w:t>
      </w:r>
      <w:r w:rsidRPr="004C2A3C">
        <w:rPr>
          <w:rFonts w:eastAsia="Times New Roman"/>
          <w:iCs/>
          <w:color w:val="000000" w:themeColor="text1"/>
          <w:lang w:val="fr-FR"/>
        </w:rPr>
        <w:t>/</w:t>
      </w:r>
      <w:r w:rsidRPr="004C2A3C">
        <w:rPr>
          <w:rFonts w:eastAsia="Times New Roman"/>
          <w:i/>
          <w:iCs/>
          <w:color w:val="000000" w:themeColor="text1"/>
          <w:lang w:val="fr-FR"/>
        </w:rPr>
        <w:t>ex vivo</w:t>
      </w:r>
      <w:r w:rsidRPr="004C2A3C">
        <w:rPr>
          <w:rFonts w:eastAsia="Times New Roman"/>
          <w:color w:val="000000" w:themeColor="text1"/>
          <w:lang w:val="fr-FR"/>
        </w:rPr>
        <w:t xml:space="preserve"> concluantes pour la corrosion cutanée conformément aux critères du chapitre 3.2 sont également considérées comme des substances provoquant des lésions oculaires graves (catégorie 1 oculaire). L</w:t>
      </w:r>
      <w:r>
        <w:rPr>
          <w:rFonts w:eastAsia="Times New Roman"/>
          <w:color w:val="000000" w:themeColor="text1"/>
          <w:lang w:val="fr-FR"/>
        </w:rPr>
        <w:t>’</w:t>
      </w:r>
      <w:r w:rsidRPr="004C2A3C">
        <w:rPr>
          <w:rFonts w:eastAsia="Times New Roman"/>
          <w:color w:val="000000" w:themeColor="text1"/>
          <w:lang w:val="fr-FR"/>
        </w:rPr>
        <w:t>irritation cutanée (catégorie 2 cutanée), l</w:t>
      </w:r>
      <w:r>
        <w:rPr>
          <w:rFonts w:eastAsia="Times New Roman"/>
          <w:color w:val="000000" w:themeColor="text1"/>
          <w:lang w:val="fr-FR"/>
        </w:rPr>
        <w:t>’</w:t>
      </w:r>
      <w:r w:rsidRPr="004C2A3C">
        <w:rPr>
          <w:rFonts w:eastAsia="Times New Roman"/>
          <w:color w:val="000000" w:themeColor="text1"/>
          <w:lang w:val="fr-FR"/>
        </w:rPr>
        <w:t>irritation cutanée légère (catégorie 3 cutanée) et l</w:t>
      </w:r>
      <w:r>
        <w:rPr>
          <w:rFonts w:eastAsia="Times New Roman"/>
          <w:color w:val="000000" w:themeColor="text1"/>
          <w:lang w:val="fr-FR"/>
        </w:rPr>
        <w:t>’</w:t>
      </w:r>
      <w:r w:rsidRPr="004C2A3C">
        <w:rPr>
          <w:rFonts w:eastAsia="Times New Roman"/>
          <w:color w:val="000000" w:themeColor="text1"/>
          <w:lang w:val="fr-FR"/>
        </w:rPr>
        <w:t>absence de classification pour l</w:t>
      </w:r>
      <w:r>
        <w:rPr>
          <w:rFonts w:eastAsia="Times New Roman"/>
          <w:color w:val="000000" w:themeColor="text1"/>
          <w:lang w:val="fr-FR"/>
        </w:rPr>
        <w:t>’</w:t>
      </w:r>
      <w:r w:rsidRPr="004C2A3C">
        <w:rPr>
          <w:rFonts w:eastAsia="Times New Roman"/>
          <w:color w:val="000000" w:themeColor="text1"/>
          <w:lang w:val="fr-FR"/>
        </w:rPr>
        <w:t>irritation cutanée, ainsi que les données obtenues sur l</w:t>
      </w:r>
      <w:r>
        <w:rPr>
          <w:rFonts w:eastAsia="Times New Roman"/>
          <w:color w:val="000000" w:themeColor="text1"/>
          <w:lang w:val="fr-FR"/>
        </w:rPr>
        <w:t>’</w:t>
      </w:r>
      <w:r w:rsidRPr="004C2A3C">
        <w:rPr>
          <w:rFonts w:eastAsia="Times New Roman"/>
          <w:color w:val="000000" w:themeColor="text1"/>
          <w:lang w:val="fr-FR"/>
        </w:rPr>
        <w:t>homme (comme décrit au chapitre 3.2), ne suffisent pas à conclure à une irritation oculaire ou à l</w:t>
      </w:r>
      <w:r>
        <w:rPr>
          <w:rFonts w:eastAsia="Times New Roman"/>
          <w:color w:val="000000" w:themeColor="text1"/>
          <w:lang w:val="fr-FR"/>
        </w:rPr>
        <w:t>’</w:t>
      </w:r>
      <w:r w:rsidRPr="004C2A3C">
        <w:rPr>
          <w:rFonts w:eastAsia="Times New Roman"/>
          <w:color w:val="000000" w:themeColor="text1"/>
          <w:lang w:val="fr-FR"/>
        </w:rPr>
        <w:t>absence de classification pour les effets sur l</w:t>
      </w:r>
      <w:r>
        <w:rPr>
          <w:rFonts w:eastAsia="Times New Roman"/>
          <w:color w:val="000000" w:themeColor="text1"/>
          <w:lang w:val="fr-FR"/>
        </w:rPr>
        <w:t>’</w:t>
      </w:r>
      <w:r w:rsidRPr="004C2A3C">
        <w:rPr>
          <w:rFonts w:eastAsia="Times New Roman"/>
          <w:color w:val="000000" w:themeColor="text1"/>
          <w:lang w:val="fr-FR"/>
        </w:rPr>
        <w:t>œil, mais peuvent être prises en considération dans le cadre d</w:t>
      </w:r>
      <w:r>
        <w:rPr>
          <w:rFonts w:eastAsia="Times New Roman"/>
          <w:color w:val="000000" w:themeColor="text1"/>
          <w:lang w:val="fr-FR"/>
        </w:rPr>
        <w:t>’</w:t>
      </w:r>
      <w:r w:rsidRPr="004C2A3C">
        <w:rPr>
          <w:rFonts w:eastAsia="Times New Roman"/>
          <w:color w:val="000000" w:themeColor="text1"/>
          <w:lang w:val="fr-FR"/>
        </w:rPr>
        <w:t>une évaluation globale de la force probante des données.</w:t>
      </w:r>
    </w:p>
    <w:p w14:paraId="5382DFCB" w14:textId="77777777" w:rsidR="003F1C55" w:rsidRPr="004C2A3C" w:rsidRDefault="003F1C55" w:rsidP="003F1C55">
      <w:pPr>
        <w:tabs>
          <w:tab w:val="left" w:pos="3402"/>
        </w:tabs>
        <w:spacing w:after="120"/>
        <w:ind w:left="2268" w:right="1134"/>
        <w:jc w:val="both"/>
        <w:rPr>
          <w:rFonts w:eastAsia="Times New Roman"/>
          <w:b/>
          <w:bCs/>
          <w:color w:val="000000" w:themeColor="text1"/>
          <w:lang w:val="fr-FR"/>
        </w:rPr>
      </w:pPr>
      <w:r w:rsidRPr="004C2A3C">
        <w:rPr>
          <w:rFonts w:eastAsia="Times New Roman"/>
          <w:b/>
          <w:bCs/>
          <w:color w:val="000000" w:themeColor="text1"/>
          <w:lang w:val="fr-FR"/>
        </w:rPr>
        <w:t>3.3.2.6</w:t>
      </w:r>
      <w:r w:rsidRPr="004C2A3C">
        <w:rPr>
          <w:rFonts w:eastAsia="Times New Roman"/>
          <w:b/>
          <w:bCs/>
          <w:color w:val="000000" w:themeColor="text1"/>
          <w:lang w:val="fr-FR"/>
        </w:rPr>
        <w:tab/>
      </w:r>
      <w:r w:rsidRPr="004C2A3C">
        <w:rPr>
          <w:rFonts w:eastAsia="Times New Roman"/>
          <w:b/>
          <w:bCs/>
          <w:i/>
          <w:iCs/>
          <w:color w:val="000000" w:themeColor="text1"/>
          <w:lang w:val="fr-FR"/>
        </w:rPr>
        <w:t>Classification fondée sur d</w:t>
      </w:r>
      <w:r>
        <w:rPr>
          <w:rFonts w:eastAsia="Times New Roman"/>
          <w:b/>
          <w:bCs/>
          <w:i/>
          <w:iCs/>
          <w:color w:val="000000" w:themeColor="text1"/>
          <w:lang w:val="fr-FR"/>
        </w:rPr>
        <w:t>’</w:t>
      </w:r>
      <w:r w:rsidRPr="004C2A3C">
        <w:rPr>
          <w:rFonts w:eastAsia="Times New Roman"/>
          <w:b/>
          <w:bCs/>
          <w:i/>
          <w:iCs/>
          <w:color w:val="000000" w:themeColor="text1"/>
          <w:lang w:val="fr-FR"/>
        </w:rPr>
        <w:t>autres données existantes sur des effets cutanés ou oculaires sur animaux (étape 4 de la figure 3.3.1)</w:t>
      </w:r>
    </w:p>
    <w:p w14:paraId="5ED06309" w14:textId="77777777" w:rsidR="003F1C55" w:rsidRPr="004C2A3C" w:rsidRDefault="003F1C55" w:rsidP="003F1C55">
      <w:pPr>
        <w:tabs>
          <w:tab w:val="left" w:pos="3402"/>
        </w:tabs>
        <w:spacing w:after="120"/>
        <w:ind w:left="2268" w:right="1134" w:firstLine="1134"/>
        <w:jc w:val="both"/>
        <w:rPr>
          <w:rFonts w:eastAsia="Times New Roman"/>
          <w:color w:val="000000" w:themeColor="text1"/>
          <w:spacing w:val="-1"/>
          <w:lang w:val="fr-FR"/>
        </w:rPr>
      </w:pPr>
      <w:r w:rsidRPr="004C2A3C">
        <w:rPr>
          <w:rFonts w:eastAsia="Times New Roman"/>
          <w:color w:val="000000" w:themeColor="text1"/>
          <w:spacing w:val="-1"/>
          <w:lang w:val="fr-FR"/>
        </w:rPr>
        <w:t>D</w:t>
      </w:r>
      <w:r>
        <w:rPr>
          <w:rFonts w:eastAsia="Times New Roman"/>
          <w:color w:val="000000" w:themeColor="text1"/>
          <w:spacing w:val="-1"/>
          <w:lang w:val="fr-FR"/>
        </w:rPr>
        <w:t>’</w:t>
      </w:r>
      <w:r w:rsidRPr="004C2A3C">
        <w:rPr>
          <w:rFonts w:eastAsia="Times New Roman"/>
          <w:color w:val="000000" w:themeColor="text1"/>
          <w:spacing w:val="-1"/>
          <w:lang w:val="fr-FR"/>
        </w:rPr>
        <w:t>autres données existantes sur des effets cutanés ou oculaires sur animaux peuvent être utilisées à des fins de classement, mais elles peuvent présenter des limites quant aux conclusions pouvant être tirées (voir 3.3.5.3.6). Les substances classées comme corrosives pour la peau (catégorie 1 cutanée) sur la base d</w:t>
      </w:r>
      <w:r>
        <w:rPr>
          <w:rFonts w:eastAsia="Times New Roman"/>
          <w:color w:val="000000" w:themeColor="text1"/>
          <w:spacing w:val="-1"/>
          <w:lang w:val="fr-FR"/>
        </w:rPr>
        <w:t>’</w:t>
      </w:r>
      <w:r w:rsidRPr="004C2A3C">
        <w:rPr>
          <w:rFonts w:eastAsia="Times New Roman"/>
          <w:color w:val="000000" w:themeColor="text1"/>
          <w:spacing w:val="-1"/>
          <w:lang w:val="fr-FR"/>
        </w:rPr>
        <w:t>autres données existantes sur les effets cutanés selon les critères du chapitre 3.2 sont également considérées comme des substances induisant des lésions oculaires graves (catégorie 1 oculaire). D</w:t>
      </w:r>
      <w:r>
        <w:rPr>
          <w:rFonts w:eastAsia="Times New Roman"/>
          <w:color w:val="000000" w:themeColor="text1"/>
          <w:spacing w:val="-1"/>
          <w:lang w:val="fr-FR"/>
        </w:rPr>
        <w:t>’</w:t>
      </w:r>
      <w:r w:rsidRPr="004C2A3C">
        <w:rPr>
          <w:rFonts w:eastAsia="Times New Roman"/>
          <w:color w:val="000000" w:themeColor="text1"/>
          <w:spacing w:val="-1"/>
          <w:lang w:val="fr-FR"/>
        </w:rPr>
        <w:t>autres données existantes sur des effets cutanés conduisant à une classification dans la catégorie 2 ou 3 cutanée ou à une absence de classification ne peuvent pas être utilisées seules pour conclure à une irritation oculaire ou à une absence de classification pour les effets sur l</w:t>
      </w:r>
      <w:r>
        <w:rPr>
          <w:rFonts w:eastAsia="Times New Roman"/>
          <w:color w:val="000000" w:themeColor="text1"/>
          <w:spacing w:val="-1"/>
          <w:lang w:val="fr-FR"/>
        </w:rPr>
        <w:t>’</w:t>
      </w:r>
      <w:r w:rsidRPr="004C2A3C">
        <w:rPr>
          <w:rFonts w:eastAsia="Times New Roman"/>
          <w:color w:val="000000" w:themeColor="text1"/>
          <w:spacing w:val="-1"/>
          <w:lang w:val="fr-FR"/>
        </w:rPr>
        <w:t>œil, mais peuvent être prises en compte dans le cadre d</w:t>
      </w:r>
      <w:r>
        <w:rPr>
          <w:rFonts w:eastAsia="Times New Roman"/>
          <w:color w:val="000000" w:themeColor="text1"/>
          <w:spacing w:val="-1"/>
          <w:lang w:val="fr-FR"/>
        </w:rPr>
        <w:t>’</w:t>
      </w:r>
      <w:r w:rsidRPr="004C2A3C">
        <w:rPr>
          <w:rFonts w:eastAsia="Times New Roman"/>
          <w:color w:val="000000" w:themeColor="text1"/>
          <w:spacing w:val="-1"/>
          <w:lang w:val="fr-FR"/>
        </w:rPr>
        <w:t>une évaluation globale de la force probante des données.</w:t>
      </w:r>
    </w:p>
    <w:p w14:paraId="7B742682" w14:textId="77777777" w:rsidR="003F1C55" w:rsidRPr="004C2A3C" w:rsidRDefault="003F1C55" w:rsidP="003F1C55">
      <w:pPr>
        <w:spacing w:after="120"/>
        <w:ind w:left="2268" w:right="1134"/>
        <w:jc w:val="both"/>
        <w:rPr>
          <w:rFonts w:eastAsia="Times New Roman"/>
          <w:b/>
          <w:bCs/>
          <w:color w:val="000000" w:themeColor="text1"/>
          <w:lang w:val="fr-FR"/>
        </w:rPr>
      </w:pPr>
      <w:r w:rsidRPr="004C2A3C">
        <w:rPr>
          <w:rFonts w:eastAsia="Times New Roman"/>
          <w:b/>
          <w:bCs/>
          <w:color w:val="000000" w:themeColor="text1"/>
          <w:lang w:val="fr-FR"/>
        </w:rPr>
        <w:t>3.3.2.7</w:t>
      </w:r>
      <w:r w:rsidRPr="004C2A3C">
        <w:rPr>
          <w:rFonts w:eastAsia="Times New Roman"/>
          <w:b/>
          <w:bCs/>
          <w:color w:val="000000" w:themeColor="text1"/>
          <w:lang w:val="fr-FR"/>
        </w:rPr>
        <w:tab/>
      </w:r>
      <w:r w:rsidRPr="004C2A3C">
        <w:rPr>
          <w:rFonts w:eastAsia="Times New Roman"/>
          <w:b/>
          <w:bCs/>
          <w:color w:val="000000" w:themeColor="text1"/>
          <w:lang w:val="fr-FR"/>
        </w:rPr>
        <w:tab/>
      </w:r>
      <w:r w:rsidRPr="004C2A3C">
        <w:rPr>
          <w:rFonts w:eastAsia="Times New Roman"/>
          <w:b/>
          <w:bCs/>
          <w:i/>
          <w:iCs/>
          <w:color w:val="000000" w:themeColor="text1"/>
          <w:lang w:val="fr-FR"/>
        </w:rPr>
        <w:t>Classification fondée sur un pH extrême (pH ≤ 2 ou ≥ 11,5) et une réserve acide</w:t>
      </w:r>
      <w:r w:rsidRPr="004C2A3C">
        <w:rPr>
          <w:rFonts w:eastAsia="Times New Roman"/>
          <w:bCs/>
          <w:iCs/>
          <w:color w:val="000000" w:themeColor="text1"/>
          <w:lang w:val="fr-FR"/>
        </w:rPr>
        <w:t>/</w:t>
      </w:r>
      <w:r w:rsidRPr="004C2A3C">
        <w:rPr>
          <w:rFonts w:eastAsia="Times New Roman"/>
          <w:b/>
          <w:bCs/>
          <w:i/>
          <w:iCs/>
          <w:color w:val="000000" w:themeColor="text1"/>
          <w:lang w:val="fr-FR"/>
        </w:rPr>
        <w:t>alcaline (étape 5 de la figure 3.3.1)</w:t>
      </w:r>
    </w:p>
    <w:p w14:paraId="31F64C0D" w14:textId="77777777" w:rsidR="003F1C55" w:rsidRPr="004C2A3C" w:rsidRDefault="003F1C55" w:rsidP="003F1C55">
      <w:pPr>
        <w:tabs>
          <w:tab w:val="left" w:pos="3402"/>
        </w:tabs>
        <w:spacing w:after="120"/>
        <w:ind w:left="2268" w:right="1134" w:firstLine="1134"/>
        <w:jc w:val="both"/>
        <w:rPr>
          <w:rFonts w:eastAsia="Times New Roman"/>
          <w:color w:val="000000" w:themeColor="text1"/>
          <w:lang w:val="fr-FR"/>
        </w:rPr>
      </w:pPr>
      <w:r w:rsidRPr="004C2A3C">
        <w:rPr>
          <w:rFonts w:eastAsia="Times New Roman"/>
          <w:color w:val="000000" w:themeColor="text1"/>
          <w:lang w:val="fr-FR"/>
        </w:rPr>
        <w:t>Les substances ayant un pH extrême (pH ≤ 2 ou ≥ 11,5) ont généralement des effets importants sur l</w:t>
      </w:r>
      <w:r>
        <w:rPr>
          <w:rFonts w:eastAsia="Times New Roman"/>
          <w:color w:val="000000" w:themeColor="text1"/>
          <w:lang w:val="fr-FR"/>
        </w:rPr>
        <w:t>’</w:t>
      </w:r>
      <w:r w:rsidRPr="004C2A3C">
        <w:rPr>
          <w:rFonts w:eastAsia="Times New Roman"/>
          <w:color w:val="000000" w:themeColor="text1"/>
          <w:lang w:val="fr-FR"/>
        </w:rPr>
        <w:t>œil, surtout lorsque ce pH est associé à</w:t>
      </w:r>
      <w:r w:rsidRPr="004C2A3C">
        <w:rPr>
          <w:rFonts w:eastAsia="Times New Roman"/>
          <w:i/>
          <w:iCs/>
          <w:color w:val="000000" w:themeColor="text1"/>
          <w:lang w:val="fr-FR"/>
        </w:rPr>
        <w:t xml:space="preserve"> </w:t>
      </w:r>
      <w:r w:rsidRPr="004C2A3C">
        <w:rPr>
          <w:rFonts w:eastAsia="Times New Roman"/>
          <w:color w:val="000000" w:themeColor="text1"/>
          <w:lang w:val="fr-FR"/>
        </w:rPr>
        <w:t>une réserve acide/alcaline significative. Une substance dont le pH est ≤ 2 ou ≥ 11,5 est donc considérée comme induisant des lésions oculaires graves (catégorie 1) à cette étape si elle présente une réserve acide/alcaline significative ou s</w:t>
      </w:r>
      <w:r>
        <w:rPr>
          <w:rFonts w:eastAsia="Times New Roman"/>
          <w:color w:val="000000" w:themeColor="text1"/>
          <w:lang w:val="fr-FR"/>
        </w:rPr>
        <w:t>’</w:t>
      </w:r>
      <w:r w:rsidRPr="004C2A3C">
        <w:rPr>
          <w:rFonts w:eastAsia="Times New Roman"/>
          <w:color w:val="000000" w:themeColor="text1"/>
          <w:lang w:val="fr-FR"/>
        </w:rPr>
        <w:t>il n</w:t>
      </w:r>
      <w:r>
        <w:rPr>
          <w:rFonts w:eastAsia="Times New Roman"/>
          <w:color w:val="000000" w:themeColor="text1"/>
          <w:lang w:val="fr-FR"/>
        </w:rPr>
        <w:t>’</w:t>
      </w:r>
      <w:r w:rsidRPr="004C2A3C">
        <w:rPr>
          <w:rFonts w:eastAsia="Times New Roman"/>
          <w:color w:val="000000" w:themeColor="text1"/>
          <w:lang w:val="fr-FR"/>
        </w:rPr>
        <w:t>existe pas de données concernant la réserve acide/alcaline. Toutefois, si l</w:t>
      </w:r>
      <w:r>
        <w:rPr>
          <w:rFonts w:eastAsia="Times New Roman"/>
          <w:color w:val="000000" w:themeColor="text1"/>
          <w:lang w:val="fr-FR"/>
        </w:rPr>
        <w:t>’</w:t>
      </w:r>
      <w:r w:rsidRPr="004C2A3C">
        <w:rPr>
          <w:rFonts w:eastAsia="Times New Roman"/>
          <w:color w:val="000000" w:themeColor="text1"/>
          <w:lang w:val="fr-FR"/>
        </w:rPr>
        <w:t>examen de la réserve acide/alcaline laisse penser que la substance pourrait ne pas induire de graves lésions oculaires</w:t>
      </w:r>
      <w:r w:rsidRPr="004C2A3C">
        <w:rPr>
          <w:rFonts w:eastAsia="Times New Roman"/>
          <w:i/>
          <w:iCs/>
          <w:color w:val="000000" w:themeColor="text1"/>
          <w:lang w:val="fr-FR"/>
        </w:rPr>
        <w:t xml:space="preserve"> </w:t>
      </w:r>
      <w:r w:rsidRPr="004C2A3C">
        <w:rPr>
          <w:rFonts w:eastAsia="Times New Roman"/>
          <w:color w:val="000000" w:themeColor="text1"/>
          <w:lang w:val="fr-FR"/>
        </w:rPr>
        <w:t>malgré un pH extrême, le résultat est jugé non concluant à cette même étape (voir figure 3.3.1). Un pH &gt; 2 ou &lt; 11,5 est considéré comme non concluant et ne peut être utilisé à des fins de classification. La réserve acide/alcaline et le pH peuvent être déterminés au moyen de différentes méthodes, notamment celles décrites dans la ligne directrice 122 de l</w:t>
      </w:r>
      <w:r>
        <w:rPr>
          <w:rFonts w:eastAsia="Times New Roman"/>
          <w:color w:val="000000" w:themeColor="text1"/>
          <w:lang w:val="fr-FR"/>
        </w:rPr>
        <w:t>’</w:t>
      </w:r>
      <w:r w:rsidRPr="004C2A3C">
        <w:rPr>
          <w:rFonts w:eastAsia="Times New Roman"/>
          <w:color w:val="000000" w:themeColor="text1"/>
          <w:lang w:val="fr-FR"/>
        </w:rPr>
        <w:t xml:space="preserve">OCDE et dans la publication de Young </w:t>
      </w:r>
      <w:r w:rsidRPr="004C2A3C">
        <w:rPr>
          <w:rFonts w:eastAsia="Times New Roman"/>
          <w:i/>
          <w:iCs/>
          <w:color w:val="000000" w:themeColor="text1"/>
          <w:lang w:val="fr-FR"/>
        </w:rPr>
        <w:t>et al.</w:t>
      </w:r>
      <w:r w:rsidRPr="004C2A3C">
        <w:rPr>
          <w:rFonts w:eastAsia="Times New Roman"/>
          <w:color w:val="000000" w:themeColor="text1"/>
          <w:lang w:val="fr-FR"/>
        </w:rPr>
        <w:t xml:space="preserve"> (1988), sachant cependant que des différences existent entre ces méthodes (voir 3.3.5.3.7). Une autorité compétente peut décider quels critères appliquer pour déterminer si une réserve acide/alcaline est significative.</w:t>
      </w:r>
    </w:p>
    <w:p w14:paraId="50D06E41" w14:textId="77777777" w:rsidR="003F1C55" w:rsidRPr="004C2A3C" w:rsidRDefault="003F1C55" w:rsidP="003F1C55">
      <w:pPr>
        <w:spacing w:after="120"/>
        <w:ind w:left="2268" w:right="1134"/>
        <w:jc w:val="both"/>
        <w:rPr>
          <w:rFonts w:eastAsia="Times New Roman"/>
          <w:b/>
          <w:bCs/>
          <w:color w:val="000000" w:themeColor="text1"/>
          <w:lang w:val="fr-FR"/>
        </w:rPr>
      </w:pPr>
      <w:r w:rsidRPr="004C2A3C">
        <w:rPr>
          <w:rFonts w:eastAsia="Times New Roman"/>
          <w:b/>
          <w:bCs/>
          <w:color w:val="000000" w:themeColor="text1"/>
          <w:lang w:val="fr-FR"/>
        </w:rPr>
        <w:t>3.3.2.8</w:t>
      </w:r>
      <w:r w:rsidRPr="004C2A3C">
        <w:rPr>
          <w:rFonts w:eastAsia="Times New Roman"/>
          <w:b/>
          <w:bCs/>
          <w:color w:val="000000" w:themeColor="text1"/>
          <w:lang w:val="fr-FR"/>
        </w:rPr>
        <w:tab/>
      </w:r>
      <w:r w:rsidRPr="004C2A3C">
        <w:rPr>
          <w:rFonts w:eastAsia="Times New Roman"/>
          <w:b/>
          <w:bCs/>
          <w:color w:val="000000" w:themeColor="text1"/>
          <w:lang w:val="fr-FR"/>
        </w:rPr>
        <w:tab/>
      </w:r>
      <w:r w:rsidRPr="004C2A3C">
        <w:rPr>
          <w:rFonts w:eastAsia="Times New Roman"/>
          <w:b/>
          <w:bCs/>
          <w:i/>
          <w:iCs/>
          <w:color w:val="000000" w:themeColor="text1"/>
          <w:lang w:val="fr-FR"/>
        </w:rPr>
        <w:t>Classification fondée sur des méthodes sans essais pour les lésions oculaires graves</w:t>
      </w:r>
      <w:r w:rsidRPr="004C2A3C">
        <w:rPr>
          <w:rFonts w:eastAsia="Times New Roman"/>
          <w:bCs/>
          <w:iCs/>
          <w:color w:val="000000" w:themeColor="text1"/>
          <w:lang w:val="fr-FR"/>
        </w:rPr>
        <w:t>/</w:t>
      </w:r>
      <w:r w:rsidRPr="004C2A3C">
        <w:rPr>
          <w:rFonts w:eastAsia="Times New Roman"/>
          <w:b/>
          <w:bCs/>
          <w:i/>
          <w:iCs/>
          <w:color w:val="000000" w:themeColor="text1"/>
          <w:lang w:val="fr-FR"/>
        </w:rPr>
        <w:t>l</w:t>
      </w:r>
      <w:r>
        <w:rPr>
          <w:rFonts w:eastAsia="Times New Roman"/>
          <w:b/>
          <w:bCs/>
          <w:i/>
          <w:iCs/>
          <w:color w:val="000000" w:themeColor="text1"/>
          <w:lang w:val="fr-FR"/>
        </w:rPr>
        <w:t>’</w:t>
      </w:r>
      <w:r w:rsidRPr="004C2A3C">
        <w:rPr>
          <w:rFonts w:eastAsia="Times New Roman"/>
          <w:b/>
          <w:bCs/>
          <w:i/>
          <w:iCs/>
          <w:color w:val="000000" w:themeColor="text1"/>
          <w:lang w:val="fr-FR"/>
        </w:rPr>
        <w:t>irritation oculaire ou pour la corrosion cutanée (étape 6 de la figure 3.3.1)</w:t>
      </w:r>
    </w:p>
    <w:p w14:paraId="6722A427" w14:textId="77777777" w:rsidR="003F1C55" w:rsidRPr="004C2A3C" w:rsidRDefault="003F1C55" w:rsidP="003F1C55">
      <w:pPr>
        <w:tabs>
          <w:tab w:val="left" w:pos="2268"/>
        </w:tabs>
        <w:spacing w:after="120"/>
        <w:ind w:left="2268" w:right="1134"/>
        <w:jc w:val="both"/>
        <w:rPr>
          <w:rFonts w:eastAsia="Times New Roman"/>
          <w:color w:val="000000" w:themeColor="text1"/>
          <w:lang w:val="fr-FR"/>
        </w:rPr>
      </w:pPr>
      <w:r w:rsidRPr="004C2A3C">
        <w:rPr>
          <w:rFonts w:eastAsia="Times New Roman"/>
          <w:color w:val="000000" w:themeColor="text1"/>
          <w:lang w:val="fr-FR"/>
        </w:rPr>
        <w:t>3.3.2.8.1</w:t>
      </w:r>
      <w:r w:rsidRPr="004C2A3C">
        <w:rPr>
          <w:rFonts w:eastAsia="Times New Roman"/>
          <w:color w:val="000000" w:themeColor="text1"/>
          <w:lang w:val="fr-FR"/>
        </w:rPr>
        <w:tab/>
        <w:t>Le classement, y compris la conclusion de non-classement, peut reposer sur des méthodes sans essais appliquées au cas par cas, compte dûment tenu de la fiabilité et de l</w:t>
      </w:r>
      <w:r>
        <w:rPr>
          <w:rFonts w:eastAsia="Times New Roman"/>
          <w:color w:val="000000" w:themeColor="text1"/>
          <w:lang w:val="fr-FR"/>
        </w:rPr>
        <w:t>’</w:t>
      </w:r>
      <w:r w:rsidRPr="004C2A3C">
        <w:rPr>
          <w:rFonts w:eastAsia="Times New Roman"/>
          <w:color w:val="000000" w:themeColor="text1"/>
          <w:lang w:val="fr-FR"/>
        </w:rPr>
        <w:t>applicabilité. Ces méthodes comprennent les modèles informatisés estimant les relations qualitatives structure-activité (alertes structurelles, SAR) ou les relations quantitatives structure-activité (QSAR), les systèmes informatiques experts et la lecture croisée par analogie ou par catégorie.</w:t>
      </w:r>
    </w:p>
    <w:p w14:paraId="370065A1" w14:textId="77777777" w:rsidR="003F1C55" w:rsidRPr="004C2A3C" w:rsidRDefault="003F1C55" w:rsidP="003F1C55">
      <w:pPr>
        <w:tabs>
          <w:tab w:val="left" w:pos="2268"/>
          <w:tab w:val="left" w:pos="3402"/>
        </w:tabs>
        <w:spacing w:after="120"/>
        <w:ind w:left="2268" w:right="1134"/>
        <w:jc w:val="both"/>
        <w:rPr>
          <w:rFonts w:eastAsia="Times New Roman"/>
          <w:color w:val="000000" w:themeColor="text1"/>
          <w:lang w:val="fr-FR"/>
        </w:rPr>
      </w:pPr>
      <w:r w:rsidRPr="004C2A3C">
        <w:rPr>
          <w:rFonts w:eastAsia="Times New Roman"/>
          <w:color w:val="000000" w:themeColor="text1"/>
          <w:lang w:val="fr-FR"/>
        </w:rPr>
        <w:t>3.3.2.8.2</w:t>
      </w:r>
      <w:r w:rsidRPr="004C2A3C">
        <w:rPr>
          <w:rFonts w:eastAsia="Times New Roman"/>
          <w:color w:val="000000" w:themeColor="text1"/>
          <w:lang w:val="fr-FR"/>
        </w:rPr>
        <w:tab/>
        <w:t>La méthode de lecture croisée par analogie ou par catégorie doit pouvoir reposer sur suffisamment de données d</w:t>
      </w:r>
      <w:r>
        <w:rPr>
          <w:rFonts w:eastAsia="Times New Roman"/>
          <w:color w:val="000000" w:themeColor="text1"/>
          <w:lang w:val="fr-FR"/>
        </w:rPr>
        <w:t>’</w:t>
      </w:r>
      <w:r w:rsidRPr="004C2A3C">
        <w:rPr>
          <w:rFonts w:eastAsia="Times New Roman"/>
          <w:color w:val="000000" w:themeColor="text1"/>
          <w:lang w:val="fr-FR"/>
        </w:rPr>
        <w:t>essai fiables pour une ou des substances similaires et justifier de la similarité des substances testées et de la ou des substances à classer. Lorsqu</w:t>
      </w:r>
      <w:r>
        <w:rPr>
          <w:rFonts w:eastAsia="Times New Roman"/>
          <w:color w:val="000000" w:themeColor="text1"/>
          <w:lang w:val="fr-FR"/>
        </w:rPr>
        <w:t>’</w:t>
      </w:r>
      <w:r w:rsidRPr="004C2A3C">
        <w:rPr>
          <w:rFonts w:eastAsia="Times New Roman"/>
          <w:color w:val="000000" w:themeColor="text1"/>
          <w:lang w:val="fr-FR"/>
        </w:rPr>
        <w:t>une justification valable de la méthode de lecture croisée est fournie, elle a souvent un poids supérieur par rapport aux méthodes (Q)SAR.</w:t>
      </w:r>
    </w:p>
    <w:p w14:paraId="254795D3" w14:textId="77777777" w:rsidR="003F1C55" w:rsidRPr="004C2A3C" w:rsidRDefault="003F1C55" w:rsidP="003F1C55">
      <w:pPr>
        <w:tabs>
          <w:tab w:val="left" w:pos="2268"/>
          <w:tab w:val="left" w:pos="3402"/>
        </w:tabs>
        <w:spacing w:after="120"/>
        <w:ind w:left="2268" w:right="1134"/>
        <w:jc w:val="both"/>
        <w:rPr>
          <w:rFonts w:eastAsia="Times New Roman"/>
          <w:color w:val="000000" w:themeColor="text1"/>
          <w:lang w:val="fr-FR"/>
        </w:rPr>
      </w:pPr>
      <w:r w:rsidRPr="004C2A3C">
        <w:rPr>
          <w:rFonts w:eastAsia="Times New Roman"/>
          <w:color w:val="000000" w:themeColor="text1"/>
          <w:lang w:val="fr-FR"/>
        </w:rPr>
        <w:t>3.3.2.8.3</w:t>
      </w:r>
      <w:r w:rsidRPr="004C2A3C">
        <w:rPr>
          <w:rFonts w:eastAsia="Times New Roman"/>
          <w:color w:val="000000" w:themeColor="text1"/>
          <w:lang w:val="fr-FR"/>
        </w:rPr>
        <w:tab/>
        <w:t>La classification fondée sur les méthodes (Q)SAR requiert des données suffisantes et la validation du modèle. La validité des modèles informatiques et de la prévision devrait être évaluée sur la base des principes de validation des (Q)SAR internationalement reconnus. S</w:t>
      </w:r>
      <w:r>
        <w:rPr>
          <w:rFonts w:eastAsia="Times New Roman"/>
          <w:color w:val="000000" w:themeColor="text1"/>
          <w:lang w:val="fr-FR"/>
        </w:rPr>
        <w:t>’</w:t>
      </w:r>
      <w:r w:rsidRPr="004C2A3C">
        <w:rPr>
          <w:rFonts w:eastAsia="Times New Roman"/>
          <w:color w:val="000000" w:themeColor="text1"/>
          <w:lang w:val="fr-FR"/>
        </w:rPr>
        <w:t>agissant de la fiabilité, l</w:t>
      </w:r>
      <w:r>
        <w:rPr>
          <w:rFonts w:eastAsia="Times New Roman"/>
          <w:color w:val="000000" w:themeColor="text1"/>
          <w:lang w:val="fr-FR"/>
        </w:rPr>
        <w:t>’</w:t>
      </w:r>
      <w:r w:rsidRPr="004C2A3C">
        <w:rPr>
          <w:rFonts w:eastAsia="Times New Roman"/>
          <w:color w:val="000000" w:themeColor="text1"/>
          <w:lang w:val="fr-FR"/>
        </w:rPr>
        <w:t>absence d</w:t>
      </w:r>
      <w:r>
        <w:rPr>
          <w:rFonts w:eastAsia="Times New Roman"/>
          <w:color w:val="000000" w:themeColor="text1"/>
          <w:lang w:val="fr-FR"/>
        </w:rPr>
        <w:t>’</w:t>
      </w:r>
      <w:r w:rsidRPr="004C2A3C">
        <w:rPr>
          <w:rFonts w:eastAsia="Times New Roman"/>
          <w:color w:val="000000" w:themeColor="text1"/>
          <w:lang w:val="fr-FR"/>
        </w:rPr>
        <w:t>alertes dans un modèle SAR ou dans un système expert ne suffit pas à justifier l</w:t>
      </w:r>
      <w:r>
        <w:rPr>
          <w:rFonts w:eastAsia="Times New Roman"/>
          <w:color w:val="000000" w:themeColor="text1"/>
          <w:lang w:val="fr-FR"/>
        </w:rPr>
        <w:t>’</w:t>
      </w:r>
      <w:r w:rsidRPr="004C2A3C">
        <w:rPr>
          <w:rFonts w:eastAsia="Times New Roman"/>
          <w:color w:val="000000" w:themeColor="text1"/>
          <w:lang w:val="fr-FR"/>
        </w:rPr>
        <w:t>absence de classement.</w:t>
      </w:r>
    </w:p>
    <w:p w14:paraId="464B8C4E" w14:textId="77777777" w:rsidR="003F1C55" w:rsidRPr="004C2A3C" w:rsidRDefault="003F1C55" w:rsidP="003F1C55">
      <w:pPr>
        <w:tabs>
          <w:tab w:val="left" w:pos="2268"/>
          <w:tab w:val="left" w:pos="3402"/>
        </w:tabs>
        <w:spacing w:after="120"/>
        <w:ind w:left="2268" w:right="1134"/>
        <w:jc w:val="both"/>
        <w:rPr>
          <w:rFonts w:eastAsia="Times New Roman"/>
          <w:color w:val="000000" w:themeColor="text1"/>
          <w:lang w:val="fr-FR"/>
        </w:rPr>
      </w:pPr>
      <w:r w:rsidRPr="004C2A3C">
        <w:rPr>
          <w:rFonts w:eastAsia="Times New Roman"/>
          <w:color w:val="000000" w:themeColor="text1"/>
          <w:lang w:val="fr-FR"/>
        </w:rPr>
        <w:t>3.3.2.8.4</w:t>
      </w:r>
      <w:r w:rsidRPr="004C2A3C">
        <w:rPr>
          <w:rFonts w:eastAsia="Times New Roman"/>
          <w:color w:val="000000" w:themeColor="text1"/>
          <w:lang w:val="fr-FR"/>
        </w:rPr>
        <w:tab/>
        <w:t>Des données obtenues sans essais</w:t>
      </w:r>
      <w:r w:rsidRPr="004C2A3C">
        <w:rPr>
          <w:rFonts w:eastAsia="Times New Roman"/>
          <w:i/>
          <w:iCs/>
          <w:color w:val="000000" w:themeColor="text1"/>
          <w:lang w:val="fr-FR"/>
        </w:rPr>
        <w:t xml:space="preserve"> </w:t>
      </w:r>
      <w:r w:rsidRPr="004C2A3C">
        <w:rPr>
          <w:rFonts w:eastAsia="Times New Roman"/>
          <w:color w:val="000000" w:themeColor="text1"/>
          <w:lang w:val="fr-FR"/>
        </w:rPr>
        <w:t>qui sont concluantes pour la corrosion cutanée peuvent être utilisées pour la classification des effets oculaires. En conséquence, les substances classées comme corrosives pour la peau (catégorie 1 cutanée) selon les critères du chapitre 3.2 sont également considérées comme des substances induisant des lésions oculaires graves (catégorie 1 oculaire). L</w:t>
      </w:r>
      <w:r>
        <w:rPr>
          <w:rFonts w:eastAsia="Times New Roman"/>
          <w:color w:val="000000" w:themeColor="text1"/>
          <w:lang w:val="fr-FR"/>
        </w:rPr>
        <w:t>’</w:t>
      </w:r>
      <w:r w:rsidRPr="004C2A3C">
        <w:rPr>
          <w:rFonts w:eastAsia="Times New Roman"/>
          <w:color w:val="000000" w:themeColor="text1"/>
          <w:lang w:val="fr-FR"/>
        </w:rPr>
        <w:t>irritation cutanée (catégorie 2), l</w:t>
      </w:r>
      <w:r>
        <w:rPr>
          <w:rFonts w:eastAsia="Times New Roman"/>
          <w:color w:val="000000" w:themeColor="text1"/>
          <w:lang w:val="fr-FR"/>
        </w:rPr>
        <w:t>’</w:t>
      </w:r>
      <w:r w:rsidRPr="004C2A3C">
        <w:rPr>
          <w:rFonts w:eastAsia="Times New Roman"/>
          <w:color w:val="000000" w:themeColor="text1"/>
          <w:lang w:val="fr-FR"/>
        </w:rPr>
        <w:t>irritation cutanée légère (catégorie 3) et l</w:t>
      </w:r>
      <w:r>
        <w:rPr>
          <w:rFonts w:eastAsia="Times New Roman"/>
          <w:color w:val="000000" w:themeColor="text1"/>
          <w:lang w:val="fr-FR"/>
        </w:rPr>
        <w:t>’</w:t>
      </w:r>
      <w:r w:rsidRPr="004C2A3C">
        <w:rPr>
          <w:rFonts w:eastAsia="Times New Roman"/>
          <w:color w:val="000000" w:themeColor="text1"/>
          <w:lang w:val="fr-FR"/>
        </w:rPr>
        <w:t>absence de classification pour l</w:t>
      </w:r>
      <w:r>
        <w:rPr>
          <w:rFonts w:eastAsia="Times New Roman"/>
          <w:color w:val="000000" w:themeColor="text1"/>
          <w:lang w:val="fr-FR"/>
        </w:rPr>
        <w:t>’</w:t>
      </w:r>
      <w:r w:rsidRPr="004C2A3C">
        <w:rPr>
          <w:rFonts w:eastAsia="Times New Roman"/>
          <w:color w:val="000000" w:themeColor="text1"/>
          <w:lang w:val="fr-FR"/>
        </w:rPr>
        <w:t>irritation cutanée selon le chapitre 3.2 ne peuvent pas être invoquées à elles seules pour conclure à une irritation oculaire ou à l</w:t>
      </w:r>
      <w:r>
        <w:rPr>
          <w:rFonts w:eastAsia="Times New Roman"/>
          <w:color w:val="000000" w:themeColor="text1"/>
          <w:lang w:val="fr-FR"/>
        </w:rPr>
        <w:t>’</w:t>
      </w:r>
      <w:r w:rsidRPr="004C2A3C">
        <w:rPr>
          <w:rFonts w:eastAsia="Times New Roman"/>
          <w:color w:val="000000" w:themeColor="text1"/>
          <w:lang w:val="fr-FR"/>
        </w:rPr>
        <w:t>absence de classification pour les effets oculaires, mais peuvent être prises en considération dans le cadre d</w:t>
      </w:r>
      <w:r>
        <w:rPr>
          <w:rFonts w:eastAsia="Times New Roman"/>
          <w:color w:val="000000" w:themeColor="text1"/>
          <w:lang w:val="fr-FR"/>
        </w:rPr>
        <w:t>’</w:t>
      </w:r>
      <w:r w:rsidRPr="004C2A3C">
        <w:rPr>
          <w:rFonts w:eastAsia="Times New Roman"/>
          <w:color w:val="000000" w:themeColor="text1"/>
          <w:lang w:val="fr-FR"/>
        </w:rPr>
        <w:t>une évaluation globale de la force probante des données.</w:t>
      </w:r>
    </w:p>
    <w:p w14:paraId="5B525F35" w14:textId="77777777" w:rsidR="003F1C55" w:rsidRPr="004C2A3C" w:rsidRDefault="003F1C55" w:rsidP="003F1C55">
      <w:pPr>
        <w:keepNext/>
        <w:tabs>
          <w:tab w:val="left" w:pos="2268"/>
        </w:tabs>
        <w:spacing w:after="120"/>
        <w:ind w:left="2268" w:right="1134"/>
        <w:jc w:val="both"/>
        <w:rPr>
          <w:rFonts w:eastAsia="Times New Roman"/>
          <w:b/>
          <w:bCs/>
          <w:i/>
          <w:iCs/>
          <w:color w:val="000000" w:themeColor="text1"/>
          <w:lang w:val="fr-FR"/>
        </w:rPr>
      </w:pPr>
      <w:r w:rsidRPr="004C2A3C">
        <w:rPr>
          <w:rFonts w:eastAsia="Times New Roman"/>
          <w:b/>
          <w:bCs/>
          <w:color w:val="000000" w:themeColor="text1"/>
          <w:lang w:val="fr-FR"/>
        </w:rPr>
        <w:t>3.3.2.9</w:t>
      </w:r>
      <w:r w:rsidRPr="004C2A3C">
        <w:rPr>
          <w:rFonts w:eastAsia="Times New Roman"/>
          <w:color w:val="000000" w:themeColor="text1"/>
          <w:lang w:val="fr-FR"/>
        </w:rPr>
        <w:tab/>
      </w:r>
      <w:r w:rsidRPr="004C2A3C">
        <w:rPr>
          <w:rFonts w:eastAsia="Times New Roman"/>
          <w:color w:val="000000" w:themeColor="text1"/>
          <w:lang w:val="fr-FR"/>
        </w:rPr>
        <w:tab/>
      </w:r>
      <w:r w:rsidRPr="004C2A3C">
        <w:rPr>
          <w:rFonts w:eastAsia="Times New Roman"/>
          <w:b/>
          <w:bCs/>
          <w:i/>
          <w:iCs/>
          <w:color w:val="000000" w:themeColor="text1"/>
          <w:lang w:val="fr-FR"/>
        </w:rPr>
        <w:t>Classification fondée sur une évaluation globale de la force probante des données (étape 7 de la figure 3.3.1)</w:t>
      </w:r>
    </w:p>
    <w:p w14:paraId="021B4A0D" w14:textId="77777777" w:rsidR="003F1C55" w:rsidRPr="004C2A3C" w:rsidRDefault="003F1C55" w:rsidP="003F1C55">
      <w:pPr>
        <w:tabs>
          <w:tab w:val="left" w:pos="2268"/>
          <w:tab w:val="left" w:pos="3402"/>
        </w:tabs>
        <w:spacing w:after="120"/>
        <w:ind w:left="2268" w:right="1134"/>
        <w:jc w:val="both"/>
        <w:rPr>
          <w:rFonts w:eastAsia="Times New Roman"/>
          <w:color w:val="000000" w:themeColor="text1"/>
          <w:lang w:val="fr-FR"/>
        </w:rPr>
      </w:pPr>
      <w:r w:rsidRPr="004C2A3C">
        <w:rPr>
          <w:rFonts w:eastAsia="Times New Roman"/>
          <w:color w:val="000000" w:themeColor="text1"/>
          <w:lang w:val="fr-FR"/>
        </w:rPr>
        <w:t>3.3.2.9.1</w:t>
      </w:r>
      <w:r w:rsidRPr="004C2A3C">
        <w:rPr>
          <w:rFonts w:eastAsia="Times New Roman"/>
          <w:color w:val="000000" w:themeColor="text1"/>
          <w:lang w:val="fr-FR"/>
        </w:rPr>
        <w:tab/>
        <w:t>Une évaluation globale de la force probante des données s</w:t>
      </w:r>
      <w:r>
        <w:rPr>
          <w:rFonts w:eastAsia="Times New Roman"/>
          <w:color w:val="000000" w:themeColor="text1"/>
          <w:lang w:val="fr-FR"/>
        </w:rPr>
        <w:t>’</w:t>
      </w:r>
      <w:r w:rsidRPr="004C2A3C">
        <w:rPr>
          <w:rFonts w:eastAsia="Times New Roman"/>
          <w:color w:val="000000" w:themeColor="text1"/>
          <w:lang w:val="fr-FR"/>
        </w:rPr>
        <w:t>appuyant sur l</w:t>
      </w:r>
      <w:r>
        <w:rPr>
          <w:rFonts w:eastAsia="Times New Roman"/>
          <w:color w:val="000000" w:themeColor="text1"/>
          <w:lang w:val="fr-FR"/>
        </w:rPr>
        <w:t>’</w:t>
      </w:r>
      <w:r w:rsidRPr="004C2A3C">
        <w:rPr>
          <w:rFonts w:eastAsia="Times New Roman"/>
          <w:color w:val="000000" w:themeColor="text1"/>
          <w:lang w:val="fr-FR"/>
        </w:rPr>
        <w:t>avis d</w:t>
      </w:r>
      <w:r>
        <w:rPr>
          <w:rFonts w:eastAsia="Times New Roman"/>
          <w:color w:val="000000" w:themeColor="text1"/>
          <w:lang w:val="fr-FR"/>
        </w:rPr>
        <w:t>’</w:t>
      </w:r>
      <w:r w:rsidRPr="004C2A3C">
        <w:rPr>
          <w:rFonts w:eastAsia="Times New Roman"/>
          <w:color w:val="000000" w:themeColor="text1"/>
          <w:lang w:val="fr-FR"/>
        </w:rPr>
        <w:t>un expert est indiquée lorsqu</w:t>
      </w:r>
      <w:r>
        <w:rPr>
          <w:rFonts w:eastAsia="Times New Roman"/>
          <w:color w:val="000000" w:themeColor="text1"/>
          <w:lang w:val="fr-FR"/>
        </w:rPr>
        <w:t>’</w:t>
      </w:r>
      <w:r w:rsidRPr="004C2A3C">
        <w:rPr>
          <w:rFonts w:eastAsia="Times New Roman"/>
          <w:color w:val="000000" w:themeColor="text1"/>
          <w:lang w:val="fr-FR"/>
        </w:rPr>
        <w:t>aucune des étapes précédentes n</w:t>
      </w:r>
      <w:r>
        <w:rPr>
          <w:rFonts w:eastAsia="Times New Roman"/>
          <w:color w:val="000000" w:themeColor="text1"/>
          <w:lang w:val="fr-FR"/>
        </w:rPr>
        <w:t>’</w:t>
      </w:r>
      <w:r w:rsidRPr="004C2A3C">
        <w:rPr>
          <w:rFonts w:eastAsia="Times New Roman"/>
          <w:color w:val="000000" w:themeColor="text1"/>
          <w:lang w:val="fr-FR"/>
        </w:rPr>
        <w:t>a abouti à une conclusion définitive sur la classification. Dans certains cas, lorsque la décision relative à la classification a été reportée jusqu</w:t>
      </w:r>
      <w:r>
        <w:rPr>
          <w:rFonts w:eastAsia="Times New Roman"/>
          <w:color w:val="000000" w:themeColor="text1"/>
          <w:lang w:val="fr-FR"/>
        </w:rPr>
        <w:t>’</w:t>
      </w:r>
      <w:r w:rsidRPr="004C2A3C">
        <w:rPr>
          <w:rFonts w:eastAsia="Times New Roman"/>
          <w:color w:val="000000" w:themeColor="text1"/>
          <w:lang w:val="fr-FR"/>
        </w:rPr>
        <w:t>à l</w:t>
      </w:r>
      <w:r>
        <w:rPr>
          <w:rFonts w:eastAsia="Times New Roman"/>
          <w:color w:val="000000" w:themeColor="text1"/>
          <w:lang w:val="fr-FR"/>
        </w:rPr>
        <w:t>’</w:t>
      </w:r>
      <w:r w:rsidRPr="004C2A3C">
        <w:rPr>
          <w:rFonts w:eastAsia="Times New Roman"/>
          <w:color w:val="000000" w:themeColor="text1"/>
          <w:lang w:val="fr-FR"/>
        </w:rPr>
        <w:t>étape de l</w:t>
      </w:r>
      <w:r>
        <w:rPr>
          <w:rFonts w:eastAsia="Times New Roman"/>
          <w:color w:val="000000" w:themeColor="text1"/>
          <w:lang w:val="fr-FR"/>
        </w:rPr>
        <w:t>’</w:t>
      </w:r>
      <w:r w:rsidRPr="004C2A3C">
        <w:rPr>
          <w:rFonts w:eastAsia="Times New Roman"/>
          <w:color w:val="000000" w:themeColor="text1"/>
          <w:lang w:val="fr-FR"/>
        </w:rPr>
        <w:t>évaluation globale de la force probante des données, mais qu</w:t>
      </w:r>
      <w:r>
        <w:rPr>
          <w:rFonts w:eastAsia="Times New Roman"/>
          <w:color w:val="000000" w:themeColor="text1"/>
          <w:lang w:val="fr-FR"/>
        </w:rPr>
        <w:t>’</w:t>
      </w:r>
      <w:r w:rsidRPr="004C2A3C">
        <w:rPr>
          <w:rFonts w:eastAsia="Times New Roman"/>
          <w:color w:val="000000" w:themeColor="text1"/>
          <w:lang w:val="fr-FR"/>
        </w:rPr>
        <w:t>aucune autre donnée n</w:t>
      </w:r>
      <w:r>
        <w:rPr>
          <w:rFonts w:eastAsia="Times New Roman"/>
          <w:color w:val="000000" w:themeColor="text1"/>
          <w:lang w:val="fr-FR"/>
        </w:rPr>
        <w:t>’</w:t>
      </w:r>
      <w:r w:rsidRPr="004C2A3C">
        <w:rPr>
          <w:rFonts w:eastAsia="Times New Roman"/>
          <w:color w:val="000000" w:themeColor="text1"/>
          <w:lang w:val="fr-FR"/>
        </w:rPr>
        <w:t>est disponible, une classification peut encore être envisageable.</w:t>
      </w:r>
    </w:p>
    <w:p w14:paraId="6BF4875F" w14:textId="77777777" w:rsidR="003F1C55" w:rsidRPr="004C2A3C" w:rsidRDefault="003F1C55" w:rsidP="003F1C55">
      <w:pPr>
        <w:tabs>
          <w:tab w:val="left" w:pos="2268"/>
          <w:tab w:val="left" w:pos="3402"/>
        </w:tabs>
        <w:spacing w:after="120"/>
        <w:ind w:left="2268" w:right="1134"/>
        <w:jc w:val="both"/>
        <w:rPr>
          <w:rFonts w:eastAsia="Times New Roman"/>
          <w:color w:val="000000" w:themeColor="text1"/>
          <w:lang w:val="fr-FR"/>
        </w:rPr>
      </w:pPr>
      <w:r w:rsidRPr="004C2A3C">
        <w:rPr>
          <w:rFonts w:eastAsia="Times New Roman"/>
          <w:color w:val="000000" w:themeColor="text1"/>
          <w:lang w:val="fr-FR"/>
        </w:rPr>
        <w:t>3.3.2.9.2</w:t>
      </w:r>
      <w:r w:rsidRPr="004C2A3C">
        <w:rPr>
          <w:rFonts w:eastAsia="Times New Roman"/>
          <w:color w:val="000000" w:themeColor="text1"/>
          <w:lang w:val="fr-FR"/>
        </w:rPr>
        <w:tab/>
        <w:t>Une substance ayant un pH extrême (pH ≤ 2 ou ≥ 11,5) et une réserve acide/alcaline négligeable (résultat jugé non concluant à l</w:t>
      </w:r>
      <w:r>
        <w:rPr>
          <w:rFonts w:eastAsia="Times New Roman"/>
          <w:color w:val="000000" w:themeColor="text1"/>
          <w:lang w:val="fr-FR"/>
        </w:rPr>
        <w:t>’</w:t>
      </w:r>
      <w:r w:rsidRPr="004C2A3C">
        <w:rPr>
          <w:rFonts w:eastAsia="Times New Roman"/>
          <w:color w:val="000000" w:themeColor="text1"/>
          <w:lang w:val="fr-FR"/>
        </w:rPr>
        <w:t>étape 5 ; voir 3.3.2.7), et pour laquelle aucune autre information n</w:t>
      </w:r>
      <w:r>
        <w:rPr>
          <w:rFonts w:eastAsia="Times New Roman"/>
          <w:color w:val="000000" w:themeColor="text1"/>
          <w:lang w:val="fr-FR"/>
        </w:rPr>
        <w:t>’</w:t>
      </w:r>
      <w:r w:rsidRPr="004C2A3C">
        <w:rPr>
          <w:rFonts w:eastAsia="Times New Roman"/>
          <w:color w:val="000000" w:themeColor="text1"/>
          <w:lang w:val="fr-FR"/>
        </w:rPr>
        <w:t>est disponible, doit être classée comme induisant des lésions oculaires graves (catégorie 1)</w:t>
      </w:r>
      <w:r w:rsidRPr="004C2A3C">
        <w:rPr>
          <w:rFonts w:eastAsia="Times New Roman"/>
          <w:i/>
          <w:iCs/>
          <w:color w:val="000000" w:themeColor="text1"/>
          <w:lang w:val="fr-FR"/>
        </w:rPr>
        <w:t xml:space="preserve"> </w:t>
      </w:r>
      <w:r w:rsidRPr="004C2A3C">
        <w:rPr>
          <w:rFonts w:eastAsia="Times New Roman"/>
          <w:color w:val="000000" w:themeColor="text1"/>
          <w:lang w:val="fr-FR"/>
        </w:rPr>
        <w:t>à cette étape. Si des données non concluantes obtenues à d</w:t>
      </w:r>
      <w:r>
        <w:rPr>
          <w:rFonts w:eastAsia="Times New Roman"/>
          <w:color w:val="000000" w:themeColor="text1"/>
          <w:lang w:val="fr-FR"/>
        </w:rPr>
        <w:t>’</w:t>
      </w:r>
      <w:r w:rsidRPr="004C2A3C">
        <w:rPr>
          <w:rFonts w:eastAsia="Times New Roman"/>
          <w:color w:val="000000" w:themeColor="text1"/>
          <w:lang w:val="fr-FR"/>
        </w:rPr>
        <w:t>autres étapes sont également disponibles, mais que l</w:t>
      </w:r>
      <w:r>
        <w:rPr>
          <w:rFonts w:eastAsia="Times New Roman"/>
          <w:color w:val="000000" w:themeColor="text1"/>
          <w:lang w:val="fr-FR"/>
        </w:rPr>
        <w:t>’</w:t>
      </w:r>
      <w:r w:rsidRPr="004C2A3C">
        <w:rPr>
          <w:rFonts w:eastAsia="Times New Roman"/>
          <w:color w:val="000000" w:themeColor="text1"/>
          <w:lang w:val="fr-FR"/>
        </w:rPr>
        <w:t>évaluation globale de la force probante des données reste non concluante, la valeur extrême du pH (pH ≤ 2 ou ≥ 11,5) doit être considérée en priorité et la substance doit être classée comme induisant des lésions oculaires graves (catégorie 1) à cette même étape, indépendamment de la valeur de la réserve acide/alcaline. Pour les mélanges, une autre méthode, présentée de manière détaillée au 3.3.3.1.3, est appliquée. ».</w:t>
      </w:r>
    </w:p>
    <w:p w14:paraId="1EFA3FA0" w14:textId="77777777" w:rsidR="003F1C55" w:rsidRPr="004C2A3C" w:rsidRDefault="003F1C55" w:rsidP="003F1C55">
      <w:pPr>
        <w:spacing w:after="120"/>
        <w:ind w:left="2268" w:right="1134"/>
        <w:jc w:val="both"/>
        <w:rPr>
          <w:rFonts w:eastAsia="Times New Roman"/>
          <w:color w:val="000000" w:themeColor="text1"/>
          <w:lang w:val="fr-FR"/>
        </w:rPr>
      </w:pPr>
      <w:r w:rsidRPr="004C2A3C">
        <w:rPr>
          <w:rFonts w:eastAsia="Times New Roman"/>
          <w:color w:val="000000" w:themeColor="text1"/>
          <w:lang w:val="fr-FR"/>
        </w:rPr>
        <w:t>Insérer les nouvelles notes de bas de page 2 et 3 ci-après relatives aux 3.3.2.3 et 3.3.2.4.5.1, respectivement :</w:t>
      </w:r>
    </w:p>
    <w:p w14:paraId="0167AE20" w14:textId="77777777" w:rsidR="003F1C55" w:rsidRPr="004C2A3C" w:rsidRDefault="003F1C55" w:rsidP="003F1C55">
      <w:pPr>
        <w:tabs>
          <w:tab w:val="right" w:pos="1021"/>
        </w:tabs>
        <w:spacing w:line="220" w:lineRule="exact"/>
        <w:ind w:left="2268" w:right="1134" w:hanging="1134"/>
        <w:jc w:val="both"/>
        <w:rPr>
          <w:rFonts w:eastAsia="Times New Roman"/>
          <w:i/>
          <w:iCs/>
          <w:lang w:val="fr-FR"/>
        </w:rPr>
      </w:pPr>
      <w:r w:rsidRPr="004C2A3C">
        <w:rPr>
          <w:rFonts w:eastAsia="Times New Roman"/>
          <w:sz w:val="18"/>
          <w:lang w:val="fr-FR"/>
        </w:rPr>
        <w:tab/>
      </w:r>
      <w:r w:rsidRPr="004C2A3C">
        <w:rPr>
          <w:rFonts w:eastAsia="Times New Roman"/>
          <w:lang w:val="fr-FR"/>
        </w:rPr>
        <w:tab/>
        <w:t>« </w:t>
      </w:r>
      <w:r w:rsidRPr="004C2A3C">
        <w:rPr>
          <w:rFonts w:eastAsia="Times New Roman"/>
          <w:b/>
          <w:bCs/>
          <w:i/>
          <w:iCs/>
          <w:vertAlign w:val="superscript"/>
          <w:lang w:val="fr-FR"/>
        </w:rPr>
        <w:t>2</w:t>
      </w:r>
      <w:r w:rsidRPr="004C2A3C">
        <w:rPr>
          <w:rFonts w:eastAsia="Times New Roman"/>
          <w:i/>
          <w:iCs/>
          <w:lang w:val="fr-FR"/>
        </w:rPr>
        <w:tab/>
        <w:t>Certaines méthodes définies ont été proposées pour les lésions oculaires graves/l</w:t>
      </w:r>
      <w:r>
        <w:rPr>
          <w:rFonts w:eastAsia="Times New Roman"/>
          <w:i/>
          <w:iCs/>
          <w:lang w:val="fr-FR"/>
        </w:rPr>
        <w:t>’</w:t>
      </w:r>
      <w:r w:rsidRPr="004C2A3C">
        <w:rPr>
          <w:rFonts w:eastAsia="Times New Roman"/>
          <w:i/>
          <w:iCs/>
          <w:lang w:val="fr-FR"/>
        </w:rPr>
        <w:t>irritation oculaire (</w:t>
      </w:r>
      <w:proofErr w:type="spellStart"/>
      <w:r w:rsidRPr="004C2A3C">
        <w:rPr>
          <w:rFonts w:eastAsia="Times New Roman"/>
          <w:i/>
          <w:iCs/>
          <w:lang w:val="fr-FR"/>
        </w:rPr>
        <w:t>Alépée</w:t>
      </w:r>
      <w:proofErr w:type="spellEnd"/>
      <w:r w:rsidRPr="004C2A3C">
        <w:rPr>
          <w:rFonts w:eastAsia="Times New Roman"/>
          <w:i/>
          <w:iCs/>
          <w:lang w:val="fr-FR"/>
        </w:rPr>
        <w:t xml:space="preserve"> </w:t>
      </w:r>
      <w:r w:rsidRPr="004C2A3C">
        <w:rPr>
          <w:rFonts w:eastAsia="Times New Roman"/>
          <w:lang w:val="fr-FR"/>
        </w:rPr>
        <w:t>et al</w:t>
      </w:r>
      <w:r w:rsidRPr="004C2A3C">
        <w:rPr>
          <w:rFonts w:eastAsia="Times New Roman"/>
          <w:i/>
          <w:iCs/>
          <w:lang w:val="fr-FR"/>
        </w:rPr>
        <w:t>., 2019a, b), mais aucun critère de classification n</w:t>
      </w:r>
      <w:r>
        <w:rPr>
          <w:rFonts w:eastAsia="Times New Roman"/>
          <w:i/>
          <w:iCs/>
          <w:lang w:val="fr-FR"/>
        </w:rPr>
        <w:t>’</w:t>
      </w:r>
      <w:r w:rsidRPr="004C2A3C">
        <w:rPr>
          <w:rFonts w:eastAsia="Times New Roman"/>
          <w:i/>
          <w:iCs/>
          <w:lang w:val="fr-FR"/>
        </w:rPr>
        <w:t>a encore été adopté au niveau international.</w:t>
      </w:r>
    </w:p>
    <w:p w14:paraId="018FC2AB" w14:textId="77777777" w:rsidR="003F1C55" w:rsidRPr="004C2A3C" w:rsidRDefault="003F1C55" w:rsidP="003F1C55">
      <w:pPr>
        <w:tabs>
          <w:tab w:val="right" w:pos="1021"/>
        </w:tabs>
        <w:spacing w:after="240" w:line="220" w:lineRule="exact"/>
        <w:ind w:left="2268" w:right="1134" w:hanging="1134"/>
        <w:jc w:val="both"/>
        <w:rPr>
          <w:rFonts w:eastAsia="Times New Roman"/>
          <w:lang w:val="fr-FR"/>
        </w:rPr>
      </w:pPr>
      <w:r w:rsidRPr="004C2A3C">
        <w:rPr>
          <w:rFonts w:eastAsia="Times New Roman"/>
          <w:i/>
          <w:iCs/>
          <w:vertAlign w:val="superscript"/>
          <w:lang w:val="fr-FR"/>
        </w:rPr>
        <w:tab/>
      </w:r>
      <w:r w:rsidRPr="004C2A3C">
        <w:rPr>
          <w:rFonts w:eastAsia="Times New Roman"/>
          <w:b/>
          <w:bCs/>
          <w:i/>
          <w:iCs/>
          <w:vertAlign w:val="superscript"/>
          <w:lang w:val="fr-FR"/>
        </w:rPr>
        <w:t>3</w:t>
      </w:r>
      <w:r w:rsidRPr="004C2A3C">
        <w:rPr>
          <w:rFonts w:eastAsia="Times New Roman"/>
          <w:i/>
          <w:iCs/>
          <w:lang w:val="fr-FR"/>
        </w:rPr>
        <w:tab/>
        <w:t>Bien qu</w:t>
      </w:r>
      <w:r>
        <w:rPr>
          <w:rFonts w:eastAsia="Times New Roman"/>
          <w:i/>
          <w:iCs/>
          <w:lang w:val="fr-FR"/>
        </w:rPr>
        <w:t>’</w:t>
      </w:r>
      <w:r w:rsidRPr="004C2A3C">
        <w:rPr>
          <w:rFonts w:eastAsia="Times New Roman"/>
          <w:i/>
          <w:iCs/>
          <w:lang w:val="fr-FR"/>
        </w:rPr>
        <w:t>aucun critère de classification n</w:t>
      </w:r>
      <w:r>
        <w:rPr>
          <w:rFonts w:eastAsia="Times New Roman"/>
          <w:i/>
          <w:iCs/>
          <w:lang w:val="fr-FR"/>
        </w:rPr>
        <w:t>’</w:t>
      </w:r>
      <w:r w:rsidRPr="004C2A3C">
        <w:rPr>
          <w:rFonts w:eastAsia="Times New Roman"/>
          <w:i/>
          <w:iCs/>
          <w:lang w:val="fr-FR"/>
        </w:rPr>
        <w:t>ait encore été adopté au niveau international pour certaines méthodes d</w:t>
      </w:r>
      <w:r>
        <w:rPr>
          <w:rFonts w:eastAsia="Times New Roman"/>
          <w:i/>
          <w:iCs/>
          <w:lang w:val="fr-FR"/>
        </w:rPr>
        <w:t>’</w:t>
      </w:r>
      <w:r w:rsidRPr="004C2A3C">
        <w:rPr>
          <w:rFonts w:eastAsia="Times New Roman"/>
          <w:i/>
          <w:iCs/>
          <w:lang w:val="fr-FR"/>
        </w:rPr>
        <w:t xml:space="preserve">essai </w:t>
      </w:r>
      <w:r w:rsidRPr="004C2A3C">
        <w:rPr>
          <w:rFonts w:eastAsia="Times New Roman"/>
          <w:lang w:val="fr-FR"/>
        </w:rPr>
        <w:t>in vitro/ex vivo</w:t>
      </w:r>
      <w:r w:rsidRPr="004C2A3C">
        <w:rPr>
          <w:rFonts w:eastAsia="Times New Roman"/>
          <w:i/>
          <w:iCs/>
          <w:lang w:val="fr-FR"/>
        </w:rPr>
        <w:t xml:space="preserve"> validées et/ou adoptées qui sont proposées pour recenser les substances induisant une irritation oculaire, ces méthodes peuvent être adoptées par certaines autorités compétentes (voir 3.3.2.4.2). Si une méthode définie (voir 3.3.2.3) n</w:t>
      </w:r>
      <w:r>
        <w:rPr>
          <w:rFonts w:eastAsia="Times New Roman"/>
          <w:i/>
          <w:iCs/>
          <w:lang w:val="fr-FR"/>
        </w:rPr>
        <w:t>’</w:t>
      </w:r>
      <w:r w:rsidRPr="004C2A3C">
        <w:rPr>
          <w:rFonts w:eastAsia="Times New Roman"/>
          <w:i/>
          <w:iCs/>
          <w:lang w:val="fr-FR"/>
        </w:rPr>
        <w:t>est pas disponible ou n</w:t>
      </w:r>
      <w:r>
        <w:rPr>
          <w:rFonts w:eastAsia="Times New Roman"/>
          <w:i/>
          <w:iCs/>
          <w:lang w:val="fr-FR"/>
        </w:rPr>
        <w:t>’</w:t>
      </w:r>
      <w:r w:rsidRPr="004C2A3C">
        <w:rPr>
          <w:rFonts w:eastAsia="Times New Roman"/>
          <w:i/>
          <w:iCs/>
          <w:lang w:val="fr-FR"/>
        </w:rPr>
        <w:t>est pas appropriée pour la classification, les données obtenues au moyen de ces méthodes peuvent être prises en considération dans le cadre d</w:t>
      </w:r>
      <w:r>
        <w:rPr>
          <w:rFonts w:eastAsia="Times New Roman"/>
          <w:i/>
          <w:iCs/>
          <w:lang w:val="fr-FR"/>
        </w:rPr>
        <w:t>’</w:t>
      </w:r>
      <w:r w:rsidRPr="004C2A3C">
        <w:rPr>
          <w:rFonts w:eastAsia="Times New Roman"/>
          <w:i/>
          <w:iCs/>
          <w:lang w:val="fr-FR"/>
        </w:rPr>
        <w:t>une évaluation globale de la force probante des données à cette étape. </w:t>
      </w:r>
      <w:r w:rsidRPr="004C2A3C">
        <w:rPr>
          <w:rFonts w:eastAsia="Times New Roman"/>
          <w:lang w:val="fr-FR"/>
        </w:rPr>
        <w:t>».</w:t>
      </w:r>
    </w:p>
    <w:p w14:paraId="032BC0B7" w14:textId="77777777" w:rsidR="003F1C55" w:rsidRPr="004C2A3C" w:rsidRDefault="003F1C55" w:rsidP="003F1C55">
      <w:pPr>
        <w:keepNext/>
        <w:tabs>
          <w:tab w:val="left" w:pos="2268"/>
        </w:tabs>
        <w:spacing w:after="120"/>
        <w:ind w:left="2268" w:right="1134" w:hanging="1134"/>
        <w:jc w:val="both"/>
        <w:rPr>
          <w:rFonts w:eastAsia="Times New Roman"/>
          <w:color w:val="000000" w:themeColor="text1"/>
          <w:lang w:val="fr-FR"/>
        </w:rPr>
      </w:pPr>
      <w:r w:rsidRPr="004C2A3C">
        <w:rPr>
          <w:rFonts w:eastAsia="Times New Roman"/>
          <w:color w:val="000000" w:themeColor="text1"/>
          <w:lang w:val="fr-FR"/>
        </w:rPr>
        <w:t>3.3.2.10 et 3.3.2.10.1 (nouveaux, anciens 3.3.2.2 et 3.3.2.2.1)</w:t>
      </w:r>
      <w:r w:rsidRPr="004C2A3C">
        <w:rPr>
          <w:rFonts w:eastAsia="Times New Roman"/>
          <w:color w:val="000000" w:themeColor="text1"/>
          <w:lang w:val="fr-FR"/>
        </w:rPr>
        <w:tab/>
        <w:t>Modifier pour lire comme suit :</w:t>
      </w:r>
    </w:p>
    <w:p w14:paraId="408CD9FF" w14:textId="77777777" w:rsidR="003F1C55" w:rsidRPr="004C2A3C" w:rsidRDefault="003F1C55" w:rsidP="003F1C55">
      <w:pPr>
        <w:keepNext/>
        <w:spacing w:after="120"/>
        <w:ind w:left="2268" w:right="1134"/>
        <w:jc w:val="both"/>
        <w:rPr>
          <w:rFonts w:eastAsia="Times New Roman"/>
          <w:b/>
          <w:i/>
          <w:color w:val="000000" w:themeColor="text1"/>
          <w:lang w:val="fr-FR"/>
        </w:rPr>
      </w:pPr>
      <w:r w:rsidRPr="004C2A3C">
        <w:rPr>
          <w:rFonts w:eastAsia="Times New Roman"/>
          <w:color w:val="000000" w:themeColor="text1"/>
          <w:lang w:val="fr-FR"/>
        </w:rPr>
        <w:t>« </w:t>
      </w:r>
      <w:r w:rsidRPr="004C2A3C">
        <w:rPr>
          <w:rFonts w:eastAsia="Times New Roman"/>
          <w:b/>
          <w:bCs/>
          <w:color w:val="000000" w:themeColor="text1"/>
          <w:lang w:val="fr-FR"/>
        </w:rPr>
        <w:t>3.3.2.10</w:t>
      </w:r>
      <w:r w:rsidRPr="004C2A3C">
        <w:rPr>
          <w:rFonts w:eastAsia="Times New Roman"/>
          <w:color w:val="000000" w:themeColor="text1"/>
          <w:lang w:val="fr-FR"/>
        </w:rPr>
        <w:tab/>
      </w:r>
      <w:r w:rsidRPr="004C2A3C">
        <w:rPr>
          <w:rFonts w:eastAsia="Times New Roman"/>
          <w:b/>
          <w:bCs/>
          <w:i/>
          <w:iCs/>
          <w:color w:val="000000" w:themeColor="text1"/>
          <w:lang w:val="fr-FR"/>
        </w:rPr>
        <w:t>Classification par étapes (figure 3.3.1)</w:t>
      </w:r>
    </w:p>
    <w:p w14:paraId="7693EEF6" w14:textId="77777777" w:rsidR="003F1C55" w:rsidRPr="004C2A3C" w:rsidRDefault="003F1C55" w:rsidP="003F1C55">
      <w:pPr>
        <w:spacing w:after="120"/>
        <w:ind w:left="2268" w:right="1134"/>
        <w:jc w:val="both"/>
        <w:rPr>
          <w:rFonts w:eastAsia="Times New Roman"/>
          <w:color w:val="000000" w:themeColor="text1"/>
          <w:lang w:val="fr-FR"/>
        </w:rPr>
      </w:pPr>
      <w:r w:rsidRPr="004C2A3C">
        <w:rPr>
          <w:rFonts w:eastAsia="Times New Roman"/>
          <w:color w:val="000000" w:themeColor="text1"/>
          <w:lang w:val="fr-FR"/>
        </w:rPr>
        <w:t>3.3.2.10.1</w:t>
      </w:r>
      <w:r w:rsidRPr="004C2A3C">
        <w:rPr>
          <w:rFonts w:eastAsia="Times New Roman"/>
          <w:color w:val="000000" w:themeColor="text1"/>
          <w:lang w:val="fr-FR"/>
        </w:rPr>
        <w:tab/>
        <w:t>Une évaluation des données initiales par étapes doit être envisagée, lorsque cela est possible, tout en sachant que tous les éléments d</w:t>
      </w:r>
      <w:r>
        <w:rPr>
          <w:rFonts w:eastAsia="Times New Roman"/>
          <w:color w:val="000000" w:themeColor="text1"/>
          <w:lang w:val="fr-FR"/>
        </w:rPr>
        <w:t>’</w:t>
      </w:r>
      <w:r w:rsidRPr="004C2A3C">
        <w:rPr>
          <w:rFonts w:eastAsia="Times New Roman"/>
          <w:color w:val="000000" w:themeColor="text1"/>
          <w:lang w:val="fr-FR"/>
        </w:rPr>
        <w:t>information ne sont pas forcément pertinents (voir figure 3.3.1). Cependant, toutes les informations disponibles, utiles et d</w:t>
      </w:r>
      <w:r>
        <w:rPr>
          <w:rFonts w:eastAsia="Times New Roman"/>
          <w:color w:val="000000" w:themeColor="text1"/>
          <w:lang w:val="fr-FR"/>
        </w:rPr>
        <w:t>’</w:t>
      </w:r>
      <w:r w:rsidRPr="004C2A3C">
        <w:rPr>
          <w:rFonts w:eastAsia="Times New Roman"/>
          <w:color w:val="000000" w:themeColor="text1"/>
          <w:lang w:val="fr-FR"/>
        </w:rPr>
        <w:t>une qualité suffisante doivent être examinées aux fins de la vérification de leur cohérence avec la classification établie. ».</w:t>
      </w:r>
    </w:p>
    <w:p w14:paraId="2443469C" w14:textId="77777777" w:rsidR="003F1C55" w:rsidRPr="004C2A3C" w:rsidRDefault="003F1C55" w:rsidP="003F1C55">
      <w:pPr>
        <w:keepNext/>
        <w:tabs>
          <w:tab w:val="left" w:pos="2268"/>
        </w:tabs>
        <w:spacing w:after="120"/>
        <w:ind w:left="2268" w:right="1134" w:hanging="1134"/>
        <w:jc w:val="both"/>
        <w:rPr>
          <w:rFonts w:eastAsia="Times New Roman"/>
          <w:color w:val="000000" w:themeColor="text1"/>
          <w:lang w:val="fr-FR"/>
        </w:rPr>
      </w:pPr>
      <w:r w:rsidRPr="004C2A3C">
        <w:rPr>
          <w:rFonts w:eastAsia="Times New Roman"/>
          <w:color w:val="000000" w:themeColor="text1"/>
          <w:lang w:val="fr-FR"/>
        </w:rPr>
        <w:t>3.3.2.10.2 et 3.3.2.10.3</w:t>
      </w:r>
      <w:r w:rsidRPr="004C2A3C">
        <w:rPr>
          <w:rFonts w:eastAsia="Times New Roman"/>
          <w:color w:val="000000" w:themeColor="text1"/>
          <w:lang w:val="fr-FR"/>
        </w:rPr>
        <w:tab/>
        <w:t>Ajouter les deux nouveaux paragraphes suivants :</w:t>
      </w:r>
    </w:p>
    <w:p w14:paraId="43F8903C" w14:textId="77777777" w:rsidR="003F1C55" w:rsidRPr="004C2A3C" w:rsidRDefault="003F1C55" w:rsidP="003F1C55">
      <w:pPr>
        <w:tabs>
          <w:tab w:val="left" w:pos="3402"/>
        </w:tabs>
        <w:spacing w:after="120"/>
        <w:ind w:left="2268" w:right="1134"/>
        <w:jc w:val="both"/>
        <w:rPr>
          <w:rFonts w:eastAsia="Times New Roman"/>
          <w:color w:val="000000" w:themeColor="text1"/>
          <w:lang w:val="fr-FR"/>
        </w:rPr>
      </w:pPr>
      <w:r w:rsidRPr="004C2A3C">
        <w:rPr>
          <w:rFonts w:eastAsia="Times New Roman"/>
          <w:color w:val="000000" w:themeColor="text1"/>
          <w:lang w:val="fr-FR"/>
        </w:rPr>
        <w:t>« 3.3.2.10.2</w:t>
      </w:r>
      <w:r w:rsidRPr="004C2A3C">
        <w:rPr>
          <w:rFonts w:eastAsia="Times New Roman"/>
          <w:color w:val="000000" w:themeColor="text1"/>
          <w:lang w:val="fr-FR"/>
        </w:rPr>
        <w:tab/>
        <w:t>Dans la méthode par étapes (figure 3.3.1), les données existantes obtenues sur l</w:t>
      </w:r>
      <w:r>
        <w:rPr>
          <w:rFonts w:eastAsia="Times New Roman"/>
          <w:color w:val="000000" w:themeColor="text1"/>
          <w:lang w:val="fr-FR"/>
        </w:rPr>
        <w:t>’</w:t>
      </w:r>
      <w:r w:rsidRPr="004C2A3C">
        <w:rPr>
          <w:rFonts w:eastAsia="Times New Roman"/>
          <w:color w:val="000000" w:themeColor="text1"/>
          <w:lang w:val="fr-FR"/>
        </w:rPr>
        <w:t>homme et les données normalisées sur animaux pour les effets sur l</w:t>
      </w:r>
      <w:r>
        <w:rPr>
          <w:rFonts w:eastAsia="Times New Roman"/>
          <w:color w:val="000000" w:themeColor="text1"/>
          <w:lang w:val="fr-FR"/>
        </w:rPr>
        <w:t>’</w:t>
      </w:r>
      <w:r w:rsidRPr="004C2A3C">
        <w:rPr>
          <w:rFonts w:eastAsia="Times New Roman"/>
          <w:color w:val="000000" w:themeColor="text1"/>
          <w:lang w:val="fr-FR"/>
        </w:rPr>
        <w:t>œil constituent l</w:t>
      </w:r>
      <w:r>
        <w:rPr>
          <w:rFonts w:eastAsia="Times New Roman"/>
          <w:color w:val="000000" w:themeColor="text1"/>
          <w:lang w:val="fr-FR"/>
        </w:rPr>
        <w:t>’</w:t>
      </w:r>
      <w:r w:rsidRPr="004C2A3C">
        <w:rPr>
          <w:rFonts w:eastAsia="Times New Roman"/>
          <w:color w:val="000000" w:themeColor="text1"/>
          <w:lang w:val="fr-FR"/>
        </w:rPr>
        <w:t xml:space="preserve">étape supérieure ; viennent ensuite les données obtenues avec des méthodes définies et les données </w:t>
      </w:r>
      <w:r w:rsidRPr="004C2A3C">
        <w:rPr>
          <w:rFonts w:eastAsia="Times New Roman"/>
          <w:i/>
          <w:iCs/>
          <w:color w:val="000000" w:themeColor="text1"/>
          <w:lang w:val="fr-FR"/>
        </w:rPr>
        <w:t>in vitro</w:t>
      </w:r>
      <w:r w:rsidRPr="004C2A3C">
        <w:rPr>
          <w:rFonts w:eastAsia="Times New Roman"/>
          <w:iCs/>
          <w:color w:val="000000" w:themeColor="text1"/>
          <w:lang w:val="fr-FR"/>
        </w:rPr>
        <w:t>/</w:t>
      </w:r>
      <w:r w:rsidRPr="004C2A3C">
        <w:rPr>
          <w:rFonts w:eastAsia="Times New Roman"/>
          <w:i/>
          <w:iCs/>
          <w:color w:val="000000" w:themeColor="text1"/>
          <w:lang w:val="fr-FR"/>
        </w:rPr>
        <w:t>ex vivo</w:t>
      </w:r>
      <w:r w:rsidRPr="004C2A3C">
        <w:rPr>
          <w:rFonts w:eastAsia="Times New Roman"/>
          <w:color w:val="000000" w:themeColor="text1"/>
          <w:lang w:val="fr-FR"/>
        </w:rPr>
        <w:t xml:space="preserve"> pour les effets oculaires, les données obtenues sur l</w:t>
      </w:r>
      <w:r>
        <w:rPr>
          <w:rFonts w:eastAsia="Times New Roman"/>
          <w:color w:val="000000" w:themeColor="text1"/>
          <w:lang w:val="fr-FR"/>
        </w:rPr>
        <w:t>’</w:t>
      </w:r>
      <w:r w:rsidRPr="004C2A3C">
        <w:rPr>
          <w:rFonts w:eastAsia="Times New Roman"/>
          <w:color w:val="000000" w:themeColor="text1"/>
          <w:lang w:val="fr-FR"/>
        </w:rPr>
        <w:t xml:space="preserve">homme/données normalisées sur animaux/données </w:t>
      </w:r>
      <w:r w:rsidRPr="004C2A3C">
        <w:rPr>
          <w:rFonts w:eastAsia="Times New Roman"/>
          <w:i/>
          <w:iCs/>
          <w:color w:val="000000" w:themeColor="text1"/>
          <w:lang w:val="fr-FR"/>
        </w:rPr>
        <w:t>in vitro</w:t>
      </w:r>
      <w:r w:rsidRPr="004C2A3C">
        <w:rPr>
          <w:rFonts w:eastAsia="Times New Roman"/>
          <w:iCs/>
          <w:color w:val="000000" w:themeColor="text1"/>
          <w:lang w:val="fr-FR"/>
        </w:rPr>
        <w:t>/</w:t>
      </w:r>
      <w:r w:rsidRPr="004C2A3C">
        <w:rPr>
          <w:rFonts w:eastAsia="Times New Roman"/>
          <w:i/>
          <w:iCs/>
          <w:color w:val="000000" w:themeColor="text1"/>
          <w:lang w:val="fr-FR"/>
        </w:rPr>
        <w:t>ex vivo</w:t>
      </w:r>
      <w:r w:rsidRPr="004C2A3C">
        <w:rPr>
          <w:rFonts w:eastAsia="Times New Roman"/>
          <w:color w:val="000000" w:themeColor="text1"/>
          <w:lang w:val="fr-FR"/>
        </w:rPr>
        <w:t xml:space="preserve"> existantes pour la corrosion cutanée, puis les autres données existantes sur animaux pour les effets cutanés ou oculaires, les données sur le pH extrême et la réserve acide/alcaline, et enfin les données obtenues au moyen de</w:t>
      </w:r>
      <w:r w:rsidRPr="004C2A3C">
        <w:rPr>
          <w:rFonts w:eastAsia="Times New Roman"/>
          <w:b/>
          <w:bCs/>
          <w:color w:val="000000" w:themeColor="text1"/>
          <w:lang w:val="fr-FR"/>
        </w:rPr>
        <w:t xml:space="preserve"> </w:t>
      </w:r>
      <w:r w:rsidRPr="004C2A3C">
        <w:rPr>
          <w:rFonts w:eastAsia="Times New Roman"/>
          <w:color w:val="000000" w:themeColor="text1"/>
          <w:lang w:val="fr-FR"/>
        </w:rPr>
        <w:t>méthodes non fondées sur des essais. Lorsque les informations provenant des données réunies à la même étape sont incohérentes ou contradictoires, la conclusion pour cette étape est déterminée par une évaluation fondée sur la force probante des données.</w:t>
      </w:r>
    </w:p>
    <w:p w14:paraId="31C2252A" w14:textId="77777777" w:rsidR="003F1C55" w:rsidRPr="004C2A3C" w:rsidRDefault="003F1C55" w:rsidP="003F1C55">
      <w:pPr>
        <w:tabs>
          <w:tab w:val="left" w:pos="3402"/>
        </w:tabs>
        <w:spacing w:after="120"/>
        <w:ind w:left="2268" w:right="1134"/>
        <w:jc w:val="both"/>
        <w:rPr>
          <w:rFonts w:eastAsia="Times New Roman"/>
          <w:strike/>
          <w:color w:val="000000" w:themeColor="text1"/>
          <w:lang w:val="fr-FR"/>
        </w:rPr>
      </w:pPr>
      <w:r w:rsidRPr="004C2A3C">
        <w:rPr>
          <w:rFonts w:eastAsia="Times New Roman"/>
          <w:color w:val="000000" w:themeColor="text1"/>
          <w:lang w:val="fr-FR"/>
        </w:rPr>
        <w:t>3.3.2.10.3</w:t>
      </w:r>
      <w:r w:rsidRPr="004C2A3C">
        <w:rPr>
          <w:rFonts w:eastAsia="Times New Roman"/>
          <w:color w:val="000000" w:themeColor="text1"/>
          <w:lang w:val="fr-FR"/>
        </w:rPr>
        <w:tab/>
        <w:t>Lorsque les informations provenant de plusieurs étapes sont incohérentes ou contradictoires au regard de la classification établie, les informations de qualité suffisante d</w:t>
      </w:r>
      <w:r>
        <w:rPr>
          <w:rFonts w:eastAsia="Times New Roman"/>
          <w:color w:val="000000" w:themeColor="text1"/>
          <w:lang w:val="fr-FR"/>
        </w:rPr>
        <w:t>’</w:t>
      </w:r>
      <w:r w:rsidRPr="004C2A3C">
        <w:rPr>
          <w:rFonts w:eastAsia="Times New Roman"/>
          <w:color w:val="000000" w:themeColor="text1"/>
          <w:lang w:val="fr-FR"/>
        </w:rPr>
        <w:t>une étape supérieure ont généralement un poids supérieur par rapport aux informations provenant d</w:t>
      </w:r>
      <w:r>
        <w:rPr>
          <w:rFonts w:eastAsia="Times New Roman"/>
          <w:color w:val="000000" w:themeColor="text1"/>
          <w:lang w:val="fr-FR"/>
        </w:rPr>
        <w:t>’</w:t>
      </w:r>
      <w:r w:rsidRPr="004C2A3C">
        <w:rPr>
          <w:rFonts w:eastAsia="Times New Roman"/>
          <w:color w:val="000000" w:themeColor="text1"/>
          <w:lang w:val="fr-FR"/>
        </w:rPr>
        <w:t>une étape inférieure. Cependant, lorsque les informations d</w:t>
      </w:r>
      <w:r>
        <w:rPr>
          <w:rFonts w:eastAsia="Times New Roman"/>
          <w:color w:val="000000" w:themeColor="text1"/>
          <w:lang w:val="fr-FR"/>
        </w:rPr>
        <w:t>’</w:t>
      </w:r>
      <w:r w:rsidRPr="004C2A3C">
        <w:rPr>
          <w:rFonts w:eastAsia="Times New Roman"/>
          <w:color w:val="000000" w:themeColor="text1"/>
          <w:lang w:val="fr-FR"/>
        </w:rPr>
        <w:t>une étape inférieure aboutiraient à une classification plus stricte que les informations d</w:t>
      </w:r>
      <w:r>
        <w:rPr>
          <w:rFonts w:eastAsia="Times New Roman"/>
          <w:color w:val="000000" w:themeColor="text1"/>
          <w:lang w:val="fr-FR"/>
        </w:rPr>
        <w:t>’</w:t>
      </w:r>
      <w:r w:rsidRPr="004C2A3C">
        <w:rPr>
          <w:rFonts w:eastAsia="Times New Roman"/>
          <w:color w:val="000000" w:themeColor="text1"/>
          <w:lang w:val="fr-FR"/>
        </w:rPr>
        <w:t>une étape supérieure, et qu</w:t>
      </w:r>
      <w:r>
        <w:rPr>
          <w:rFonts w:eastAsia="Times New Roman"/>
          <w:color w:val="000000" w:themeColor="text1"/>
          <w:lang w:val="fr-FR"/>
        </w:rPr>
        <w:t>’</w:t>
      </w:r>
      <w:r w:rsidRPr="004C2A3C">
        <w:rPr>
          <w:rFonts w:eastAsia="Times New Roman"/>
          <w:color w:val="000000" w:themeColor="text1"/>
          <w:lang w:val="fr-FR"/>
        </w:rPr>
        <w:t>il y a un risque de classification incorrecte, le classement est alors déterminé par une évaluation globale fondée sur la force probante des données</w:t>
      </w:r>
      <w:r w:rsidRPr="004C2A3C">
        <w:rPr>
          <w:rFonts w:eastAsia="Times New Roman"/>
          <w:i/>
          <w:iCs/>
          <w:color w:val="000000" w:themeColor="text1"/>
          <w:lang w:val="fr-FR"/>
        </w:rPr>
        <w:t>.</w:t>
      </w:r>
      <w:r w:rsidRPr="004C2A3C">
        <w:rPr>
          <w:rFonts w:eastAsia="Times New Roman"/>
          <w:color w:val="000000" w:themeColor="text1"/>
          <w:lang w:val="fr-FR"/>
        </w:rPr>
        <w:t xml:space="preserve"> Par exemple, après avoir consulté les instructions du 3.3.5.3 comme il convient, les responsables de la classification, préoccupés par le résultat négatif obtenu pour les lésions oculaires graves dans une étude</w:t>
      </w:r>
      <w:r w:rsidRPr="004C2A3C">
        <w:rPr>
          <w:rFonts w:eastAsia="Times New Roman"/>
          <w:i/>
          <w:iCs/>
          <w:color w:val="000000" w:themeColor="text1"/>
          <w:lang w:val="fr-FR"/>
        </w:rPr>
        <w:t xml:space="preserve"> in vitro</w:t>
      </w:r>
      <w:r w:rsidRPr="004C2A3C">
        <w:rPr>
          <w:rFonts w:eastAsia="Times New Roman"/>
          <w:iCs/>
          <w:color w:val="000000" w:themeColor="text1"/>
          <w:lang w:val="fr-FR"/>
        </w:rPr>
        <w:t>/</w:t>
      </w:r>
      <w:r w:rsidRPr="004C2A3C">
        <w:rPr>
          <w:rFonts w:eastAsia="Times New Roman"/>
          <w:i/>
          <w:iCs/>
          <w:color w:val="000000" w:themeColor="text1"/>
          <w:lang w:val="fr-FR"/>
        </w:rPr>
        <w:t xml:space="preserve">ex vivo </w:t>
      </w:r>
      <w:r w:rsidRPr="004C2A3C">
        <w:rPr>
          <w:rFonts w:eastAsia="Times New Roman"/>
          <w:color w:val="000000" w:themeColor="text1"/>
          <w:lang w:val="fr-FR"/>
        </w:rPr>
        <w:t>alors que le résultat était positif pour les lésions oculaires graves en utilisant d</w:t>
      </w:r>
      <w:r>
        <w:rPr>
          <w:rFonts w:eastAsia="Times New Roman"/>
          <w:color w:val="000000" w:themeColor="text1"/>
          <w:lang w:val="fr-FR"/>
        </w:rPr>
        <w:t>’</w:t>
      </w:r>
      <w:r w:rsidRPr="004C2A3C">
        <w:rPr>
          <w:rFonts w:eastAsia="Times New Roman"/>
          <w:color w:val="000000" w:themeColor="text1"/>
          <w:lang w:val="fr-FR"/>
        </w:rPr>
        <w:t>autres données existantes</w:t>
      </w:r>
      <w:r w:rsidRPr="004C2A3C">
        <w:rPr>
          <w:rFonts w:eastAsia="Times New Roman"/>
          <w:i/>
          <w:iCs/>
          <w:color w:val="000000" w:themeColor="text1"/>
          <w:lang w:val="fr-FR"/>
        </w:rPr>
        <w:t xml:space="preserve"> </w:t>
      </w:r>
      <w:r w:rsidRPr="004C2A3C">
        <w:rPr>
          <w:rFonts w:eastAsia="Times New Roman"/>
          <w:color w:val="000000" w:themeColor="text1"/>
          <w:lang w:val="fr-FR"/>
        </w:rPr>
        <w:t>sur animaux concernant les effets</w:t>
      </w:r>
      <w:r w:rsidRPr="004C2A3C">
        <w:rPr>
          <w:rFonts w:eastAsia="Times New Roman"/>
          <w:i/>
          <w:iCs/>
          <w:color w:val="000000" w:themeColor="text1"/>
          <w:lang w:val="fr-FR"/>
        </w:rPr>
        <w:t xml:space="preserve"> </w:t>
      </w:r>
      <w:r w:rsidRPr="004C2A3C">
        <w:rPr>
          <w:rFonts w:eastAsia="Times New Roman"/>
          <w:color w:val="000000" w:themeColor="text1"/>
          <w:lang w:val="fr-FR"/>
        </w:rPr>
        <w:t>sur l</w:t>
      </w:r>
      <w:r>
        <w:rPr>
          <w:rFonts w:eastAsia="Times New Roman"/>
          <w:color w:val="000000" w:themeColor="text1"/>
          <w:lang w:val="fr-FR"/>
        </w:rPr>
        <w:t>’</w:t>
      </w:r>
      <w:r w:rsidRPr="004C2A3C">
        <w:rPr>
          <w:rFonts w:eastAsia="Times New Roman"/>
          <w:color w:val="000000" w:themeColor="text1"/>
          <w:lang w:val="fr-FR"/>
        </w:rPr>
        <w:t>œil, utiliseraient une évaluation globale fondée sur la force probante des données. Il en irait de même lorsque des données obtenues sur l</w:t>
      </w:r>
      <w:r>
        <w:rPr>
          <w:rFonts w:eastAsia="Times New Roman"/>
          <w:color w:val="000000" w:themeColor="text1"/>
          <w:lang w:val="fr-FR"/>
        </w:rPr>
        <w:t>’</w:t>
      </w:r>
      <w:r w:rsidRPr="004C2A3C">
        <w:rPr>
          <w:rFonts w:eastAsia="Times New Roman"/>
          <w:color w:val="000000" w:themeColor="text1"/>
          <w:lang w:val="fr-FR"/>
        </w:rPr>
        <w:t>homme feraient état d</w:t>
      </w:r>
      <w:r>
        <w:rPr>
          <w:rFonts w:eastAsia="Times New Roman"/>
          <w:color w:val="000000" w:themeColor="text1"/>
          <w:lang w:val="fr-FR"/>
        </w:rPr>
        <w:t>’</w:t>
      </w:r>
      <w:r w:rsidRPr="004C2A3C">
        <w:rPr>
          <w:rFonts w:eastAsia="Times New Roman"/>
          <w:color w:val="000000" w:themeColor="text1"/>
          <w:lang w:val="fr-FR"/>
        </w:rPr>
        <w:t>une irritation oculaire, mais que l</w:t>
      </w:r>
      <w:r>
        <w:rPr>
          <w:rFonts w:eastAsia="Times New Roman"/>
          <w:color w:val="000000" w:themeColor="text1"/>
          <w:lang w:val="fr-FR"/>
        </w:rPr>
        <w:t>’</w:t>
      </w:r>
      <w:r w:rsidRPr="004C2A3C">
        <w:rPr>
          <w:rFonts w:eastAsia="Times New Roman"/>
          <w:color w:val="000000" w:themeColor="text1"/>
          <w:lang w:val="fr-FR"/>
        </w:rPr>
        <w:t xml:space="preserve">on disposerait également de données indiquant que les essais </w:t>
      </w:r>
      <w:r w:rsidRPr="004C2A3C">
        <w:rPr>
          <w:rFonts w:eastAsia="Times New Roman"/>
          <w:i/>
          <w:iCs/>
          <w:color w:val="000000" w:themeColor="text1"/>
          <w:lang w:val="fr-FR"/>
        </w:rPr>
        <w:t>in vitro</w:t>
      </w:r>
      <w:r w:rsidRPr="004C2A3C">
        <w:rPr>
          <w:rFonts w:eastAsia="Times New Roman"/>
          <w:iCs/>
          <w:color w:val="000000" w:themeColor="text1"/>
          <w:lang w:val="fr-FR"/>
        </w:rPr>
        <w:t>/</w:t>
      </w:r>
      <w:r w:rsidRPr="004C2A3C">
        <w:rPr>
          <w:rFonts w:eastAsia="Times New Roman"/>
          <w:i/>
          <w:iCs/>
          <w:color w:val="000000" w:themeColor="text1"/>
          <w:lang w:val="fr-FR"/>
        </w:rPr>
        <w:t>ex vivo</w:t>
      </w:r>
      <w:r w:rsidRPr="004C2A3C">
        <w:rPr>
          <w:rFonts w:eastAsia="Times New Roman"/>
          <w:color w:val="000000" w:themeColor="text1"/>
          <w:lang w:val="fr-FR"/>
        </w:rPr>
        <w:t xml:space="preserve"> ont donné des résultats positifs pour les lésions oculaires graves. ».</w:t>
      </w:r>
    </w:p>
    <w:p w14:paraId="00188E29" w14:textId="77777777" w:rsidR="003F1C55" w:rsidRPr="004C2A3C" w:rsidRDefault="003F1C55" w:rsidP="003F1C55">
      <w:pPr>
        <w:keepNext/>
        <w:keepLines/>
        <w:spacing w:after="120"/>
        <w:ind w:left="1134" w:right="1134"/>
        <w:jc w:val="both"/>
        <w:rPr>
          <w:rFonts w:eastAsia="Times New Roman"/>
          <w:color w:val="000000" w:themeColor="text1"/>
          <w:lang w:val="fr-FR"/>
        </w:rPr>
      </w:pPr>
      <w:r w:rsidRPr="004C2A3C">
        <w:rPr>
          <w:rFonts w:eastAsia="Times New Roman"/>
          <w:color w:val="000000" w:themeColor="text1"/>
          <w:lang w:val="fr-FR"/>
        </w:rPr>
        <w:t>Figure 3.3.1 :</w:t>
      </w:r>
      <w:r w:rsidRPr="004C2A3C">
        <w:rPr>
          <w:rFonts w:eastAsia="Times New Roman"/>
          <w:color w:val="000000" w:themeColor="text1"/>
          <w:lang w:val="fr-FR"/>
        </w:rPr>
        <w:tab/>
        <w:t>Remplacer la figure actuelle par la figure suivante :</w:t>
      </w:r>
    </w:p>
    <w:p w14:paraId="49125C76" w14:textId="77777777" w:rsidR="003F1C55" w:rsidRPr="004C2A3C" w:rsidRDefault="003F1C55" w:rsidP="003F1C55">
      <w:pPr>
        <w:keepNext/>
        <w:spacing w:after="120"/>
        <w:ind w:left="1134" w:right="1134"/>
        <w:jc w:val="center"/>
        <w:rPr>
          <w:rFonts w:eastAsia="Times New Roman"/>
          <w:color w:val="000000" w:themeColor="text1"/>
          <w:lang w:val="fr-FR"/>
        </w:rPr>
      </w:pPr>
      <w:r w:rsidRPr="004C2A3C">
        <w:rPr>
          <w:rFonts w:eastAsia="Times New Roman"/>
          <w:color w:val="000000" w:themeColor="text1"/>
          <w:lang w:val="fr-FR"/>
        </w:rPr>
        <w:t>« </w:t>
      </w:r>
      <w:r w:rsidRPr="004C2A3C">
        <w:rPr>
          <w:rFonts w:eastAsia="Times New Roman"/>
          <w:b/>
          <w:bCs/>
          <w:color w:val="000000" w:themeColor="text1"/>
          <w:lang w:val="fr-FR"/>
        </w:rPr>
        <w:t xml:space="preserve">Figure 3.3.1 : Application de la méthode par étapes </w:t>
      </w:r>
      <w:r w:rsidRPr="004C2A3C">
        <w:rPr>
          <w:rFonts w:eastAsia="Times New Roman"/>
          <w:b/>
          <w:bCs/>
          <w:color w:val="000000" w:themeColor="text1"/>
          <w:lang w:val="fr-FR"/>
        </w:rPr>
        <w:br/>
        <w:t>pour les lésions oculaires graves</w:t>
      </w:r>
      <w:r w:rsidRPr="004C2A3C">
        <w:rPr>
          <w:rFonts w:eastAsia="Times New Roman"/>
          <w:bCs/>
          <w:color w:val="000000" w:themeColor="text1"/>
          <w:lang w:val="fr-FR"/>
        </w:rPr>
        <w:t>/</w:t>
      </w:r>
      <w:r w:rsidRPr="004C2A3C">
        <w:rPr>
          <w:rFonts w:eastAsia="Times New Roman"/>
          <w:b/>
          <w:bCs/>
          <w:color w:val="000000" w:themeColor="text1"/>
          <w:lang w:val="fr-FR"/>
        </w:rPr>
        <w:t>l</w:t>
      </w:r>
      <w:r>
        <w:rPr>
          <w:rFonts w:eastAsia="Times New Roman"/>
          <w:b/>
          <w:bCs/>
          <w:color w:val="000000" w:themeColor="text1"/>
          <w:lang w:val="fr-FR"/>
        </w:rPr>
        <w:t>’</w:t>
      </w:r>
      <w:r w:rsidRPr="004C2A3C">
        <w:rPr>
          <w:rFonts w:eastAsia="Times New Roman"/>
          <w:b/>
          <w:bCs/>
          <w:color w:val="000000" w:themeColor="text1"/>
          <w:lang w:val="fr-FR"/>
        </w:rPr>
        <w:t xml:space="preserve">irritation </w:t>
      </w:r>
      <w:proofErr w:type="spellStart"/>
      <w:r w:rsidRPr="004C2A3C">
        <w:rPr>
          <w:rFonts w:eastAsia="Times New Roman"/>
          <w:b/>
          <w:bCs/>
          <w:color w:val="000000" w:themeColor="text1"/>
          <w:lang w:val="fr-FR"/>
        </w:rPr>
        <w:t>oculaire</w:t>
      </w:r>
      <w:r w:rsidRPr="004C2A3C">
        <w:rPr>
          <w:rFonts w:eastAsia="Times New Roman"/>
          <w:b/>
          <w:bCs/>
          <w:i/>
          <w:iCs/>
          <w:color w:val="000000" w:themeColor="text1"/>
          <w:vertAlign w:val="superscript"/>
          <w:lang w:val="fr-FR"/>
        </w:rPr>
        <w:t>a</w:t>
      </w:r>
      <w:proofErr w:type="spellEnd"/>
    </w:p>
    <w:p w14:paraId="60720318" w14:textId="77777777" w:rsidR="003F1C55" w:rsidRPr="004C2A3C" w:rsidRDefault="003F1C55" w:rsidP="003F1C55">
      <w:pPr>
        <w:spacing w:after="120"/>
        <w:ind w:left="1134" w:right="1134"/>
        <w:jc w:val="both"/>
        <w:rPr>
          <w:rFonts w:eastAsia="Times New Roman"/>
          <w:color w:val="000000" w:themeColor="text1"/>
          <w:lang w:val="fr-FR"/>
        </w:rPr>
      </w:pPr>
      <w:r w:rsidRPr="004562B4">
        <w:rPr>
          <w:rFonts w:eastAsia="Times New Roman"/>
          <w:noProof/>
          <w:color w:val="000000" w:themeColor="text1"/>
          <w:lang w:val="fr-FR"/>
        </w:rPr>
        <w:object w:dxaOrig="7153" w:dyaOrig="11017" w14:anchorId="2E84EC47">
          <v:shape id="_x0000_i1027" type="#_x0000_t75" alt="" style="width:366pt;height:564pt;mso-width-percent:0;mso-height-percent:0;mso-width-percent:0;mso-height-percent:0" o:ole="">
            <v:imagedata r:id="rId12" o:title=""/>
          </v:shape>
          <o:OLEObject Type="Embed" ProgID="Visio.Drawing.15" ShapeID="_x0000_i1027" DrawAspect="Content" ObjectID="_1700643206" r:id="rId13"/>
        </w:object>
      </w:r>
    </w:p>
    <w:p w14:paraId="10ED8A3C" w14:textId="77777777" w:rsidR="003F1C55" w:rsidRPr="004C2A3C" w:rsidRDefault="003F1C55" w:rsidP="003F1C55">
      <w:pPr>
        <w:spacing w:after="120"/>
        <w:ind w:left="1134" w:right="1134"/>
        <w:jc w:val="right"/>
        <w:rPr>
          <w:rFonts w:eastAsia="Times New Roman"/>
          <w:color w:val="000000" w:themeColor="text1"/>
          <w:lang w:val="fr-FR"/>
        </w:rPr>
      </w:pPr>
      <w:r w:rsidRPr="004C2A3C">
        <w:rPr>
          <w:rFonts w:eastAsia="Times New Roman"/>
          <w:color w:val="000000" w:themeColor="text1"/>
          <w:lang w:val="fr-FR"/>
        </w:rPr>
        <w:t> ».</w:t>
      </w:r>
    </w:p>
    <w:p w14:paraId="03DCE376" w14:textId="77777777" w:rsidR="003F1C55" w:rsidRPr="004C2A3C" w:rsidRDefault="003F1C55" w:rsidP="003F1C55">
      <w:pPr>
        <w:keepNext/>
        <w:spacing w:after="120"/>
        <w:ind w:left="1134" w:right="1134"/>
        <w:jc w:val="both"/>
        <w:rPr>
          <w:rFonts w:eastAsia="Times New Roman"/>
          <w:color w:val="000000" w:themeColor="text1"/>
          <w:spacing w:val="-2"/>
          <w:lang w:val="fr-FR"/>
        </w:rPr>
      </w:pPr>
      <w:bookmarkStart w:id="6" w:name="_Hlk69885616"/>
      <w:r w:rsidRPr="004C2A3C">
        <w:rPr>
          <w:rFonts w:eastAsia="Times New Roman"/>
          <w:color w:val="000000" w:themeColor="text1"/>
          <w:spacing w:val="-2"/>
          <w:lang w:val="fr-FR"/>
        </w:rPr>
        <w:t>Remplacer les notes actuelles « a », « b », « c » et « d » de la figure 3.3.1 par les notes ci-après :</w:t>
      </w:r>
      <w:bookmarkEnd w:id="6"/>
    </w:p>
    <w:p w14:paraId="4C0EDA2B" w14:textId="77777777" w:rsidR="003F1C55" w:rsidRPr="004C2A3C" w:rsidRDefault="003F1C55" w:rsidP="003F1C55">
      <w:pPr>
        <w:tabs>
          <w:tab w:val="left" w:pos="1985"/>
          <w:tab w:val="left" w:pos="2552"/>
        </w:tabs>
        <w:spacing w:after="60" w:line="220" w:lineRule="exact"/>
        <w:ind w:left="2268" w:right="1134"/>
        <w:jc w:val="both"/>
        <w:rPr>
          <w:rFonts w:eastAsia="Times New Roman"/>
          <w:i/>
          <w:iCs/>
          <w:lang w:val="fr-FR"/>
        </w:rPr>
      </w:pPr>
      <w:r w:rsidRPr="004C2A3C">
        <w:rPr>
          <w:rFonts w:eastAsia="Times New Roman"/>
          <w:lang w:val="fr-FR"/>
        </w:rPr>
        <w:t>« </w:t>
      </w:r>
      <w:proofErr w:type="gramStart"/>
      <w:r w:rsidRPr="004C2A3C">
        <w:rPr>
          <w:rFonts w:eastAsia="Times New Roman"/>
          <w:i/>
          <w:iCs/>
          <w:vertAlign w:val="superscript"/>
          <w:lang w:val="fr-FR"/>
        </w:rPr>
        <w:t>a</w:t>
      </w:r>
      <w:proofErr w:type="gramEnd"/>
      <w:r w:rsidRPr="004C2A3C">
        <w:rPr>
          <w:rFonts w:eastAsia="Times New Roman"/>
          <w:i/>
          <w:iCs/>
          <w:lang w:val="fr-FR"/>
        </w:rPr>
        <w:tab/>
        <w:t>Il convient de prendre connaissance du texte explicatif du 3.3.2.10 ainsi que des instructions du 3.3.5.3 avant d</w:t>
      </w:r>
      <w:r>
        <w:rPr>
          <w:rFonts w:eastAsia="Times New Roman"/>
          <w:i/>
          <w:iCs/>
          <w:lang w:val="fr-FR"/>
        </w:rPr>
        <w:t>’</w:t>
      </w:r>
      <w:r w:rsidRPr="004C2A3C">
        <w:rPr>
          <w:rFonts w:eastAsia="Times New Roman"/>
          <w:i/>
          <w:iCs/>
          <w:lang w:val="fr-FR"/>
        </w:rPr>
        <w:t>appliquer la méthode. Seules des données fiables, adéquates et d</w:t>
      </w:r>
      <w:r>
        <w:rPr>
          <w:rFonts w:eastAsia="Times New Roman"/>
          <w:i/>
          <w:iCs/>
          <w:lang w:val="fr-FR"/>
        </w:rPr>
        <w:t>’</w:t>
      </w:r>
      <w:r w:rsidRPr="004C2A3C">
        <w:rPr>
          <w:rFonts w:eastAsia="Times New Roman"/>
          <w:i/>
          <w:iCs/>
          <w:lang w:val="fr-FR"/>
        </w:rPr>
        <w:t>une qualité suffisante devraient être prises en compte dans le cadre de la méthode par étapes.</w:t>
      </w:r>
    </w:p>
    <w:p w14:paraId="70D47537" w14:textId="77777777" w:rsidR="003F1C55" w:rsidRPr="004C2A3C" w:rsidRDefault="003F1C55" w:rsidP="003F1C55">
      <w:pPr>
        <w:keepNext/>
        <w:tabs>
          <w:tab w:val="left" w:pos="1418"/>
          <w:tab w:val="left" w:pos="1985"/>
          <w:tab w:val="left" w:pos="2552"/>
        </w:tabs>
        <w:spacing w:after="60" w:line="220" w:lineRule="exact"/>
        <w:ind w:left="2268" w:right="1134"/>
        <w:jc w:val="both"/>
        <w:rPr>
          <w:rFonts w:eastAsia="Times New Roman"/>
          <w:i/>
          <w:iCs/>
          <w:lang w:val="fr-FR"/>
        </w:rPr>
      </w:pPr>
      <w:proofErr w:type="gramStart"/>
      <w:r w:rsidRPr="004C2A3C">
        <w:rPr>
          <w:rFonts w:eastAsia="Times New Roman"/>
          <w:i/>
          <w:iCs/>
          <w:vertAlign w:val="superscript"/>
          <w:lang w:val="fr-FR"/>
        </w:rPr>
        <w:t>b</w:t>
      </w:r>
      <w:proofErr w:type="gramEnd"/>
      <w:r w:rsidRPr="004C2A3C">
        <w:rPr>
          <w:rFonts w:eastAsia="Times New Roman"/>
          <w:i/>
          <w:iCs/>
          <w:lang w:val="fr-FR"/>
        </w:rPr>
        <w:tab/>
        <w:t>Les informations peuvent être non concluantes pour différentes raisons, notamment :</w:t>
      </w:r>
    </w:p>
    <w:p w14:paraId="21A1B7C4" w14:textId="77777777" w:rsidR="003F1C55" w:rsidRPr="004C2A3C" w:rsidRDefault="003F1C55" w:rsidP="003F1C55">
      <w:pPr>
        <w:tabs>
          <w:tab w:val="left" w:pos="1418"/>
          <w:tab w:val="left" w:pos="2552"/>
        </w:tabs>
        <w:spacing w:after="60" w:line="220" w:lineRule="exact"/>
        <w:ind w:left="2835" w:right="1134" w:hanging="283"/>
        <w:jc w:val="both"/>
        <w:rPr>
          <w:rFonts w:eastAsia="Times New Roman"/>
          <w:i/>
          <w:iCs/>
          <w:lang w:val="fr-FR"/>
        </w:rPr>
      </w:pPr>
      <w:r w:rsidRPr="004C2A3C">
        <w:rPr>
          <w:rFonts w:eastAsia="Times New Roman"/>
          <w:i/>
          <w:iCs/>
          <w:lang w:val="fr-FR"/>
        </w:rPr>
        <w:t>-</w:t>
      </w:r>
      <w:r w:rsidRPr="004C2A3C">
        <w:rPr>
          <w:rFonts w:eastAsia="Times New Roman"/>
          <w:i/>
          <w:iCs/>
          <w:lang w:val="fr-FR"/>
        </w:rPr>
        <w:tab/>
        <w:t>Les données disponibles peuvent être de qualité insuffisante, ou insuffisantes ou inadéquates à d</w:t>
      </w:r>
      <w:r>
        <w:rPr>
          <w:rFonts w:eastAsia="Times New Roman"/>
          <w:i/>
          <w:iCs/>
          <w:lang w:val="fr-FR"/>
        </w:rPr>
        <w:t>’</w:t>
      </w:r>
      <w:r w:rsidRPr="004C2A3C">
        <w:rPr>
          <w:rFonts w:eastAsia="Times New Roman"/>
          <w:i/>
          <w:iCs/>
          <w:lang w:val="fr-FR"/>
        </w:rPr>
        <w:t>autres titres aux fins du classement, par exemple en raison de problèmes de qualité liés à une méthode ou à une communication des données expérimentales ;</w:t>
      </w:r>
    </w:p>
    <w:p w14:paraId="5413AC8C" w14:textId="77777777" w:rsidR="003F1C55" w:rsidRPr="004C2A3C" w:rsidRDefault="003F1C55" w:rsidP="003F1C55">
      <w:pPr>
        <w:tabs>
          <w:tab w:val="left" w:pos="1418"/>
          <w:tab w:val="left" w:pos="2552"/>
        </w:tabs>
        <w:spacing w:after="60" w:line="220" w:lineRule="exact"/>
        <w:ind w:left="2835" w:right="1134" w:hanging="283"/>
        <w:jc w:val="both"/>
        <w:rPr>
          <w:rFonts w:eastAsia="Times New Roman"/>
          <w:i/>
          <w:iCs/>
          <w:lang w:val="fr-FR"/>
        </w:rPr>
      </w:pPr>
      <w:r w:rsidRPr="004C2A3C">
        <w:rPr>
          <w:rFonts w:eastAsia="Times New Roman"/>
          <w:i/>
          <w:iCs/>
          <w:lang w:val="fr-FR"/>
        </w:rPr>
        <w:t>-</w:t>
      </w:r>
      <w:r w:rsidRPr="004C2A3C">
        <w:rPr>
          <w:rFonts w:eastAsia="Times New Roman"/>
          <w:i/>
          <w:iCs/>
          <w:lang w:val="fr-FR"/>
        </w:rPr>
        <w:tab/>
        <w:t>Les données disponibles peuvent être insuffisantes pour parvenir à une conclusion concernant le classement ; elles peuvent par exemple être indicatives de l</w:t>
      </w:r>
      <w:r>
        <w:rPr>
          <w:rFonts w:eastAsia="Times New Roman"/>
          <w:i/>
          <w:iCs/>
          <w:lang w:val="fr-FR"/>
        </w:rPr>
        <w:t>’</w:t>
      </w:r>
      <w:r w:rsidRPr="004C2A3C">
        <w:rPr>
          <w:rFonts w:eastAsia="Times New Roman"/>
          <w:i/>
          <w:iCs/>
          <w:lang w:val="fr-FR"/>
        </w:rPr>
        <w:t>absence de lésions oculaires graves mais ne pas être adaptées pour prouver une irritation oculaire ;</w:t>
      </w:r>
    </w:p>
    <w:p w14:paraId="11CF689B" w14:textId="77777777" w:rsidR="003F1C55" w:rsidRPr="004C2A3C" w:rsidRDefault="003F1C55" w:rsidP="003F1C55">
      <w:pPr>
        <w:tabs>
          <w:tab w:val="left" w:pos="1418"/>
          <w:tab w:val="left" w:pos="2552"/>
        </w:tabs>
        <w:spacing w:after="60" w:line="220" w:lineRule="exact"/>
        <w:ind w:left="2835" w:right="1134" w:hanging="283"/>
        <w:jc w:val="both"/>
        <w:rPr>
          <w:rFonts w:eastAsia="Times New Roman"/>
          <w:i/>
          <w:iCs/>
          <w:lang w:val="fr-FR"/>
        </w:rPr>
      </w:pPr>
      <w:r w:rsidRPr="004C2A3C">
        <w:rPr>
          <w:rFonts w:eastAsia="Times New Roman"/>
          <w:i/>
          <w:iCs/>
          <w:lang w:val="fr-FR"/>
        </w:rPr>
        <w:t>-</w:t>
      </w:r>
      <w:r w:rsidRPr="004C2A3C">
        <w:rPr>
          <w:rFonts w:eastAsia="Times New Roman"/>
          <w:i/>
          <w:iCs/>
          <w:lang w:val="fr-FR"/>
        </w:rPr>
        <w:tab/>
        <w:t>Si les autorités compétentes utilisent la catégorie 2A et la catégorie 2B (irritation oculaire), les données disponibles ne permettront pas toujours d</w:t>
      </w:r>
      <w:r>
        <w:rPr>
          <w:rFonts w:eastAsia="Times New Roman"/>
          <w:i/>
          <w:iCs/>
          <w:lang w:val="fr-FR"/>
        </w:rPr>
        <w:t>’</w:t>
      </w:r>
      <w:r w:rsidRPr="004C2A3C">
        <w:rPr>
          <w:rFonts w:eastAsia="Times New Roman"/>
          <w:i/>
          <w:iCs/>
          <w:lang w:val="fr-FR"/>
        </w:rPr>
        <w:t>établir une distinction entre la catégorie 2A et la catégorie 2B.</w:t>
      </w:r>
    </w:p>
    <w:p w14:paraId="5CECAB71" w14:textId="77777777" w:rsidR="003F1C55" w:rsidRPr="004C2A3C" w:rsidRDefault="003F1C55" w:rsidP="003F1C55">
      <w:pPr>
        <w:tabs>
          <w:tab w:val="left" w:pos="1985"/>
          <w:tab w:val="left" w:pos="2552"/>
        </w:tabs>
        <w:spacing w:after="60" w:line="220" w:lineRule="exact"/>
        <w:ind w:left="2268" w:right="1134"/>
        <w:jc w:val="both"/>
        <w:rPr>
          <w:rFonts w:eastAsia="Times New Roman"/>
          <w:i/>
          <w:iCs/>
          <w:lang w:val="fr-FR"/>
        </w:rPr>
      </w:pPr>
      <w:proofErr w:type="gramStart"/>
      <w:r w:rsidRPr="004C2A3C">
        <w:rPr>
          <w:rFonts w:eastAsia="Times New Roman"/>
          <w:i/>
          <w:iCs/>
          <w:vertAlign w:val="superscript"/>
          <w:lang w:val="fr-FR"/>
        </w:rPr>
        <w:t>c</w:t>
      </w:r>
      <w:proofErr w:type="gramEnd"/>
      <w:r w:rsidRPr="004C2A3C">
        <w:rPr>
          <w:rFonts w:eastAsia="Times New Roman"/>
          <w:i/>
          <w:iCs/>
          <w:lang w:val="fr-FR"/>
        </w:rPr>
        <w:tab/>
        <w:t>Il est admis que les substances irritantes pour la peau ne le sont pas forcément pour les yeux et que les substances qui ne sont pas irritantes pour la peau peuvent l</w:t>
      </w:r>
      <w:r>
        <w:rPr>
          <w:rFonts w:eastAsia="Times New Roman"/>
          <w:i/>
          <w:iCs/>
          <w:lang w:val="fr-FR"/>
        </w:rPr>
        <w:t>’</w:t>
      </w:r>
      <w:r w:rsidRPr="004C2A3C">
        <w:rPr>
          <w:rFonts w:eastAsia="Times New Roman"/>
          <w:i/>
          <w:iCs/>
          <w:lang w:val="fr-FR"/>
        </w:rPr>
        <w:t>être pour les yeux (voir 3.3.2.5, 3.3.2.6, 3.3.2.8.4 et 3.3.2.9.1).</w:t>
      </w:r>
    </w:p>
    <w:p w14:paraId="7E7A0389" w14:textId="77777777" w:rsidR="003F1C55" w:rsidRPr="004C2A3C" w:rsidRDefault="003F1C55" w:rsidP="003F1C55">
      <w:pPr>
        <w:tabs>
          <w:tab w:val="left" w:pos="1985"/>
          <w:tab w:val="left" w:pos="2552"/>
        </w:tabs>
        <w:spacing w:after="60" w:line="220" w:lineRule="exact"/>
        <w:ind w:left="2268" w:right="1134"/>
        <w:jc w:val="both"/>
        <w:rPr>
          <w:rFonts w:eastAsia="Times New Roman"/>
          <w:lang w:val="fr-FR"/>
        </w:rPr>
      </w:pPr>
      <w:proofErr w:type="gramStart"/>
      <w:r w:rsidRPr="004C2A3C">
        <w:rPr>
          <w:rFonts w:eastAsia="Times New Roman"/>
          <w:i/>
          <w:iCs/>
          <w:vertAlign w:val="superscript"/>
          <w:lang w:val="fr-FR"/>
        </w:rPr>
        <w:t>d</w:t>
      </w:r>
      <w:proofErr w:type="gramEnd"/>
      <w:r w:rsidRPr="004C2A3C">
        <w:rPr>
          <w:rFonts w:eastAsia="Times New Roman"/>
          <w:i/>
          <w:iCs/>
          <w:lang w:val="fr-FR"/>
        </w:rPr>
        <w:tab/>
        <w:t>Pour les mélanges, il convient de suivre le diagramme de décision de la figure 3.3.2</w:t>
      </w:r>
      <w:r w:rsidRPr="004C2A3C">
        <w:rPr>
          <w:rFonts w:eastAsia="Times New Roman"/>
          <w:lang w:val="fr-FR"/>
        </w:rPr>
        <w:t>. ».</w:t>
      </w:r>
    </w:p>
    <w:p w14:paraId="29E697C8" w14:textId="77777777" w:rsidR="003F1C55" w:rsidRPr="004C2A3C" w:rsidRDefault="003F1C55" w:rsidP="003F1C55">
      <w:pPr>
        <w:spacing w:after="120"/>
        <w:ind w:left="1134" w:right="1134"/>
        <w:jc w:val="both"/>
        <w:rPr>
          <w:rFonts w:eastAsia="Times New Roman"/>
          <w:color w:val="000000" w:themeColor="text1"/>
          <w:lang w:val="fr-FR"/>
        </w:rPr>
      </w:pPr>
      <w:r w:rsidRPr="004C2A3C">
        <w:rPr>
          <w:rFonts w:eastAsia="Times New Roman"/>
          <w:color w:val="000000" w:themeColor="text1"/>
          <w:lang w:val="fr-FR"/>
        </w:rPr>
        <w:t>Supprimer les notes « e » et « f » de la figure 3.3.1.</w:t>
      </w:r>
    </w:p>
    <w:p w14:paraId="0E59949F" w14:textId="77777777" w:rsidR="003F1C55" w:rsidRPr="004C2A3C" w:rsidRDefault="003F1C55" w:rsidP="003F1C55">
      <w:pPr>
        <w:keepNext/>
        <w:tabs>
          <w:tab w:val="left" w:pos="2268"/>
        </w:tabs>
        <w:spacing w:after="120"/>
        <w:ind w:left="1134" w:right="1134"/>
        <w:jc w:val="both"/>
        <w:rPr>
          <w:rFonts w:eastAsia="Times New Roman"/>
          <w:color w:val="000000" w:themeColor="text1"/>
          <w:lang w:val="fr-FR"/>
        </w:rPr>
      </w:pPr>
      <w:r w:rsidRPr="004C2A3C">
        <w:rPr>
          <w:rFonts w:eastAsia="Times New Roman"/>
          <w:color w:val="000000" w:themeColor="text1"/>
          <w:lang w:val="fr-FR"/>
        </w:rPr>
        <w:t>3.3.3</w:t>
      </w:r>
      <w:r w:rsidRPr="004C2A3C">
        <w:rPr>
          <w:rFonts w:eastAsia="Times New Roman"/>
          <w:color w:val="000000" w:themeColor="text1"/>
          <w:lang w:val="fr-FR"/>
        </w:rPr>
        <w:tab/>
        <w:t>Modifier pour lire comme suit :</w:t>
      </w:r>
    </w:p>
    <w:p w14:paraId="1DA75DBF" w14:textId="77777777" w:rsidR="003F1C55" w:rsidRPr="004C2A3C" w:rsidRDefault="003F1C55" w:rsidP="003F1C55">
      <w:pPr>
        <w:tabs>
          <w:tab w:val="left" w:pos="3402"/>
        </w:tabs>
        <w:spacing w:after="120"/>
        <w:ind w:left="2268" w:right="1134"/>
        <w:jc w:val="both"/>
        <w:rPr>
          <w:rFonts w:eastAsia="Times New Roman"/>
          <w:b/>
          <w:bCs/>
          <w:color w:val="000000" w:themeColor="text1"/>
          <w:lang w:val="fr-FR"/>
        </w:rPr>
      </w:pPr>
      <w:bookmarkStart w:id="7" w:name="_Hlk69885708"/>
      <w:r w:rsidRPr="004C2A3C">
        <w:rPr>
          <w:rFonts w:eastAsia="Times New Roman"/>
          <w:color w:val="000000" w:themeColor="text1"/>
          <w:lang w:val="fr-FR"/>
        </w:rPr>
        <w:t>« </w:t>
      </w:r>
      <w:r w:rsidRPr="004C2A3C">
        <w:rPr>
          <w:rFonts w:eastAsia="Times New Roman"/>
          <w:b/>
          <w:bCs/>
          <w:color w:val="000000" w:themeColor="text1"/>
          <w:lang w:val="fr-FR"/>
        </w:rPr>
        <w:t>3.3.3</w:t>
      </w:r>
      <w:r w:rsidRPr="004C2A3C">
        <w:rPr>
          <w:rFonts w:eastAsia="Times New Roman"/>
          <w:color w:val="000000" w:themeColor="text1"/>
          <w:lang w:val="fr-FR"/>
        </w:rPr>
        <w:tab/>
      </w:r>
      <w:r w:rsidRPr="004C2A3C">
        <w:rPr>
          <w:rFonts w:eastAsia="Times New Roman"/>
          <w:color w:val="000000" w:themeColor="text1"/>
          <w:lang w:val="fr-FR"/>
        </w:rPr>
        <w:tab/>
      </w:r>
      <w:r w:rsidRPr="004C2A3C">
        <w:rPr>
          <w:rFonts w:eastAsia="Times New Roman"/>
          <w:b/>
          <w:bCs/>
          <w:color w:val="000000" w:themeColor="text1"/>
          <w:lang w:val="fr-FR"/>
        </w:rPr>
        <w:t>Critères de classification des mélanges</w:t>
      </w:r>
    </w:p>
    <w:p w14:paraId="38C434E4" w14:textId="77777777" w:rsidR="003F1C55" w:rsidRPr="004C2A3C" w:rsidRDefault="003F1C55" w:rsidP="003F1C55">
      <w:pPr>
        <w:tabs>
          <w:tab w:val="left" w:pos="3402"/>
        </w:tabs>
        <w:spacing w:after="120"/>
        <w:ind w:left="2268" w:right="1134"/>
        <w:jc w:val="both"/>
        <w:rPr>
          <w:rFonts w:eastAsia="Times New Roman"/>
          <w:color w:val="000000" w:themeColor="text1"/>
          <w:lang w:val="fr-FR"/>
        </w:rPr>
      </w:pPr>
      <w:r w:rsidRPr="004C2A3C">
        <w:rPr>
          <w:rFonts w:eastAsia="Times New Roman"/>
          <w:color w:val="000000" w:themeColor="text1"/>
          <w:lang w:val="fr-FR"/>
        </w:rPr>
        <w:tab/>
        <w:t>Dans la classification concernant les lésions oculaires graves et l</w:t>
      </w:r>
      <w:r>
        <w:rPr>
          <w:rFonts w:eastAsia="Times New Roman"/>
          <w:color w:val="000000" w:themeColor="text1"/>
          <w:lang w:val="fr-FR"/>
        </w:rPr>
        <w:t>’</w:t>
      </w:r>
      <w:r w:rsidRPr="004C2A3C">
        <w:rPr>
          <w:rFonts w:eastAsia="Times New Roman"/>
          <w:color w:val="000000" w:themeColor="text1"/>
          <w:lang w:val="fr-FR"/>
        </w:rPr>
        <w:t>irritation oculaire, on procède par étapes en fonction des informations disponibles pour le mélange proprement dit et pour ses composants. Les étapes de classification qu</w:t>
      </w:r>
      <w:r>
        <w:rPr>
          <w:rFonts w:eastAsia="Times New Roman"/>
          <w:color w:val="000000" w:themeColor="text1"/>
          <w:lang w:val="fr-FR"/>
        </w:rPr>
        <w:t>’</w:t>
      </w:r>
      <w:r w:rsidRPr="004C2A3C">
        <w:rPr>
          <w:rFonts w:eastAsia="Times New Roman"/>
          <w:color w:val="000000" w:themeColor="text1"/>
          <w:lang w:val="fr-FR"/>
        </w:rPr>
        <w:t>il convient de suivre sont représentées dans le diagramme de décision de la figure 3.3.2.</w:t>
      </w:r>
      <w:bookmarkEnd w:id="7"/>
    </w:p>
    <w:p w14:paraId="5A2DD3C3" w14:textId="77777777" w:rsidR="003F1C55" w:rsidRPr="004C2A3C" w:rsidRDefault="003F1C55" w:rsidP="003F1C55">
      <w:pPr>
        <w:keepNext/>
        <w:spacing w:after="120"/>
        <w:ind w:left="1134" w:right="1134"/>
        <w:jc w:val="center"/>
        <w:rPr>
          <w:rFonts w:eastAsia="Times New Roman"/>
          <w:b/>
          <w:bCs/>
          <w:color w:val="000000" w:themeColor="text1"/>
          <w:lang w:val="fr-FR"/>
        </w:rPr>
      </w:pPr>
      <w:r w:rsidRPr="004C2A3C">
        <w:rPr>
          <w:rFonts w:eastAsia="Times New Roman"/>
          <w:b/>
          <w:bCs/>
          <w:color w:val="000000" w:themeColor="text1"/>
          <w:lang w:val="fr-FR"/>
        </w:rPr>
        <w:t xml:space="preserve">Figure 3.3.2 : Étapes de la classification des mélanges </w:t>
      </w:r>
      <w:r w:rsidRPr="004C2A3C">
        <w:rPr>
          <w:rFonts w:eastAsia="Times New Roman"/>
          <w:b/>
          <w:bCs/>
          <w:color w:val="000000" w:themeColor="text1"/>
          <w:lang w:val="fr-FR"/>
        </w:rPr>
        <w:br/>
        <w:t>pour les lésions oculaires graves et l</w:t>
      </w:r>
      <w:r>
        <w:rPr>
          <w:rFonts w:eastAsia="Times New Roman"/>
          <w:b/>
          <w:bCs/>
          <w:color w:val="000000" w:themeColor="text1"/>
          <w:lang w:val="fr-FR"/>
        </w:rPr>
        <w:t>’</w:t>
      </w:r>
      <w:r w:rsidRPr="004C2A3C">
        <w:rPr>
          <w:rFonts w:eastAsia="Times New Roman"/>
          <w:b/>
          <w:bCs/>
          <w:color w:val="000000" w:themeColor="text1"/>
          <w:lang w:val="fr-FR"/>
        </w:rPr>
        <w:t>irritation oculaire</w:t>
      </w:r>
    </w:p>
    <w:p w14:paraId="2B21BDE0" w14:textId="77777777" w:rsidR="003F1C55" w:rsidRPr="004C2A3C" w:rsidRDefault="003F1C55" w:rsidP="003F1C55">
      <w:pPr>
        <w:spacing w:after="240"/>
        <w:ind w:left="1134" w:right="1134"/>
        <w:jc w:val="center"/>
        <w:rPr>
          <w:rFonts w:eastAsia="Times New Roman"/>
          <w:color w:val="000000" w:themeColor="text1"/>
          <w:lang w:val="fr-FR"/>
        </w:rPr>
      </w:pPr>
      <w:r w:rsidRPr="004C2A3C">
        <w:rPr>
          <w:rFonts w:eastAsia="Times New Roman"/>
          <w:noProof/>
          <w:color w:val="000000" w:themeColor="text1"/>
        </w:rPr>
        <w:object w:dxaOrig="6865" w:dyaOrig="7825" w14:anchorId="3C691B83">
          <v:shape id="_x0000_i1028" type="#_x0000_t75" alt="" style="width:366pt;height:417pt;mso-width-percent:0;mso-height-percent:0;mso-width-percent:0;mso-height-percent:0" o:ole="">
            <v:imagedata r:id="rId14" o:title=""/>
          </v:shape>
          <o:OLEObject Type="Embed" ProgID="Visio.Drawing.15" ShapeID="_x0000_i1028" DrawAspect="Content" ObjectID="_1700643207" r:id="rId15"/>
        </w:object>
      </w:r>
    </w:p>
    <w:p w14:paraId="487E12A4" w14:textId="77777777" w:rsidR="003F1C55" w:rsidRPr="004C2A3C" w:rsidRDefault="003F1C55" w:rsidP="003F1C55">
      <w:pPr>
        <w:tabs>
          <w:tab w:val="left" w:pos="1418"/>
        </w:tabs>
        <w:spacing w:after="240" w:line="220" w:lineRule="atLeast"/>
        <w:ind w:left="1134" w:right="1134"/>
        <w:jc w:val="both"/>
        <w:rPr>
          <w:rFonts w:eastAsia="Times New Roman"/>
          <w:i/>
          <w:iCs/>
          <w:color w:val="000000" w:themeColor="text1"/>
          <w:shd w:val="clear" w:color="auto" w:fill="FFFFFF"/>
          <w:lang w:val="fr-FR"/>
        </w:rPr>
      </w:pPr>
      <w:proofErr w:type="gramStart"/>
      <w:r w:rsidRPr="004C2A3C">
        <w:rPr>
          <w:rFonts w:eastAsia="Times New Roman"/>
          <w:b/>
          <w:bCs/>
          <w:i/>
          <w:iCs/>
          <w:color w:val="000000" w:themeColor="text1"/>
          <w:vertAlign w:val="superscript"/>
          <w:lang w:val="fr-FR"/>
        </w:rPr>
        <w:t>a</w:t>
      </w:r>
      <w:proofErr w:type="gramEnd"/>
      <w:r w:rsidRPr="004C2A3C">
        <w:rPr>
          <w:rFonts w:eastAsia="Times New Roman"/>
          <w:color w:val="000000" w:themeColor="text1"/>
          <w:lang w:val="fr-FR"/>
        </w:rPr>
        <w:tab/>
      </w:r>
      <w:r w:rsidRPr="004C2A3C">
        <w:rPr>
          <w:rFonts w:eastAsia="Times New Roman"/>
          <w:i/>
          <w:iCs/>
          <w:color w:val="000000" w:themeColor="text1"/>
          <w:lang w:val="fr-FR"/>
        </w:rPr>
        <w:t>Les cases entourées d</w:t>
      </w:r>
      <w:r>
        <w:rPr>
          <w:rFonts w:eastAsia="Times New Roman"/>
          <w:i/>
          <w:iCs/>
          <w:color w:val="000000" w:themeColor="text1"/>
          <w:lang w:val="fr-FR"/>
        </w:rPr>
        <w:t>’</w:t>
      </w:r>
      <w:r w:rsidRPr="004C2A3C">
        <w:rPr>
          <w:rFonts w:eastAsia="Times New Roman"/>
          <w:i/>
          <w:iCs/>
          <w:color w:val="000000" w:themeColor="text1"/>
          <w:lang w:val="fr-FR"/>
        </w:rPr>
        <w:t>une ligne tiretée représentent une sous-étape individuelle à l</w:t>
      </w:r>
      <w:r>
        <w:rPr>
          <w:rFonts w:eastAsia="Times New Roman"/>
          <w:i/>
          <w:iCs/>
          <w:color w:val="000000" w:themeColor="text1"/>
          <w:lang w:val="fr-FR"/>
        </w:rPr>
        <w:t>’</w:t>
      </w:r>
      <w:r w:rsidRPr="004C2A3C">
        <w:rPr>
          <w:rFonts w:eastAsia="Times New Roman"/>
          <w:i/>
          <w:iCs/>
          <w:color w:val="000000" w:themeColor="text1"/>
          <w:lang w:val="fr-FR"/>
        </w:rPr>
        <w:t>étape des données concluantes sur le mélange en tant que tel.</w:t>
      </w:r>
      <w:r w:rsidRPr="004C2A3C">
        <w:rPr>
          <w:rFonts w:eastAsia="Times New Roman"/>
          <w:color w:val="000000" w:themeColor="text1"/>
          <w:lang w:val="fr-FR"/>
        </w:rPr>
        <w:t xml:space="preserve"> </w:t>
      </w:r>
      <w:r w:rsidRPr="004C2A3C">
        <w:rPr>
          <w:rFonts w:eastAsia="Times New Roman"/>
          <w:i/>
          <w:iCs/>
          <w:color w:val="000000" w:themeColor="text1"/>
          <w:lang w:val="fr-FR"/>
        </w:rPr>
        <w:t>Toutefois, contrairement aux prescriptions concernant les substances, dans le cas des mélanges présentant “un pH extrême (≤ 2 ou ≥ 11,5) et une réserve acide</w:t>
      </w:r>
      <w:r w:rsidRPr="004C2A3C">
        <w:rPr>
          <w:rFonts w:eastAsia="Times New Roman"/>
          <w:iCs/>
          <w:color w:val="000000" w:themeColor="text1"/>
          <w:lang w:val="fr-FR"/>
        </w:rPr>
        <w:t>/</w:t>
      </w:r>
      <w:r w:rsidRPr="004C2A3C">
        <w:rPr>
          <w:rFonts w:eastAsia="Times New Roman"/>
          <w:i/>
          <w:iCs/>
          <w:color w:val="000000" w:themeColor="text1"/>
          <w:lang w:val="fr-FR"/>
        </w:rPr>
        <w:t>alcaline non significative”, mais pour lesquels il n</w:t>
      </w:r>
      <w:r>
        <w:rPr>
          <w:rFonts w:eastAsia="Times New Roman"/>
          <w:i/>
          <w:iCs/>
          <w:color w:val="000000" w:themeColor="text1"/>
          <w:lang w:val="fr-FR"/>
        </w:rPr>
        <w:t>’</w:t>
      </w:r>
      <w:r w:rsidRPr="004C2A3C">
        <w:rPr>
          <w:rFonts w:eastAsia="Times New Roman"/>
          <w:i/>
          <w:iCs/>
          <w:color w:val="000000" w:themeColor="text1"/>
          <w:lang w:val="fr-FR"/>
        </w:rPr>
        <w:t>existe pas d</w:t>
      </w:r>
      <w:r>
        <w:rPr>
          <w:rFonts w:eastAsia="Times New Roman"/>
          <w:i/>
          <w:iCs/>
          <w:color w:val="000000" w:themeColor="text1"/>
          <w:lang w:val="fr-FR"/>
        </w:rPr>
        <w:t>’</w:t>
      </w:r>
      <w:r w:rsidRPr="004C2A3C">
        <w:rPr>
          <w:rFonts w:eastAsia="Times New Roman"/>
          <w:i/>
          <w:iCs/>
          <w:color w:val="000000" w:themeColor="text1"/>
          <w:lang w:val="fr-FR"/>
        </w:rPr>
        <w:t>autres données concluantes sur le mélange en tant que tel, ou pour lesquels l</w:t>
      </w:r>
      <w:r>
        <w:rPr>
          <w:rFonts w:eastAsia="Times New Roman"/>
          <w:i/>
          <w:iCs/>
          <w:color w:val="000000" w:themeColor="text1"/>
          <w:lang w:val="fr-FR"/>
        </w:rPr>
        <w:t>’</w:t>
      </w:r>
      <w:r w:rsidRPr="004C2A3C">
        <w:rPr>
          <w:rFonts w:eastAsia="Times New Roman"/>
          <w:i/>
          <w:iCs/>
          <w:color w:val="000000" w:themeColor="text1"/>
          <w:lang w:val="fr-FR"/>
        </w:rPr>
        <w:t>évaluation globale de la force probante des données à partir de l</w:t>
      </w:r>
      <w:r>
        <w:rPr>
          <w:rFonts w:eastAsia="Times New Roman"/>
          <w:i/>
          <w:iCs/>
          <w:color w:val="000000" w:themeColor="text1"/>
          <w:lang w:val="fr-FR"/>
        </w:rPr>
        <w:t>’</w:t>
      </w:r>
      <w:r w:rsidRPr="004C2A3C">
        <w:rPr>
          <w:rFonts w:eastAsia="Times New Roman"/>
          <w:i/>
          <w:iCs/>
          <w:color w:val="000000" w:themeColor="text1"/>
          <w:lang w:val="fr-FR"/>
        </w:rPr>
        <w:t>ensemble des données disponibles sur le mélange en tant que tel n</w:t>
      </w:r>
      <w:r>
        <w:rPr>
          <w:rFonts w:eastAsia="Times New Roman"/>
          <w:i/>
          <w:iCs/>
          <w:color w:val="000000" w:themeColor="text1"/>
          <w:lang w:val="fr-FR"/>
        </w:rPr>
        <w:t>’</w:t>
      </w:r>
      <w:r w:rsidRPr="004C2A3C">
        <w:rPr>
          <w:rFonts w:eastAsia="Times New Roman"/>
          <w:i/>
          <w:iCs/>
          <w:color w:val="000000" w:themeColor="text1"/>
          <w:lang w:val="fr-FR"/>
        </w:rPr>
        <w:t>est pas concluante, les données sont considérées comme non concluantes à chaque sous-étape de l</w:t>
      </w:r>
      <w:r>
        <w:rPr>
          <w:rFonts w:eastAsia="Times New Roman"/>
          <w:i/>
          <w:iCs/>
          <w:color w:val="000000" w:themeColor="text1"/>
          <w:lang w:val="fr-FR"/>
        </w:rPr>
        <w:t>’</w:t>
      </w:r>
      <w:r w:rsidRPr="004C2A3C">
        <w:rPr>
          <w:rFonts w:eastAsia="Times New Roman"/>
          <w:i/>
          <w:iCs/>
          <w:color w:val="000000" w:themeColor="text1"/>
          <w:lang w:val="fr-FR"/>
        </w:rPr>
        <w:t>étape des données concluantes sur le mélange en tant que tel.</w:t>
      </w:r>
      <w:r w:rsidRPr="004C2A3C">
        <w:rPr>
          <w:rFonts w:eastAsia="Times New Roman"/>
          <w:color w:val="000000" w:themeColor="text1"/>
          <w:lang w:val="fr-FR"/>
        </w:rPr>
        <w:t xml:space="preserve"> </w:t>
      </w:r>
      <w:r w:rsidRPr="004C2A3C">
        <w:rPr>
          <w:rFonts w:eastAsia="Times New Roman"/>
          <w:i/>
          <w:iCs/>
          <w:color w:val="000000" w:themeColor="text1"/>
          <w:lang w:val="fr-FR"/>
        </w:rPr>
        <w:t>Ces mélanges devraient être évalués conformément aux principes d</w:t>
      </w:r>
      <w:r>
        <w:rPr>
          <w:rFonts w:eastAsia="Times New Roman"/>
          <w:i/>
          <w:iCs/>
          <w:color w:val="000000" w:themeColor="text1"/>
          <w:lang w:val="fr-FR"/>
        </w:rPr>
        <w:t>’</w:t>
      </w:r>
      <w:r w:rsidRPr="004C2A3C">
        <w:rPr>
          <w:rFonts w:eastAsia="Times New Roman"/>
          <w:i/>
          <w:iCs/>
          <w:color w:val="000000" w:themeColor="text1"/>
          <w:lang w:val="fr-FR"/>
        </w:rPr>
        <w:t>extrapolation avant que le pH extrême puisse être considéré comme concluant aux fins de la classification. </w:t>
      </w:r>
      <w:r w:rsidRPr="004C2A3C">
        <w:rPr>
          <w:rFonts w:eastAsia="Times New Roman"/>
          <w:color w:val="000000" w:themeColor="text1"/>
          <w:lang w:val="fr-FR"/>
        </w:rPr>
        <w:t>».</w:t>
      </w:r>
    </w:p>
    <w:p w14:paraId="279DF65F" w14:textId="77777777" w:rsidR="003F1C55" w:rsidRPr="004C2A3C" w:rsidRDefault="003F1C55" w:rsidP="003F1C55">
      <w:pPr>
        <w:keepNext/>
        <w:tabs>
          <w:tab w:val="left" w:pos="3119"/>
        </w:tabs>
        <w:spacing w:after="120"/>
        <w:ind w:left="1134" w:right="1134"/>
        <w:jc w:val="both"/>
        <w:rPr>
          <w:rFonts w:eastAsia="Times New Roman"/>
          <w:color w:val="000000" w:themeColor="text1"/>
          <w:lang w:val="fr-FR"/>
        </w:rPr>
      </w:pPr>
      <w:r w:rsidRPr="004C2A3C">
        <w:rPr>
          <w:rFonts w:eastAsia="Times New Roman"/>
          <w:color w:val="000000" w:themeColor="text1"/>
          <w:lang w:val="fr-FR"/>
        </w:rPr>
        <w:t>3.3.3.1.1 et 3.3.3.1.2</w:t>
      </w:r>
      <w:r w:rsidRPr="004C2A3C">
        <w:rPr>
          <w:rFonts w:eastAsia="Times New Roman"/>
          <w:color w:val="000000" w:themeColor="text1"/>
          <w:lang w:val="fr-FR"/>
        </w:rPr>
        <w:tab/>
        <w:t>Modifier pour lire comme suit :</w:t>
      </w:r>
    </w:p>
    <w:p w14:paraId="7201575A" w14:textId="77777777" w:rsidR="003F1C55" w:rsidRPr="004C2A3C" w:rsidRDefault="003F1C55" w:rsidP="003F1C55">
      <w:pPr>
        <w:tabs>
          <w:tab w:val="left" w:pos="3402"/>
        </w:tabs>
        <w:spacing w:after="120"/>
        <w:ind w:left="2268" w:right="1134"/>
        <w:jc w:val="both"/>
        <w:rPr>
          <w:rFonts w:eastAsia="Times New Roman"/>
          <w:color w:val="000000" w:themeColor="text1"/>
          <w:spacing w:val="-2"/>
          <w:lang w:val="fr-FR"/>
        </w:rPr>
      </w:pPr>
      <w:bookmarkStart w:id="8" w:name="_Hlk69885839"/>
      <w:r w:rsidRPr="004C2A3C">
        <w:rPr>
          <w:rFonts w:eastAsia="Times New Roman"/>
          <w:color w:val="000000" w:themeColor="text1"/>
          <w:spacing w:val="-2"/>
          <w:lang w:val="fr-FR"/>
        </w:rPr>
        <w:t>« 3.3.3.1.1</w:t>
      </w:r>
      <w:r w:rsidRPr="004C2A3C">
        <w:rPr>
          <w:rFonts w:eastAsia="Times New Roman"/>
          <w:color w:val="000000" w:themeColor="text1"/>
          <w:spacing w:val="-2"/>
          <w:lang w:val="fr-FR"/>
        </w:rPr>
        <w:tab/>
        <w:t>Le mélange doit généralement être classé à l</w:t>
      </w:r>
      <w:r>
        <w:rPr>
          <w:rFonts w:eastAsia="Times New Roman"/>
          <w:color w:val="000000" w:themeColor="text1"/>
          <w:spacing w:val="-2"/>
          <w:lang w:val="fr-FR"/>
        </w:rPr>
        <w:t>’</w:t>
      </w:r>
      <w:r w:rsidRPr="004C2A3C">
        <w:rPr>
          <w:rFonts w:eastAsia="Times New Roman"/>
          <w:color w:val="000000" w:themeColor="text1"/>
          <w:spacing w:val="-2"/>
          <w:lang w:val="fr-FR"/>
        </w:rPr>
        <w:t>aide des critères applicables aux substances, en tenant compte de la méthode par étapes aux fins de l</w:t>
      </w:r>
      <w:r>
        <w:rPr>
          <w:rFonts w:eastAsia="Times New Roman"/>
          <w:color w:val="000000" w:themeColor="text1"/>
          <w:spacing w:val="-2"/>
          <w:lang w:val="fr-FR"/>
        </w:rPr>
        <w:t>’</w:t>
      </w:r>
      <w:r w:rsidRPr="004C2A3C">
        <w:rPr>
          <w:rFonts w:eastAsia="Times New Roman"/>
          <w:color w:val="000000" w:themeColor="text1"/>
          <w:spacing w:val="-2"/>
          <w:lang w:val="fr-FR"/>
        </w:rPr>
        <w:t>évaluation des données pour la classe de danger visée (comme le montre la figure 3.3.1), ainsi que des paragraphes 3.3.3.1.2 et 3.3.3.1.3 ci-après. S</w:t>
      </w:r>
      <w:r>
        <w:rPr>
          <w:rFonts w:eastAsia="Times New Roman"/>
          <w:color w:val="000000" w:themeColor="text1"/>
          <w:spacing w:val="-2"/>
          <w:lang w:val="fr-FR"/>
        </w:rPr>
        <w:t>’</w:t>
      </w:r>
      <w:r w:rsidRPr="004C2A3C">
        <w:rPr>
          <w:rFonts w:eastAsia="Times New Roman"/>
          <w:color w:val="000000" w:themeColor="text1"/>
          <w:spacing w:val="-2"/>
          <w:lang w:val="fr-FR"/>
        </w:rPr>
        <w:t>il est impossible d</w:t>
      </w:r>
      <w:r>
        <w:rPr>
          <w:rFonts w:eastAsia="Times New Roman"/>
          <w:color w:val="000000" w:themeColor="text1"/>
          <w:spacing w:val="-2"/>
          <w:lang w:val="fr-FR"/>
        </w:rPr>
        <w:t>’</w:t>
      </w:r>
      <w:r w:rsidRPr="004C2A3C">
        <w:rPr>
          <w:rFonts w:eastAsia="Times New Roman"/>
          <w:color w:val="000000" w:themeColor="text1"/>
          <w:spacing w:val="-2"/>
          <w:lang w:val="fr-FR"/>
        </w:rPr>
        <w:t>établir une classification selon la méthode par étapes, on appliquera la méthode décrite au 3.3.3.2 (principes d</w:t>
      </w:r>
      <w:r>
        <w:rPr>
          <w:rFonts w:eastAsia="Times New Roman"/>
          <w:color w:val="000000" w:themeColor="text1"/>
          <w:spacing w:val="-2"/>
          <w:lang w:val="fr-FR"/>
        </w:rPr>
        <w:t>’</w:t>
      </w:r>
      <w:r w:rsidRPr="004C2A3C">
        <w:rPr>
          <w:rFonts w:eastAsia="Times New Roman"/>
          <w:color w:val="000000" w:themeColor="text1"/>
          <w:spacing w:val="-2"/>
          <w:lang w:val="fr-FR"/>
        </w:rPr>
        <w:t>extrapolation) ou, si celle</w:t>
      </w:r>
      <w:r w:rsidRPr="004C2A3C">
        <w:rPr>
          <w:rFonts w:eastAsia="Times New Roman"/>
          <w:color w:val="000000" w:themeColor="text1"/>
          <w:spacing w:val="-2"/>
          <w:lang w:val="fr-FR"/>
        </w:rPr>
        <w:noBreakHyphen/>
        <w:t>ci n</w:t>
      </w:r>
      <w:r>
        <w:rPr>
          <w:rFonts w:eastAsia="Times New Roman"/>
          <w:color w:val="000000" w:themeColor="text1"/>
          <w:spacing w:val="-2"/>
          <w:lang w:val="fr-FR"/>
        </w:rPr>
        <w:t>’</w:t>
      </w:r>
      <w:r w:rsidRPr="004C2A3C">
        <w:rPr>
          <w:rFonts w:eastAsia="Times New Roman"/>
          <w:color w:val="000000" w:themeColor="text1"/>
          <w:spacing w:val="-2"/>
          <w:lang w:val="fr-FR"/>
        </w:rPr>
        <w:t>est pas applicable, la méthode décrite au 3.3.3.3 (classification fondée sur les composants).</w:t>
      </w:r>
      <w:bookmarkStart w:id="9" w:name="_Hlk69885903"/>
      <w:bookmarkEnd w:id="8"/>
      <w:bookmarkEnd w:id="9"/>
    </w:p>
    <w:p w14:paraId="3881046B" w14:textId="77777777" w:rsidR="003F1C55" w:rsidRPr="004C2A3C" w:rsidRDefault="003F1C55" w:rsidP="003F1C55">
      <w:pPr>
        <w:tabs>
          <w:tab w:val="left" w:pos="3402"/>
        </w:tabs>
        <w:spacing w:after="120"/>
        <w:ind w:left="2268" w:right="1134"/>
        <w:jc w:val="both"/>
        <w:rPr>
          <w:rFonts w:eastAsia="Times New Roman"/>
          <w:color w:val="000000" w:themeColor="text1"/>
          <w:lang w:val="fr-FR"/>
        </w:rPr>
      </w:pPr>
      <w:r w:rsidRPr="004C2A3C">
        <w:rPr>
          <w:rFonts w:eastAsia="Times New Roman"/>
          <w:color w:val="000000" w:themeColor="text1"/>
          <w:lang w:val="fr-FR"/>
        </w:rPr>
        <w:t>3.3.3.1.2</w:t>
      </w:r>
      <w:r w:rsidRPr="004C2A3C">
        <w:rPr>
          <w:rFonts w:eastAsia="Times New Roman"/>
          <w:color w:val="000000" w:themeColor="text1"/>
          <w:lang w:val="fr-FR"/>
        </w:rPr>
        <w:tab/>
        <w:t>Les méthodes définies ou les méthodes d</w:t>
      </w:r>
      <w:r>
        <w:rPr>
          <w:rFonts w:eastAsia="Times New Roman"/>
          <w:color w:val="000000" w:themeColor="text1"/>
          <w:lang w:val="fr-FR"/>
        </w:rPr>
        <w:t>’</w:t>
      </w:r>
      <w:r w:rsidRPr="004C2A3C">
        <w:rPr>
          <w:rFonts w:eastAsia="Times New Roman"/>
          <w:color w:val="000000" w:themeColor="text1"/>
          <w:lang w:val="fr-FR"/>
        </w:rPr>
        <w:t xml:space="preserve">essai </w:t>
      </w:r>
      <w:r w:rsidRPr="004C2A3C">
        <w:rPr>
          <w:rFonts w:eastAsia="Times New Roman"/>
          <w:i/>
          <w:iCs/>
          <w:color w:val="000000" w:themeColor="text1"/>
          <w:lang w:val="fr-FR"/>
        </w:rPr>
        <w:t>in vitro</w:t>
      </w:r>
      <w:r w:rsidRPr="004C2A3C">
        <w:rPr>
          <w:rFonts w:eastAsia="Times New Roman"/>
          <w:color w:val="000000" w:themeColor="text1"/>
          <w:lang w:val="fr-FR"/>
        </w:rPr>
        <w:t>/</w:t>
      </w:r>
      <w:r w:rsidRPr="004C2A3C">
        <w:rPr>
          <w:rFonts w:eastAsia="Times New Roman"/>
          <w:i/>
          <w:iCs/>
          <w:color w:val="000000" w:themeColor="text1"/>
          <w:lang w:val="fr-FR"/>
        </w:rPr>
        <w:t>ex vivo</w:t>
      </w:r>
      <w:r w:rsidRPr="004C2A3C">
        <w:rPr>
          <w:rFonts w:eastAsia="Times New Roman"/>
          <w:color w:val="000000" w:themeColor="text1"/>
          <w:lang w:val="fr-FR"/>
        </w:rPr>
        <w:t xml:space="preserve"> validées selon des procédures internationales peuvent ne pas avoir été validées avec des mélanges ; bien que ces méthodes soient jugées largement applicables à ceux-ci, elles ne peuvent être appliquées pour la classification des mélanges que si tous les composants du mélange relèvent du domaine d</w:t>
      </w:r>
      <w:r>
        <w:rPr>
          <w:rFonts w:eastAsia="Times New Roman"/>
          <w:color w:val="000000" w:themeColor="text1"/>
          <w:lang w:val="fr-FR"/>
        </w:rPr>
        <w:t>’</w:t>
      </w:r>
      <w:r w:rsidRPr="004C2A3C">
        <w:rPr>
          <w:rFonts w:eastAsia="Times New Roman"/>
          <w:color w:val="000000" w:themeColor="text1"/>
          <w:lang w:val="fr-FR"/>
        </w:rPr>
        <w:t>application de la méthode définie ou de la (des) méthode(s) d</w:t>
      </w:r>
      <w:r>
        <w:rPr>
          <w:rFonts w:eastAsia="Times New Roman"/>
          <w:color w:val="000000" w:themeColor="text1"/>
          <w:lang w:val="fr-FR"/>
        </w:rPr>
        <w:t>’</w:t>
      </w:r>
      <w:r w:rsidRPr="004C2A3C">
        <w:rPr>
          <w:rFonts w:eastAsia="Times New Roman"/>
          <w:color w:val="000000" w:themeColor="text1"/>
          <w:lang w:val="fr-FR"/>
        </w:rPr>
        <w:t>essai utilisée(s). Des limitations propres aux domaines d</w:t>
      </w:r>
      <w:r>
        <w:rPr>
          <w:rFonts w:eastAsia="Times New Roman"/>
          <w:color w:val="000000" w:themeColor="text1"/>
          <w:lang w:val="fr-FR"/>
        </w:rPr>
        <w:t>’</w:t>
      </w:r>
      <w:r w:rsidRPr="004C2A3C">
        <w:rPr>
          <w:rFonts w:eastAsia="Times New Roman"/>
          <w:color w:val="000000" w:themeColor="text1"/>
          <w:lang w:val="fr-FR"/>
        </w:rPr>
        <w:t>application sont décrites dans les méthodes définies et méthodes d</w:t>
      </w:r>
      <w:r>
        <w:rPr>
          <w:rFonts w:eastAsia="Times New Roman"/>
          <w:color w:val="000000" w:themeColor="text1"/>
          <w:lang w:val="fr-FR"/>
        </w:rPr>
        <w:t>’</w:t>
      </w:r>
      <w:r w:rsidRPr="004C2A3C">
        <w:rPr>
          <w:rFonts w:eastAsia="Times New Roman"/>
          <w:color w:val="000000" w:themeColor="text1"/>
          <w:lang w:val="fr-FR"/>
        </w:rPr>
        <w:t>essai respectives ; elles devraient être prises en compte, de même que toute information complémentaire publiée à ce sujet. Lorsqu</w:t>
      </w:r>
      <w:r>
        <w:rPr>
          <w:rFonts w:eastAsia="Times New Roman"/>
          <w:color w:val="000000" w:themeColor="text1"/>
          <w:lang w:val="fr-FR"/>
        </w:rPr>
        <w:t>’</w:t>
      </w:r>
      <w:r w:rsidRPr="004C2A3C">
        <w:rPr>
          <w:rFonts w:eastAsia="Times New Roman"/>
          <w:color w:val="000000" w:themeColor="text1"/>
          <w:lang w:val="fr-FR"/>
        </w:rPr>
        <w:t>il existe des raisons de penser que le domaine d</w:t>
      </w:r>
      <w:r>
        <w:rPr>
          <w:rFonts w:eastAsia="Times New Roman"/>
          <w:color w:val="000000" w:themeColor="text1"/>
          <w:lang w:val="fr-FR"/>
        </w:rPr>
        <w:t>’</w:t>
      </w:r>
      <w:r w:rsidRPr="004C2A3C">
        <w:rPr>
          <w:rFonts w:eastAsia="Times New Roman"/>
          <w:color w:val="000000" w:themeColor="text1"/>
          <w:lang w:val="fr-FR"/>
        </w:rPr>
        <w:t>application d</w:t>
      </w:r>
      <w:r>
        <w:rPr>
          <w:rFonts w:eastAsia="Times New Roman"/>
          <w:color w:val="000000" w:themeColor="text1"/>
          <w:lang w:val="fr-FR"/>
        </w:rPr>
        <w:t>’</w:t>
      </w:r>
      <w:r w:rsidRPr="004C2A3C">
        <w:rPr>
          <w:rFonts w:eastAsia="Times New Roman"/>
          <w:color w:val="000000" w:themeColor="text1"/>
          <w:lang w:val="fr-FR"/>
        </w:rPr>
        <w:t>une méthode définie ou d</w:t>
      </w:r>
      <w:r>
        <w:rPr>
          <w:rFonts w:eastAsia="Times New Roman"/>
          <w:color w:val="000000" w:themeColor="text1"/>
          <w:lang w:val="fr-FR"/>
        </w:rPr>
        <w:t>’</w:t>
      </w:r>
      <w:r w:rsidRPr="004C2A3C">
        <w:rPr>
          <w:rFonts w:eastAsia="Times New Roman"/>
          <w:color w:val="000000" w:themeColor="text1"/>
          <w:lang w:val="fr-FR"/>
        </w:rPr>
        <w:t>une méthode d</w:t>
      </w:r>
      <w:r>
        <w:rPr>
          <w:rFonts w:eastAsia="Times New Roman"/>
          <w:color w:val="000000" w:themeColor="text1"/>
          <w:lang w:val="fr-FR"/>
        </w:rPr>
        <w:t>’</w:t>
      </w:r>
      <w:r w:rsidRPr="004C2A3C">
        <w:rPr>
          <w:rFonts w:eastAsia="Times New Roman"/>
          <w:color w:val="000000" w:themeColor="text1"/>
          <w:lang w:val="fr-FR"/>
        </w:rPr>
        <w:t>essai donnée est limité, ou des éléments qui l</w:t>
      </w:r>
      <w:r>
        <w:rPr>
          <w:rFonts w:eastAsia="Times New Roman"/>
          <w:color w:val="000000" w:themeColor="text1"/>
          <w:lang w:val="fr-FR"/>
        </w:rPr>
        <w:t>’</w:t>
      </w:r>
      <w:r w:rsidRPr="004C2A3C">
        <w:rPr>
          <w:rFonts w:eastAsia="Times New Roman"/>
          <w:color w:val="000000" w:themeColor="text1"/>
          <w:lang w:val="fr-FR"/>
        </w:rPr>
        <w:t>attestent, il convient de faire preuve de circonspection dans l</w:t>
      </w:r>
      <w:r>
        <w:rPr>
          <w:rFonts w:eastAsia="Times New Roman"/>
          <w:color w:val="000000" w:themeColor="text1"/>
          <w:lang w:val="fr-FR"/>
        </w:rPr>
        <w:t>’</w:t>
      </w:r>
      <w:r w:rsidRPr="004C2A3C">
        <w:rPr>
          <w:rFonts w:eastAsia="Times New Roman"/>
          <w:color w:val="000000" w:themeColor="text1"/>
          <w:lang w:val="fr-FR"/>
        </w:rPr>
        <w:t>interprétation des données, ou de considérer que les résultats ne sont pas applicables. ».</w:t>
      </w:r>
    </w:p>
    <w:p w14:paraId="489345ED" w14:textId="77777777" w:rsidR="003F1C55" w:rsidRPr="004C2A3C" w:rsidRDefault="003F1C55" w:rsidP="003F1C55">
      <w:pPr>
        <w:keepNext/>
        <w:spacing w:after="120"/>
        <w:ind w:left="1134" w:right="1134"/>
        <w:jc w:val="both"/>
        <w:rPr>
          <w:rFonts w:eastAsia="Times New Roman"/>
          <w:color w:val="000000" w:themeColor="text1"/>
          <w:lang w:val="fr-FR"/>
        </w:rPr>
      </w:pPr>
      <w:r w:rsidRPr="004C2A3C">
        <w:rPr>
          <w:rFonts w:eastAsia="Times New Roman"/>
          <w:color w:val="000000" w:themeColor="text1"/>
          <w:lang w:val="fr-FR"/>
        </w:rPr>
        <w:t>3.3.3.1.3</w:t>
      </w:r>
      <w:r w:rsidRPr="004C2A3C">
        <w:rPr>
          <w:rFonts w:eastAsia="Times New Roman"/>
          <w:color w:val="000000" w:themeColor="text1"/>
          <w:lang w:val="fr-FR"/>
        </w:rPr>
        <w:tab/>
        <w:t>Ajouter un nouveau paragraphe, comme suit :</w:t>
      </w:r>
    </w:p>
    <w:p w14:paraId="54EE72C2" w14:textId="77777777" w:rsidR="003F1C55" w:rsidRPr="004C2A3C" w:rsidRDefault="003F1C55" w:rsidP="003F1C55">
      <w:pPr>
        <w:tabs>
          <w:tab w:val="left" w:pos="3402"/>
        </w:tabs>
        <w:spacing w:after="120"/>
        <w:ind w:left="2268" w:right="1134"/>
        <w:jc w:val="both"/>
        <w:rPr>
          <w:rFonts w:eastAsia="Times New Roman"/>
          <w:color w:val="000000" w:themeColor="text1"/>
          <w:lang w:val="fr-FR"/>
        </w:rPr>
      </w:pPr>
      <w:r w:rsidRPr="004C2A3C">
        <w:rPr>
          <w:rFonts w:eastAsia="Times New Roman"/>
          <w:color w:val="000000" w:themeColor="text1"/>
          <w:lang w:val="fr-FR"/>
        </w:rPr>
        <w:t>« 3.3.3.1.3</w:t>
      </w:r>
      <w:r w:rsidRPr="004C2A3C">
        <w:rPr>
          <w:rFonts w:eastAsia="Times New Roman"/>
          <w:color w:val="000000" w:themeColor="text1"/>
          <w:lang w:val="fr-FR"/>
        </w:rPr>
        <w:tab/>
        <w:t>Un mélange dont le pH est extrême (pH ≤ 2 ou ≥ 11,5) est considéré comme mélange provoquant des lésions oculaires graves (catégorie 1) à l</w:t>
      </w:r>
      <w:r>
        <w:rPr>
          <w:rFonts w:eastAsia="Times New Roman"/>
          <w:color w:val="000000" w:themeColor="text1"/>
          <w:lang w:val="fr-FR"/>
        </w:rPr>
        <w:t>’</w:t>
      </w:r>
      <w:r w:rsidRPr="004C2A3C">
        <w:rPr>
          <w:rFonts w:eastAsia="Times New Roman"/>
          <w:color w:val="000000" w:themeColor="text1"/>
          <w:lang w:val="fr-FR"/>
        </w:rPr>
        <w:t>étape 5 s</w:t>
      </w:r>
      <w:r>
        <w:rPr>
          <w:rFonts w:eastAsia="Times New Roman"/>
          <w:color w:val="000000" w:themeColor="text1"/>
          <w:lang w:val="fr-FR"/>
        </w:rPr>
        <w:t>’</w:t>
      </w:r>
      <w:r w:rsidRPr="004C2A3C">
        <w:rPr>
          <w:rFonts w:eastAsia="Times New Roman"/>
          <w:color w:val="000000" w:themeColor="text1"/>
          <w:lang w:val="fr-FR"/>
        </w:rPr>
        <w:t>il présente une réserve acide/alcaline significative ou si l</w:t>
      </w:r>
      <w:r>
        <w:rPr>
          <w:rFonts w:eastAsia="Times New Roman"/>
          <w:color w:val="000000" w:themeColor="text1"/>
          <w:lang w:val="fr-FR"/>
        </w:rPr>
        <w:t>’</w:t>
      </w:r>
      <w:r w:rsidRPr="004C2A3C">
        <w:rPr>
          <w:rFonts w:eastAsia="Times New Roman"/>
          <w:color w:val="000000" w:themeColor="text1"/>
          <w:lang w:val="fr-FR"/>
        </w:rPr>
        <w:t>on ne dispose pas de données relatives à ladite réserve. Toutefois, si l</w:t>
      </w:r>
      <w:r>
        <w:rPr>
          <w:rFonts w:eastAsia="Times New Roman"/>
          <w:color w:val="000000" w:themeColor="text1"/>
          <w:lang w:val="fr-FR"/>
        </w:rPr>
        <w:t>’</w:t>
      </w:r>
      <w:r w:rsidRPr="004C2A3C">
        <w:rPr>
          <w:rFonts w:eastAsia="Times New Roman"/>
          <w:color w:val="000000" w:themeColor="text1"/>
          <w:lang w:val="fr-FR"/>
        </w:rPr>
        <w:t>examen de la réserve acide/alcaline laisse penser que le mélange pourrait ne pas provoquer de graves lésions oculaires malgré la valeur extrême du pH, le résultat est jugé non concluant à cette même étape (voir figure 3.3.1). Si l</w:t>
      </w:r>
      <w:r>
        <w:rPr>
          <w:rFonts w:eastAsia="Times New Roman"/>
          <w:color w:val="000000" w:themeColor="text1"/>
          <w:lang w:val="fr-FR"/>
        </w:rPr>
        <w:t>’</w:t>
      </w:r>
      <w:r w:rsidRPr="004C2A3C">
        <w:rPr>
          <w:rFonts w:eastAsia="Times New Roman"/>
          <w:color w:val="000000" w:themeColor="text1"/>
          <w:lang w:val="fr-FR"/>
        </w:rPr>
        <w:t>évaluation globale de la force probante des données demeure non concluante ou si l</w:t>
      </w:r>
      <w:r>
        <w:rPr>
          <w:rFonts w:eastAsia="Times New Roman"/>
          <w:color w:val="000000" w:themeColor="text1"/>
          <w:lang w:val="fr-FR"/>
        </w:rPr>
        <w:t>’</w:t>
      </w:r>
      <w:r w:rsidRPr="004C2A3C">
        <w:rPr>
          <w:rFonts w:eastAsia="Times New Roman"/>
          <w:color w:val="000000" w:themeColor="text1"/>
          <w:lang w:val="fr-FR"/>
        </w:rPr>
        <w:t>on ne dispose pas de données autres que le pH et la réserve acide/alcaline, il convient d</w:t>
      </w:r>
      <w:r>
        <w:rPr>
          <w:rFonts w:eastAsia="Times New Roman"/>
          <w:color w:val="000000" w:themeColor="text1"/>
          <w:lang w:val="fr-FR"/>
        </w:rPr>
        <w:t>’</w:t>
      </w:r>
      <w:r w:rsidRPr="004C2A3C">
        <w:rPr>
          <w:rFonts w:eastAsia="Times New Roman"/>
          <w:color w:val="000000" w:themeColor="text1"/>
          <w:lang w:val="fr-FR"/>
        </w:rPr>
        <w:t>évaluer les mélanges présentant un pH extrême (pH ≤ 2 ou ≥ 11,5) et une réserve acide/alcaline non significative en appliquant les principes d</w:t>
      </w:r>
      <w:r>
        <w:rPr>
          <w:rFonts w:eastAsia="Times New Roman"/>
          <w:color w:val="000000" w:themeColor="text1"/>
          <w:lang w:val="fr-FR"/>
        </w:rPr>
        <w:t>’</w:t>
      </w:r>
      <w:r w:rsidRPr="004C2A3C">
        <w:rPr>
          <w:rFonts w:eastAsia="Times New Roman"/>
          <w:color w:val="000000" w:themeColor="text1"/>
          <w:lang w:val="fr-FR"/>
        </w:rPr>
        <w:t>extrapolation décrits au 3.3.3.2. Si les principes d</w:t>
      </w:r>
      <w:r>
        <w:rPr>
          <w:rFonts w:eastAsia="Times New Roman"/>
          <w:color w:val="000000" w:themeColor="text1"/>
          <w:lang w:val="fr-FR"/>
        </w:rPr>
        <w:t>’</w:t>
      </w:r>
      <w:r w:rsidRPr="004C2A3C">
        <w:rPr>
          <w:rFonts w:eastAsia="Times New Roman"/>
          <w:color w:val="000000" w:themeColor="text1"/>
          <w:lang w:val="fr-FR"/>
        </w:rPr>
        <w:t>extrapolation ne sont pas applicables, il convient de classer les mélanges présentant un pH extrême (pH ≤ 2 ou ≥ 11,5) et une réserve acide/alcaline non significative dans la Catégorie 1 oculaire (voir figure 3.3.2). Un pH supérieur à 2 et inférieur à 11,5 est considéré comme non concluant et ne peut être utilisé à des fins de classification. La réserve acide/alcaline et le pH peuvent être déterminés au moyen de différentes méthodes, notamment celles décrites dans la ligne directrice 122 de l</w:t>
      </w:r>
      <w:r>
        <w:rPr>
          <w:rFonts w:eastAsia="Times New Roman"/>
          <w:color w:val="000000" w:themeColor="text1"/>
          <w:lang w:val="fr-FR"/>
        </w:rPr>
        <w:t>’</w:t>
      </w:r>
      <w:r w:rsidRPr="004C2A3C">
        <w:rPr>
          <w:rFonts w:eastAsia="Times New Roman"/>
          <w:color w:val="000000" w:themeColor="text1"/>
          <w:lang w:val="fr-FR"/>
        </w:rPr>
        <w:t xml:space="preserve">OCDE et dans la publication de Young </w:t>
      </w:r>
      <w:r w:rsidRPr="004C2A3C">
        <w:rPr>
          <w:rFonts w:eastAsia="Times New Roman"/>
          <w:i/>
          <w:iCs/>
          <w:color w:val="000000" w:themeColor="text1"/>
          <w:lang w:val="fr-FR"/>
        </w:rPr>
        <w:t>et al.</w:t>
      </w:r>
      <w:r w:rsidRPr="004C2A3C">
        <w:rPr>
          <w:rFonts w:eastAsia="Times New Roman"/>
          <w:color w:val="000000" w:themeColor="text1"/>
          <w:lang w:val="fr-FR"/>
        </w:rPr>
        <w:t xml:space="preserve"> (1988), sachant qu</w:t>
      </w:r>
      <w:r>
        <w:rPr>
          <w:rFonts w:eastAsia="Times New Roman"/>
          <w:color w:val="000000" w:themeColor="text1"/>
          <w:lang w:val="fr-FR"/>
        </w:rPr>
        <w:t>’</w:t>
      </w:r>
      <w:r w:rsidRPr="004C2A3C">
        <w:rPr>
          <w:rFonts w:eastAsia="Times New Roman"/>
          <w:color w:val="000000" w:themeColor="text1"/>
          <w:lang w:val="fr-FR"/>
        </w:rPr>
        <w:t>il existe des différences entre ces méthodes (voir 3.3.5.3.7). Une autorité compétente peut décider des critères à appliquer pour considérer qu</w:t>
      </w:r>
      <w:r>
        <w:rPr>
          <w:rFonts w:eastAsia="Times New Roman"/>
          <w:color w:val="000000" w:themeColor="text1"/>
          <w:lang w:val="fr-FR"/>
        </w:rPr>
        <w:t>’</w:t>
      </w:r>
      <w:r w:rsidRPr="004C2A3C">
        <w:rPr>
          <w:rFonts w:eastAsia="Times New Roman"/>
          <w:color w:val="000000" w:themeColor="text1"/>
          <w:lang w:val="fr-FR"/>
        </w:rPr>
        <w:t>une réserve acide/alcaline est significative. ».</w:t>
      </w:r>
    </w:p>
    <w:p w14:paraId="5AB55843" w14:textId="77777777" w:rsidR="003F1C55" w:rsidRPr="004C2A3C" w:rsidRDefault="003F1C55" w:rsidP="003F1C55">
      <w:pPr>
        <w:tabs>
          <w:tab w:val="left" w:pos="2268"/>
        </w:tabs>
        <w:spacing w:after="120"/>
        <w:ind w:left="2268" w:right="1134" w:hanging="1134"/>
        <w:jc w:val="both"/>
        <w:rPr>
          <w:rFonts w:eastAsia="Times New Roman"/>
          <w:color w:val="000000" w:themeColor="text1"/>
          <w:lang w:val="fr-FR"/>
        </w:rPr>
      </w:pPr>
      <w:r w:rsidRPr="004C2A3C">
        <w:rPr>
          <w:rFonts w:eastAsia="Times New Roman"/>
          <w:color w:val="000000" w:themeColor="text1"/>
          <w:lang w:val="fr-FR"/>
        </w:rPr>
        <w:t>3.3.3.2.7</w:t>
      </w:r>
      <w:r w:rsidRPr="004C2A3C">
        <w:rPr>
          <w:rFonts w:eastAsia="Times New Roman"/>
          <w:color w:val="000000" w:themeColor="text1"/>
          <w:lang w:val="fr-FR"/>
        </w:rPr>
        <w:tab/>
        <w:t>Modification sans objet en français. Renuméroter la note de bas de page 3, qui devient la note de bas de page 4.</w:t>
      </w:r>
    </w:p>
    <w:p w14:paraId="7A07EFBB" w14:textId="77777777" w:rsidR="003F1C55" w:rsidRPr="004C2A3C" w:rsidRDefault="003F1C55" w:rsidP="003F1C55">
      <w:pPr>
        <w:tabs>
          <w:tab w:val="left" w:pos="2268"/>
        </w:tabs>
        <w:spacing w:after="120"/>
        <w:ind w:left="2268" w:right="1134" w:hanging="1134"/>
        <w:jc w:val="both"/>
        <w:rPr>
          <w:rFonts w:eastAsia="Times New Roman"/>
          <w:color w:val="000000" w:themeColor="text1"/>
          <w:lang w:val="fr-FR"/>
        </w:rPr>
      </w:pPr>
      <w:r w:rsidRPr="004C2A3C">
        <w:rPr>
          <w:rFonts w:eastAsia="Times New Roman"/>
          <w:color w:val="000000" w:themeColor="text1"/>
          <w:lang w:val="fr-FR"/>
        </w:rPr>
        <w:t>3.3.3.3.4</w:t>
      </w:r>
      <w:r w:rsidRPr="004C2A3C">
        <w:rPr>
          <w:rFonts w:eastAsia="Times New Roman"/>
          <w:color w:val="000000" w:themeColor="text1"/>
          <w:lang w:val="fr-FR"/>
        </w:rPr>
        <w:tab/>
        <w:t>Dans la troisième phrase, remplacer « le pH est le critère de classification (voir 3.3.3.1.2) car il » par « le pH est le critère de classification (voir 3.3.3.1.3) car un pH extrême » et supprimer « (sous réserve de l</w:t>
      </w:r>
      <w:r>
        <w:rPr>
          <w:rFonts w:eastAsia="Times New Roman"/>
          <w:color w:val="000000" w:themeColor="text1"/>
          <w:lang w:val="fr-FR"/>
        </w:rPr>
        <w:t>’</w:t>
      </w:r>
      <w:r w:rsidRPr="004C2A3C">
        <w:rPr>
          <w:rFonts w:eastAsia="Times New Roman"/>
          <w:color w:val="000000" w:themeColor="text1"/>
          <w:lang w:val="fr-FR"/>
        </w:rPr>
        <w:t>examen de la réserve acide/alcaline) ».</w:t>
      </w:r>
    </w:p>
    <w:p w14:paraId="1D84E0A2" w14:textId="77777777" w:rsidR="003F1C55" w:rsidRPr="004C2A3C" w:rsidRDefault="003F1C55" w:rsidP="003F1C55">
      <w:pPr>
        <w:spacing w:after="120"/>
        <w:ind w:left="1134" w:right="1134"/>
        <w:jc w:val="both"/>
        <w:rPr>
          <w:rFonts w:eastAsia="Times New Roman"/>
          <w:color w:val="000000" w:themeColor="text1"/>
          <w:lang w:val="fr-FR"/>
        </w:rPr>
      </w:pPr>
      <w:r w:rsidRPr="004C2A3C">
        <w:rPr>
          <w:rFonts w:eastAsia="Times New Roman"/>
          <w:color w:val="000000" w:themeColor="text1"/>
          <w:lang w:val="fr-FR"/>
        </w:rPr>
        <w:t>Tableau 3.3.5, troisième colonne</w:t>
      </w:r>
      <w:r w:rsidRPr="004C2A3C">
        <w:rPr>
          <w:rFonts w:eastAsia="Times New Roman"/>
          <w:color w:val="000000" w:themeColor="text1"/>
          <w:lang w:val="fr-FR"/>
        </w:rPr>
        <w:tab/>
        <w:t>Remplacer « Catégorie 2A » par « Catégorie 2/2A ».</w:t>
      </w:r>
    </w:p>
    <w:p w14:paraId="0DAA5888" w14:textId="77777777" w:rsidR="003F1C55" w:rsidRPr="004C2A3C" w:rsidRDefault="003F1C55" w:rsidP="003F1C55">
      <w:pPr>
        <w:suppressAutoHyphens w:val="0"/>
        <w:kinsoku/>
        <w:overflowPunct/>
        <w:autoSpaceDE/>
        <w:autoSpaceDN/>
        <w:adjustRightInd/>
        <w:snapToGrid/>
        <w:spacing w:after="200" w:line="276" w:lineRule="auto"/>
        <w:rPr>
          <w:rFonts w:eastAsia="Times New Roman"/>
          <w:color w:val="000000" w:themeColor="text1"/>
          <w:lang w:val="fr-FR"/>
        </w:rPr>
      </w:pPr>
      <w:r w:rsidRPr="004C2A3C">
        <w:rPr>
          <w:rFonts w:eastAsia="Times New Roman"/>
          <w:color w:val="000000" w:themeColor="text1"/>
          <w:lang w:val="fr-FR"/>
        </w:rPr>
        <w:br w:type="page"/>
      </w:r>
    </w:p>
    <w:p w14:paraId="5B131D4A" w14:textId="77777777" w:rsidR="003F1C55" w:rsidRPr="004C2A3C" w:rsidRDefault="003F1C55" w:rsidP="003F1C55">
      <w:pPr>
        <w:keepNext/>
        <w:spacing w:after="120"/>
        <w:ind w:left="1134" w:right="1134"/>
        <w:jc w:val="both"/>
        <w:rPr>
          <w:rFonts w:eastAsia="Times New Roman"/>
          <w:color w:val="000000" w:themeColor="text1"/>
          <w:lang w:val="fr-FR"/>
        </w:rPr>
      </w:pPr>
      <w:r w:rsidRPr="004C2A3C">
        <w:rPr>
          <w:rFonts w:eastAsia="Times New Roman"/>
          <w:color w:val="000000" w:themeColor="text1"/>
          <w:lang w:val="fr-FR"/>
        </w:rPr>
        <w:t>3.3.5.1</w:t>
      </w:r>
      <w:r w:rsidRPr="004C2A3C">
        <w:rPr>
          <w:rFonts w:eastAsia="Times New Roman"/>
          <w:color w:val="000000" w:themeColor="text1"/>
          <w:lang w:val="fr-FR"/>
        </w:rPr>
        <w:tab/>
      </w:r>
      <w:r w:rsidRPr="004C2A3C">
        <w:rPr>
          <w:rFonts w:eastAsia="Times New Roman"/>
          <w:color w:val="000000" w:themeColor="text1"/>
          <w:lang w:val="fr-FR"/>
        </w:rPr>
        <w:tab/>
        <w:t>Remplacer le diagramme de décision 3.3.1 par le diagramme suivant :</w:t>
      </w:r>
    </w:p>
    <w:p w14:paraId="07578F74" w14:textId="77777777" w:rsidR="003F1C55" w:rsidRPr="004C2A3C" w:rsidRDefault="003F1C55" w:rsidP="003F1C55">
      <w:pPr>
        <w:keepNext/>
        <w:spacing w:after="120"/>
        <w:ind w:left="1134" w:right="1134"/>
        <w:jc w:val="both"/>
        <w:rPr>
          <w:rFonts w:eastAsia="Times New Roman"/>
          <w:color w:val="000000" w:themeColor="text1"/>
          <w:lang w:val="fr-FR"/>
        </w:rPr>
      </w:pPr>
      <w:r w:rsidRPr="004C2A3C">
        <w:rPr>
          <w:rFonts w:eastAsia="Times New Roman"/>
          <w:color w:val="000000" w:themeColor="text1"/>
          <w:lang w:val="fr-FR"/>
        </w:rPr>
        <w:t>«</w:t>
      </w:r>
    </w:p>
    <w:p w14:paraId="45271A60" w14:textId="77777777" w:rsidR="003F1C55" w:rsidRPr="004C2A3C" w:rsidRDefault="003F1C55" w:rsidP="003F1C55">
      <w:pPr>
        <w:spacing w:after="120"/>
        <w:ind w:left="1134" w:right="1134"/>
        <w:jc w:val="both"/>
        <w:rPr>
          <w:rFonts w:eastAsia="Times New Roman"/>
          <w:color w:val="000000" w:themeColor="text1"/>
          <w:lang w:val="fr-FR"/>
        </w:rPr>
      </w:pPr>
      <w:r w:rsidRPr="004C2A3C">
        <w:rPr>
          <w:rFonts w:eastAsia="Times New Roman"/>
          <w:noProof/>
        </w:rPr>
        <w:object w:dxaOrig="7657" w:dyaOrig="6913" w14:anchorId="27514184">
          <v:shape id="_x0000_i1029" type="#_x0000_t75" alt="" style="width:422.5pt;height:381pt;mso-width-percent:0;mso-height-percent:0;mso-width-percent:0;mso-height-percent:0" o:ole="">
            <v:imagedata r:id="rId16" o:title=""/>
          </v:shape>
          <o:OLEObject Type="Embed" ProgID="Visio.Drawing.15" ShapeID="_x0000_i1029" DrawAspect="Content" ObjectID="_1700643208" r:id="rId17"/>
        </w:object>
      </w:r>
    </w:p>
    <w:p w14:paraId="082BA86C" w14:textId="77777777" w:rsidR="003F1C55" w:rsidRPr="004C2A3C" w:rsidRDefault="003F1C55" w:rsidP="003F1C55">
      <w:pPr>
        <w:spacing w:after="120"/>
        <w:ind w:left="1134"/>
        <w:jc w:val="right"/>
        <w:rPr>
          <w:rFonts w:eastAsia="Times New Roman"/>
          <w:lang w:val="fr-FR"/>
        </w:rPr>
      </w:pPr>
      <w:r w:rsidRPr="004C2A3C">
        <w:rPr>
          <w:rFonts w:eastAsia="Times New Roman"/>
          <w:lang w:val="fr-FR"/>
        </w:rPr>
        <w:t>».</w:t>
      </w:r>
    </w:p>
    <w:p w14:paraId="0DE8FF05" w14:textId="77777777" w:rsidR="003F1C55" w:rsidRPr="004C2A3C" w:rsidRDefault="003F1C55" w:rsidP="003F1C55">
      <w:pPr>
        <w:suppressAutoHyphens w:val="0"/>
        <w:kinsoku/>
        <w:overflowPunct/>
        <w:autoSpaceDE/>
        <w:autoSpaceDN/>
        <w:adjustRightInd/>
        <w:snapToGrid/>
        <w:spacing w:after="200" w:line="276" w:lineRule="auto"/>
        <w:rPr>
          <w:rFonts w:eastAsia="Times New Roman"/>
          <w:color w:val="000000" w:themeColor="text1"/>
          <w:lang w:val="fr-FR"/>
        </w:rPr>
      </w:pPr>
      <w:r w:rsidRPr="004C2A3C">
        <w:rPr>
          <w:rFonts w:eastAsia="Times New Roman"/>
          <w:color w:val="000000" w:themeColor="text1"/>
          <w:lang w:val="fr-FR"/>
        </w:rPr>
        <w:br w:type="page"/>
      </w:r>
    </w:p>
    <w:p w14:paraId="3E8C16BE" w14:textId="77777777" w:rsidR="003F1C55" w:rsidRPr="004C2A3C" w:rsidRDefault="003F1C55" w:rsidP="003F1C55">
      <w:pPr>
        <w:keepNext/>
        <w:spacing w:after="120"/>
        <w:ind w:left="1134" w:right="1134"/>
        <w:jc w:val="both"/>
        <w:rPr>
          <w:rFonts w:eastAsia="Times New Roman"/>
          <w:lang w:val="fr-FR"/>
        </w:rPr>
      </w:pPr>
      <w:r w:rsidRPr="004C2A3C">
        <w:rPr>
          <w:rFonts w:eastAsia="Times New Roman"/>
          <w:lang w:val="fr-FR"/>
        </w:rPr>
        <w:t>3.3.5.2</w:t>
      </w:r>
      <w:r w:rsidRPr="004C2A3C">
        <w:rPr>
          <w:rFonts w:eastAsia="Times New Roman"/>
          <w:lang w:val="fr-FR"/>
        </w:rPr>
        <w:tab/>
      </w:r>
      <w:r w:rsidRPr="004C2A3C">
        <w:rPr>
          <w:rFonts w:eastAsia="Times New Roman"/>
          <w:lang w:val="fr-FR"/>
        </w:rPr>
        <w:tab/>
        <w:t>Remplacer le diagramme de décision 3.3.2 par le diagramme suivant :</w:t>
      </w:r>
    </w:p>
    <w:p w14:paraId="1F514C25" w14:textId="77777777" w:rsidR="003F1C55" w:rsidRPr="004C2A3C" w:rsidRDefault="003F1C55" w:rsidP="003F1C55">
      <w:pPr>
        <w:keepNext/>
        <w:spacing w:after="120"/>
        <w:ind w:left="1134" w:right="1134"/>
        <w:jc w:val="both"/>
        <w:rPr>
          <w:rFonts w:eastAsia="Times New Roman"/>
          <w:lang w:val="fr-FR"/>
        </w:rPr>
      </w:pPr>
      <w:r w:rsidRPr="004C2A3C">
        <w:rPr>
          <w:rFonts w:eastAsia="Times New Roman"/>
          <w:lang w:val="fr-FR"/>
        </w:rPr>
        <w:t>«</w:t>
      </w:r>
    </w:p>
    <w:p w14:paraId="0CE2E81C" w14:textId="77777777" w:rsidR="003F1C55" w:rsidRPr="004C2A3C" w:rsidRDefault="003F1C55" w:rsidP="003F1C55">
      <w:pPr>
        <w:spacing w:after="120"/>
        <w:ind w:left="1134" w:right="1134"/>
        <w:jc w:val="both"/>
        <w:rPr>
          <w:rFonts w:eastAsia="Times New Roman"/>
          <w:color w:val="000000" w:themeColor="text1"/>
          <w:lang w:val="fr-FR"/>
        </w:rPr>
      </w:pPr>
      <w:r w:rsidRPr="004C2A3C">
        <w:rPr>
          <w:rFonts w:eastAsia="Times New Roman"/>
          <w:noProof/>
        </w:rPr>
        <w:object w:dxaOrig="7753" w:dyaOrig="9433" w14:anchorId="734B1F05">
          <v:shape id="_x0000_i1030" type="#_x0000_t75" alt="" style="width:423.5pt;height:516pt;mso-width-percent:0;mso-height-percent:0;mso-width-percent:0;mso-height-percent:0" o:ole="">
            <v:imagedata r:id="rId18" o:title=""/>
          </v:shape>
          <o:OLEObject Type="Embed" ProgID="Visio.Drawing.15" ShapeID="_x0000_i1030" DrawAspect="Content" ObjectID="_1700643209" r:id="rId19"/>
        </w:object>
      </w:r>
    </w:p>
    <w:p w14:paraId="77EF2447" w14:textId="77777777" w:rsidR="003F1C55" w:rsidRPr="004C2A3C" w:rsidRDefault="003F1C55" w:rsidP="003F1C55">
      <w:pPr>
        <w:spacing w:after="120"/>
        <w:ind w:left="1134"/>
        <w:jc w:val="right"/>
        <w:rPr>
          <w:rFonts w:eastAsia="Times New Roman"/>
          <w:lang w:val="fr-FR"/>
        </w:rPr>
      </w:pPr>
      <w:r w:rsidRPr="004C2A3C">
        <w:rPr>
          <w:rFonts w:eastAsia="Times New Roman"/>
          <w:lang w:val="fr-FR"/>
        </w:rPr>
        <w:t>».</w:t>
      </w:r>
    </w:p>
    <w:p w14:paraId="2C4FBB25" w14:textId="77777777" w:rsidR="003F1C55" w:rsidRPr="004C2A3C" w:rsidRDefault="003F1C55" w:rsidP="003F1C55">
      <w:pPr>
        <w:spacing w:after="120"/>
        <w:ind w:left="1134" w:right="1134"/>
        <w:jc w:val="both"/>
        <w:rPr>
          <w:rFonts w:eastAsia="Times New Roman"/>
          <w:color w:val="000000" w:themeColor="text1"/>
          <w:lang w:val="fr-FR"/>
        </w:rPr>
      </w:pPr>
      <w:r w:rsidRPr="004C2A3C">
        <w:rPr>
          <w:rFonts w:eastAsia="Times New Roman"/>
          <w:color w:val="000000" w:themeColor="text1"/>
          <w:lang w:val="fr-FR"/>
        </w:rPr>
        <w:t>Les notes de bas de page 4, 5, 6 et 7 actuelles deviennent les notes de bas de page 5, 6, 7 et 8.</w:t>
      </w:r>
    </w:p>
    <w:p w14:paraId="09CB3DF5" w14:textId="77777777" w:rsidR="003F1C55" w:rsidRPr="004C2A3C" w:rsidRDefault="003F1C55" w:rsidP="003F1C55">
      <w:pPr>
        <w:tabs>
          <w:tab w:val="left" w:pos="2268"/>
          <w:tab w:val="left" w:pos="3119"/>
          <w:tab w:val="left" w:pos="3686"/>
        </w:tabs>
        <w:spacing w:after="120"/>
        <w:ind w:left="2268" w:right="1134" w:hanging="1134"/>
        <w:jc w:val="both"/>
        <w:rPr>
          <w:rFonts w:eastAsia="Times New Roman"/>
          <w:color w:val="000000" w:themeColor="text1"/>
          <w:lang w:val="fr-FR"/>
        </w:rPr>
      </w:pPr>
      <w:r w:rsidRPr="004C2A3C">
        <w:rPr>
          <w:rFonts w:eastAsia="Times New Roman"/>
          <w:color w:val="000000" w:themeColor="text1"/>
          <w:lang w:val="fr-FR"/>
        </w:rPr>
        <w:t>3.3.5.3.1 à 3.3.5.3.5</w:t>
      </w:r>
      <w:r w:rsidRPr="004C2A3C">
        <w:rPr>
          <w:rFonts w:eastAsia="Times New Roman"/>
          <w:color w:val="000000" w:themeColor="text1"/>
          <w:lang w:val="fr-FR"/>
        </w:rPr>
        <w:tab/>
        <w:t>Les paragraphes 3.3.5.3.1 à 3.3.5.3.5 deviennent les paragraphes 3.3.5.3.3.1 à 3.3.5.3.3.5.</w:t>
      </w:r>
    </w:p>
    <w:p w14:paraId="5514865E" w14:textId="77777777" w:rsidR="003F1C55" w:rsidRPr="004C2A3C" w:rsidRDefault="003F1C55" w:rsidP="003F1C55">
      <w:pPr>
        <w:tabs>
          <w:tab w:val="left" w:pos="3686"/>
        </w:tabs>
        <w:spacing w:after="120"/>
        <w:ind w:left="1134" w:right="1134"/>
        <w:jc w:val="both"/>
        <w:rPr>
          <w:rFonts w:eastAsia="Times New Roman"/>
          <w:color w:val="000000" w:themeColor="text1"/>
          <w:lang w:val="fr-FR"/>
        </w:rPr>
      </w:pPr>
      <w:r w:rsidRPr="004C2A3C">
        <w:rPr>
          <w:rFonts w:eastAsia="Times New Roman"/>
          <w:color w:val="000000" w:themeColor="text1"/>
          <w:lang w:val="fr-FR"/>
        </w:rPr>
        <w:t>3.3.5.3.1 et 3.3.5.3.2 (nouveaux paragraphes)</w:t>
      </w:r>
      <w:r w:rsidRPr="004C2A3C">
        <w:rPr>
          <w:rFonts w:eastAsia="Times New Roman"/>
          <w:color w:val="000000" w:themeColor="text1"/>
          <w:lang w:val="fr-FR"/>
        </w:rPr>
        <w:tab/>
        <w:t>Ajouter les deux nouveaux paragraphes suivants :</w:t>
      </w:r>
    </w:p>
    <w:p w14:paraId="0F739DFE" w14:textId="77777777" w:rsidR="003F1C55" w:rsidRPr="004C2A3C" w:rsidRDefault="003F1C55" w:rsidP="003F1C55">
      <w:pPr>
        <w:keepNext/>
        <w:tabs>
          <w:tab w:val="left" w:pos="3402"/>
        </w:tabs>
        <w:spacing w:after="120"/>
        <w:ind w:left="2268" w:right="1134"/>
        <w:jc w:val="both"/>
        <w:rPr>
          <w:rFonts w:eastAsia="Times New Roman"/>
          <w:color w:val="000000" w:themeColor="text1"/>
          <w:lang w:val="fr-FR"/>
        </w:rPr>
      </w:pPr>
      <w:bookmarkStart w:id="10" w:name="_Hlk69885998"/>
      <w:r w:rsidRPr="004C2A3C">
        <w:rPr>
          <w:rFonts w:eastAsia="Times New Roman"/>
          <w:color w:val="000000" w:themeColor="text1"/>
          <w:lang w:val="fr-FR"/>
        </w:rPr>
        <w:t>« 3.3.5.3.1</w:t>
      </w:r>
      <w:r w:rsidRPr="004C2A3C">
        <w:rPr>
          <w:rFonts w:eastAsia="Times New Roman"/>
          <w:color w:val="000000" w:themeColor="text1"/>
          <w:lang w:val="fr-FR"/>
        </w:rPr>
        <w:tab/>
      </w:r>
      <w:r w:rsidRPr="004C2A3C">
        <w:rPr>
          <w:rFonts w:eastAsia="Times New Roman"/>
          <w:i/>
          <w:iCs/>
          <w:color w:val="000000" w:themeColor="text1"/>
          <w:lang w:val="fr-FR"/>
        </w:rPr>
        <w:t>Documents de référence pertinents</w:t>
      </w:r>
    </w:p>
    <w:bookmarkEnd w:id="10"/>
    <w:p w14:paraId="6180C495" w14:textId="77777777" w:rsidR="003F1C55" w:rsidRPr="004C2A3C" w:rsidRDefault="003F1C55" w:rsidP="003F1C55">
      <w:pPr>
        <w:tabs>
          <w:tab w:val="left" w:pos="3402"/>
        </w:tabs>
        <w:spacing w:after="120"/>
        <w:ind w:left="2268" w:right="1134"/>
        <w:jc w:val="both"/>
        <w:rPr>
          <w:rFonts w:eastAsia="Times New Roman"/>
          <w:color w:val="000000" w:themeColor="text1"/>
          <w:lang w:val="fr-FR"/>
        </w:rPr>
      </w:pPr>
      <w:r w:rsidRPr="004C2A3C">
        <w:rPr>
          <w:rFonts w:eastAsia="Times New Roman"/>
          <w:color w:val="000000" w:themeColor="text1"/>
          <w:lang w:val="fr-FR"/>
        </w:rPr>
        <w:tab/>
        <w:t>On trouvera dans le document d</w:t>
      </w:r>
      <w:r>
        <w:rPr>
          <w:rFonts w:eastAsia="Times New Roman"/>
          <w:color w:val="000000" w:themeColor="text1"/>
          <w:lang w:val="fr-FR"/>
        </w:rPr>
        <w:t>’</w:t>
      </w:r>
      <w:r w:rsidRPr="004C2A3C">
        <w:rPr>
          <w:rFonts w:eastAsia="Times New Roman"/>
          <w:color w:val="000000" w:themeColor="text1"/>
          <w:lang w:val="fr-FR"/>
        </w:rPr>
        <w:t>orientation 263 de l</w:t>
      </w:r>
      <w:r>
        <w:rPr>
          <w:rFonts w:eastAsia="Times New Roman"/>
          <w:color w:val="000000" w:themeColor="text1"/>
          <w:lang w:val="fr-FR"/>
        </w:rPr>
        <w:t>’</w:t>
      </w:r>
      <w:r w:rsidRPr="004C2A3C">
        <w:rPr>
          <w:rFonts w:eastAsia="Times New Roman"/>
          <w:color w:val="000000" w:themeColor="text1"/>
          <w:lang w:val="fr-FR"/>
        </w:rPr>
        <w:t xml:space="preserve">OCDE − </w:t>
      </w:r>
      <w:r w:rsidRPr="004C2A3C">
        <w:rPr>
          <w:rFonts w:eastAsia="Times New Roman"/>
          <w:color w:val="000000" w:themeColor="text1"/>
        </w:rPr>
        <w:t xml:space="preserve">Guidance Document on Integrated </w:t>
      </w:r>
      <w:proofErr w:type="spellStart"/>
      <w:r w:rsidRPr="004C2A3C">
        <w:rPr>
          <w:rFonts w:eastAsia="Times New Roman"/>
          <w:color w:val="000000" w:themeColor="text1"/>
        </w:rPr>
        <w:t>Approaches</w:t>
      </w:r>
      <w:proofErr w:type="spellEnd"/>
      <w:r w:rsidRPr="004C2A3C">
        <w:rPr>
          <w:rFonts w:eastAsia="Times New Roman"/>
          <w:color w:val="000000" w:themeColor="text1"/>
        </w:rPr>
        <w:t xml:space="preserve"> to </w:t>
      </w:r>
      <w:proofErr w:type="spellStart"/>
      <w:r w:rsidRPr="004C2A3C">
        <w:rPr>
          <w:rFonts w:eastAsia="Times New Roman"/>
          <w:color w:val="000000" w:themeColor="text1"/>
        </w:rPr>
        <w:t>Testing</w:t>
      </w:r>
      <w:proofErr w:type="spellEnd"/>
      <w:r w:rsidRPr="004C2A3C">
        <w:rPr>
          <w:rFonts w:eastAsia="Times New Roman"/>
          <w:color w:val="000000" w:themeColor="text1"/>
        </w:rPr>
        <w:t xml:space="preserve"> and </w:t>
      </w:r>
      <w:proofErr w:type="spellStart"/>
      <w:r w:rsidRPr="004C2A3C">
        <w:rPr>
          <w:rFonts w:eastAsia="Times New Roman"/>
          <w:color w:val="000000" w:themeColor="text1"/>
        </w:rPr>
        <w:t>Assessment</w:t>
      </w:r>
      <w:proofErr w:type="spellEnd"/>
      <w:r w:rsidRPr="004C2A3C">
        <w:rPr>
          <w:rFonts w:eastAsia="Times New Roman"/>
          <w:color w:val="000000" w:themeColor="text1"/>
        </w:rPr>
        <w:t xml:space="preserve"> (IATA) for </w:t>
      </w:r>
      <w:proofErr w:type="spellStart"/>
      <w:r w:rsidRPr="004C2A3C">
        <w:rPr>
          <w:rFonts w:eastAsia="Times New Roman"/>
          <w:color w:val="000000" w:themeColor="text1"/>
        </w:rPr>
        <w:t>Serious</w:t>
      </w:r>
      <w:proofErr w:type="spellEnd"/>
      <w:r w:rsidRPr="004C2A3C">
        <w:rPr>
          <w:rFonts w:eastAsia="Times New Roman"/>
          <w:color w:val="000000" w:themeColor="text1"/>
        </w:rPr>
        <w:t xml:space="preserve"> Eye Damage and Eye Irritation</w:t>
      </w:r>
      <w:r w:rsidRPr="004C2A3C">
        <w:rPr>
          <w:rFonts w:eastAsia="Times New Roman"/>
          <w:color w:val="000000" w:themeColor="text1"/>
          <w:lang w:val="fr-FR"/>
        </w:rPr>
        <w:t xml:space="preserve"> − des informations sur les avantages et les inconvénients des différentes méthodes avec ou sans essais, ainsi que des indications sur la façon d</w:t>
      </w:r>
      <w:r>
        <w:rPr>
          <w:rFonts w:eastAsia="Times New Roman"/>
          <w:color w:val="000000" w:themeColor="text1"/>
          <w:lang w:val="fr-FR"/>
        </w:rPr>
        <w:t>’</w:t>
      </w:r>
      <w:r w:rsidRPr="004C2A3C">
        <w:rPr>
          <w:rFonts w:eastAsia="Times New Roman"/>
          <w:color w:val="000000" w:themeColor="text1"/>
          <w:lang w:val="fr-FR"/>
        </w:rPr>
        <w:t>appliquer une méthode fondée sur la force probante des données.</w:t>
      </w:r>
    </w:p>
    <w:p w14:paraId="24026185" w14:textId="77777777" w:rsidR="003F1C55" w:rsidRPr="004C2A3C" w:rsidRDefault="003F1C55" w:rsidP="003F1C55">
      <w:pPr>
        <w:tabs>
          <w:tab w:val="left" w:pos="3402"/>
        </w:tabs>
        <w:spacing w:after="120"/>
        <w:ind w:left="2268" w:right="1134"/>
        <w:jc w:val="both"/>
        <w:rPr>
          <w:rFonts w:eastAsia="Times New Roman"/>
          <w:i/>
          <w:iCs/>
          <w:color w:val="000000" w:themeColor="text1"/>
          <w:lang w:val="fr-FR"/>
        </w:rPr>
      </w:pPr>
      <w:r w:rsidRPr="004C2A3C">
        <w:rPr>
          <w:rFonts w:eastAsia="Times New Roman"/>
          <w:color w:val="000000" w:themeColor="text1"/>
          <w:lang w:val="fr-FR"/>
        </w:rPr>
        <w:t>3.3.5.3.2</w:t>
      </w:r>
      <w:r w:rsidRPr="004C2A3C">
        <w:rPr>
          <w:rFonts w:eastAsia="Times New Roman"/>
          <w:color w:val="000000" w:themeColor="text1"/>
          <w:lang w:val="fr-FR"/>
        </w:rPr>
        <w:tab/>
      </w:r>
      <w:r w:rsidRPr="004C2A3C">
        <w:rPr>
          <w:rFonts w:eastAsia="Times New Roman"/>
          <w:i/>
          <w:iCs/>
          <w:color w:val="000000" w:themeColor="text1"/>
          <w:lang w:val="fr-FR"/>
        </w:rPr>
        <w:t>Directives sur l</w:t>
      </w:r>
      <w:r>
        <w:rPr>
          <w:rFonts w:eastAsia="Times New Roman"/>
          <w:i/>
          <w:iCs/>
          <w:color w:val="000000" w:themeColor="text1"/>
          <w:lang w:val="fr-FR"/>
        </w:rPr>
        <w:t>’</w:t>
      </w:r>
      <w:r w:rsidRPr="004C2A3C">
        <w:rPr>
          <w:rFonts w:eastAsia="Times New Roman"/>
          <w:i/>
          <w:iCs/>
          <w:color w:val="000000" w:themeColor="text1"/>
          <w:lang w:val="fr-FR"/>
        </w:rPr>
        <w:t>utilisation des données obtenues sur l</w:t>
      </w:r>
      <w:r>
        <w:rPr>
          <w:rFonts w:eastAsia="Times New Roman"/>
          <w:i/>
          <w:iCs/>
          <w:color w:val="000000" w:themeColor="text1"/>
          <w:lang w:val="fr-FR"/>
        </w:rPr>
        <w:t>’</w:t>
      </w:r>
      <w:r w:rsidRPr="004C2A3C">
        <w:rPr>
          <w:rFonts w:eastAsia="Times New Roman"/>
          <w:i/>
          <w:iCs/>
          <w:color w:val="000000" w:themeColor="text1"/>
          <w:lang w:val="fr-FR"/>
        </w:rPr>
        <w:t>homme pour la classification au titre des lésions oculaires graves ou de l</w:t>
      </w:r>
      <w:r>
        <w:rPr>
          <w:rFonts w:eastAsia="Times New Roman"/>
          <w:i/>
          <w:iCs/>
          <w:color w:val="000000" w:themeColor="text1"/>
          <w:lang w:val="fr-FR"/>
        </w:rPr>
        <w:t>’</w:t>
      </w:r>
      <w:r w:rsidRPr="004C2A3C">
        <w:rPr>
          <w:rFonts w:eastAsia="Times New Roman"/>
          <w:i/>
          <w:iCs/>
          <w:color w:val="000000" w:themeColor="text1"/>
          <w:lang w:val="fr-FR"/>
        </w:rPr>
        <w:t>irritation oculaire</w:t>
      </w:r>
    </w:p>
    <w:p w14:paraId="0A63F98C" w14:textId="77777777" w:rsidR="003F1C55" w:rsidRPr="004C2A3C" w:rsidRDefault="003F1C55" w:rsidP="003F1C55">
      <w:pPr>
        <w:tabs>
          <w:tab w:val="left" w:pos="3402"/>
        </w:tabs>
        <w:spacing w:after="120"/>
        <w:ind w:left="2268" w:right="1134"/>
        <w:jc w:val="both"/>
        <w:rPr>
          <w:rFonts w:eastAsia="Times New Roman"/>
          <w:color w:val="000000" w:themeColor="text1"/>
          <w:lang w:val="fr-FR"/>
        </w:rPr>
      </w:pPr>
      <w:r w:rsidRPr="004C2A3C">
        <w:rPr>
          <w:rFonts w:eastAsia="Times New Roman"/>
          <w:color w:val="000000" w:themeColor="text1"/>
          <w:lang w:val="fr-FR"/>
        </w:rPr>
        <w:tab/>
        <w:t>La disponibilité de données sur l</w:t>
      </w:r>
      <w:r>
        <w:rPr>
          <w:rFonts w:eastAsia="Times New Roman"/>
          <w:color w:val="000000" w:themeColor="text1"/>
          <w:lang w:val="fr-FR"/>
        </w:rPr>
        <w:t>’</w:t>
      </w:r>
      <w:r w:rsidRPr="004C2A3C">
        <w:rPr>
          <w:rFonts w:eastAsia="Times New Roman"/>
          <w:color w:val="000000" w:themeColor="text1"/>
          <w:lang w:val="fr-FR"/>
        </w:rPr>
        <w:t>homme pour les lésions oculaires graves et l</w:t>
      </w:r>
      <w:r>
        <w:rPr>
          <w:rFonts w:eastAsia="Times New Roman"/>
          <w:color w:val="000000" w:themeColor="text1"/>
          <w:lang w:val="fr-FR"/>
        </w:rPr>
        <w:t>’</w:t>
      </w:r>
      <w:r w:rsidRPr="004C2A3C">
        <w:rPr>
          <w:rFonts w:eastAsia="Times New Roman"/>
          <w:color w:val="000000" w:themeColor="text1"/>
          <w:lang w:val="fr-FR"/>
        </w:rPr>
        <w:t>irritation oculaire est limitée et les données disponibles peuvent comporter des incertitudes. Toutefois, lorsque ces données existent, il convient de les prendre en compte en fonction de leur qualité. Les données sur l</w:t>
      </w:r>
      <w:r>
        <w:rPr>
          <w:rFonts w:eastAsia="Times New Roman"/>
          <w:color w:val="000000" w:themeColor="text1"/>
          <w:lang w:val="fr-FR"/>
        </w:rPr>
        <w:t>’</w:t>
      </w:r>
      <w:r w:rsidRPr="004C2A3C">
        <w:rPr>
          <w:rFonts w:eastAsia="Times New Roman"/>
          <w:color w:val="000000" w:themeColor="text1"/>
          <w:lang w:val="fr-FR"/>
        </w:rPr>
        <w:t>homme peuvent provenir d</w:t>
      </w:r>
      <w:r>
        <w:rPr>
          <w:rFonts w:eastAsia="Times New Roman"/>
          <w:color w:val="000000" w:themeColor="text1"/>
          <w:lang w:val="fr-FR"/>
        </w:rPr>
        <w:t>’</w:t>
      </w:r>
      <w:r w:rsidRPr="004C2A3C">
        <w:rPr>
          <w:rFonts w:eastAsia="Times New Roman"/>
          <w:color w:val="000000" w:themeColor="text1"/>
          <w:lang w:val="fr-FR"/>
        </w:rPr>
        <w:t>études épidémiologiques, de l</w:t>
      </w:r>
      <w:r>
        <w:rPr>
          <w:rFonts w:eastAsia="Times New Roman"/>
          <w:color w:val="000000" w:themeColor="text1"/>
          <w:lang w:val="fr-FR"/>
        </w:rPr>
        <w:t>’</w:t>
      </w:r>
      <w:r w:rsidRPr="004C2A3C">
        <w:rPr>
          <w:rFonts w:eastAsia="Times New Roman"/>
          <w:color w:val="000000" w:themeColor="text1"/>
          <w:lang w:val="fr-FR"/>
        </w:rPr>
        <w:t>expérience humaine (expérience de consommateurs, par exemple), des centres antipoison, des programmes nationaux et internationaux de surveillance des accidents de la vie courante, d</w:t>
      </w:r>
      <w:r>
        <w:rPr>
          <w:rFonts w:eastAsia="Times New Roman"/>
          <w:color w:val="000000" w:themeColor="text1"/>
          <w:lang w:val="fr-FR"/>
        </w:rPr>
        <w:t>’</w:t>
      </w:r>
      <w:r w:rsidRPr="004C2A3C">
        <w:rPr>
          <w:rFonts w:eastAsia="Times New Roman"/>
          <w:color w:val="000000" w:themeColor="text1"/>
          <w:lang w:val="fr-FR"/>
        </w:rPr>
        <w:t>études de cas, ou encore d</w:t>
      </w:r>
      <w:r>
        <w:rPr>
          <w:rFonts w:eastAsia="Times New Roman"/>
          <w:color w:val="000000" w:themeColor="text1"/>
          <w:lang w:val="fr-FR"/>
        </w:rPr>
        <w:t>’</w:t>
      </w:r>
      <w:r w:rsidRPr="004C2A3C">
        <w:rPr>
          <w:rFonts w:eastAsia="Times New Roman"/>
          <w:color w:val="000000" w:themeColor="text1"/>
          <w:lang w:val="fr-FR"/>
        </w:rPr>
        <w:t>expériences et d</w:t>
      </w:r>
      <w:r>
        <w:rPr>
          <w:rFonts w:eastAsia="Times New Roman"/>
          <w:color w:val="000000" w:themeColor="text1"/>
          <w:lang w:val="fr-FR"/>
        </w:rPr>
        <w:t>’</w:t>
      </w:r>
      <w:r w:rsidRPr="004C2A3C">
        <w:rPr>
          <w:rFonts w:eastAsia="Times New Roman"/>
          <w:color w:val="000000" w:themeColor="text1"/>
          <w:lang w:val="fr-FR"/>
        </w:rPr>
        <w:t>accidents dans le monde du travail. Les études de cas sur l</w:t>
      </w:r>
      <w:r>
        <w:rPr>
          <w:rFonts w:eastAsia="Times New Roman"/>
          <w:color w:val="000000" w:themeColor="text1"/>
          <w:lang w:val="fr-FR"/>
        </w:rPr>
        <w:t>’</w:t>
      </w:r>
      <w:r w:rsidRPr="004C2A3C">
        <w:rPr>
          <w:rFonts w:eastAsia="Times New Roman"/>
          <w:color w:val="000000" w:themeColor="text1"/>
          <w:lang w:val="fr-FR"/>
        </w:rPr>
        <w:t>homme peuvent avoir une valeur prédictive limitée, car dans bien des cas la présence d</w:t>
      </w:r>
      <w:r>
        <w:rPr>
          <w:rFonts w:eastAsia="Times New Roman"/>
          <w:color w:val="000000" w:themeColor="text1"/>
          <w:lang w:val="fr-FR"/>
        </w:rPr>
        <w:t>’</w:t>
      </w:r>
      <w:r w:rsidRPr="004C2A3C">
        <w:rPr>
          <w:rFonts w:eastAsia="Times New Roman"/>
          <w:color w:val="000000" w:themeColor="text1"/>
          <w:lang w:val="fr-FR"/>
        </w:rPr>
        <w:t>une substance ou d</w:t>
      </w:r>
      <w:r>
        <w:rPr>
          <w:rFonts w:eastAsia="Times New Roman"/>
          <w:color w:val="000000" w:themeColor="text1"/>
          <w:lang w:val="fr-FR"/>
        </w:rPr>
        <w:t>’</w:t>
      </w:r>
      <w:r w:rsidRPr="004C2A3C">
        <w:rPr>
          <w:rFonts w:eastAsia="Times New Roman"/>
          <w:color w:val="000000" w:themeColor="text1"/>
          <w:lang w:val="fr-FR"/>
        </w:rPr>
        <w:t>un mélange dans l</w:t>
      </w:r>
      <w:r>
        <w:rPr>
          <w:rFonts w:eastAsia="Times New Roman"/>
          <w:color w:val="000000" w:themeColor="text1"/>
          <w:lang w:val="fr-FR"/>
        </w:rPr>
        <w:t>’</w:t>
      </w:r>
      <w:r w:rsidRPr="004C2A3C">
        <w:rPr>
          <w:rFonts w:eastAsia="Times New Roman"/>
          <w:color w:val="000000" w:themeColor="text1"/>
          <w:lang w:val="fr-FR"/>
        </w:rPr>
        <w:t>œil entraîne une douleur et un rapide rinçage des yeux. Les effets observés peuvent ainsi conduire à sous-estimer la propriété intrinsèque de la substance ou du mélange à affecter l</w:t>
      </w:r>
      <w:r>
        <w:rPr>
          <w:rFonts w:eastAsia="Times New Roman"/>
          <w:color w:val="000000" w:themeColor="text1"/>
          <w:lang w:val="fr-FR"/>
        </w:rPr>
        <w:t>’</w:t>
      </w:r>
      <w:r w:rsidRPr="004C2A3C">
        <w:rPr>
          <w:rFonts w:eastAsia="Times New Roman"/>
          <w:color w:val="000000" w:themeColor="text1"/>
          <w:lang w:val="fr-FR"/>
        </w:rPr>
        <w:t>œil lorsqu</w:t>
      </w:r>
      <w:r>
        <w:rPr>
          <w:rFonts w:eastAsia="Times New Roman"/>
          <w:color w:val="000000" w:themeColor="text1"/>
          <w:lang w:val="fr-FR"/>
        </w:rPr>
        <w:t>’</w:t>
      </w:r>
      <w:r w:rsidRPr="004C2A3C">
        <w:rPr>
          <w:rFonts w:eastAsia="Times New Roman"/>
          <w:color w:val="000000" w:themeColor="text1"/>
          <w:lang w:val="fr-FR"/>
        </w:rPr>
        <w:t>il n</w:t>
      </w:r>
      <w:r>
        <w:rPr>
          <w:rFonts w:eastAsia="Times New Roman"/>
          <w:color w:val="000000" w:themeColor="text1"/>
          <w:lang w:val="fr-FR"/>
        </w:rPr>
        <w:t>’</w:t>
      </w:r>
      <w:r w:rsidRPr="004C2A3C">
        <w:rPr>
          <w:rFonts w:eastAsia="Times New Roman"/>
          <w:color w:val="000000" w:themeColor="text1"/>
          <w:lang w:val="fr-FR"/>
        </w:rPr>
        <w:t>est pas rincé. On trouvera dans le document d</w:t>
      </w:r>
      <w:r>
        <w:rPr>
          <w:rFonts w:eastAsia="Times New Roman"/>
          <w:color w:val="000000" w:themeColor="text1"/>
          <w:lang w:val="fr-FR"/>
        </w:rPr>
        <w:t>’</w:t>
      </w:r>
      <w:r w:rsidRPr="004C2A3C">
        <w:rPr>
          <w:rFonts w:eastAsia="Times New Roman"/>
          <w:color w:val="000000" w:themeColor="text1"/>
          <w:lang w:val="fr-FR"/>
        </w:rPr>
        <w:t>orientation 263 de l</w:t>
      </w:r>
      <w:r>
        <w:rPr>
          <w:rFonts w:eastAsia="Times New Roman"/>
          <w:color w:val="000000" w:themeColor="text1"/>
          <w:lang w:val="fr-FR"/>
        </w:rPr>
        <w:t>’</w:t>
      </w:r>
      <w:r w:rsidRPr="004C2A3C">
        <w:rPr>
          <w:rFonts w:eastAsia="Times New Roman"/>
          <w:color w:val="000000" w:themeColor="text1"/>
          <w:lang w:val="fr-FR"/>
        </w:rPr>
        <w:t xml:space="preserve">OCDE (sect. 4.1, module 1 : </w:t>
      </w:r>
      <w:proofErr w:type="spellStart"/>
      <w:r w:rsidRPr="004C2A3C">
        <w:rPr>
          <w:rFonts w:eastAsia="Times New Roman"/>
          <w:color w:val="000000" w:themeColor="text1"/>
        </w:rPr>
        <w:t>Existing</w:t>
      </w:r>
      <w:proofErr w:type="spellEnd"/>
      <w:r w:rsidRPr="004C2A3C">
        <w:rPr>
          <w:rFonts w:eastAsia="Times New Roman"/>
          <w:color w:val="000000" w:themeColor="text1"/>
        </w:rPr>
        <w:t xml:space="preserve"> </w:t>
      </w:r>
      <w:proofErr w:type="spellStart"/>
      <w:r w:rsidRPr="004C2A3C">
        <w:rPr>
          <w:rFonts w:eastAsia="Times New Roman"/>
          <w:color w:val="000000" w:themeColor="text1"/>
        </w:rPr>
        <w:t>human</w:t>
      </w:r>
      <w:proofErr w:type="spellEnd"/>
      <w:r w:rsidRPr="004C2A3C">
        <w:rPr>
          <w:rFonts w:eastAsia="Times New Roman"/>
          <w:color w:val="000000" w:themeColor="text1"/>
        </w:rPr>
        <w:t xml:space="preserve"> data on </w:t>
      </w:r>
      <w:proofErr w:type="spellStart"/>
      <w:r w:rsidRPr="004C2A3C">
        <w:rPr>
          <w:rFonts w:eastAsia="Times New Roman"/>
          <w:color w:val="000000" w:themeColor="text1"/>
        </w:rPr>
        <w:t>serious</w:t>
      </w:r>
      <w:proofErr w:type="spellEnd"/>
      <w:r w:rsidRPr="004C2A3C">
        <w:rPr>
          <w:rFonts w:eastAsia="Times New Roman"/>
          <w:color w:val="000000" w:themeColor="text1"/>
        </w:rPr>
        <w:t xml:space="preserve"> </w:t>
      </w:r>
      <w:proofErr w:type="spellStart"/>
      <w:r w:rsidRPr="004C2A3C">
        <w:rPr>
          <w:rFonts w:eastAsia="Times New Roman"/>
          <w:color w:val="000000" w:themeColor="text1"/>
        </w:rPr>
        <w:t>eye</w:t>
      </w:r>
      <w:proofErr w:type="spellEnd"/>
      <w:r w:rsidRPr="004C2A3C">
        <w:rPr>
          <w:rFonts w:eastAsia="Times New Roman"/>
          <w:color w:val="000000" w:themeColor="text1"/>
        </w:rPr>
        <w:t xml:space="preserve"> damage and </w:t>
      </w:r>
      <w:proofErr w:type="spellStart"/>
      <w:r w:rsidRPr="004C2A3C">
        <w:rPr>
          <w:rFonts w:eastAsia="Times New Roman"/>
          <w:color w:val="000000" w:themeColor="text1"/>
        </w:rPr>
        <w:t>eye</w:t>
      </w:r>
      <w:proofErr w:type="spellEnd"/>
      <w:r w:rsidRPr="004C2A3C">
        <w:rPr>
          <w:rFonts w:eastAsia="Times New Roman"/>
          <w:color w:val="000000" w:themeColor="text1"/>
        </w:rPr>
        <w:t xml:space="preserve"> irritation</w:t>
      </w:r>
      <w:r w:rsidRPr="004C2A3C">
        <w:rPr>
          <w:rFonts w:eastAsia="Times New Roman"/>
          <w:color w:val="000000" w:themeColor="text1"/>
          <w:lang w:val="fr-FR"/>
        </w:rPr>
        <w:t>), de plus amples informations sur les avantages et les inconvénients des données sur l</w:t>
      </w:r>
      <w:r>
        <w:rPr>
          <w:rFonts w:eastAsia="Times New Roman"/>
          <w:color w:val="000000" w:themeColor="text1"/>
          <w:lang w:val="fr-FR"/>
        </w:rPr>
        <w:t>’</w:t>
      </w:r>
      <w:r w:rsidRPr="004C2A3C">
        <w:rPr>
          <w:rFonts w:eastAsia="Times New Roman"/>
          <w:color w:val="000000" w:themeColor="text1"/>
          <w:lang w:val="fr-FR"/>
        </w:rPr>
        <w:t>homme pour les lésions oculaires graves et l</w:t>
      </w:r>
      <w:r>
        <w:rPr>
          <w:rFonts w:eastAsia="Times New Roman"/>
          <w:color w:val="000000" w:themeColor="text1"/>
          <w:lang w:val="fr-FR"/>
        </w:rPr>
        <w:t>’</w:t>
      </w:r>
      <w:r w:rsidRPr="004C2A3C">
        <w:rPr>
          <w:rFonts w:eastAsia="Times New Roman"/>
          <w:color w:val="000000" w:themeColor="text1"/>
          <w:lang w:val="fr-FR"/>
        </w:rPr>
        <w:t>irritation oculaire). ».</w:t>
      </w:r>
    </w:p>
    <w:p w14:paraId="38691540" w14:textId="77777777" w:rsidR="003F1C55" w:rsidRPr="004C2A3C" w:rsidRDefault="003F1C55" w:rsidP="003F1C55">
      <w:pPr>
        <w:keepNext/>
        <w:spacing w:after="120"/>
        <w:ind w:left="1134" w:right="1134"/>
        <w:jc w:val="both"/>
        <w:rPr>
          <w:rFonts w:eastAsia="Times New Roman"/>
          <w:color w:val="000000" w:themeColor="text1"/>
          <w:lang w:val="fr-FR"/>
        </w:rPr>
      </w:pPr>
      <w:r w:rsidRPr="004C2A3C">
        <w:rPr>
          <w:rFonts w:eastAsia="Times New Roman"/>
          <w:color w:val="000000" w:themeColor="text1"/>
          <w:lang w:val="fr-FR"/>
        </w:rPr>
        <w:t>3.3.5.3.3</w:t>
      </w:r>
      <w:r w:rsidRPr="004C2A3C">
        <w:rPr>
          <w:rFonts w:eastAsia="Times New Roman"/>
          <w:color w:val="000000" w:themeColor="text1"/>
          <w:lang w:val="fr-FR"/>
        </w:rPr>
        <w:tab/>
        <w:t>Ajouter le nouveau titre suivant :</w:t>
      </w:r>
    </w:p>
    <w:p w14:paraId="3261043A" w14:textId="77777777" w:rsidR="003F1C55" w:rsidRPr="004C2A3C" w:rsidRDefault="003F1C55" w:rsidP="003F1C55">
      <w:pPr>
        <w:spacing w:after="120"/>
        <w:ind w:left="2268" w:right="1134"/>
        <w:jc w:val="both"/>
        <w:rPr>
          <w:rFonts w:eastAsia="Times New Roman"/>
          <w:i/>
          <w:iCs/>
          <w:color w:val="000000" w:themeColor="text1"/>
          <w:lang w:val="fr-FR"/>
        </w:rPr>
      </w:pPr>
      <w:r w:rsidRPr="004C2A3C">
        <w:rPr>
          <w:rFonts w:eastAsia="Times New Roman"/>
          <w:color w:val="000000" w:themeColor="text1"/>
          <w:lang w:val="fr-FR"/>
        </w:rPr>
        <w:t>« 3.3.5.3.3</w:t>
      </w:r>
      <w:r w:rsidRPr="004C2A3C">
        <w:rPr>
          <w:rFonts w:eastAsia="Times New Roman"/>
          <w:color w:val="000000" w:themeColor="text1"/>
          <w:lang w:val="fr-FR"/>
        </w:rPr>
        <w:tab/>
      </w:r>
      <w:r w:rsidRPr="004C2A3C">
        <w:rPr>
          <w:rFonts w:eastAsia="Times New Roman"/>
          <w:i/>
          <w:iCs/>
          <w:color w:val="000000" w:themeColor="text1"/>
          <w:lang w:val="fr-FR"/>
        </w:rPr>
        <w:t>Classification fondée sur les résultats d</w:t>
      </w:r>
      <w:r>
        <w:rPr>
          <w:rFonts w:eastAsia="Times New Roman"/>
          <w:i/>
          <w:iCs/>
          <w:color w:val="000000" w:themeColor="text1"/>
          <w:lang w:val="fr-FR"/>
        </w:rPr>
        <w:t>’</w:t>
      </w:r>
      <w:r w:rsidRPr="004C2A3C">
        <w:rPr>
          <w:rFonts w:eastAsia="Times New Roman"/>
          <w:i/>
          <w:iCs/>
          <w:color w:val="000000" w:themeColor="text1"/>
          <w:lang w:val="fr-FR"/>
        </w:rPr>
        <w:t>essais normalisés sur des animaux, portant sur plus de trois animaux </w:t>
      </w:r>
      <w:r w:rsidRPr="004C2A3C">
        <w:rPr>
          <w:rFonts w:eastAsia="Times New Roman"/>
          <w:color w:val="000000" w:themeColor="text1"/>
          <w:lang w:val="fr-FR"/>
        </w:rPr>
        <w:t>».</w:t>
      </w:r>
    </w:p>
    <w:p w14:paraId="4EEC05F4" w14:textId="77777777" w:rsidR="003F1C55" w:rsidRPr="004C2A3C" w:rsidRDefault="003F1C55" w:rsidP="003F1C55">
      <w:pPr>
        <w:tabs>
          <w:tab w:val="left" w:pos="2268"/>
          <w:tab w:val="left" w:pos="4820"/>
          <w:tab w:val="left" w:pos="5954"/>
        </w:tabs>
        <w:spacing w:after="120"/>
        <w:ind w:left="2268" w:right="1134" w:hanging="1134"/>
        <w:jc w:val="both"/>
        <w:rPr>
          <w:rFonts w:eastAsia="Times New Roman"/>
          <w:color w:val="000000" w:themeColor="text1"/>
          <w:lang w:val="fr-FR"/>
        </w:rPr>
      </w:pPr>
      <w:r w:rsidRPr="004C2A3C">
        <w:rPr>
          <w:rFonts w:eastAsia="Times New Roman"/>
          <w:color w:val="000000" w:themeColor="text1"/>
          <w:lang w:val="fr-FR"/>
        </w:rPr>
        <w:t>3.3.5.3.3.2 (nouveau, ancien 3.3.5.3.2)</w:t>
      </w:r>
      <w:r w:rsidRPr="004C2A3C">
        <w:rPr>
          <w:rFonts w:eastAsia="Times New Roman"/>
          <w:color w:val="000000" w:themeColor="text1"/>
          <w:lang w:val="fr-FR"/>
        </w:rPr>
        <w:tab/>
        <w:t>Remplacer « 3.3.2.1 » par « 3.3.2.2 ».</w:t>
      </w:r>
    </w:p>
    <w:p w14:paraId="4FAD3629" w14:textId="77777777" w:rsidR="003F1C55" w:rsidRPr="004C2A3C" w:rsidRDefault="003F1C55" w:rsidP="003F1C55">
      <w:pPr>
        <w:keepNext/>
        <w:spacing w:after="120"/>
        <w:ind w:left="1134" w:right="1134"/>
        <w:jc w:val="both"/>
        <w:rPr>
          <w:rFonts w:eastAsia="Times New Roman"/>
          <w:color w:val="000000" w:themeColor="text1"/>
          <w:lang w:val="fr-FR"/>
        </w:rPr>
      </w:pPr>
      <w:r w:rsidRPr="004C2A3C">
        <w:rPr>
          <w:rFonts w:eastAsia="Times New Roman"/>
          <w:color w:val="000000" w:themeColor="text1"/>
          <w:lang w:val="fr-FR"/>
        </w:rPr>
        <w:t>3.3.5.3.4 à 3.3.5.3.7.2</w:t>
      </w:r>
      <w:r w:rsidRPr="004C2A3C">
        <w:rPr>
          <w:rFonts w:eastAsia="Times New Roman"/>
          <w:color w:val="000000" w:themeColor="text1"/>
          <w:lang w:val="fr-FR"/>
        </w:rPr>
        <w:tab/>
        <w:t>Ajouter les nouvelles sections suivantes :</w:t>
      </w:r>
    </w:p>
    <w:p w14:paraId="4303988A" w14:textId="77777777" w:rsidR="003F1C55" w:rsidRPr="004C2A3C" w:rsidRDefault="003F1C55" w:rsidP="003F1C55">
      <w:pPr>
        <w:spacing w:after="120"/>
        <w:ind w:left="2268" w:right="1134"/>
        <w:jc w:val="both"/>
        <w:rPr>
          <w:rFonts w:eastAsia="Times New Roman"/>
          <w:color w:val="000000" w:themeColor="text1"/>
          <w:lang w:val="fr-FR"/>
        </w:rPr>
      </w:pPr>
      <w:r w:rsidRPr="004C2A3C">
        <w:rPr>
          <w:rFonts w:eastAsia="Times New Roman"/>
          <w:color w:val="000000" w:themeColor="text1"/>
          <w:lang w:val="fr-FR"/>
        </w:rPr>
        <w:t>« 3.3.5.3.4</w:t>
      </w:r>
      <w:r w:rsidRPr="004C2A3C">
        <w:rPr>
          <w:rFonts w:eastAsia="Times New Roman"/>
          <w:color w:val="000000" w:themeColor="text1"/>
          <w:lang w:val="fr-FR"/>
        </w:rPr>
        <w:tab/>
      </w:r>
      <w:r w:rsidRPr="004C2A3C">
        <w:rPr>
          <w:rFonts w:eastAsia="Times New Roman"/>
          <w:i/>
          <w:iCs/>
          <w:color w:val="000000" w:themeColor="text1"/>
          <w:lang w:val="fr-FR"/>
        </w:rPr>
        <w:t>Directive sur l</w:t>
      </w:r>
      <w:r>
        <w:rPr>
          <w:rFonts w:eastAsia="Times New Roman"/>
          <w:i/>
          <w:iCs/>
          <w:color w:val="000000" w:themeColor="text1"/>
          <w:lang w:val="fr-FR"/>
        </w:rPr>
        <w:t>’</w:t>
      </w:r>
      <w:r w:rsidRPr="004C2A3C">
        <w:rPr>
          <w:rFonts w:eastAsia="Times New Roman"/>
          <w:i/>
          <w:iCs/>
          <w:color w:val="000000" w:themeColor="text1"/>
          <w:lang w:val="fr-FR"/>
        </w:rPr>
        <w:t>utilisation de méthodes définies et</w:t>
      </w:r>
      <w:r w:rsidRPr="004C2A3C">
        <w:rPr>
          <w:rFonts w:eastAsia="Times New Roman"/>
          <w:iCs/>
          <w:color w:val="000000" w:themeColor="text1"/>
          <w:lang w:val="fr-FR"/>
        </w:rPr>
        <w:t>/</w:t>
      </w:r>
      <w:r w:rsidRPr="004C2A3C">
        <w:rPr>
          <w:rFonts w:eastAsia="Times New Roman"/>
          <w:i/>
          <w:iCs/>
          <w:color w:val="000000" w:themeColor="text1"/>
          <w:lang w:val="fr-FR"/>
        </w:rPr>
        <w:t xml:space="preserve">ou de données </w:t>
      </w:r>
      <w:r w:rsidRPr="004C2A3C">
        <w:rPr>
          <w:rFonts w:eastAsia="Times New Roman"/>
          <w:color w:val="000000" w:themeColor="text1"/>
          <w:lang w:val="fr-FR"/>
        </w:rPr>
        <w:t>in vitro/ex vivo</w:t>
      </w:r>
      <w:r w:rsidRPr="004C2A3C">
        <w:rPr>
          <w:rFonts w:eastAsia="Times New Roman"/>
          <w:i/>
          <w:iCs/>
          <w:color w:val="000000" w:themeColor="text1"/>
          <w:lang w:val="fr-FR"/>
        </w:rPr>
        <w:t xml:space="preserve"> pour la classification à l</w:t>
      </w:r>
      <w:r>
        <w:rPr>
          <w:rFonts w:eastAsia="Times New Roman"/>
          <w:i/>
          <w:iCs/>
          <w:color w:val="000000" w:themeColor="text1"/>
          <w:lang w:val="fr-FR"/>
        </w:rPr>
        <w:t>’</w:t>
      </w:r>
      <w:r w:rsidRPr="004C2A3C">
        <w:rPr>
          <w:rFonts w:eastAsia="Times New Roman"/>
          <w:i/>
          <w:iCs/>
          <w:color w:val="000000" w:themeColor="text1"/>
          <w:lang w:val="fr-FR"/>
        </w:rPr>
        <w:t>étape 2 de la figure 3.3.1</w:t>
      </w:r>
    </w:p>
    <w:p w14:paraId="7BFFB135" w14:textId="77777777" w:rsidR="003F1C55" w:rsidRPr="004C2A3C" w:rsidRDefault="003F1C55" w:rsidP="003F1C55">
      <w:pPr>
        <w:spacing w:after="120"/>
        <w:ind w:left="2268" w:right="1134"/>
        <w:jc w:val="both"/>
        <w:rPr>
          <w:rFonts w:eastAsia="Times New Roman"/>
          <w:color w:val="000000" w:themeColor="text1"/>
          <w:lang w:val="fr-FR"/>
        </w:rPr>
      </w:pPr>
      <w:r w:rsidRPr="004C2A3C">
        <w:rPr>
          <w:rFonts w:eastAsia="Times New Roman"/>
          <w:color w:val="000000" w:themeColor="text1"/>
          <w:lang w:val="fr-FR"/>
        </w:rPr>
        <w:t>3.3.5.3.4.1</w:t>
      </w:r>
      <w:r w:rsidRPr="004C2A3C">
        <w:rPr>
          <w:rFonts w:eastAsia="Times New Roman"/>
          <w:color w:val="000000" w:themeColor="text1"/>
          <w:lang w:val="fr-FR"/>
        </w:rPr>
        <w:tab/>
        <w:t>Les méthodes définies désignent un ensemble prédéfini de sources d</w:t>
      </w:r>
      <w:r>
        <w:rPr>
          <w:rFonts w:eastAsia="Times New Roman"/>
          <w:color w:val="000000" w:themeColor="text1"/>
          <w:lang w:val="fr-FR"/>
        </w:rPr>
        <w:t>’</w:t>
      </w:r>
      <w:r w:rsidRPr="004C2A3C">
        <w:rPr>
          <w:rFonts w:eastAsia="Times New Roman"/>
          <w:color w:val="000000" w:themeColor="text1"/>
          <w:lang w:val="fr-FR"/>
        </w:rPr>
        <w:t xml:space="preserve">information différentes (méthodes </w:t>
      </w:r>
      <w:r w:rsidRPr="004C2A3C">
        <w:rPr>
          <w:rFonts w:eastAsia="Times New Roman"/>
          <w:i/>
          <w:iCs/>
          <w:color w:val="000000" w:themeColor="text1"/>
          <w:lang w:val="fr-FR"/>
        </w:rPr>
        <w:t>in vitro</w:t>
      </w:r>
      <w:r w:rsidRPr="004C2A3C">
        <w:rPr>
          <w:rFonts w:eastAsia="Times New Roman"/>
          <w:color w:val="000000" w:themeColor="text1"/>
          <w:lang w:val="fr-FR"/>
        </w:rPr>
        <w:t xml:space="preserve">, méthodes </w:t>
      </w:r>
      <w:r w:rsidRPr="004C2A3C">
        <w:rPr>
          <w:rFonts w:eastAsia="Times New Roman"/>
          <w:i/>
          <w:iCs/>
          <w:color w:val="000000" w:themeColor="text1"/>
          <w:lang w:val="fr-FR"/>
        </w:rPr>
        <w:t>ex vivo</w:t>
      </w:r>
      <w:r w:rsidRPr="004C2A3C">
        <w:rPr>
          <w:rFonts w:eastAsia="Times New Roman"/>
          <w:color w:val="000000" w:themeColor="text1"/>
          <w:lang w:val="fr-FR"/>
        </w:rPr>
        <w:t>, propriétés physico-chimiques ou méthodes sans essais, par exemple) qui, lorsqu</w:t>
      </w:r>
      <w:r>
        <w:rPr>
          <w:rFonts w:eastAsia="Times New Roman"/>
          <w:color w:val="000000" w:themeColor="text1"/>
          <w:lang w:val="fr-FR"/>
        </w:rPr>
        <w:t>’</w:t>
      </w:r>
      <w:r w:rsidRPr="004C2A3C">
        <w:rPr>
          <w:rFonts w:eastAsia="Times New Roman"/>
          <w:color w:val="000000" w:themeColor="text1"/>
          <w:lang w:val="fr-FR"/>
        </w:rPr>
        <w:t>on les combine entre elles au moyen d</w:t>
      </w:r>
      <w:r>
        <w:rPr>
          <w:rFonts w:eastAsia="Times New Roman"/>
          <w:color w:val="000000" w:themeColor="text1"/>
          <w:lang w:val="fr-FR"/>
        </w:rPr>
        <w:t>’</w:t>
      </w:r>
      <w:r w:rsidRPr="004C2A3C">
        <w:rPr>
          <w:rFonts w:eastAsia="Times New Roman"/>
          <w:color w:val="000000" w:themeColor="text1"/>
          <w:lang w:val="fr-FR"/>
        </w:rPr>
        <w:t>une procédure d</w:t>
      </w:r>
      <w:r>
        <w:rPr>
          <w:rFonts w:eastAsia="Times New Roman"/>
          <w:color w:val="000000" w:themeColor="text1"/>
          <w:lang w:val="fr-FR"/>
        </w:rPr>
        <w:t>’</w:t>
      </w:r>
      <w:r w:rsidRPr="004C2A3C">
        <w:rPr>
          <w:rFonts w:eastAsia="Times New Roman"/>
          <w:color w:val="000000" w:themeColor="text1"/>
          <w:lang w:val="fr-FR"/>
        </w:rPr>
        <w:t>interprétation des données établie, en vue d</w:t>
      </w:r>
      <w:r>
        <w:rPr>
          <w:rFonts w:eastAsia="Times New Roman"/>
          <w:color w:val="000000" w:themeColor="text1"/>
          <w:lang w:val="fr-FR"/>
        </w:rPr>
        <w:t>’</w:t>
      </w:r>
      <w:r w:rsidRPr="004C2A3C">
        <w:rPr>
          <w:rFonts w:eastAsia="Times New Roman"/>
          <w:color w:val="000000" w:themeColor="text1"/>
          <w:lang w:val="fr-FR"/>
        </w:rPr>
        <w:t>obtenir une prédiction (ou un résultat) à partir des données en entrée, peuvent produire une conclusion sur la classification d</w:t>
      </w:r>
      <w:r>
        <w:rPr>
          <w:rFonts w:eastAsia="Times New Roman"/>
          <w:color w:val="000000" w:themeColor="text1"/>
          <w:lang w:val="fr-FR"/>
        </w:rPr>
        <w:t>’</w:t>
      </w:r>
      <w:r w:rsidRPr="004C2A3C">
        <w:rPr>
          <w:rFonts w:eastAsia="Times New Roman"/>
          <w:color w:val="000000" w:themeColor="text1"/>
          <w:lang w:val="fr-FR"/>
        </w:rPr>
        <w:t>une substance ou d</w:t>
      </w:r>
      <w:r>
        <w:rPr>
          <w:rFonts w:eastAsia="Times New Roman"/>
          <w:color w:val="000000" w:themeColor="text1"/>
          <w:lang w:val="fr-FR"/>
        </w:rPr>
        <w:t>’</w:t>
      </w:r>
      <w:r w:rsidRPr="004C2A3C">
        <w:rPr>
          <w:rFonts w:eastAsia="Times New Roman"/>
          <w:color w:val="000000" w:themeColor="text1"/>
          <w:lang w:val="fr-FR"/>
        </w:rPr>
        <w:t>un mélange. Une procédure d</w:t>
      </w:r>
      <w:r>
        <w:rPr>
          <w:rFonts w:eastAsia="Times New Roman"/>
          <w:color w:val="000000" w:themeColor="text1"/>
          <w:lang w:val="fr-FR"/>
        </w:rPr>
        <w:t>’</w:t>
      </w:r>
      <w:r w:rsidRPr="004C2A3C">
        <w:rPr>
          <w:rFonts w:eastAsia="Times New Roman"/>
          <w:color w:val="000000" w:themeColor="text1"/>
          <w:lang w:val="fr-FR"/>
        </w:rPr>
        <w:t>interprétation des données établie est un algorithme établi qui permet d</w:t>
      </w:r>
      <w:r>
        <w:rPr>
          <w:rFonts w:eastAsia="Times New Roman"/>
          <w:color w:val="000000" w:themeColor="text1"/>
          <w:lang w:val="fr-FR"/>
        </w:rPr>
        <w:t>’</w:t>
      </w:r>
      <w:r w:rsidRPr="004C2A3C">
        <w:rPr>
          <w:rFonts w:eastAsia="Times New Roman"/>
          <w:color w:val="000000" w:themeColor="text1"/>
          <w:lang w:val="fr-FR"/>
        </w:rPr>
        <w:t>interpréter des données provenant d</w:t>
      </w:r>
      <w:r>
        <w:rPr>
          <w:rFonts w:eastAsia="Times New Roman"/>
          <w:color w:val="000000" w:themeColor="text1"/>
          <w:lang w:val="fr-FR"/>
        </w:rPr>
        <w:t>’</w:t>
      </w:r>
      <w:r w:rsidRPr="004C2A3C">
        <w:rPr>
          <w:rFonts w:eastAsia="Times New Roman"/>
          <w:color w:val="000000" w:themeColor="text1"/>
          <w:lang w:val="fr-FR"/>
        </w:rPr>
        <w:t>une ou généralement de plusieurs sources d</w:t>
      </w:r>
      <w:r>
        <w:rPr>
          <w:rFonts w:eastAsia="Times New Roman"/>
          <w:color w:val="000000" w:themeColor="text1"/>
          <w:lang w:val="fr-FR"/>
        </w:rPr>
        <w:t>’</w:t>
      </w:r>
      <w:r w:rsidRPr="004C2A3C">
        <w:rPr>
          <w:rFonts w:eastAsia="Times New Roman"/>
          <w:color w:val="000000" w:themeColor="text1"/>
          <w:lang w:val="fr-FR"/>
        </w:rPr>
        <w:t>information et qui s</w:t>
      </w:r>
      <w:r>
        <w:rPr>
          <w:rFonts w:eastAsia="Times New Roman"/>
          <w:color w:val="000000" w:themeColor="text1"/>
          <w:lang w:val="fr-FR"/>
        </w:rPr>
        <w:t>’</w:t>
      </w:r>
      <w:r w:rsidRPr="004C2A3C">
        <w:rPr>
          <w:rFonts w:eastAsia="Times New Roman"/>
          <w:color w:val="000000" w:themeColor="text1"/>
          <w:lang w:val="fr-FR"/>
        </w:rPr>
        <w:t>appuie sur des règles dans le sens où il est fondé, par exemple, sur une formule ou un algorithme (des critères de décision, une règle ou un ensemble de règles, par exemple) qui ne dépendent pas du jugement d</w:t>
      </w:r>
      <w:r>
        <w:rPr>
          <w:rFonts w:eastAsia="Times New Roman"/>
          <w:color w:val="000000" w:themeColor="text1"/>
          <w:lang w:val="fr-FR"/>
        </w:rPr>
        <w:t>’</w:t>
      </w:r>
      <w:r w:rsidRPr="004C2A3C">
        <w:rPr>
          <w:rFonts w:eastAsia="Times New Roman"/>
          <w:color w:val="000000" w:themeColor="text1"/>
          <w:lang w:val="fr-FR"/>
        </w:rPr>
        <w:t>un expert. Le résultat d</w:t>
      </w:r>
      <w:r>
        <w:rPr>
          <w:rFonts w:eastAsia="Times New Roman"/>
          <w:color w:val="000000" w:themeColor="text1"/>
          <w:lang w:val="fr-FR"/>
        </w:rPr>
        <w:t>’</w:t>
      </w:r>
      <w:r w:rsidRPr="004C2A3C">
        <w:rPr>
          <w:rFonts w:eastAsia="Times New Roman"/>
          <w:color w:val="000000" w:themeColor="text1"/>
          <w:lang w:val="fr-FR"/>
        </w:rPr>
        <w:t>une procédure d</w:t>
      </w:r>
      <w:r>
        <w:rPr>
          <w:rFonts w:eastAsia="Times New Roman"/>
          <w:color w:val="000000" w:themeColor="text1"/>
          <w:lang w:val="fr-FR"/>
        </w:rPr>
        <w:t>’</w:t>
      </w:r>
      <w:r w:rsidRPr="004C2A3C">
        <w:rPr>
          <w:rFonts w:eastAsia="Times New Roman"/>
          <w:color w:val="000000" w:themeColor="text1"/>
          <w:lang w:val="fr-FR"/>
        </w:rPr>
        <w:t>interprétation des données est généralement une prédiction d</w:t>
      </w:r>
      <w:r>
        <w:rPr>
          <w:rFonts w:eastAsia="Times New Roman"/>
          <w:color w:val="000000" w:themeColor="text1"/>
          <w:lang w:val="fr-FR"/>
        </w:rPr>
        <w:t>’</w:t>
      </w:r>
      <w:r w:rsidRPr="004C2A3C">
        <w:rPr>
          <w:rFonts w:eastAsia="Times New Roman"/>
          <w:color w:val="000000" w:themeColor="text1"/>
          <w:lang w:val="fr-FR"/>
        </w:rPr>
        <w:t>un effet biologique présentant un intérêt ou un critère terminal d</w:t>
      </w:r>
      <w:r>
        <w:rPr>
          <w:rFonts w:eastAsia="Times New Roman"/>
          <w:color w:val="000000" w:themeColor="text1"/>
          <w:lang w:val="fr-FR"/>
        </w:rPr>
        <w:t>’</w:t>
      </w:r>
      <w:r w:rsidRPr="004C2A3C">
        <w:rPr>
          <w:rFonts w:eastAsia="Times New Roman"/>
          <w:color w:val="000000" w:themeColor="text1"/>
          <w:lang w:val="fr-FR"/>
        </w:rPr>
        <w:t>évaluation. Dans le cas d</w:t>
      </w:r>
      <w:r>
        <w:rPr>
          <w:rFonts w:eastAsia="Times New Roman"/>
          <w:color w:val="000000" w:themeColor="text1"/>
          <w:lang w:val="fr-FR"/>
        </w:rPr>
        <w:t>’</w:t>
      </w:r>
      <w:r w:rsidRPr="004C2A3C">
        <w:rPr>
          <w:rFonts w:eastAsia="Times New Roman"/>
          <w:color w:val="000000" w:themeColor="text1"/>
          <w:lang w:val="fr-FR"/>
        </w:rPr>
        <w:t>une méthode définie, sachant que les sources d</w:t>
      </w:r>
      <w:r>
        <w:rPr>
          <w:rFonts w:eastAsia="Times New Roman"/>
          <w:color w:val="000000" w:themeColor="text1"/>
          <w:lang w:val="fr-FR"/>
        </w:rPr>
        <w:t>’</w:t>
      </w:r>
      <w:r w:rsidRPr="004C2A3C">
        <w:rPr>
          <w:rFonts w:eastAsia="Times New Roman"/>
          <w:color w:val="000000" w:themeColor="text1"/>
          <w:lang w:val="fr-FR"/>
        </w:rPr>
        <w:t>information sont prescrites et que l</w:t>
      </w:r>
      <w:r>
        <w:rPr>
          <w:rFonts w:eastAsia="Times New Roman"/>
          <w:color w:val="000000" w:themeColor="text1"/>
          <w:lang w:val="fr-FR"/>
        </w:rPr>
        <w:t>’</w:t>
      </w:r>
      <w:r w:rsidRPr="004C2A3C">
        <w:rPr>
          <w:rFonts w:eastAsia="Times New Roman"/>
          <w:color w:val="000000" w:themeColor="text1"/>
          <w:lang w:val="fr-FR"/>
        </w:rPr>
        <w:t>ensemble des règles sur la manière de les intégrer et de les interpréter est prédéterminé, on parvient toujours à la même conclusion sur le même ensemble de données, car il n</w:t>
      </w:r>
      <w:r>
        <w:rPr>
          <w:rFonts w:eastAsia="Times New Roman"/>
          <w:color w:val="000000" w:themeColor="text1"/>
          <w:lang w:val="fr-FR"/>
        </w:rPr>
        <w:t>’</w:t>
      </w:r>
      <w:r w:rsidRPr="004C2A3C">
        <w:rPr>
          <w:rFonts w:eastAsia="Times New Roman"/>
          <w:color w:val="000000" w:themeColor="text1"/>
          <w:lang w:val="fr-FR"/>
        </w:rPr>
        <w:t>y a aucune place pour une interprétation subjective. Dans le cas d</w:t>
      </w:r>
      <w:r>
        <w:rPr>
          <w:rFonts w:eastAsia="Times New Roman"/>
          <w:color w:val="000000" w:themeColor="text1"/>
          <w:lang w:val="fr-FR"/>
        </w:rPr>
        <w:t>’</w:t>
      </w:r>
      <w:r w:rsidRPr="004C2A3C">
        <w:rPr>
          <w:rFonts w:eastAsia="Times New Roman"/>
          <w:color w:val="000000" w:themeColor="text1"/>
          <w:lang w:val="fr-FR"/>
        </w:rPr>
        <w:t>une évaluation de la force probante des données, en revanche, un expert porte un jugement au cas par cas sur la base des informations disponibles, ce qui peut conduire à des conclusions différentes car il n</w:t>
      </w:r>
      <w:r>
        <w:rPr>
          <w:rFonts w:eastAsia="Times New Roman"/>
          <w:color w:val="000000" w:themeColor="text1"/>
          <w:lang w:val="fr-FR"/>
        </w:rPr>
        <w:t>’</w:t>
      </w:r>
      <w:r w:rsidRPr="004C2A3C">
        <w:rPr>
          <w:rFonts w:eastAsia="Times New Roman"/>
          <w:color w:val="000000" w:themeColor="text1"/>
          <w:lang w:val="fr-FR"/>
        </w:rPr>
        <w:t>y a pas de règles établies pour l</w:t>
      </w:r>
      <w:r>
        <w:rPr>
          <w:rFonts w:eastAsia="Times New Roman"/>
          <w:color w:val="000000" w:themeColor="text1"/>
          <w:lang w:val="fr-FR"/>
        </w:rPr>
        <w:t>’</w:t>
      </w:r>
      <w:r w:rsidRPr="004C2A3C">
        <w:rPr>
          <w:rFonts w:eastAsia="Times New Roman"/>
          <w:color w:val="000000" w:themeColor="text1"/>
          <w:lang w:val="fr-FR"/>
        </w:rPr>
        <w:t>interprétation des données.</w:t>
      </w:r>
    </w:p>
    <w:p w14:paraId="1B3E3E9C" w14:textId="77777777" w:rsidR="003F1C55" w:rsidRPr="004C2A3C" w:rsidRDefault="003F1C55" w:rsidP="003F1C55">
      <w:pPr>
        <w:spacing w:after="120"/>
        <w:ind w:left="2268" w:right="1134"/>
        <w:jc w:val="both"/>
        <w:rPr>
          <w:rFonts w:eastAsia="Times New Roman"/>
          <w:color w:val="000000" w:themeColor="text1"/>
          <w:spacing w:val="-1"/>
          <w:lang w:val="fr-FR"/>
        </w:rPr>
      </w:pPr>
      <w:bookmarkStart w:id="11" w:name="_Hlk69886088"/>
      <w:r w:rsidRPr="004C2A3C">
        <w:rPr>
          <w:rFonts w:eastAsia="Times New Roman"/>
          <w:color w:val="000000" w:themeColor="text1"/>
          <w:spacing w:val="-1"/>
          <w:lang w:val="fr-FR"/>
        </w:rPr>
        <w:t>3.3.5.3.4.2</w:t>
      </w:r>
      <w:r w:rsidRPr="004C2A3C">
        <w:rPr>
          <w:rFonts w:eastAsia="Times New Roman"/>
          <w:color w:val="000000" w:themeColor="text1"/>
          <w:spacing w:val="-1"/>
          <w:lang w:val="fr-FR"/>
        </w:rPr>
        <w:tab/>
        <w:t>Une démarche par étapes pour l</w:t>
      </w:r>
      <w:r>
        <w:rPr>
          <w:rFonts w:eastAsia="Times New Roman"/>
          <w:color w:val="000000" w:themeColor="text1"/>
          <w:spacing w:val="-1"/>
          <w:lang w:val="fr-FR"/>
        </w:rPr>
        <w:t>’</w:t>
      </w:r>
      <w:r w:rsidRPr="004C2A3C">
        <w:rPr>
          <w:rFonts w:eastAsia="Times New Roman"/>
          <w:color w:val="000000" w:themeColor="text1"/>
          <w:spacing w:val="-1"/>
          <w:lang w:val="fr-FR"/>
        </w:rPr>
        <w:t>évaluation des informations issues de l</w:t>
      </w:r>
      <w:r>
        <w:rPr>
          <w:rFonts w:eastAsia="Times New Roman"/>
          <w:color w:val="000000" w:themeColor="text1"/>
          <w:spacing w:val="-1"/>
          <w:lang w:val="fr-FR"/>
        </w:rPr>
        <w:t>’</w:t>
      </w:r>
      <w:r w:rsidRPr="004C2A3C">
        <w:rPr>
          <w:rFonts w:eastAsia="Times New Roman"/>
          <w:color w:val="000000" w:themeColor="text1"/>
          <w:spacing w:val="-1"/>
          <w:lang w:val="fr-FR"/>
        </w:rPr>
        <w:t>étape 2 de la figure 3.3.1, à savoir les données des méthodes définies et/ou des méthodes d</w:t>
      </w:r>
      <w:r>
        <w:rPr>
          <w:rFonts w:eastAsia="Times New Roman"/>
          <w:color w:val="000000" w:themeColor="text1"/>
          <w:spacing w:val="-1"/>
          <w:lang w:val="fr-FR"/>
        </w:rPr>
        <w:t>’</w:t>
      </w:r>
      <w:r w:rsidRPr="004C2A3C">
        <w:rPr>
          <w:rFonts w:eastAsia="Times New Roman"/>
          <w:color w:val="000000" w:themeColor="text1"/>
          <w:spacing w:val="-1"/>
          <w:lang w:val="fr-FR"/>
        </w:rPr>
        <w:t xml:space="preserve">essai </w:t>
      </w:r>
      <w:r w:rsidRPr="004C2A3C">
        <w:rPr>
          <w:rFonts w:eastAsia="Times New Roman"/>
          <w:i/>
          <w:iCs/>
          <w:color w:val="000000" w:themeColor="text1"/>
          <w:spacing w:val="-1"/>
          <w:lang w:val="fr-FR"/>
        </w:rPr>
        <w:t>in vitro</w:t>
      </w:r>
      <w:r w:rsidRPr="004C2A3C">
        <w:rPr>
          <w:rFonts w:eastAsia="Times New Roman"/>
          <w:iCs/>
          <w:color w:val="000000" w:themeColor="text1"/>
          <w:spacing w:val="-1"/>
          <w:lang w:val="fr-FR"/>
        </w:rPr>
        <w:t>/</w:t>
      </w:r>
      <w:r w:rsidRPr="004C2A3C">
        <w:rPr>
          <w:rFonts w:eastAsia="Times New Roman"/>
          <w:i/>
          <w:iCs/>
          <w:color w:val="000000" w:themeColor="text1"/>
          <w:spacing w:val="-1"/>
          <w:lang w:val="fr-FR"/>
        </w:rPr>
        <w:t>ex vivo</w:t>
      </w:r>
      <w:r w:rsidRPr="004C2A3C">
        <w:rPr>
          <w:rFonts w:eastAsia="Times New Roman"/>
          <w:color w:val="000000" w:themeColor="text1"/>
          <w:spacing w:val="-1"/>
          <w:lang w:val="fr-FR"/>
        </w:rPr>
        <w:t>, doit être envisagée s</w:t>
      </w:r>
      <w:r>
        <w:rPr>
          <w:rFonts w:eastAsia="Times New Roman"/>
          <w:color w:val="000000" w:themeColor="text1"/>
          <w:spacing w:val="-1"/>
          <w:lang w:val="fr-FR"/>
        </w:rPr>
        <w:t>’</w:t>
      </w:r>
      <w:r w:rsidRPr="004C2A3C">
        <w:rPr>
          <w:rFonts w:eastAsia="Times New Roman"/>
          <w:color w:val="000000" w:themeColor="text1"/>
          <w:spacing w:val="-1"/>
          <w:lang w:val="fr-FR"/>
        </w:rPr>
        <w:t>il y a lieu (figure 3.3.3), sachant que certains éléments peuvent ne pas être pertinents. Cependant, il convient d</w:t>
      </w:r>
      <w:r>
        <w:rPr>
          <w:rFonts w:eastAsia="Times New Roman"/>
          <w:color w:val="000000" w:themeColor="text1"/>
          <w:spacing w:val="-1"/>
          <w:lang w:val="fr-FR"/>
        </w:rPr>
        <w:t>’</w:t>
      </w:r>
      <w:r w:rsidRPr="004C2A3C">
        <w:rPr>
          <w:rFonts w:eastAsia="Times New Roman"/>
          <w:color w:val="000000" w:themeColor="text1"/>
          <w:spacing w:val="-1"/>
          <w:lang w:val="fr-FR"/>
        </w:rPr>
        <w:t>examiner toutes les informations disponibles, pertinentes et de qualité suffisante pour s</w:t>
      </w:r>
      <w:r>
        <w:rPr>
          <w:rFonts w:eastAsia="Times New Roman"/>
          <w:color w:val="000000" w:themeColor="text1"/>
          <w:spacing w:val="-1"/>
          <w:lang w:val="fr-FR"/>
        </w:rPr>
        <w:t>’</w:t>
      </w:r>
      <w:r w:rsidRPr="004C2A3C">
        <w:rPr>
          <w:rFonts w:eastAsia="Times New Roman"/>
          <w:color w:val="000000" w:themeColor="text1"/>
          <w:spacing w:val="-1"/>
          <w:lang w:val="fr-FR"/>
        </w:rPr>
        <w:t>assurer de leur cohérence avec la classification résultante. Un résultat d</w:t>
      </w:r>
      <w:r>
        <w:rPr>
          <w:rFonts w:eastAsia="Times New Roman"/>
          <w:color w:val="000000" w:themeColor="text1"/>
          <w:spacing w:val="-1"/>
          <w:lang w:val="fr-FR"/>
        </w:rPr>
        <w:t>’</w:t>
      </w:r>
      <w:r w:rsidRPr="004C2A3C">
        <w:rPr>
          <w:rFonts w:eastAsia="Times New Roman"/>
          <w:color w:val="000000" w:themeColor="text1"/>
          <w:spacing w:val="-1"/>
          <w:lang w:val="fr-FR"/>
        </w:rPr>
        <w:t>application d</w:t>
      </w:r>
      <w:r>
        <w:rPr>
          <w:rFonts w:eastAsia="Times New Roman"/>
          <w:color w:val="000000" w:themeColor="text1"/>
          <w:spacing w:val="-1"/>
          <w:lang w:val="fr-FR"/>
        </w:rPr>
        <w:t>’</w:t>
      </w:r>
      <w:r w:rsidRPr="004C2A3C">
        <w:rPr>
          <w:rFonts w:eastAsia="Times New Roman"/>
          <w:color w:val="000000" w:themeColor="text1"/>
          <w:spacing w:val="-1"/>
          <w:lang w:val="fr-FR"/>
        </w:rPr>
        <w:t>une méthode définie comportant des données concluantes sur l</w:t>
      </w:r>
      <w:r>
        <w:rPr>
          <w:rFonts w:eastAsia="Times New Roman"/>
          <w:color w:val="000000" w:themeColor="text1"/>
          <w:spacing w:val="-1"/>
          <w:lang w:val="fr-FR"/>
        </w:rPr>
        <w:t>’</w:t>
      </w:r>
      <w:r w:rsidRPr="004C2A3C">
        <w:rPr>
          <w:rFonts w:eastAsia="Times New Roman"/>
          <w:color w:val="000000" w:themeColor="text1"/>
          <w:spacing w:val="-1"/>
          <w:lang w:val="fr-FR"/>
        </w:rPr>
        <w:t>animal et/ou l</w:t>
      </w:r>
      <w:r>
        <w:rPr>
          <w:rFonts w:eastAsia="Times New Roman"/>
          <w:color w:val="000000" w:themeColor="text1"/>
          <w:spacing w:val="-1"/>
          <w:lang w:val="fr-FR"/>
        </w:rPr>
        <w:t>’</w:t>
      </w:r>
      <w:r w:rsidRPr="004C2A3C">
        <w:rPr>
          <w:rFonts w:eastAsia="Times New Roman"/>
          <w:color w:val="000000" w:themeColor="text1"/>
          <w:spacing w:val="-1"/>
          <w:lang w:val="fr-FR"/>
        </w:rPr>
        <w:t>homme peut aussi être pris en compte ultérieurement, au moment de l</w:t>
      </w:r>
      <w:r>
        <w:rPr>
          <w:rFonts w:eastAsia="Times New Roman"/>
          <w:color w:val="000000" w:themeColor="text1"/>
          <w:spacing w:val="-1"/>
          <w:lang w:val="fr-FR"/>
        </w:rPr>
        <w:t>’</w:t>
      </w:r>
      <w:r w:rsidRPr="004C2A3C">
        <w:rPr>
          <w:rFonts w:eastAsia="Times New Roman"/>
          <w:color w:val="000000" w:themeColor="text1"/>
          <w:spacing w:val="-1"/>
          <w:lang w:val="fr-FR"/>
        </w:rPr>
        <w:t>évaluation globale de la force probante des données, à l</w:t>
      </w:r>
      <w:r>
        <w:rPr>
          <w:rFonts w:eastAsia="Times New Roman"/>
          <w:color w:val="000000" w:themeColor="text1"/>
          <w:spacing w:val="-1"/>
          <w:lang w:val="fr-FR"/>
        </w:rPr>
        <w:t>’</w:t>
      </w:r>
      <w:r w:rsidRPr="004C2A3C">
        <w:rPr>
          <w:rFonts w:eastAsia="Times New Roman"/>
          <w:color w:val="000000" w:themeColor="text1"/>
          <w:spacing w:val="-1"/>
          <w:lang w:val="fr-FR"/>
        </w:rPr>
        <w:t>étape 7 (voir figure 3.3.1). Lorsque les informations provenant de plusieurs étapes sont incohérentes ou contradictoires au regard de la classification établie, les informations de qualité suffisante d</w:t>
      </w:r>
      <w:r>
        <w:rPr>
          <w:rFonts w:eastAsia="Times New Roman"/>
          <w:color w:val="000000" w:themeColor="text1"/>
          <w:spacing w:val="-1"/>
          <w:lang w:val="fr-FR"/>
        </w:rPr>
        <w:t>’</w:t>
      </w:r>
      <w:r w:rsidRPr="004C2A3C">
        <w:rPr>
          <w:rFonts w:eastAsia="Times New Roman"/>
          <w:color w:val="000000" w:themeColor="text1"/>
          <w:spacing w:val="-1"/>
          <w:lang w:val="fr-FR"/>
        </w:rPr>
        <w:t>une étape supérieure ont généralement un poids supérieur par rapport aux informations provenant d</w:t>
      </w:r>
      <w:r>
        <w:rPr>
          <w:rFonts w:eastAsia="Times New Roman"/>
          <w:color w:val="000000" w:themeColor="text1"/>
          <w:spacing w:val="-1"/>
          <w:lang w:val="fr-FR"/>
        </w:rPr>
        <w:t>’</w:t>
      </w:r>
      <w:r w:rsidRPr="004C2A3C">
        <w:rPr>
          <w:rFonts w:eastAsia="Times New Roman"/>
          <w:color w:val="000000" w:themeColor="text1"/>
          <w:spacing w:val="-1"/>
          <w:lang w:val="fr-FR"/>
        </w:rPr>
        <w:t>une étape inférieure. Néanmoins, lorsque les informations d</w:t>
      </w:r>
      <w:r>
        <w:rPr>
          <w:rFonts w:eastAsia="Times New Roman"/>
          <w:color w:val="000000" w:themeColor="text1"/>
          <w:spacing w:val="-1"/>
          <w:lang w:val="fr-FR"/>
        </w:rPr>
        <w:t>’</w:t>
      </w:r>
      <w:r w:rsidRPr="004C2A3C">
        <w:rPr>
          <w:rFonts w:eastAsia="Times New Roman"/>
          <w:color w:val="000000" w:themeColor="text1"/>
          <w:spacing w:val="-1"/>
          <w:lang w:val="fr-FR"/>
        </w:rPr>
        <w:t>une étape inférieure aboutiraient à une classification plus stricte que les informations d</w:t>
      </w:r>
      <w:r>
        <w:rPr>
          <w:rFonts w:eastAsia="Times New Roman"/>
          <w:color w:val="000000" w:themeColor="text1"/>
          <w:spacing w:val="-1"/>
          <w:lang w:val="fr-FR"/>
        </w:rPr>
        <w:t>’</w:t>
      </w:r>
      <w:r w:rsidRPr="004C2A3C">
        <w:rPr>
          <w:rFonts w:eastAsia="Times New Roman"/>
          <w:color w:val="000000" w:themeColor="text1"/>
          <w:spacing w:val="-1"/>
          <w:lang w:val="fr-FR"/>
        </w:rPr>
        <w:t>une étape supérieure, et qu</w:t>
      </w:r>
      <w:r>
        <w:rPr>
          <w:rFonts w:eastAsia="Times New Roman"/>
          <w:color w:val="000000" w:themeColor="text1"/>
          <w:spacing w:val="-1"/>
          <w:lang w:val="fr-FR"/>
        </w:rPr>
        <w:t>’</w:t>
      </w:r>
      <w:r w:rsidRPr="004C2A3C">
        <w:rPr>
          <w:rFonts w:eastAsia="Times New Roman"/>
          <w:color w:val="000000" w:themeColor="text1"/>
          <w:spacing w:val="-1"/>
          <w:lang w:val="fr-FR"/>
        </w:rPr>
        <w:t>il existe un risque de classification incorrecte, on classe sur la base d</w:t>
      </w:r>
      <w:r>
        <w:rPr>
          <w:rFonts w:eastAsia="Times New Roman"/>
          <w:color w:val="000000" w:themeColor="text1"/>
          <w:spacing w:val="-1"/>
          <w:lang w:val="fr-FR"/>
        </w:rPr>
        <w:t>’</w:t>
      </w:r>
      <w:r w:rsidRPr="004C2A3C">
        <w:rPr>
          <w:rFonts w:eastAsia="Times New Roman"/>
          <w:color w:val="000000" w:themeColor="text1"/>
          <w:spacing w:val="-1"/>
          <w:lang w:val="fr-FR"/>
        </w:rPr>
        <w:t>une évaluation de la force probante des données au niveau d</w:t>
      </w:r>
      <w:r>
        <w:rPr>
          <w:rFonts w:eastAsia="Times New Roman"/>
          <w:color w:val="000000" w:themeColor="text1"/>
          <w:spacing w:val="-1"/>
          <w:lang w:val="fr-FR"/>
        </w:rPr>
        <w:t>’</w:t>
      </w:r>
      <w:r w:rsidRPr="004C2A3C">
        <w:rPr>
          <w:rFonts w:eastAsia="Times New Roman"/>
          <w:color w:val="000000" w:themeColor="text1"/>
          <w:spacing w:val="-1"/>
          <w:lang w:val="fr-FR"/>
        </w:rPr>
        <w:t>une étape. Par exemple, si l</w:t>
      </w:r>
      <w:r>
        <w:rPr>
          <w:rFonts w:eastAsia="Times New Roman"/>
          <w:color w:val="000000" w:themeColor="text1"/>
          <w:spacing w:val="-1"/>
          <w:lang w:val="fr-FR"/>
        </w:rPr>
        <w:t>’</w:t>
      </w:r>
      <w:r w:rsidRPr="004C2A3C">
        <w:rPr>
          <w:rFonts w:eastAsia="Times New Roman"/>
          <w:color w:val="000000" w:themeColor="text1"/>
          <w:spacing w:val="-1"/>
          <w:lang w:val="fr-FR"/>
        </w:rPr>
        <w:t>on est préoccupé par un résultat négatif pour des lésions oculaires graves selon une méthode définie, alors qu</w:t>
      </w:r>
      <w:r>
        <w:rPr>
          <w:rFonts w:eastAsia="Times New Roman"/>
          <w:color w:val="000000" w:themeColor="text1"/>
          <w:spacing w:val="-1"/>
          <w:lang w:val="fr-FR"/>
        </w:rPr>
        <w:t>’</w:t>
      </w:r>
      <w:r w:rsidRPr="004C2A3C">
        <w:rPr>
          <w:rFonts w:eastAsia="Times New Roman"/>
          <w:color w:val="000000" w:themeColor="text1"/>
          <w:spacing w:val="-1"/>
          <w:lang w:val="fr-FR"/>
        </w:rPr>
        <w:t xml:space="preserve">il existe un résultat positif pour lesdites lésions selon une méthode </w:t>
      </w:r>
      <w:r w:rsidRPr="004C2A3C">
        <w:rPr>
          <w:rFonts w:eastAsia="Times New Roman"/>
          <w:i/>
          <w:iCs/>
          <w:color w:val="000000" w:themeColor="text1"/>
          <w:spacing w:val="-1"/>
          <w:lang w:val="fr-FR"/>
        </w:rPr>
        <w:t>in vitro</w:t>
      </w:r>
      <w:r w:rsidRPr="004C2A3C">
        <w:rPr>
          <w:rFonts w:eastAsia="Times New Roman"/>
          <w:iCs/>
          <w:color w:val="000000" w:themeColor="text1"/>
          <w:spacing w:val="-1"/>
          <w:lang w:val="fr-FR"/>
        </w:rPr>
        <w:t>/</w:t>
      </w:r>
      <w:r w:rsidRPr="004C2A3C">
        <w:rPr>
          <w:rFonts w:eastAsia="Times New Roman"/>
          <w:i/>
          <w:iCs/>
          <w:color w:val="000000" w:themeColor="text1"/>
          <w:spacing w:val="-1"/>
          <w:lang w:val="fr-FR"/>
        </w:rPr>
        <w:t>ex vivo</w:t>
      </w:r>
      <w:r w:rsidRPr="004C2A3C">
        <w:rPr>
          <w:rFonts w:eastAsia="Times New Roman"/>
          <w:color w:val="000000" w:themeColor="text1"/>
          <w:spacing w:val="-1"/>
          <w:lang w:val="fr-FR"/>
        </w:rPr>
        <w:t>, il convient de procéder à une évaluation de la force probante des données au niveau d</w:t>
      </w:r>
      <w:r>
        <w:rPr>
          <w:rFonts w:eastAsia="Times New Roman"/>
          <w:color w:val="000000" w:themeColor="text1"/>
          <w:spacing w:val="-1"/>
          <w:lang w:val="fr-FR"/>
        </w:rPr>
        <w:t>’</w:t>
      </w:r>
      <w:r w:rsidRPr="004C2A3C">
        <w:rPr>
          <w:rFonts w:eastAsia="Times New Roman"/>
          <w:color w:val="000000" w:themeColor="text1"/>
          <w:spacing w:val="-1"/>
          <w:lang w:val="fr-FR"/>
        </w:rPr>
        <w:t>une étape.</w:t>
      </w:r>
      <w:bookmarkEnd w:id="11"/>
    </w:p>
    <w:p w14:paraId="3DF49FFE" w14:textId="77777777" w:rsidR="003F1C55" w:rsidRPr="004C2A3C" w:rsidRDefault="003F1C55" w:rsidP="003F1C55">
      <w:pPr>
        <w:spacing w:after="120"/>
        <w:ind w:left="2268" w:right="1134"/>
        <w:jc w:val="both"/>
        <w:rPr>
          <w:rFonts w:eastAsia="Times New Roman"/>
          <w:color w:val="000000" w:themeColor="text1"/>
          <w:lang w:val="fr-FR"/>
        </w:rPr>
      </w:pPr>
      <w:r w:rsidRPr="004C2A3C">
        <w:rPr>
          <w:rFonts w:eastAsia="Times New Roman"/>
          <w:color w:val="000000" w:themeColor="text1"/>
          <w:lang w:val="fr-FR"/>
        </w:rPr>
        <w:t>3.3.5.3.4.3</w:t>
      </w:r>
      <w:r w:rsidRPr="004C2A3C">
        <w:rPr>
          <w:rFonts w:eastAsia="Times New Roman"/>
          <w:color w:val="000000" w:themeColor="text1"/>
          <w:lang w:val="fr-FR"/>
        </w:rPr>
        <w:tab/>
        <w:t>Les méthodes d</w:t>
      </w:r>
      <w:r>
        <w:rPr>
          <w:rFonts w:eastAsia="Times New Roman"/>
          <w:color w:val="000000" w:themeColor="text1"/>
          <w:lang w:val="fr-FR"/>
        </w:rPr>
        <w:t>’</w:t>
      </w:r>
      <w:r w:rsidRPr="004C2A3C">
        <w:rPr>
          <w:rFonts w:eastAsia="Times New Roman"/>
          <w:color w:val="000000" w:themeColor="text1"/>
          <w:lang w:val="fr-FR"/>
        </w:rPr>
        <w:t xml:space="preserve">essai </w:t>
      </w:r>
      <w:r w:rsidRPr="004C2A3C">
        <w:rPr>
          <w:rFonts w:eastAsia="Times New Roman"/>
          <w:i/>
          <w:iCs/>
          <w:color w:val="000000" w:themeColor="text1"/>
          <w:lang w:val="fr-FR"/>
        </w:rPr>
        <w:t>in vitro</w:t>
      </w:r>
      <w:r w:rsidRPr="004C2A3C">
        <w:rPr>
          <w:rFonts w:eastAsia="Times New Roman"/>
          <w:iCs/>
          <w:color w:val="000000" w:themeColor="text1"/>
          <w:lang w:val="fr-FR"/>
        </w:rPr>
        <w:t>/</w:t>
      </w:r>
      <w:r w:rsidRPr="004C2A3C">
        <w:rPr>
          <w:rFonts w:eastAsia="Times New Roman"/>
          <w:i/>
          <w:iCs/>
          <w:color w:val="000000" w:themeColor="text1"/>
          <w:lang w:val="fr-FR"/>
        </w:rPr>
        <w:t xml:space="preserve">ex vivo </w:t>
      </w:r>
      <w:r w:rsidRPr="004C2A3C">
        <w:rPr>
          <w:rFonts w:eastAsia="Times New Roman"/>
          <w:color w:val="000000" w:themeColor="text1"/>
          <w:lang w:val="fr-FR"/>
        </w:rPr>
        <w:t xml:space="preserve">actuelles ne permettent pas de distinguer certains effets </w:t>
      </w:r>
      <w:r w:rsidRPr="004C2A3C">
        <w:rPr>
          <w:rFonts w:eastAsia="Times New Roman"/>
          <w:i/>
          <w:iCs/>
          <w:color w:val="000000" w:themeColor="text1"/>
          <w:lang w:val="fr-FR"/>
        </w:rPr>
        <w:t>in vivo</w:t>
      </w:r>
      <w:r w:rsidRPr="004C2A3C">
        <w:rPr>
          <w:rFonts w:eastAsia="Times New Roman"/>
          <w:color w:val="000000" w:themeColor="text1"/>
          <w:lang w:val="fr-FR"/>
        </w:rPr>
        <w:t xml:space="preserve"> tels que l</w:t>
      </w:r>
      <w:r>
        <w:rPr>
          <w:rFonts w:eastAsia="Times New Roman"/>
          <w:color w:val="000000" w:themeColor="text1"/>
          <w:lang w:val="fr-FR"/>
        </w:rPr>
        <w:t>’</w:t>
      </w:r>
      <w:r w:rsidRPr="004C2A3C">
        <w:rPr>
          <w:rFonts w:eastAsia="Times New Roman"/>
          <w:color w:val="000000" w:themeColor="text1"/>
          <w:lang w:val="fr-FR"/>
        </w:rPr>
        <w:t>opacité de la cornée, l</w:t>
      </w:r>
      <w:r>
        <w:rPr>
          <w:rFonts w:eastAsia="Times New Roman"/>
          <w:color w:val="000000" w:themeColor="text1"/>
          <w:lang w:val="fr-FR"/>
        </w:rPr>
        <w:t>’</w:t>
      </w:r>
      <w:r w:rsidRPr="004C2A3C">
        <w:rPr>
          <w:rFonts w:eastAsia="Times New Roman"/>
          <w:color w:val="000000" w:themeColor="text1"/>
          <w:lang w:val="fr-FR"/>
        </w:rPr>
        <w:t>iritis, la rougeur conjonctivale ou l</w:t>
      </w:r>
      <w:r>
        <w:rPr>
          <w:rFonts w:eastAsia="Times New Roman"/>
          <w:color w:val="000000" w:themeColor="text1"/>
          <w:lang w:val="fr-FR"/>
        </w:rPr>
        <w:t>’</w:t>
      </w:r>
      <w:r w:rsidRPr="004C2A3C">
        <w:rPr>
          <w:rFonts w:eastAsia="Times New Roman"/>
          <w:color w:val="000000" w:themeColor="text1"/>
          <w:lang w:val="fr-FR"/>
        </w:rPr>
        <w:t>œdème conjonctival, mais elles ont montré leur capacité à mettre en évidence correctement les substances induisant des lésions oculaires graves ou une irritation oculaire, indépendamment des types d</w:t>
      </w:r>
      <w:r>
        <w:rPr>
          <w:rFonts w:eastAsia="Times New Roman"/>
          <w:color w:val="000000" w:themeColor="text1"/>
          <w:lang w:val="fr-FR"/>
        </w:rPr>
        <w:t>’</w:t>
      </w:r>
      <w:r w:rsidRPr="004C2A3C">
        <w:rPr>
          <w:rFonts w:eastAsia="Times New Roman"/>
          <w:color w:val="000000" w:themeColor="text1"/>
          <w:lang w:val="fr-FR"/>
        </w:rPr>
        <w:t xml:space="preserve">effets oculaires observés </w:t>
      </w:r>
      <w:r w:rsidRPr="004C2A3C">
        <w:rPr>
          <w:rFonts w:eastAsia="Times New Roman"/>
          <w:i/>
          <w:iCs/>
          <w:color w:val="000000" w:themeColor="text1"/>
          <w:lang w:val="fr-FR"/>
        </w:rPr>
        <w:t>in vivo</w:t>
      </w:r>
      <w:r w:rsidRPr="004C2A3C">
        <w:rPr>
          <w:rFonts w:eastAsia="Times New Roman"/>
          <w:color w:val="000000" w:themeColor="text1"/>
          <w:lang w:val="fr-FR"/>
        </w:rPr>
        <w:t>. Un grand nombre de ces méthodes permettent ainsi de mettre en évidence des substances ou des mélanges ne nécessitant pas de classification avec une grande sensibilité, mais présentent une spécificité limitée lorsqu</w:t>
      </w:r>
      <w:r>
        <w:rPr>
          <w:rFonts w:eastAsia="Times New Roman"/>
          <w:color w:val="000000" w:themeColor="text1"/>
          <w:lang w:val="fr-FR"/>
        </w:rPr>
        <w:t>’</w:t>
      </w:r>
      <w:r w:rsidRPr="004C2A3C">
        <w:rPr>
          <w:rFonts w:eastAsia="Times New Roman"/>
          <w:color w:val="000000" w:themeColor="text1"/>
          <w:lang w:val="fr-FR"/>
        </w:rPr>
        <w:t>on les utilise pour distinguer les substances ou les mélanges non classés des substances ou des mélanges classés. Cela signifie qu</w:t>
      </w:r>
      <w:r>
        <w:rPr>
          <w:rFonts w:eastAsia="Times New Roman"/>
          <w:color w:val="000000" w:themeColor="text1"/>
          <w:lang w:val="fr-FR"/>
        </w:rPr>
        <w:t>’</w:t>
      </w:r>
      <w:r w:rsidRPr="004C2A3C">
        <w:rPr>
          <w:rFonts w:eastAsia="Times New Roman"/>
          <w:color w:val="000000" w:themeColor="text1"/>
          <w:lang w:val="fr-FR"/>
        </w:rPr>
        <w:t>il est raisonnablement certain qu</w:t>
      </w:r>
      <w:r>
        <w:rPr>
          <w:rFonts w:eastAsia="Times New Roman"/>
          <w:color w:val="000000" w:themeColor="text1"/>
          <w:lang w:val="fr-FR"/>
        </w:rPr>
        <w:t>’</w:t>
      </w:r>
      <w:r w:rsidRPr="004C2A3C">
        <w:rPr>
          <w:rFonts w:eastAsia="Times New Roman"/>
          <w:color w:val="000000" w:themeColor="text1"/>
          <w:lang w:val="fr-FR"/>
        </w:rPr>
        <w:t>une substance ou un mélange reconnu comme substance ou mélange ne nécessitant pas de classification selon les lignes directrices 437, 438, 491, 492, 494 ou 496 de l</w:t>
      </w:r>
      <w:r>
        <w:rPr>
          <w:rFonts w:eastAsia="Times New Roman"/>
          <w:color w:val="000000" w:themeColor="text1"/>
          <w:lang w:val="fr-FR"/>
        </w:rPr>
        <w:t>’</w:t>
      </w:r>
      <w:r w:rsidRPr="004C2A3C">
        <w:rPr>
          <w:rFonts w:eastAsia="Times New Roman"/>
          <w:color w:val="000000" w:themeColor="text1"/>
          <w:lang w:val="fr-FR"/>
        </w:rPr>
        <w:t>OCDE (voir tableau 3.3.6) n</w:t>
      </w:r>
      <w:r>
        <w:rPr>
          <w:rFonts w:eastAsia="Times New Roman"/>
          <w:color w:val="000000" w:themeColor="text1"/>
          <w:lang w:val="fr-FR"/>
        </w:rPr>
        <w:t>’</w:t>
      </w:r>
      <w:r w:rsidRPr="004C2A3C">
        <w:rPr>
          <w:rFonts w:eastAsia="Times New Roman"/>
          <w:color w:val="000000" w:themeColor="text1"/>
          <w:lang w:val="fr-FR"/>
        </w:rPr>
        <w:t>induit effectivement pas d</w:t>
      </w:r>
      <w:r>
        <w:rPr>
          <w:rFonts w:eastAsia="Times New Roman"/>
          <w:color w:val="000000" w:themeColor="text1"/>
          <w:lang w:val="fr-FR"/>
        </w:rPr>
        <w:t>’</w:t>
      </w:r>
      <w:r w:rsidRPr="004C2A3C">
        <w:rPr>
          <w:rFonts w:eastAsia="Times New Roman"/>
          <w:color w:val="000000" w:themeColor="text1"/>
          <w:lang w:val="fr-FR"/>
        </w:rPr>
        <w:t>effets oculaires justifiant une classification, mais que certaines substances ou certains mélanges ne nécessitant pas de classification sont surestimés par lesdites méthodes lorsqu</w:t>
      </w:r>
      <w:r>
        <w:rPr>
          <w:rFonts w:eastAsia="Times New Roman"/>
          <w:color w:val="000000" w:themeColor="text1"/>
          <w:lang w:val="fr-FR"/>
        </w:rPr>
        <w:t>’</w:t>
      </w:r>
      <w:r w:rsidRPr="004C2A3C">
        <w:rPr>
          <w:rFonts w:eastAsia="Times New Roman"/>
          <w:color w:val="000000" w:themeColor="text1"/>
          <w:lang w:val="fr-FR"/>
        </w:rPr>
        <w:t>elles sont utilisées isolément. En outre, il convient de noter que les substances induisant des lésions oculaires graves sont mises en évidence par nombre de ces méthodes avec une spécificité élevée mais une sensibilité limitée lorsque ces dernières sont utilisées pour distinguer la catégorie 1 de la catégorie 2 et les substances non classées. Par conséquent, il est raisonnablement certain qu</w:t>
      </w:r>
      <w:r>
        <w:rPr>
          <w:rFonts w:eastAsia="Times New Roman"/>
          <w:color w:val="000000" w:themeColor="text1"/>
          <w:lang w:val="fr-FR"/>
        </w:rPr>
        <w:t>’</w:t>
      </w:r>
      <w:r w:rsidRPr="004C2A3C">
        <w:rPr>
          <w:rFonts w:eastAsia="Times New Roman"/>
          <w:color w:val="000000" w:themeColor="text1"/>
          <w:lang w:val="fr-FR"/>
        </w:rPr>
        <w:t>une substance ou un mélange reconnu comme substance ou mélange de la catégorie 1 selon les lignes directrices 437, 438, 460, 491 ou 496 de l</w:t>
      </w:r>
      <w:r>
        <w:rPr>
          <w:rFonts w:eastAsia="Times New Roman"/>
          <w:color w:val="000000" w:themeColor="text1"/>
          <w:lang w:val="fr-FR"/>
        </w:rPr>
        <w:t>’</w:t>
      </w:r>
      <w:r w:rsidRPr="004C2A3C">
        <w:rPr>
          <w:rFonts w:eastAsia="Times New Roman"/>
          <w:color w:val="000000" w:themeColor="text1"/>
          <w:lang w:val="fr-FR"/>
        </w:rPr>
        <w:t>OCDE (voir tableau 3.3.6) induit effectivement des effets oculaires irréversibles, tandis que certaines substances ou certains mélanges induisant des lésions oculaires graves sont sous-estimés par lesdites méthodes lorsqu</w:t>
      </w:r>
      <w:r>
        <w:rPr>
          <w:rFonts w:eastAsia="Times New Roman"/>
          <w:color w:val="000000" w:themeColor="text1"/>
          <w:lang w:val="fr-FR"/>
        </w:rPr>
        <w:t>’</w:t>
      </w:r>
      <w:r w:rsidRPr="004C2A3C">
        <w:rPr>
          <w:rFonts w:eastAsia="Times New Roman"/>
          <w:color w:val="000000" w:themeColor="text1"/>
          <w:lang w:val="fr-FR"/>
        </w:rPr>
        <w:t>elles sont utilisées isolément. Il en découle qu</w:t>
      </w:r>
      <w:r>
        <w:rPr>
          <w:rFonts w:eastAsia="Times New Roman"/>
          <w:color w:val="000000" w:themeColor="text1"/>
          <w:lang w:val="fr-FR"/>
        </w:rPr>
        <w:t>’</w:t>
      </w:r>
      <w:r w:rsidRPr="004C2A3C">
        <w:rPr>
          <w:rFonts w:eastAsia="Times New Roman"/>
          <w:color w:val="000000" w:themeColor="text1"/>
          <w:lang w:val="fr-FR"/>
        </w:rPr>
        <w:t>une seule méthode d</w:t>
      </w:r>
      <w:r>
        <w:rPr>
          <w:rFonts w:eastAsia="Times New Roman"/>
          <w:color w:val="000000" w:themeColor="text1"/>
          <w:lang w:val="fr-FR"/>
        </w:rPr>
        <w:t>’</w:t>
      </w:r>
      <w:r w:rsidRPr="004C2A3C">
        <w:rPr>
          <w:rFonts w:eastAsia="Times New Roman"/>
          <w:color w:val="000000" w:themeColor="text1"/>
          <w:lang w:val="fr-FR"/>
        </w:rPr>
        <w:t xml:space="preserve">essai </w:t>
      </w:r>
      <w:r w:rsidRPr="004C2A3C">
        <w:rPr>
          <w:rFonts w:eastAsia="Times New Roman"/>
          <w:i/>
          <w:iCs/>
          <w:color w:val="000000" w:themeColor="text1"/>
          <w:lang w:val="fr-FR"/>
        </w:rPr>
        <w:t>in vitro</w:t>
      </w:r>
      <w:r w:rsidRPr="004C2A3C">
        <w:rPr>
          <w:rFonts w:eastAsia="Times New Roman"/>
          <w:iCs/>
          <w:color w:val="000000" w:themeColor="text1"/>
          <w:lang w:val="fr-FR"/>
        </w:rPr>
        <w:t>/</w:t>
      </w:r>
      <w:r w:rsidRPr="004C2A3C">
        <w:rPr>
          <w:rFonts w:eastAsia="Times New Roman"/>
          <w:i/>
          <w:iCs/>
          <w:color w:val="000000" w:themeColor="text1"/>
          <w:lang w:val="fr-FR"/>
        </w:rPr>
        <w:t>ex vivo</w:t>
      </w:r>
      <w:r w:rsidRPr="004C2A3C">
        <w:rPr>
          <w:rFonts w:eastAsia="Times New Roman"/>
          <w:color w:val="000000" w:themeColor="text1"/>
          <w:lang w:val="fr-FR"/>
        </w:rPr>
        <w:t xml:space="preserve"> de l</w:t>
      </w:r>
      <w:r>
        <w:rPr>
          <w:rFonts w:eastAsia="Times New Roman"/>
          <w:color w:val="000000" w:themeColor="text1"/>
          <w:lang w:val="fr-FR"/>
        </w:rPr>
        <w:t>’</w:t>
      </w:r>
      <w:r w:rsidRPr="004C2A3C">
        <w:rPr>
          <w:rFonts w:eastAsia="Times New Roman"/>
          <w:color w:val="000000" w:themeColor="text1"/>
          <w:lang w:val="fr-FR"/>
        </w:rPr>
        <w:t>OCDE suffit actuellement pour conclure à une classification dans la catégorie 1 ou à l</w:t>
      </w:r>
      <w:r>
        <w:rPr>
          <w:rFonts w:eastAsia="Times New Roman"/>
          <w:color w:val="000000" w:themeColor="text1"/>
          <w:lang w:val="fr-FR"/>
        </w:rPr>
        <w:t>’</w:t>
      </w:r>
      <w:r w:rsidRPr="004C2A3C">
        <w:rPr>
          <w:rFonts w:eastAsia="Times New Roman"/>
          <w:color w:val="000000" w:themeColor="text1"/>
          <w:lang w:val="fr-FR"/>
        </w:rPr>
        <w:t>absence de classification selon les critères définis du tableau 3.3.6, mais pas pour conclure à une classification dans la catégorie 2. Lorsque l</w:t>
      </w:r>
      <w:r>
        <w:rPr>
          <w:rFonts w:eastAsia="Times New Roman"/>
          <w:color w:val="000000" w:themeColor="text1"/>
          <w:lang w:val="fr-FR"/>
        </w:rPr>
        <w:t>’</w:t>
      </w:r>
      <w:r w:rsidRPr="004C2A3C">
        <w:rPr>
          <w:rFonts w:eastAsia="Times New Roman"/>
          <w:color w:val="000000" w:themeColor="text1"/>
          <w:lang w:val="fr-FR"/>
        </w:rPr>
        <w:t>application d</w:t>
      </w:r>
      <w:r>
        <w:rPr>
          <w:rFonts w:eastAsia="Times New Roman"/>
          <w:color w:val="000000" w:themeColor="text1"/>
          <w:lang w:val="fr-FR"/>
        </w:rPr>
        <w:t>’</w:t>
      </w:r>
      <w:r w:rsidRPr="004C2A3C">
        <w:rPr>
          <w:rFonts w:eastAsia="Times New Roman"/>
          <w:color w:val="000000" w:themeColor="text1"/>
          <w:lang w:val="fr-FR"/>
        </w:rPr>
        <w:t xml:space="preserve">une méthode </w:t>
      </w:r>
      <w:r w:rsidRPr="004C2A3C">
        <w:rPr>
          <w:rFonts w:eastAsia="Times New Roman"/>
          <w:i/>
          <w:iCs/>
          <w:color w:val="000000" w:themeColor="text1"/>
          <w:lang w:val="fr-FR"/>
        </w:rPr>
        <w:t>in vitro</w:t>
      </w:r>
      <w:r w:rsidRPr="004C2A3C">
        <w:rPr>
          <w:rFonts w:eastAsia="Times New Roman"/>
          <w:iCs/>
          <w:color w:val="000000" w:themeColor="text1"/>
          <w:lang w:val="fr-FR"/>
        </w:rPr>
        <w:t>/</w:t>
      </w:r>
      <w:r w:rsidRPr="004C2A3C">
        <w:rPr>
          <w:rFonts w:eastAsia="Times New Roman"/>
          <w:i/>
          <w:iCs/>
          <w:color w:val="000000" w:themeColor="text1"/>
          <w:lang w:val="fr-FR"/>
        </w:rPr>
        <w:t>ex vivo</w:t>
      </w:r>
      <w:r w:rsidRPr="004C2A3C">
        <w:rPr>
          <w:rFonts w:eastAsia="Times New Roman"/>
          <w:color w:val="000000" w:themeColor="text1"/>
          <w:lang w:val="fr-FR"/>
        </w:rPr>
        <w:t xml:space="preserve"> débouche sur l</w:t>
      </w:r>
      <w:r>
        <w:rPr>
          <w:rFonts w:eastAsia="Times New Roman"/>
          <w:color w:val="000000" w:themeColor="text1"/>
          <w:lang w:val="fr-FR"/>
        </w:rPr>
        <w:t>’</w:t>
      </w:r>
      <w:r w:rsidRPr="004C2A3C">
        <w:rPr>
          <w:rFonts w:eastAsia="Times New Roman"/>
          <w:color w:val="000000" w:themeColor="text1"/>
          <w:lang w:val="fr-FR"/>
        </w:rPr>
        <w:t>impossibilité de faire une prédiction indépendante (voir par exemple le tableau 3.3.6), on ne peut pas tirer de conclusion sur la base de ce seul résultat et des données complémentaires sont nécessaires aux fins de la classification. Certaines méthodes d</w:t>
      </w:r>
      <w:r>
        <w:rPr>
          <w:rFonts w:eastAsia="Times New Roman"/>
          <w:color w:val="000000" w:themeColor="text1"/>
          <w:lang w:val="fr-FR"/>
        </w:rPr>
        <w:t>’</w:t>
      </w:r>
      <w:r w:rsidRPr="004C2A3C">
        <w:rPr>
          <w:rFonts w:eastAsia="Times New Roman"/>
          <w:color w:val="000000" w:themeColor="text1"/>
          <w:lang w:val="fr-FR"/>
        </w:rPr>
        <w:t xml:space="preserve">essai </w:t>
      </w:r>
      <w:r w:rsidRPr="004C2A3C">
        <w:rPr>
          <w:rFonts w:eastAsia="Times New Roman"/>
          <w:i/>
          <w:iCs/>
          <w:color w:val="000000" w:themeColor="text1"/>
          <w:lang w:val="fr-FR"/>
        </w:rPr>
        <w:t>in vitro</w:t>
      </w:r>
      <w:r w:rsidRPr="004C2A3C">
        <w:rPr>
          <w:rFonts w:eastAsia="Times New Roman"/>
          <w:iCs/>
          <w:color w:val="000000" w:themeColor="text1"/>
          <w:lang w:val="fr-FR"/>
        </w:rPr>
        <w:t>/</w:t>
      </w:r>
      <w:r w:rsidRPr="004C2A3C">
        <w:rPr>
          <w:rFonts w:eastAsia="Times New Roman"/>
          <w:i/>
          <w:iCs/>
          <w:color w:val="000000" w:themeColor="text1"/>
          <w:lang w:val="fr-FR"/>
        </w:rPr>
        <w:t xml:space="preserve">ex vivo </w:t>
      </w:r>
      <w:r w:rsidRPr="004C2A3C">
        <w:rPr>
          <w:rFonts w:eastAsia="Times New Roman"/>
          <w:color w:val="000000" w:themeColor="text1"/>
          <w:lang w:val="fr-FR"/>
        </w:rPr>
        <w:t>qui ont été validées conformément à des procédures internationales, mais qui n</w:t>
      </w:r>
      <w:r>
        <w:rPr>
          <w:rFonts w:eastAsia="Times New Roman"/>
          <w:color w:val="000000" w:themeColor="text1"/>
          <w:lang w:val="fr-FR"/>
        </w:rPr>
        <w:t>’</w:t>
      </w:r>
      <w:r w:rsidRPr="004C2A3C">
        <w:rPr>
          <w:rFonts w:eastAsia="Times New Roman"/>
          <w:color w:val="000000" w:themeColor="text1"/>
          <w:lang w:val="fr-FR"/>
        </w:rPr>
        <w:t>ont pas été adoptées par l</w:t>
      </w:r>
      <w:r>
        <w:rPr>
          <w:rFonts w:eastAsia="Times New Roman"/>
          <w:color w:val="000000" w:themeColor="text1"/>
          <w:lang w:val="fr-FR"/>
        </w:rPr>
        <w:t>’</w:t>
      </w:r>
      <w:r w:rsidRPr="004C2A3C">
        <w:rPr>
          <w:rFonts w:eastAsia="Times New Roman"/>
          <w:color w:val="000000" w:themeColor="text1"/>
          <w:lang w:val="fr-FR"/>
        </w:rPr>
        <w:t>OCDE, peuvent être acceptées par certaines autorités compétentes pour une classification dans la catégorie 2 (voir 3.3.5.3.5.2). De plus, la combinaison de méthodes d</w:t>
      </w:r>
      <w:r>
        <w:rPr>
          <w:rFonts w:eastAsia="Times New Roman"/>
          <w:color w:val="000000" w:themeColor="text1"/>
          <w:lang w:val="fr-FR"/>
        </w:rPr>
        <w:t>’</w:t>
      </w:r>
      <w:r w:rsidRPr="004C2A3C">
        <w:rPr>
          <w:rFonts w:eastAsia="Times New Roman"/>
          <w:color w:val="000000" w:themeColor="text1"/>
          <w:lang w:val="fr-FR"/>
        </w:rPr>
        <w:t xml:space="preserve">essai </w:t>
      </w:r>
      <w:r w:rsidRPr="004C2A3C">
        <w:rPr>
          <w:rFonts w:eastAsia="Times New Roman"/>
          <w:i/>
          <w:iCs/>
          <w:color w:val="000000" w:themeColor="text1"/>
          <w:lang w:val="fr-FR"/>
        </w:rPr>
        <w:t>in vitro</w:t>
      </w:r>
      <w:r w:rsidRPr="004C2A3C">
        <w:rPr>
          <w:rFonts w:eastAsia="Times New Roman"/>
          <w:iCs/>
          <w:color w:val="000000" w:themeColor="text1"/>
          <w:lang w:val="fr-FR"/>
        </w:rPr>
        <w:t>/</w:t>
      </w:r>
      <w:r w:rsidRPr="004C2A3C">
        <w:rPr>
          <w:rFonts w:eastAsia="Times New Roman"/>
          <w:i/>
          <w:iCs/>
          <w:color w:val="000000" w:themeColor="text1"/>
          <w:lang w:val="fr-FR"/>
        </w:rPr>
        <w:t>ex vivo</w:t>
      </w:r>
      <w:r w:rsidRPr="004C2A3C">
        <w:rPr>
          <w:rFonts w:eastAsia="Times New Roman"/>
          <w:color w:val="000000" w:themeColor="text1"/>
          <w:lang w:val="fr-FR"/>
        </w:rPr>
        <w:t xml:space="preserve"> dans des méthodes par étapes ou leur intégration dans celles-ci (voir 3.3.2.3) peuvent réduire le nombre de prédictions erronées et offrir des résultats appropriés aux fins de la classification.</w:t>
      </w:r>
    </w:p>
    <w:p w14:paraId="6CAAAB63" w14:textId="77777777" w:rsidR="003F1C55" w:rsidRPr="004C2A3C" w:rsidRDefault="003F1C55" w:rsidP="003F1C55">
      <w:pPr>
        <w:spacing w:after="120"/>
        <w:ind w:left="2268" w:right="1134"/>
        <w:jc w:val="both"/>
        <w:rPr>
          <w:rFonts w:eastAsia="Times New Roman"/>
          <w:color w:val="000000" w:themeColor="text1"/>
          <w:lang w:val="fr-FR"/>
        </w:rPr>
      </w:pPr>
      <w:r w:rsidRPr="004C2A3C">
        <w:rPr>
          <w:rFonts w:eastAsia="Times New Roman"/>
          <w:color w:val="000000" w:themeColor="text1"/>
          <w:lang w:val="fr-FR"/>
        </w:rPr>
        <w:t>3.3.5.3.4.4</w:t>
      </w:r>
      <w:r w:rsidRPr="004C2A3C">
        <w:rPr>
          <w:rFonts w:eastAsia="Times New Roman"/>
          <w:color w:val="000000" w:themeColor="text1"/>
          <w:lang w:val="fr-FR"/>
        </w:rPr>
        <w:tab/>
        <w:t>En l</w:t>
      </w:r>
      <w:r>
        <w:rPr>
          <w:rFonts w:eastAsia="Times New Roman"/>
          <w:color w:val="000000" w:themeColor="text1"/>
          <w:lang w:val="fr-FR"/>
        </w:rPr>
        <w:t>’</w:t>
      </w:r>
      <w:r w:rsidRPr="004C2A3C">
        <w:rPr>
          <w:rFonts w:eastAsia="Times New Roman"/>
          <w:color w:val="000000" w:themeColor="text1"/>
          <w:lang w:val="fr-FR"/>
        </w:rPr>
        <w:t>absence d</w:t>
      </w:r>
      <w:r>
        <w:rPr>
          <w:rFonts w:eastAsia="Times New Roman"/>
          <w:color w:val="000000" w:themeColor="text1"/>
          <w:lang w:val="fr-FR"/>
        </w:rPr>
        <w:t>’</w:t>
      </w:r>
      <w:r w:rsidRPr="004C2A3C">
        <w:rPr>
          <w:rFonts w:eastAsia="Times New Roman"/>
          <w:color w:val="000000" w:themeColor="text1"/>
          <w:lang w:val="fr-FR"/>
        </w:rPr>
        <w:t xml:space="preserve">une méthode définie adéquate (voir 3.3.2.3) ou de données </w:t>
      </w:r>
      <w:r w:rsidRPr="004C2A3C">
        <w:rPr>
          <w:rFonts w:eastAsia="Times New Roman"/>
          <w:i/>
          <w:iCs/>
          <w:color w:val="000000" w:themeColor="text1"/>
          <w:lang w:val="fr-FR"/>
        </w:rPr>
        <w:t>in vitro</w:t>
      </w:r>
      <w:r w:rsidRPr="004C2A3C">
        <w:rPr>
          <w:rFonts w:eastAsia="Times New Roman"/>
          <w:iCs/>
          <w:color w:val="000000" w:themeColor="text1"/>
          <w:lang w:val="fr-FR"/>
        </w:rPr>
        <w:t>/</w:t>
      </w:r>
      <w:r w:rsidRPr="004C2A3C">
        <w:rPr>
          <w:rFonts w:eastAsia="Times New Roman"/>
          <w:i/>
          <w:iCs/>
          <w:color w:val="000000" w:themeColor="text1"/>
          <w:lang w:val="fr-FR"/>
        </w:rPr>
        <w:t>ex vivo</w:t>
      </w:r>
      <w:r w:rsidRPr="004C2A3C">
        <w:rPr>
          <w:rFonts w:eastAsia="Times New Roman"/>
          <w:color w:val="000000" w:themeColor="text1"/>
          <w:lang w:val="fr-FR"/>
        </w:rPr>
        <w:t xml:space="preserve"> concluantes (voir 3.3.2.4.1 et 3.3.2.4.2), il n</w:t>
      </w:r>
      <w:r>
        <w:rPr>
          <w:rFonts w:eastAsia="Times New Roman"/>
          <w:color w:val="000000" w:themeColor="text1"/>
          <w:lang w:val="fr-FR"/>
        </w:rPr>
        <w:t>’</w:t>
      </w:r>
      <w:r w:rsidRPr="004C2A3C">
        <w:rPr>
          <w:rFonts w:eastAsia="Times New Roman"/>
          <w:color w:val="000000" w:themeColor="text1"/>
          <w:lang w:val="fr-FR"/>
        </w:rPr>
        <w:t>est pas possible de faire une prédiction indépendante. Dans ce cas, une évaluation de la force probante des données en appliquant plus d</w:t>
      </w:r>
      <w:r>
        <w:rPr>
          <w:rFonts w:eastAsia="Times New Roman"/>
          <w:color w:val="000000" w:themeColor="text1"/>
          <w:lang w:val="fr-FR"/>
        </w:rPr>
        <w:t>’</w:t>
      </w:r>
      <w:r w:rsidRPr="004C2A3C">
        <w:rPr>
          <w:rFonts w:eastAsia="Times New Roman"/>
          <w:color w:val="000000" w:themeColor="text1"/>
          <w:lang w:val="fr-FR"/>
        </w:rPr>
        <w:t>une méthode au niveau d</w:t>
      </w:r>
      <w:r>
        <w:rPr>
          <w:rFonts w:eastAsia="Times New Roman"/>
          <w:color w:val="000000" w:themeColor="text1"/>
          <w:lang w:val="fr-FR"/>
        </w:rPr>
        <w:t>’</w:t>
      </w:r>
      <w:r w:rsidRPr="004C2A3C">
        <w:rPr>
          <w:rFonts w:eastAsia="Times New Roman"/>
          <w:color w:val="000000" w:themeColor="text1"/>
          <w:lang w:val="fr-FR"/>
        </w:rPr>
        <w:t>une étape s</w:t>
      </w:r>
      <w:r>
        <w:rPr>
          <w:rFonts w:eastAsia="Times New Roman"/>
          <w:color w:val="000000" w:themeColor="text1"/>
          <w:lang w:val="fr-FR"/>
        </w:rPr>
        <w:t>’</w:t>
      </w:r>
      <w:r w:rsidRPr="004C2A3C">
        <w:rPr>
          <w:rFonts w:eastAsia="Times New Roman"/>
          <w:color w:val="000000" w:themeColor="text1"/>
          <w:lang w:val="fr-FR"/>
        </w:rPr>
        <w:t>impose pour une classification à l</w:t>
      </w:r>
      <w:r>
        <w:rPr>
          <w:rFonts w:eastAsia="Times New Roman"/>
          <w:color w:val="000000" w:themeColor="text1"/>
          <w:lang w:val="fr-FR"/>
        </w:rPr>
        <w:t>’</w:t>
      </w:r>
      <w:r w:rsidRPr="004C2A3C">
        <w:rPr>
          <w:rFonts w:eastAsia="Times New Roman"/>
          <w:color w:val="000000" w:themeColor="text1"/>
          <w:lang w:val="fr-FR"/>
        </w:rPr>
        <w:t>étape 2. Si cette évaluation n</w:t>
      </w:r>
      <w:r>
        <w:rPr>
          <w:rFonts w:eastAsia="Times New Roman"/>
          <w:color w:val="000000" w:themeColor="text1"/>
          <w:lang w:val="fr-FR"/>
        </w:rPr>
        <w:t>’</w:t>
      </w:r>
      <w:r w:rsidRPr="004C2A3C">
        <w:rPr>
          <w:rFonts w:eastAsia="Times New Roman"/>
          <w:color w:val="000000" w:themeColor="text1"/>
          <w:lang w:val="fr-FR"/>
        </w:rPr>
        <w:t>est toujours pas concluante, des données provenant d</w:t>
      </w:r>
      <w:r>
        <w:rPr>
          <w:rFonts w:eastAsia="Times New Roman"/>
          <w:color w:val="000000" w:themeColor="text1"/>
          <w:lang w:val="fr-FR"/>
        </w:rPr>
        <w:t>’</w:t>
      </w:r>
      <w:r w:rsidRPr="004C2A3C">
        <w:rPr>
          <w:rFonts w:eastAsia="Times New Roman"/>
          <w:color w:val="000000" w:themeColor="text1"/>
          <w:lang w:val="fr-FR"/>
        </w:rPr>
        <w:t>étapes inférieures peuvent être nécessaires pour parvenir à une conclusion (voir figure 3.3.1).</w:t>
      </w:r>
    </w:p>
    <w:p w14:paraId="6A7DE62E" w14:textId="77777777" w:rsidR="003F1C55" w:rsidRPr="004C2A3C" w:rsidRDefault="003F1C55" w:rsidP="003F1C55">
      <w:pPr>
        <w:suppressAutoHyphens w:val="0"/>
        <w:kinsoku/>
        <w:overflowPunct/>
        <w:autoSpaceDE/>
        <w:autoSpaceDN/>
        <w:adjustRightInd/>
        <w:snapToGrid/>
        <w:spacing w:after="200" w:line="276" w:lineRule="auto"/>
        <w:rPr>
          <w:rFonts w:eastAsia="Times New Roman"/>
          <w:b/>
          <w:bCs/>
          <w:i/>
          <w:color w:val="000000" w:themeColor="text1"/>
          <w:lang w:val="fr-FR"/>
        </w:rPr>
      </w:pPr>
      <w:r w:rsidRPr="004C2A3C">
        <w:rPr>
          <w:rFonts w:eastAsia="Times New Roman"/>
          <w:b/>
          <w:bCs/>
          <w:i/>
          <w:color w:val="000000" w:themeColor="text1"/>
          <w:lang w:val="fr-FR"/>
        </w:rPr>
        <w:br w:type="page"/>
      </w:r>
    </w:p>
    <w:p w14:paraId="7AF45E3B" w14:textId="77777777" w:rsidR="003F1C55" w:rsidRPr="004C2A3C" w:rsidRDefault="003F1C55" w:rsidP="003F1C55">
      <w:pPr>
        <w:spacing w:after="120"/>
        <w:ind w:left="1134"/>
        <w:jc w:val="center"/>
        <w:rPr>
          <w:rFonts w:eastAsia="Times New Roman"/>
          <w:b/>
          <w:bCs/>
          <w:lang w:val="fr-FR"/>
        </w:rPr>
      </w:pPr>
      <w:r w:rsidRPr="004C2A3C">
        <w:rPr>
          <w:rFonts w:eastAsia="Times New Roman"/>
          <w:b/>
          <w:bCs/>
          <w:lang w:val="fr-FR"/>
        </w:rPr>
        <w:t>Figure 3.3.3 : Classification fondée sur l</w:t>
      </w:r>
      <w:r>
        <w:rPr>
          <w:rFonts w:eastAsia="Times New Roman"/>
          <w:b/>
          <w:bCs/>
          <w:lang w:val="fr-FR"/>
        </w:rPr>
        <w:t>’</w:t>
      </w:r>
      <w:r w:rsidRPr="004C2A3C">
        <w:rPr>
          <w:rFonts w:eastAsia="Times New Roman"/>
          <w:b/>
          <w:bCs/>
          <w:lang w:val="fr-FR"/>
        </w:rPr>
        <w:t xml:space="preserve">utilisation de méthodes définies </w:t>
      </w:r>
      <w:r w:rsidRPr="004C2A3C">
        <w:rPr>
          <w:rFonts w:eastAsia="Times New Roman"/>
          <w:b/>
          <w:bCs/>
          <w:lang w:val="fr-FR"/>
        </w:rPr>
        <w:br/>
        <w:t xml:space="preserve">et/ou de données </w:t>
      </w:r>
      <w:r w:rsidRPr="004C2A3C">
        <w:rPr>
          <w:rFonts w:eastAsia="Times New Roman"/>
          <w:b/>
          <w:bCs/>
          <w:i/>
          <w:iCs/>
          <w:lang w:val="fr-FR"/>
        </w:rPr>
        <w:t>in vitro</w:t>
      </w:r>
      <w:r w:rsidRPr="004C2A3C">
        <w:rPr>
          <w:rFonts w:eastAsia="Times New Roman"/>
          <w:b/>
          <w:bCs/>
          <w:iCs/>
          <w:lang w:val="fr-FR"/>
        </w:rPr>
        <w:t>/</w:t>
      </w:r>
      <w:r w:rsidRPr="004C2A3C">
        <w:rPr>
          <w:rFonts w:eastAsia="Times New Roman"/>
          <w:b/>
          <w:bCs/>
          <w:i/>
          <w:iCs/>
          <w:lang w:val="fr-FR"/>
        </w:rPr>
        <w:t xml:space="preserve">ex vivo </w:t>
      </w:r>
      <w:r w:rsidRPr="004C2A3C">
        <w:rPr>
          <w:rFonts w:eastAsia="Times New Roman"/>
          <w:b/>
          <w:bCs/>
          <w:lang w:val="fr-FR"/>
        </w:rPr>
        <w:t>dans le cadre de l</w:t>
      </w:r>
      <w:r>
        <w:rPr>
          <w:rFonts w:eastAsia="Times New Roman"/>
          <w:b/>
          <w:bCs/>
          <w:lang w:val="fr-FR"/>
        </w:rPr>
        <w:t>’</w:t>
      </w:r>
      <w:r w:rsidRPr="004C2A3C">
        <w:rPr>
          <w:rFonts w:eastAsia="Times New Roman"/>
          <w:b/>
          <w:bCs/>
          <w:lang w:val="fr-FR"/>
        </w:rPr>
        <w:t>étape 2 de la figure 3.3.1</w:t>
      </w:r>
    </w:p>
    <w:p w14:paraId="0BCFF061" w14:textId="77777777" w:rsidR="003F1C55" w:rsidRPr="004C2A3C" w:rsidRDefault="003F1C55" w:rsidP="003F1C55">
      <w:pPr>
        <w:spacing w:after="120"/>
        <w:ind w:left="1134"/>
        <w:jc w:val="both"/>
        <w:rPr>
          <w:rFonts w:eastAsia="Times New Roman"/>
        </w:rPr>
      </w:pPr>
      <w:r w:rsidRPr="004C2A3C">
        <w:rPr>
          <w:rFonts w:eastAsia="Times New Roman"/>
          <w:noProof/>
        </w:rPr>
        <w:object w:dxaOrig="8377" w:dyaOrig="12121" w14:anchorId="23F1FA41">
          <v:shape id="_x0000_i1031" type="#_x0000_t75" alt="" style="width:422pt;height:610.5pt;mso-width-percent:0;mso-height-percent:0;mso-width-percent:0;mso-height-percent:0" o:ole="">
            <v:imagedata r:id="rId20" o:title=""/>
          </v:shape>
          <o:OLEObject Type="Embed" ProgID="Visio.Drawing.15" ShapeID="_x0000_i1031" DrawAspect="Content" ObjectID="_1700643210" r:id="rId21"/>
        </w:object>
      </w:r>
    </w:p>
    <w:p w14:paraId="43455EED" w14:textId="77777777" w:rsidR="003F1C55" w:rsidRPr="004C2A3C" w:rsidRDefault="003F1C55" w:rsidP="003F1C55">
      <w:pPr>
        <w:tabs>
          <w:tab w:val="left" w:pos="1701"/>
        </w:tabs>
        <w:spacing w:after="240" w:line="220" w:lineRule="atLeast"/>
        <w:ind w:left="1134"/>
        <w:jc w:val="both"/>
        <w:rPr>
          <w:rFonts w:eastAsia="Times New Roman"/>
          <w:i/>
          <w:color w:val="000000" w:themeColor="text1"/>
          <w:sz w:val="18"/>
          <w:szCs w:val="18"/>
          <w:lang w:val="fr-FR"/>
        </w:rPr>
      </w:pPr>
      <w:proofErr w:type="gramStart"/>
      <w:r w:rsidRPr="004C2A3C">
        <w:rPr>
          <w:rFonts w:eastAsia="Times New Roman"/>
          <w:b/>
          <w:bCs/>
          <w:i/>
          <w:iCs/>
          <w:color w:val="000000" w:themeColor="text1"/>
          <w:sz w:val="18"/>
          <w:szCs w:val="18"/>
          <w:vertAlign w:val="superscript"/>
          <w:lang w:val="fr-FR"/>
        </w:rPr>
        <w:t>a</w:t>
      </w:r>
      <w:r w:rsidRPr="004C2A3C">
        <w:rPr>
          <w:rFonts w:eastAsia="Times New Roman"/>
          <w:color w:val="000000" w:themeColor="text1"/>
          <w:sz w:val="18"/>
          <w:szCs w:val="18"/>
          <w:lang w:val="fr-FR"/>
        </w:rPr>
        <w:t xml:space="preserve">  </w:t>
      </w:r>
      <w:r w:rsidRPr="004C2A3C">
        <w:rPr>
          <w:rFonts w:eastAsia="Times New Roman"/>
          <w:color w:val="000000" w:themeColor="text1"/>
          <w:sz w:val="18"/>
          <w:szCs w:val="18"/>
          <w:lang w:val="fr-FR"/>
        </w:rPr>
        <w:tab/>
      </w:r>
      <w:proofErr w:type="gramEnd"/>
      <w:r w:rsidRPr="004C2A3C">
        <w:rPr>
          <w:rFonts w:eastAsia="Times New Roman"/>
          <w:i/>
          <w:iCs/>
          <w:color w:val="000000" w:themeColor="text1"/>
          <w:sz w:val="18"/>
          <w:szCs w:val="18"/>
          <w:lang w:val="fr-FR"/>
        </w:rPr>
        <w:t>Les éléments de preuve sont jugés concluants si les données répondent aux critères de la méthode définie, ou d</w:t>
      </w:r>
      <w:r>
        <w:rPr>
          <w:rFonts w:eastAsia="Times New Roman"/>
          <w:i/>
          <w:iCs/>
          <w:color w:val="000000" w:themeColor="text1"/>
          <w:sz w:val="18"/>
          <w:szCs w:val="18"/>
          <w:lang w:val="fr-FR"/>
        </w:rPr>
        <w:t>’</w:t>
      </w:r>
      <w:r w:rsidRPr="004C2A3C">
        <w:rPr>
          <w:rFonts w:eastAsia="Times New Roman"/>
          <w:i/>
          <w:iCs/>
          <w:color w:val="000000" w:themeColor="text1"/>
          <w:sz w:val="18"/>
          <w:szCs w:val="18"/>
          <w:lang w:val="fr-FR"/>
        </w:rPr>
        <w:t xml:space="preserve">une autre méthode, et si aucune donnée </w:t>
      </w:r>
      <w:r w:rsidRPr="004C2A3C">
        <w:rPr>
          <w:rFonts w:eastAsia="Times New Roman"/>
          <w:color w:val="000000" w:themeColor="text1"/>
          <w:sz w:val="18"/>
          <w:szCs w:val="18"/>
          <w:lang w:val="fr-FR"/>
        </w:rPr>
        <w:t>in vitro/ex vivo</w:t>
      </w:r>
      <w:r w:rsidRPr="004C2A3C">
        <w:rPr>
          <w:rFonts w:eastAsia="Times New Roman"/>
          <w:i/>
          <w:iCs/>
          <w:color w:val="000000" w:themeColor="text1"/>
          <w:sz w:val="18"/>
          <w:szCs w:val="18"/>
          <w:lang w:val="fr-FR"/>
        </w:rPr>
        <w:t xml:space="preserve"> ne vient les contredire.</w:t>
      </w:r>
      <w:r w:rsidRPr="004C2A3C">
        <w:rPr>
          <w:rFonts w:eastAsia="Times New Roman"/>
          <w:color w:val="000000" w:themeColor="text1"/>
          <w:sz w:val="18"/>
          <w:szCs w:val="18"/>
          <w:lang w:val="fr-FR"/>
        </w:rPr>
        <w:t xml:space="preserve"> </w:t>
      </w:r>
      <w:r w:rsidRPr="004C2A3C">
        <w:rPr>
          <w:rFonts w:eastAsia="Times New Roman"/>
          <w:i/>
          <w:iCs/>
          <w:color w:val="000000" w:themeColor="text1"/>
          <w:sz w:val="18"/>
          <w:szCs w:val="18"/>
          <w:lang w:val="fr-FR"/>
        </w:rPr>
        <w:t>Cependant, lorsque les informations d</w:t>
      </w:r>
      <w:r>
        <w:rPr>
          <w:rFonts w:eastAsia="Times New Roman"/>
          <w:i/>
          <w:iCs/>
          <w:color w:val="000000" w:themeColor="text1"/>
          <w:sz w:val="18"/>
          <w:szCs w:val="18"/>
          <w:lang w:val="fr-FR"/>
        </w:rPr>
        <w:t>’</w:t>
      </w:r>
      <w:r w:rsidRPr="004C2A3C">
        <w:rPr>
          <w:rFonts w:eastAsia="Times New Roman"/>
          <w:i/>
          <w:iCs/>
          <w:color w:val="000000" w:themeColor="text1"/>
          <w:sz w:val="18"/>
          <w:szCs w:val="18"/>
          <w:lang w:val="fr-FR"/>
        </w:rPr>
        <w:t>une étape inférieure aboutiraient à une classification plus stricte que les informations d</w:t>
      </w:r>
      <w:r>
        <w:rPr>
          <w:rFonts w:eastAsia="Times New Roman"/>
          <w:i/>
          <w:iCs/>
          <w:color w:val="000000" w:themeColor="text1"/>
          <w:sz w:val="18"/>
          <w:szCs w:val="18"/>
          <w:lang w:val="fr-FR"/>
        </w:rPr>
        <w:t>’</w:t>
      </w:r>
      <w:r w:rsidRPr="004C2A3C">
        <w:rPr>
          <w:rFonts w:eastAsia="Times New Roman"/>
          <w:i/>
          <w:iCs/>
          <w:color w:val="000000" w:themeColor="text1"/>
          <w:sz w:val="18"/>
          <w:szCs w:val="18"/>
          <w:lang w:val="fr-FR"/>
        </w:rPr>
        <w:t>une étape supérieure, et qu</w:t>
      </w:r>
      <w:r>
        <w:rPr>
          <w:rFonts w:eastAsia="Times New Roman"/>
          <w:i/>
          <w:iCs/>
          <w:color w:val="000000" w:themeColor="text1"/>
          <w:sz w:val="18"/>
          <w:szCs w:val="18"/>
          <w:lang w:val="fr-FR"/>
        </w:rPr>
        <w:t>’</w:t>
      </w:r>
      <w:r w:rsidRPr="004C2A3C">
        <w:rPr>
          <w:rFonts w:eastAsia="Times New Roman"/>
          <w:i/>
          <w:iCs/>
          <w:color w:val="000000" w:themeColor="text1"/>
          <w:sz w:val="18"/>
          <w:szCs w:val="18"/>
          <w:lang w:val="fr-FR"/>
        </w:rPr>
        <w:t>il existe un risque de classification incorrecte, la classification s</w:t>
      </w:r>
      <w:r>
        <w:rPr>
          <w:rFonts w:eastAsia="Times New Roman"/>
          <w:i/>
          <w:iCs/>
          <w:color w:val="000000" w:themeColor="text1"/>
          <w:sz w:val="18"/>
          <w:szCs w:val="18"/>
          <w:lang w:val="fr-FR"/>
        </w:rPr>
        <w:t>’</w:t>
      </w:r>
      <w:r w:rsidRPr="004C2A3C">
        <w:rPr>
          <w:rFonts w:eastAsia="Times New Roman"/>
          <w:i/>
          <w:iCs/>
          <w:color w:val="000000" w:themeColor="text1"/>
          <w:sz w:val="18"/>
          <w:szCs w:val="18"/>
          <w:lang w:val="fr-FR"/>
        </w:rPr>
        <w:t>effectue sur la base d</w:t>
      </w:r>
      <w:r>
        <w:rPr>
          <w:rFonts w:eastAsia="Times New Roman"/>
          <w:i/>
          <w:iCs/>
          <w:color w:val="000000" w:themeColor="text1"/>
          <w:sz w:val="18"/>
          <w:szCs w:val="18"/>
          <w:lang w:val="fr-FR"/>
        </w:rPr>
        <w:t>’</w:t>
      </w:r>
      <w:r w:rsidRPr="004C2A3C">
        <w:rPr>
          <w:rFonts w:eastAsia="Times New Roman"/>
          <w:i/>
          <w:iCs/>
          <w:color w:val="000000" w:themeColor="text1"/>
          <w:sz w:val="18"/>
          <w:szCs w:val="18"/>
          <w:lang w:val="fr-FR"/>
        </w:rPr>
        <w:t>une évaluation fondée sur la force probante des données au niveau d</w:t>
      </w:r>
      <w:r>
        <w:rPr>
          <w:rFonts w:eastAsia="Times New Roman"/>
          <w:i/>
          <w:iCs/>
          <w:color w:val="000000" w:themeColor="text1"/>
          <w:sz w:val="18"/>
          <w:szCs w:val="18"/>
          <w:lang w:val="fr-FR"/>
        </w:rPr>
        <w:t>’</w:t>
      </w:r>
      <w:r w:rsidRPr="004C2A3C">
        <w:rPr>
          <w:rFonts w:eastAsia="Times New Roman"/>
          <w:i/>
          <w:iCs/>
          <w:color w:val="000000" w:themeColor="text1"/>
          <w:sz w:val="18"/>
          <w:szCs w:val="18"/>
          <w:lang w:val="fr-FR"/>
        </w:rPr>
        <w:t>une étape.</w:t>
      </w:r>
    </w:p>
    <w:p w14:paraId="575791F2" w14:textId="77777777" w:rsidR="003F1C55" w:rsidRPr="004C2A3C" w:rsidRDefault="003F1C55" w:rsidP="003F1C55">
      <w:pPr>
        <w:keepNext/>
        <w:keepLines/>
        <w:tabs>
          <w:tab w:val="left" w:pos="3402"/>
        </w:tabs>
        <w:spacing w:after="120"/>
        <w:ind w:left="2268" w:right="1134"/>
        <w:jc w:val="both"/>
        <w:rPr>
          <w:rFonts w:eastAsia="Times New Roman"/>
          <w:color w:val="000000" w:themeColor="text1"/>
          <w:lang w:val="fr-FR"/>
        </w:rPr>
      </w:pPr>
      <w:r w:rsidRPr="004C2A3C">
        <w:rPr>
          <w:rFonts w:eastAsia="Times New Roman"/>
          <w:color w:val="000000" w:themeColor="text1"/>
          <w:lang w:val="fr-FR"/>
        </w:rPr>
        <w:t>3.3.5.3.5</w:t>
      </w:r>
      <w:r w:rsidRPr="004C2A3C">
        <w:rPr>
          <w:rFonts w:eastAsia="Times New Roman"/>
          <w:color w:val="000000" w:themeColor="text1"/>
          <w:lang w:val="fr-FR"/>
        </w:rPr>
        <w:tab/>
      </w:r>
      <w:r w:rsidRPr="004C2A3C">
        <w:rPr>
          <w:rFonts w:eastAsia="Times New Roman"/>
          <w:i/>
          <w:iCs/>
          <w:color w:val="000000" w:themeColor="text1"/>
          <w:lang w:val="fr-FR"/>
        </w:rPr>
        <w:t xml:space="preserve">Critères de classification fondés sur des données </w:t>
      </w:r>
      <w:r w:rsidRPr="004C2A3C">
        <w:rPr>
          <w:rFonts w:eastAsia="Times New Roman"/>
          <w:color w:val="000000" w:themeColor="text1"/>
          <w:lang w:val="fr-FR"/>
        </w:rPr>
        <w:t>in vitro/ex vivo</w:t>
      </w:r>
    </w:p>
    <w:p w14:paraId="5586E7AD" w14:textId="77777777" w:rsidR="003F1C55" w:rsidRDefault="003F1C55" w:rsidP="003F1C55">
      <w:pPr>
        <w:tabs>
          <w:tab w:val="left" w:pos="3402"/>
        </w:tabs>
        <w:spacing w:after="120"/>
        <w:ind w:left="2268" w:right="1134"/>
        <w:jc w:val="both"/>
        <w:rPr>
          <w:rFonts w:eastAsia="Times New Roman"/>
          <w:color w:val="000000" w:themeColor="text1"/>
          <w:lang w:val="fr-FR"/>
        </w:rPr>
      </w:pPr>
      <w:r w:rsidRPr="004C2A3C">
        <w:rPr>
          <w:rFonts w:eastAsia="Times New Roman"/>
          <w:color w:val="000000" w:themeColor="text1"/>
          <w:lang w:val="fr-FR"/>
        </w:rPr>
        <w:t>3.3.5.3.5.1</w:t>
      </w:r>
      <w:r w:rsidRPr="004C2A3C">
        <w:rPr>
          <w:rFonts w:eastAsia="Times New Roman"/>
          <w:color w:val="000000" w:themeColor="text1"/>
          <w:lang w:val="fr-FR"/>
        </w:rPr>
        <w:tab/>
        <w:t>Le tableau 3.3.6 indique les critères de classification dans la catégorie 1 pour les lésions oculaires graves ou les effets irréversibles sur l</w:t>
      </w:r>
      <w:r>
        <w:rPr>
          <w:rFonts w:eastAsia="Times New Roman"/>
          <w:color w:val="000000" w:themeColor="text1"/>
          <w:lang w:val="fr-FR"/>
        </w:rPr>
        <w:t>’</w:t>
      </w:r>
      <w:r w:rsidRPr="004C2A3C">
        <w:rPr>
          <w:rFonts w:eastAsia="Times New Roman"/>
          <w:color w:val="000000" w:themeColor="text1"/>
          <w:lang w:val="fr-FR"/>
        </w:rPr>
        <w:t>œil, ainsi que les critères donnant lieu à l</w:t>
      </w:r>
      <w:r>
        <w:rPr>
          <w:rFonts w:eastAsia="Times New Roman"/>
          <w:color w:val="000000" w:themeColor="text1"/>
          <w:lang w:val="fr-FR"/>
        </w:rPr>
        <w:t>’</w:t>
      </w:r>
      <w:r w:rsidRPr="004C2A3C">
        <w:rPr>
          <w:rFonts w:eastAsia="Times New Roman"/>
          <w:color w:val="000000" w:themeColor="text1"/>
          <w:lang w:val="fr-FR"/>
        </w:rPr>
        <w:t xml:space="preserve">absence de classification, lorsque des essais </w:t>
      </w:r>
      <w:r w:rsidRPr="004C2A3C">
        <w:rPr>
          <w:rFonts w:eastAsia="Times New Roman"/>
          <w:i/>
          <w:iCs/>
          <w:color w:val="000000" w:themeColor="text1"/>
          <w:lang w:val="fr-FR"/>
        </w:rPr>
        <w:t>in vitro</w:t>
      </w:r>
      <w:r w:rsidRPr="004C2A3C">
        <w:rPr>
          <w:rFonts w:eastAsia="Times New Roman"/>
          <w:iCs/>
          <w:color w:val="000000" w:themeColor="text1"/>
          <w:lang w:val="fr-FR"/>
        </w:rPr>
        <w:t>/</w:t>
      </w:r>
      <w:r w:rsidRPr="004C2A3C">
        <w:rPr>
          <w:rFonts w:eastAsia="Times New Roman"/>
          <w:i/>
          <w:iCs/>
          <w:color w:val="000000" w:themeColor="text1"/>
          <w:lang w:val="fr-FR"/>
        </w:rPr>
        <w:t>ex vivo</w:t>
      </w:r>
      <w:r w:rsidRPr="004C2A3C">
        <w:rPr>
          <w:rFonts w:eastAsia="Times New Roman"/>
          <w:color w:val="000000" w:themeColor="text1"/>
          <w:lang w:val="fr-FR"/>
        </w:rPr>
        <w:t xml:space="preserve"> sont menés conformément aux lignes directrices 437, 438, 460, 491, 492, 494 ou 496 de l</w:t>
      </w:r>
      <w:r>
        <w:rPr>
          <w:rFonts w:eastAsia="Times New Roman"/>
          <w:color w:val="000000" w:themeColor="text1"/>
          <w:lang w:val="fr-FR"/>
        </w:rPr>
        <w:t>’</w:t>
      </w:r>
      <w:r w:rsidRPr="004C2A3C">
        <w:rPr>
          <w:rFonts w:eastAsia="Times New Roman"/>
          <w:color w:val="000000" w:themeColor="text1"/>
          <w:lang w:val="fr-FR"/>
        </w:rPr>
        <w:t>OCDE.</w:t>
      </w:r>
    </w:p>
    <w:p w14:paraId="7B255136" w14:textId="77777777" w:rsidR="003F1C55" w:rsidRPr="00B80EA1" w:rsidRDefault="003F1C55" w:rsidP="000F5307">
      <w:pPr>
        <w:pStyle w:val="SingleTxtG"/>
        <w:tabs>
          <w:tab w:val="clear" w:pos="1701"/>
          <w:tab w:val="clear" w:pos="2268"/>
          <w:tab w:val="clear" w:pos="2835"/>
        </w:tabs>
        <w:ind w:left="2268"/>
        <w:rPr>
          <w:rFonts w:eastAsia="Times New Roman"/>
          <w:color w:val="000000" w:themeColor="text1"/>
        </w:rPr>
      </w:pPr>
    </w:p>
    <w:p w14:paraId="0F6B6960" w14:textId="77777777" w:rsidR="00116EA2" w:rsidRPr="00B80EA1" w:rsidRDefault="00116EA2" w:rsidP="00AC3823">
      <w:pPr>
        <w:rPr>
          <w:color w:val="000000" w:themeColor="text1"/>
        </w:rPr>
        <w:sectPr w:rsidR="00116EA2" w:rsidRPr="00B80EA1" w:rsidSect="003D16B5">
          <w:headerReference w:type="even" r:id="rId22"/>
          <w:headerReference w:type="default" r:id="rId23"/>
          <w:footerReference w:type="even" r:id="rId24"/>
          <w:footerReference w:type="default" r:id="rId25"/>
          <w:footerReference w:type="first" r:id="rId26"/>
          <w:endnotePr>
            <w:numFmt w:val="decimal"/>
          </w:endnotePr>
          <w:pgSz w:w="11906" w:h="16838" w:code="9"/>
          <w:pgMar w:top="1417" w:right="1134" w:bottom="1134" w:left="1134" w:header="850" w:footer="567" w:gutter="0"/>
          <w:cols w:space="708"/>
          <w:titlePg/>
          <w:docGrid w:linePitch="360"/>
        </w:sectPr>
      </w:pPr>
    </w:p>
    <w:p w14:paraId="36D1D3C8" w14:textId="77777777" w:rsidR="003F1C55" w:rsidRPr="004C2A3C" w:rsidRDefault="003F1C55" w:rsidP="003F1C55">
      <w:pPr>
        <w:spacing w:after="120"/>
        <w:ind w:left="284" w:right="284"/>
        <w:jc w:val="center"/>
        <w:rPr>
          <w:rFonts w:eastAsia="Times New Roman"/>
          <w:b/>
          <w:bCs/>
          <w:i/>
          <w:iCs/>
          <w:lang w:val="fr-FR"/>
        </w:rPr>
      </w:pPr>
      <w:r w:rsidRPr="004C2A3C">
        <w:rPr>
          <w:rFonts w:eastAsia="Times New Roman"/>
          <w:b/>
          <w:bCs/>
          <w:lang w:val="fr-FR"/>
        </w:rPr>
        <w:t>Tableau 3.3.6 : Critères indiquant des lésions oculaires graves ou des effets irréversibles sur l</w:t>
      </w:r>
      <w:r>
        <w:rPr>
          <w:rFonts w:eastAsia="Times New Roman"/>
          <w:b/>
          <w:bCs/>
          <w:lang w:val="fr-FR"/>
        </w:rPr>
        <w:t>’</w:t>
      </w:r>
      <w:r w:rsidRPr="004C2A3C">
        <w:rPr>
          <w:rFonts w:eastAsia="Times New Roman"/>
          <w:b/>
          <w:bCs/>
          <w:lang w:val="fr-FR"/>
        </w:rPr>
        <w:t>œil et critères donnant lieu à l</w:t>
      </w:r>
      <w:r>
        <w:rPr>
          <w:rFonts w:eastAsia="Times New Roman"/>
          <w:b/>
          <w:bCs/>
          <w:lang w:val="fr-FR"/>
        </w:rPr>
        <w:t>’</w:t>
      </w:r>
      <w:r w:rsidRPr="004C2A3C">
        <w:rPr>
          <w:rFonts w:eastAsia="Times New Roman"/>
          <w:b/>
          <w:bCs/>
          <w:lang w:val="fr-FR"/>
        </w:rPr>
        <w:t xml:space="preserve">absence de </w:t>
      </w:r>
      <w:proofErr w:type="spellStart"/>
      <w:r w:rsidRPr="004C2A3C">
        <w:rPr>
          <w:rFonts w:eastAsia="Times New Roman"/>
          <w:b/>
          <w:bCs/>
          <w:lang w:val="fr-FR"/>
        </w:rPr>
        <w:t>classification</w:t>
      </w:r>
      <w:r w:rsidRPr="004C2A3C">
        <w:rPr>
          <w:rFonts w:eastAsia="Times New Roman"/>
          <w:b/>
          <w:bCs/>
          <w:i/>
          <w:iCs/>
          <w:sz w:val="18"/>
          <w:szCs w:val="18"/>
          <w:vertAlign w:val="superscript"/>
          <w:lang w:val="fr-FR"/>
        </w:rPr>
        <w:t>a</w:t>
      </w:r>
      <w:proofErr w:type="spellEnd"/>
      <w:r w:rsidRPr="004C2A3C">
        <w:rPr>
          <w:rFonts w:eastAsia="Times New Roman"/>
          <w:b/>
          <w:bCs/>
          <w:lang w:val="fr-FR"/>
        </w:rPr>
        <w:t xml:space="preserve"> </w:t>
      </w:r>
      <w:r w:rsidRPr="004C2A3C">
        <w:rPr>
          <w:rFonts w:eastAsia="Times New Roman"/>
          <w:b/>
          <w:bCs/>
          <w:lang w:val="fr-FR"/>
        </w:rPr>
        <w:br/>
        <w:t xml:space="preserve">pour les méthodes </w:t>
      </w:r>
      <w:r w:rsidRPr="004C2A3C">
        <w:rPr>
          <w:rFonts w:eastAsia="Times New Roman"/>
          <w:b/>
          <w:bCs/>
          <w:i/>
          <w:iCs/>
          <w:lang w:val="fr-FR"/>
        </w:rPr>
        <w:t>in vitro</w:t>
      </w:r>
      <w:r w:rsidRPr="004C2A3C">
        <w:rPr>
          <w:rFonts w:eastAsia="Times New Roman"/>
          <w:b/>
          <w:bCs/>
          <w:iCs/>
          <w:lang w:val="fr-FR"/>
        </w:rPr>
        <w:t>/</w:t>
      </w:r>
      <w:r w:rsidRPr="004C2A3C">
        <w:rPr>
          <w:rFonts w:eastAsia="Times New Roman"/>
          <w:b/>
          <w:bCs/>
          <w:i/>
          <w:iCs/>
          <w:lang w:val="fr-FR"/>
        </w:rPr>
        <w:t>ex vivo</w:t>
      </w:r>
    </w:p>
    <w:tbl>
      <w:tblPr>
        <w:tblW w:w="1377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06"/>
        <w:gridCol w:w="978"/>
        <w:gridCol w:w="978"/>
        <w:gridCol w:w="1667"/>
        <w:gridCol w:w="1667"/>
        <w:gridCol w:w="1667"/>
        <w:gridCol w:w="785"/>
        <w:gridCol w:w="788"/>
        <w:gridCol w:w="788"/>
        <w:gridCol w:w="788"/>
        <w:gridCol w:w="1433"/>
        <w:gridCol w:w="1433"/>
      </w:tblGrid>
      <w:tr w:rsidR="003F1C55" w:rsidRPr="004562B4" w14:paraId="6BBA6AF6" w14:textId="77777777" w:rsidTr="00057475">
        <w:trPr>
          <w:tblHeader/>
        </w:trPr>
        <w:tc>
          <w:tcPr>
            <w:tcW w:w="29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C88175A" w14:textId="77777777" w:rsidR="003F1C55" w:rsidRPr="004C2A3C" w:rsidRDefault="003F1C55" w:rsidP="00057475">
            <w:pPr>
              <w:spacing w:before="40" w:after="40" w:line="240" w:lineRule="auto"/>
              <w:ind w:left="57" w:right="57"/>
              <w:jc w:val="center"/>
              <w:rPr>
                <w:rFonts w:eastAsia="Times New Roman"/>
                <w:b/>
                <w:bCs/>
                <w:noProof/>
                <w:color w:val="000000" w:themeColor="text1"/>
                <w:sz w:val="14"/>
                <w:szCs w:val="14"/>
              </w:rPr>
            </w:pPr>
            <w:r w:rsidRPr="004C2A3C">
              <w:rPr>
                <w:rFonts w:eastAsia="Calibri"/>
                <w:b/>
                <w:bCs/>
                <w:noProof/>
                <w:color w:val="000000" w:themeColor="text1"/>
                <w:sz w:val="14"/>
                <w:szCs w:val="14"/>
              </w:rPr>
              <w:t>Catégorie</w:t>
            </w:r>
          </w:p>
        </w:tc>
        <w:tc>
          <w:tcPr>
            <w:tcW w:w="710"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BF4D08F" w14:textId="77777777" w:rsidR="003F1C55" w:rsidRPr="004C2A3C" w:rsidRDefault="003F1C55" w:rsidP="00057475">
            <w:pPr>
              <w:spacing w:before="40" w:after="40" w:line="240" w:lineRule="auto"/>
              <w:ind w:left="57" w:right="57"/>
              <w:jc w:val="center"/>
              <w:rPr>
                <w:rFonts w:eastAsia="Times New Roman"/>
                <w:b/>
                <w:bCs/>
                <w:noProof/>
                <w:color w:val="000000" w:themeColor="text1"/>
                <w:sz w:val="14"/>
                <w:szCs w:val="14"/>
                <w:lang w:val="fr-FR"/>
              </w:rPr>
            </w:pPr>
            <w:bookmarkStart w:id="12" w:name="OLE_LINK10"/>
            <w:bookmarkStart w:id="13" w:name="OLE_LINK7"/>
            <w:r w:rsidRPr="004C2A3C">
              <w:rPr>
                <w:rFonts w:eastAsia="Times New Roman"/>
                <w:b/>
                <w:bCs/>
                <w:noProof/>
                <w:color w:val="000000" w:themeColor="text1"/>
                <w:sz w:val="14"/>
                <w:szCs w:val="14"/>
                <w:lang w:val="fr-FR"/>
              </w:rPr>
              <w:t>Ligne directrice 437 de l</w:t>
            </w:r>
            <w:r>
              <w:rPr>
                <w:rFonts w:eastAsia="Times New Roman"/>
                <w:b/>
                <w:bCs/>
                <w:noProof/>
                <w:color w:val="000000" w:themeColor="text1"/>
                <w:sz w:val="14"/>
                <w:szCs w:val="14"/>
                <w:lang w:val="fr-FR"/>
              </w:rPr>
              <w:t>’</w:t>
            </w:r>
            <w:r w:rsidRPr="004C2A3C">
              <w:rPr>
                <w:rFonts w:eastAsia="Times New Roman"/>
                <w:b/>
                <w:bCs/>
                <w:noProof/>
                <w:color w:val="000000" w:themeColor="text1"/>
                <w:sz w:val="14"/>
                <w:szCs w:val="14"/>
                <w:lang w:val="fr-FR"/>
              </w:rPr>
              <w:t>OCDE</w:t>
            </w:r>
            <w:bookmarkEnd w:id="12"/>
            <w:bookmarkEnd w:id="13"/>
            <w:r w:rsidRPr="004C2A3C">
              <w:rPr>
                <w:rFonts w:eastAsia="Times New Roman"/>
                <w:b/>
                <w:bCs/>
                <w:noProof/>
                <w:color w:val="000000" w:themeColor="text1"/>
                <w:sz w:val="14"/>
                <w:szCs w:val="14"/>
                <w:lang w:val="fr-FR"/>
              </w:rPr>
              <w:t xml:space="preserve"> − Méthode d</w:t>
            </w:r>
            <w:r>
              <w:rPr>
                <w:rFonts w:eastAsia="Times New Roman"/>
                <w:b/>
                <w:bCs/>
                <w:noProof/>
                <w:color w:val="000000" w:themeColor="text1"/>
                <w:sz w:val="14"/>
                <w:szCs w:val="14"/>
                <w:lang w:val="fr-FR"/>
              </w:rPr>
              <w:t>’</w:t>
            </w:r>
            <w:r w:rsidRPr="004C2A3C">
              <w:rPr>
                <w:rFonts w:eastAsia="Times New Roman"/>
                <w:b/>
                <w:bCs/>
                <w:noProof/>
                <w:color w:val="000000" w:themeColor="text1"/>
                <w:sz w:val="14"/>
                <w:szCs w:val="14"/>
                <w:lang w:val="fr-FR"/>
              </w:rPr>
              <w:t>essai d</w:t>
            </w:r>
            <w:r>
              <w:rPr>
                <w:rFonts w:eastAsia="Times New Roman"/>
                <w:b/>
                <w:bCs/>
                <w:noProof/>
                <w:color w:val="000000" w:themeColor="text1"/>
                <w:sz w:val="14"/>
                <w:szCs w:val="14"/>
                <w:lang w:val="fr-FR"/>
              </w:rPr>
              <w:t>’</w:t>
            </w:r>
            <w:r w:rsidRPr="004C2A3C">
              <w:rPr>
                <w:rFonts w:eastAsia="Times New Roman"/>
                <w:b/>
                <w:bCs/>
                <w:noProof/>
                <w:color w:val="000000" w:themeColor="text1"/>
                <w:sz w:val="14"/>
                <w:szCs w:val="14"/>
                <w:lang w:val="fr-FR"/>
              </w:rPr>
              <w:t>opacité et de perméabilité de la cornée bovine</w:t>
            </w:r>
          </w:p>
        </w:tc>
        <w:tc>
          <w:tcPr>
            <w:tcW w:w="60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9F1B0FA" w14:textId="77777777" w:rsidR="003F1C55" w:rsidRPr="004C2A3C" w:rsidRDefault="003F1C55" w:rsidP="00057475">
            <w:pPr>
              <w:spacing w:before="40" w:after="40" w:line="240" w:lineRule="auto"/>
              <w:ind w:left="57" w:right="57"/>
              <w:jc w:val="center"/>
              <w:rPr>
                <w:rFonts w:eastAsia="Times New Roman"/>
                <w:b/>
                <w:bCs/>
                <w:noProof/>
                <w:color w:val="000000" w:themeColor="text1"/>
                <w:sz w:val="14"/>
                <w:szCs w:val="14"/>
                <w:lang w:val="fr-FR"/>
              </w:rPr>
            </w:pPr>
            <w:r w:rsidRPr="004C2A3C">
              <w:rPr>
                <w:rFonts w:eastAsia="Times New Roman"/>
                <w:b/>
                <w:bCs/>
                <w:noProof/>
                <w:color w:val="000000" w:themeColor="text1"/>
                <w:sz w:val="14"/>
                <w:szCs w:val="14"/>
                <w:lang w:val="fr-FR"/>
              </w:rPr>
              <w:t>Ligne directrice 438 de l</w:t>
            </w:r>
            <w:r>
              <w:rPr>
                <w:rFonts w:eastAsia="Times New Roman"/>
                <w:b/>
                <w:bCs/>
                <w:noProof/>
                <w:color w:val="000000" w:themeColor="text1"/>
                <w:sz w:val="14"/>
                <w:szCs w:val="14"/>
                <w:lang w:val="fr-FR"/>
              </w:rPr>
              <w:t>’</w:t>
            </w:r>
            <w:r w:rsidRPr="004C2A3C">
              <w:rPr>
                <w:rFonts w:eastAsia="Times New Roman"/>
                <w:b/>
                <w:bCs/>
                <w:noProof/>
                <w:color w:val="000000" w:themeColor="text1"/>
                <w:sz w:val="14"/>
                <w:szCs w:val="14"/>
                <w:lang w:val="fr-FR"/>
              </w:rPr>
              <w:t>OCDE − Méthode d</w:t>
            </w:r>
            <w:r>
              <w:rPr>
                <w:rFonts w:eastAsia="Times New Roman"/>
                <w:b/>
                <w:bCs/>
                <w:noProof/>
                <w:color w:val="000000" w:themeColor="text1"/>
                <w:sz w:val="14"/>
                <w:szCs w:val="14"/>
                <w:lang w:val="fr-FR"/>
              </w:rPr>
              <w:t>’</w:t>
            </w:r>
            <w:r w:rsidRPr="004C2A3C">
              <w:rPr>
                <w:rFonts w:eastAsia="Times New Roman"/>
                <w:b/>
                <w:bCs/>
                <w:noProof/>
                <w:color w:val="000000" w:themeColor="text1"/>
                <w:sz w:val="14"/>
                <w:szCs w:val="14"/>
                <w:lang w:val="fr-FR"/>
              </w:rPr>
              <w:t>essai sur oeil de poulet isolé</w:t>
            </w:r>
          </w:p>
        </w:tc>
        <w:tc>
          <w:tcPr>
            <w:tcW w:w="605" w:type="pct"/>
            <w:tcBorders>
              <w:top w:val="single" w:sz="4" w:space="0" w:color="auto"/>
              <w:left w:val="single" w:sz="4" w:space="0" w:color="auto"/>
              <w:bottom w:val="single" w:sz="4" w:space="0" w:color="auto"/>
              <w:right w:val="single" w:sz="4" w:space="0" w:color="auto"/>
            </w:tcBorders>
            <w:hideMark/>
          </w:tcPr>
          <w:p w14:paraId="581F350B" w14:textId="77777777" w:rsidR="003F1C55" w:rsidRPr="004C2A3C" w:rsidRDefault="003F1C55" w:rsidP="00057475">
            <w:pPr>
              <w:spacing w:before="40" w:after="40" w:line="240" w:lineRule="auto"/>
              <w:ind w:left="57" w:right="57"/>
              <w:jc w:val="center"/>
              <w:rPr>
                <w:rFonts w:eastAsia="Times New Roman"/>
                <w:b/>
                <w:bCs/>
                <w:noProof/>
                <w:color w:val="000000" w:themeColor="text1"/>
                <w:sz w:val="14"/>
                <w:szCs w:val="14"/>
                <w:lang w:val="fr-FR"/>
              </w:rPr>
            </w:pPr>
            <w:r w:rsidRPr="004C2A3C">
              <w:rPr>
                <w:rFonts w:eastAsia="Times New Roman"/>
                <w:b/>
                <w:bCs/>
                <w:noProof/>
                <w:color w:val="000000" w:themeColor="text1"/>
                <w:sz w:val="14"/>
                <w:szCs w:val="14"/>
                <w:lang w:val="fr-FR"/>
              </w:rPr>
              <w:t>Ligne directrice 460 de l</w:t>
            </w:r>
            <w:r>
              <w:rPr>
                <w:rFonts w:eastAsia="Times New Roman"/>
                <w:b/>
                <w:bCs/>
                <w:noProof/>
                <w:color w:val="000000" w:themeColor="text1"/>
                <w:sz w:val="14"/>
                <w:szCs w:val="14"/>
                <w:lang w:val="fr-FR"/>
              </w:rPr>
              <w:t>’</w:t>
            </w:r>
            <w:r w:rsidRPr="004C2A3C">
              <w:rPr>
                <w:rFonts w:eastAsia="Times New Roman"/>
                <w:b/>
                <w:bCs/>
                <w:noProof/>
                <w:color w:val="000000" w:themeColor="text1"/>
                <w:sz w:val="14"/>
                <w:szCs w:val="14"/>
                <w:lang w:val="fr-FR"/>
              </w:rPr>
              <w:t>OCDE − Méthode d</w:t>
            </w:r>
            <w:r>
              <w:rPr>
                <w:rFonts w:eastAsia="Times New Roman"/>
                <w:b/>
                <w:bCs/>
                <w:noProof/>
                <w:color w:val="000000" w:themeColor="text1"/>
                <w:sz w:val="14"/>
                <w:szCs w:val="14"/>
                <w:lang w:val="fr-FR"/>
              </w:rPr>
              <w:t>’</w:t>
            </w:r>
            <w:r w:rsidRPr="004C2A3C">
              <w:rPr>
                <w:rFonts w:eastAsia="Times New Roman"/>
                <w:b/>
                <w:bCs/>
                <w:noProof/>
                <w:color w:val="000000" w:themeColor="text1"/>
                <w:sz w:val="14"/>
                <w:szCs w:val="14"/>
                <w:lang w:val="fr-FR"/>
              </w:rPr>
              <w:t>essai de diffusion de fluorescéine</w:t>
            </w:r>
          </w:p>
        </w:tc>
        <w:tc>
          <w:tcPr>
            <w:tcW w:w="60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042D91D" w14:textId="77777777" w:rsidR="003F1C55" w:rsidRPr="004C2A3C" w:rsidRDefault="003F1C55" w:rsidP="00057475">
            <w:pPr>
              <w:spacing w:before="40" w:after="40" w:line="240" w:lineRule="auto"/>
              <w:ind w:left="57" w:right="57"/>
              <w:jc w:val="center"/>
              <w:rPr>
                <w:rFonts w:eastAsia="Times New Roman"/>
                <w:b/>
                <w:bCs/>
                <w:noProof/>
                <w:color w:val="000000" w:themeColor="text1"/>
                <w:sz w:val="14"/>
                <w:szCs w:val="14"/>
                <w:lang w:val="fr-FR"/>
              </w:rPr>
            </w:pPr>
            <w:r w:rsidRPr="004C2A3C">
              <w:rPr>
                <w:rFonts w:eastAsia="Times New Roman"/>
                <w:b/>
                <w:bCs/>
                <w:noProof/>
                <w:color w:val="000000" w:themeColor="text1"/>
                <w:sz w:val="14"/>
                <w:szCs w:val="14"/>
                <w:lang w:val="fr-FR"/>
              </w:rPr>
              <w:t>Ligne directrice 491 de l</w:t>
            </w:r>
            <w:r>
              <w:rPr>
                <w:rFonts w:eastAsia="Times New Roman"/>
                <w:b/>
                <w:bCs/>
                <w:noProof/>
                <w:color w:val="000000" w:themeColor="text1"/>
                <w:sz w:val="14"/>
                <w:szCs w:val="14"/>
                <w:lang w:val="fr-FR"/>
              </w:rPr>
              <w:t>’</w:t>
            </w:r>
            <w:r w:rsidRPr="004C2A3C">
              <w:rPr>
                <w:rFonts w:eastAsia="Times New Roman"/>
                <w:b/>
                <w:bCs/>
                <w:noProof/>
                <w:color w:val="000000" w:themeColor="text1"/>
                <w:sz w:val="14"/>
                <w:szCs w:val="14"/>
                <w:lang w:val="fr-FR"/>
              </w:rPr>
              <w:t>OCDE − Méthode d</w:t>
            </w:r>
            <w:r>
              <w:rPr>
                <w:rFonts w:eastAsia="Times New Roman"/>
                <w:b/>
                <w:bCs/>
                <w:noProof/>
                <w:color w:val="000000" w:themeColor="text1"/>
                <w:sz w:val="14"/>
                <w:szCs w:val="14"/>
                <w:lang w:val="fr-FR"/>
              </w:rPr>
              <w:t>’</w:t>
            </w:r>
            <w:r w:rsidRPr="004C2A3C">
              <w:rPr>
                <w:rFonts w:eastAsia="Times New Roman"/>
                <w:b/>
                <w:bCs/>
                <w:noProof/>
                <w:color w:val="000000" w:themeColor="text1"/>
                <w:sz w:val="14"/>
                <w:szCs w:val="14"/>
                <w:lang w:val="fr-FR"/>
              </w:rPr>
              <w:t>essai d</w:t>
            </w:r>
            <w:r>
              <w:rPr>
                <w:rFonts w:eastAsia="Times New Roman"/>
                <w:b/>
                <w:bCs/>
                <w:noProof/>
                <w:color w:val="000000" w:themeColor="text1"/>
                <w:sz w:val="14"/>
                <w:szCs w:val="14"/>
                <w:lang w:val="fr-FR"/>
              </w:rPr>
              <w:t>’</w:t>
            </w:r>
            <w:r w:rsidRPr="004C2A3C">
              <w:rPr>
                <w:rFonts w:eastAsia="Times New Roman"/>
                <w:b/>
                <w:bCs/>
                <w:noProof/>
                <w:color w:val="000000" w:themeColor="text1"/>
                <w:sz w:val="14"/>
                <w:szCs w:val="14"/>
                <w:lang w:val="fr-FR"/>
              </w:rPr>
              <w:t>exposition de courte durée</w:t>
            </w:r>
          </w:p>
        </w:tc>
        <w:tc>
          <w:tcPr>
            <w:tcW w:w="1143" w:type="pct"/>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F8FF983" w14:textId="77777777" w:rsidR="003F1C55" w:rsidRPr="004C2A3C" w:rsidRDefault="003F1C55" w:rsidP="00057475">
            <w:pPr>
              <w:spacing w:before="40" w:after="40" w:line="240" w:lineRule="auto"/>
              <w:ind w:left="57" w:right="57"/>
              <w:jc w:val="center"/>
              <w:rPr>
                <w:rFonts w:eastAsia="Times New Roman"/>
                <w:b/>
                <w:bCs/>
                <w:noProof/>
                <w:color w:val="000000" w:themeColor="text1"/>
                <w:sz w:val="14"/>
                <w:szCs w:val="14"/>
                <w:lang w:val="fr-FR"/>
              </w:rPr>
            </w:pPr>
            <w:r w:rsidRPr="004C2A3C">
              <w:rPr>
                <w:rFonts w:eastAsia="Times New Roman"/>
                <w:b/>
                <w:bCs/>
                <w:noProof/>
                <w:color w:val="000000" w:themeColor="text1"/>
                <w:sz w:val="14"/>
                <w:szCs w:val="14"/>
                <w:lang w:val="fr-FR"/>
              </w:rPr>
              <w:t>Ligne directrice 492 de l</w:t>
            </w:r>
            <w:r>
              <w:rPr>
                <w:rFonts w:eastAsia="Times New Roman"/>
                <w:b/>
                <w:bCs/>
                <w:noProof/>
                <w:color w:val="000000" w:themeColor="text1"/>
                <w:sz w:val="14"/>
                <w:szCs w:val="14"/>
                <w:lang w:val="fr-FR"/>
              </w:rPr>
              <w:t>’</w:t>
            </w:r>
            <w:r w:rsidRPr="004C2A3C">
              <w:rPr>
                <w:rFonts w:eastAsia="Times New Roman"/>
                <w:b/>
                <w:bCs/>
                <w:noProof/>
                <w:color w:val="000000" w:themeColor="text1"/>
                <w:sz w:val="14"/>
                <w:szCs w:val="14"/>
                <w:lang w:val="fr-FR"/>
              </w:rPr>
              <w:t>OCDE − Méthodes d</w:t>
            </w:r>
            <w:r>
              <w:rPr>
                <w:rFonts w:eastAsia="Times New Roman"/>
                <w:b/>
                <w:bCs/>
                <w:noProof/>
                <w:color w:val="000000" w:themeColor="text1"/>
                <w:sz w:val="14"/>
                <w:szCs w:val="14"/>
                <w:lang w:val="fr-FR"/>
              </w:rPr>
              <w:t>’</w:t>
            </w:r>
            <w:r w:rsidRPr="004C2A3C">
              <w:rPr>
                <w:rFonts w:eastAsia="Times New Roman"/>
                <w:b/>
                <w:bCs/>
                <w:noProof/>
                <w:color w:val="000000" w:themeColor="text1"/>
                <w:sz w:val="14"/>
                <w:szCs w:val="14"/>
                <w:lang w:val="fr-FR"/>
              </w:rPr>
              <w:t>essai sur modèle d</w:t>
            </w:r>
            <w:r>
              <w:rPr>
                <w:rFonts w:eastAsia="Times New Roman"/>
                <w:b/>
                <w:bCs/>
                <w:noProof/>
                <w:color w:val="000000" w:themeColor="text1"/>
                <w:sz w:val="14"/>
                <w:szCs w:val="14"/>
                <w:lang w:val="fr-FR"/>
              </w:rPr>
              <w:t>’</w:t>
            </w:r>
            <w:r w:rsidRPr="004C2A3C">
              <w:rPr>
                <w:rFonts w:eastAsia="Times New Roman"/>
                <w:b/>
                <w:bCs/>
                <w:noProof/>
                <w:color w:val="000000" w:themeColor="text1"/>
                <w:sz w:val="14"/>
                <w:szCs w:val="14"/>
                <w:lang w:val="fr-FR"/>
              </w:rPr>
              <w:t>épithéliumcornéen humain reconstitué (echr) : méthodes 1, 2, 3 et 4 visées à l</w:t>
            </w:r>
            <w:r>
              <w:rPr>
                <w:rFonts w:eastAsia="Times New Roman"/>
                <w:b/>
                <w:bCs/>
                <w:noProof/>
                <w:color w:val="000000" w:themeColor="text1"/>
                <w:sz w:val="14"/>
                <w:szCs w:val="14"/>
                <w:lang w:val="fr-FR"/>
              </w:rPr>
              <w:t>’</w:t>
            </w:r>
            <w:r w:rsidRPr="004C2A3C">
              <w:rPr>
                <w:rFonts w:eastAsia="Times New Roman"/>
                <w:b/>
                <w:bCs/>
                <w:noProof/>
                <w:color w:val="000000" w:themeColor="text1"/>
                <w:sz w:val="14"/>
                <w:szCs w:val="14"/>
                <w:lang w:val="fr-FR"/>
              </w:rPr>
              <w:t>annexe II de la ligne directrice de l</w:t>
            </w:r>
            <w:r>
              <w:rPr>
                <w:rFonts w:eastAsia="Times New Roman"/>
                <w:b/>
                <w:bCs/>
                <w:noProof/>
                <w:color w:val="000000" w:themeColor="text1"/>
                <w:sz w:val="14"/>
                <w:szCs w:val="14"/>
                <w:lang w:val="fr-FR"/>
              </w:rPr>
              <w:t>’</w:t>
            </w:r>
            <w:r w:rsidRPr="004C2A3C">
              <w:rPr>
                <w:rFonts w:eastAsia="Times New Roman"/>
                <w:b/>
                <w:bCs/>
                <w:noProof/>
                <w:color w:val="000000" w:themeColor="text1"/>
                <w:sz w:val="14"/>
                <w:szCs w:val="14"/>
                <w:lang w:val="fr-FR"/>
              </w:rPr>
              <w:t>OCDE pour l</w:t>
            </w:r>
            <w:r>
              <w:rPr>
                <w:rFonts w:eastAsia="Times New Roman"/>
                <w:b/>
                <w:bCs/>
                <w:noProof/>
                <w:color w:val="000000" w:themeColor="text1"/>
                <w:sz w:val="14"/>
                <w:szCs w:val="14"/>
                <w:lang w:val="fr-FR"/>
              </w:rPr>
              <w:t>’</w:t>
            </w:r>
            <w:r w:rsidRPr="004C2A3C">
              <w:rPr>
                <w:rFonts w:eastAsia="Times New Roman"/>
                <w:b/>
                <w:bCs/>
                <w:noProof/>
                <w:color w:val="000000" w:themeColor="text1"/>
                <w:sz w:val="14"/>
                <w:szCs w:val="14"/>
                <w:lang w:val="fr-FR"/>
              </w:rPr>
              <w:t>essai 492</w:t>
            </w:r>
          </w:p>
        </w:tc>
        <w:tc>
          <w:tcPr>
            <w:tcW w:w="520" w:type="pct"/>
            <w:tcBorders>
              <w:top w:val="single" w:sz="4" w:space="0" w:color="auto"/>
              <w:left w:val="single" w:sz="4" w:space="0" w:color="auto"/>
              <w:bottom w:val="single" w:sz="4" w:space="0" w:color="auto"/>
              <w:right w:val="single" w:sz="4" w:space="0" w:color="auto"/>
            </w:tcBorders>
            <w:hideMark/>
          </w:tcPr>
          <w:p w14:paraId="3163F779" w14:textId="77777777" w:rsidR="003F1C55" w:rsidRPr="004C2A3C" w:rsidRDefault="003F1C55" w:rsidP="00057475">
            <w:pPr>
              <w:spacing w:before="40" w:after="40" w:line="240" w:lineRule="auto"/>
              <w:ind w:left="57" w:right="57"/>
              <w:jc w:val="center"/>
              <w:rPr>
                <w:rFonts w:eastAsia="Times New Roman"/>
                <w:b/>
                <w:bCs/>
                <w:noProof/>
                <w:color w:val="000000" w:themeColor="text1"/>
                <w:sz w:val="14"/>
                <w:szCs w:val="14"/>
                <w:lang w:val="fr-FR"/>
              </w:rPr>
            </w:pPr>
            <w:r w:rsidRPr="004C2A3C">
              <w:rPr>
                <w:rFonts w:eastAsia="Times New Roman"/>
                <w:b/>
                <w:bCs/>
                <w:noProof/>
                <w:color w:val="000000" w:themeColor="text1"/>
                <w:sz w:val="14"/>
                <w:szCs w:val="14"/>
                <w:lang w:val="fr-FR"/>
              </w:rPr>
              <w:t>Ligne directrice 494 de l</w:t>
            </w:r>
            <w:r>
              <w:rPr>
                <w:rFonts w:eastAsia="Times New Roman"/>
                <w:b/>
                <w:bCs/>
                <w:noProof/>
                <w:color w:val="000000" w:themeColor="text1"/>
                <w:sz w:val="14"/>
                <w:szCs w:val="14"/>
                <w:lang w:val="fr-FR"/>
              </w:rPr>
              <w:t>’</w:t>
            </w:r>
            <w:r w:rsidRPr="004C2A3C">
              <w:rPr>
                <w:rFonts w:eastAsia="Times New Roman"/>
                <w:b/>
                <w:bCs/>
                <w:noProof/>
                <w:color w:val="000000" w:themeColor="text1"/>
                <w:sz w:val="14"/>
                <w:szCs w:val="14"/>
                <w:lang w:val="fr-FR"/>
              </w:rPr>
              <w:t>OCDE − Méthode d</w:t>
            </w:r>
            <w:r>
              <w:rPr>
                <w:rFonts w:eastAsia="Times New Roman"/>
                <w:b/>
                <w:bCs/>
                <w:noProof/>
                <w:color w:val="000000" w:themeColor="text1"/>
                <w:sz w:val="14"/>
                <w:szCs w:val="14"/>
                <w:lang w:val="fr-FR"/>
              </w:rPr>
              <w:t>’</w:t>
            </w:r>
            <w:r w:rsidRPr="004C2A3C">
              <w:rPr>
                <w:rFonts w:eastAsia="Times New Roman"/>
                <w:b/>
                <w:bCs/>
                <w:noProof/>
                <w:color w:val="000000" w:themeColor="text1"/>
                <w:sz w:val="14"/>
                <w:szCs w:val="14"/>
                <w:lang w:val="fr-FR"/>
              </w:rPr>
              <w:t>essai Vitrigel</w:t>
            </w:r>
          </w:p>
        </w:tc>
        <w:tc>
          <w:tcPr>
            <w:tcW w:w="520" w:type="pct"/>
            <w:tcBorders>
              <w:top w:val="single" w:sz="4" w:space="0" w:color="auto"/>
              <w:left w:val="single" w:sz="4" w:space="0" w:color="auto"/>
              <w:bottom w:val="single" w:sz="4" w:space="0" w:color="auto"/>
              <w:right w:val="single" w:sz="4" w:space="0" w:color="auto"/>
            </w:tcBorders>
            <w:hideMark/>
          </w:tcPr>
          <w:p w14:paraId="6319B179" w14:textId="77777777" w:rsidR="003F1C55" w:rsidRPr="004C2A3C" w:rsidRDefault="003F1C55" w:rsidP="00057475">
            <w:pPr>
              <w:spacing w:before="40" w:after="40" w:line="240" w:lineRule="auto"/>
              <w:ind w:left="57" w:right="57"/>
              <w:jc w:val="center"/>
              <w:rPr>
                <w:rFonts w:eastAsia="Times New Roman"/>
                <w:b/>
                <w:bCs/>
                <w:noProof/>
                <w:color w:val="000000" w:themeColor="text1"/>
                <w:sz w:val="14"/>
                <w:szCs w:val="14"/>
                <w:lang w:val="fr-FR"/>
              </w:rPr>
            </w:pPr>
            <w:bookmarkStart w:id="14" w:name="_Hlk69886218"/>
            <w:r w:rsidRPr="004C2A3C">
              <w:rPr>
                <w:rFonts w:eastAsia="Times New Roman"/>
                <w:b/>
                <w:bCs/>
                <w:noProof/>
                <w:color w:val="000000" w:themeColor="text1"/>
                <w:sz w:val="14"/>
                <w:szCs w:val="14"/>
                <w:lang w:val="fr-FR"/>
              </w:rPr>
              <w:t>Ligne directrice 496 de l</w:t>
            </w:r>
            <w:r>
              <w:rPr>
                <w:rFonts w:eastAsia="Times New Roman"/>
                <w:b/>
                <w:bCs/>
                <w:noProof/>
                <w:color w:val="000000" w:themeColor="text1"/>
                <w:sz w:val="14"/>
                <w:szCs w:val="14"/>
                <w:lang w:val="fr-FR"/>
              </w:rPr>
              <w:t>’</w:t>
            </w:r>
            <w:r w:rsidRPr="004C2A3C">
              <w:rPr>
                <w:rFonts w:eastAsia="Times New Roman"/>
                <w:b/>
                <w:bCs/>
                <w:noProof/>
                <w:color w:val="000000" w:themeColor="text1"/>
                <w:sz w:val="14"/>
                <w:szCs w:val="14"/>
                <w:lang w:val="fr-FR"/>
              </w:rPr>
              <w:t xml:space="preserve">OCDE − </w:t>
            </w:r>
            <w:r w:rsidRPr="004C2A3C">
              <w:rPr>
                <w:rFonts w:eastAsia="Times New Roman"/>
                <w:b/>
                <w:bCs/>
                <w:iCs/>
                <w:noProof/>
                <w:color w:val="000000" w:themeColor="text1"/>
                <w:sz w:val="14"/>
                <w:szCs w:val="14"/>
                <w:lang w:val="fr-FR"/>
              </w:rPr>
              <w:t>Méthode d</w:t>
            </w:r>
            <w:r>
              <w:rPr>
                <w:rFonts w:eastAsia="Times New Roman"/>
                <w:b/>
                <w:bCs/>
                <w:iCs/>
                <w:noProof/>
                <w:color w:val="000000" w:themeColor="text1"/>
                <w:sz w:val="14"/>
                <w:szCs w:val="14"/>
                <w:lang w:val="fr-FR"/>
              </w:rPr>
              <w:t>’</w:t>
            </w:r>
            <w:r w:rsidRPr="004C2A3C">
              <w:rPr>
                <w:rFonts w:eastAsia="Times New Roman"/>
                <w:b/>
                <w:bCs/>
                <w:iCs/>
                <w:noProof/>
                <w:color w:val="000000" w:themeColor="text1"/>
                <w:sz w:val="14"/>
                <w:szCs w:val="14"/>
                <w:lang w:val="fr-FR"/>
              </w:rPr>
              <w:t>essai macromoléculaire</w:t>
            </w:r>
            <w:r w:rsidRPr="004C2A3C">
              <w:rPr>
                <w:rFonts w:eastAsia="Times New Roman"/>
                <w:b/>
                <w:bCs/>
                <w:noProof/>
                <w:color w:val="000000" w:themeColor="text1"/>
                <w:sz w:val="14"/>
                <w:szCs w:val="14"/>
                <w:lang w:val="fr-FR"/>
              </w:rPr>
              <w:t xml:space="preserve"> </w:t>
            </w:r>
            <w:r w:rsidRPr="004C2A3C">
              <w:rPr>
                <w:rFonts w:eastAsia="Times New Roman"/>
                <w:b/>
                <w:bCs/>
                <w:i/>
                <w:iCs/>
                <w:noProof/>
                <w:color w:val="000000" w:themeColor="text1"/>
                <w:sz w:val="14"/>
                <w:szCs w:val="14"/>
                <w:lang w:val="fr-FR"/>
              </w:rPr>
              <w:t>in vitro</w:t>
            </w:r>
            <w:r w:rsidRPr="004C2A3C">
              <w:rPr>
                <w:rFonts w:eastAsia="Times New Roman"/>
                <w:b/>
                <w:bCs/>
                <w:noProof/>
                <w:color w:val="000000" w:themeColor="text1"/>
                <w:sz w:val="14"/>
                <w:szCs w:val="14"/>
                <w:lang w:val="fr-FR"/>
              </w:rPr>
              <w:t xml:space="preserve"> (méthode d</w:t>
            </w:r>
            <w:r>
              <w:rPr>
                <w:rFonts w:eastAsia="Times New Roman"/>
                <w:b/>
                <w:bCs/>
                <w:noProof/>
                <w:color w:val="000000" w:themeColor="text1"/>
                <w:sz w:val="14"/>
                <w:szCs w:val="14"/>
                <w:lang w:val="fr-FR"/>
              </w:rPr>
              <w:t>’</w:t>
            </w:r>
            <w:r w:rsidRPr="004C2A3C">
              <w:rPr>
                <w:rFonts w:eastAsia="Times New Roman"/>
                <w:b/>
                <w:bCs/>
                <w:noProof/>
                <w:color w:val="000000" w:themeColor="text1"/>
                <w:sz w:val="14"/>
                <w:szCs w:val="14"/>
                <w:lang w:val="fr-FR"/>
              </w:rPr>
              <w:t>essai 1)</w:t>
            </w:r>
            <w:bookmarkEnd w:id="14"/>
          </w:p>
        </w:tc>
      </w:tr>
      <w:tr w:rsidR="003F1C55" w:rsidRPr="004562B4" w14:paraId="41F3F4E5" w14:textId="77777777" w:rsidTr="00057475">
        <w:tc>
          <w:tcPr>
            <w:tcW w:w="29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9A650CE" w14:textId="77777777" w:rsidR="003F1C55" w:rsidRPr="004C2A3C" w:rsidRDefault="003F1C55" w:rsidP="00057475">
            <w:pPr>
              <w:spacing w:before="60" w:after="60" w:line="200" w:lineRule="atLeast"/>
              <w:ind w:left="57" w:right="57"/>
              <w:contextualSpacing/>
              <w:jc w:val="center"/>
              <w:rPr>
                <w:rFonts w:eastAsia="Calibri"/>
                <w:b/>
                <w:bCs/>
                <w:noProof/>
                <w:color w:val="000000" w:themeColor="text1"/>
                <w:sz w:val="14"/>
                <w:szCs w:val="14"/>
                <w:lang w:val="fr-FR"/>
              </w:rPr>
            </w:pPr>
          </w:p>
        </w:tc>
        <w:tc>
          <w:tcPr>
            <w:tcW w:w="710"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C76EF57" w14:textId="77777777" w:rsidR="003F1C55" w:rsidRPr="004C2A3C" w:rsidRDefault="003F1C55" w:rsidP="00057475">
            <w:pPr>
              <w:spacing w:before="60" w:after="60" w:line="200" w:lineRule="atLeast"/>
              <w:ind w:left="57" w:right="57"/>
              <w:rPr>
                <w:rFonts w:eastAsia="Calibri"/>
                <w:bCs/>
                <w:noProof/>
                <w:color w:val="000000" w:themeColor="text1"/>
                <w:sz w:val="14"/>
                <w:szCs w:val="14"/>
                <w:lang w:val="fr-FR"/>
              </w:rPr>
            </w:pPr>
            <w:bookmarkStart w:id="15" w:name="OLE_LINK8"/>
            <w:r w:rsidRPr="004C2A3C">
              <w:rPr>
                <w:rFonts w:eastAsia="Calibri"/>
                <w:bCs/>
                <w:noProof/>
                <w:color w:val="000000" w:themeColor="text1"/>
                <w:sz w:val="14"/>
                <w:szCs w:val="14"/>
                <w:lang w:val="fr-FR"/>
              </w:rPr>
              <w:t xml:space="preserve">Essai organotypique </w:t>
            </w:r>
            <w:r w:rsidRPr="004C2A3C">
              <w:rPr>
                <w:rFonts w:eastAsia="Calibri"/>
                <w:bCs/>
                <w:i/>
                <w:noProof/>
                <w:color w:val="000000" w:themeColor="text1"/>
                <w:sz w:val="14"/>
                <w:szCs w:val="14"/>
                <w:lang w:val="fr-FR"/>
              </w:rPr>
              <w:t>ex vivo</w:t>
            </w:r>
            <w:r w:rsidRPr="004C2A3C">
              <w:rPr>
                <w:rFonts w:eastAsia="Calibri"/>
                <w:bCs/>
                <w:noProof/>
                <w:color w:val="000000" w:themeColor="text1"/>
                <w:sz w:val="14"/>
                <w:szCs w:val="14"/>
                <w:lang w:val="fr-FR"/>
              </w:rPr>
              <w:t xml:space="preserve"> portant sur des cornées isolées provenant d</w:t>
            </w:r>
            <w:r>
              <w:rPr>
                <w:rFonts w:eastAsia="Calibri"/>
                <w:bCs/>
                <w:noProof/>
                <w:color w:val="000000" w:themeColor="text1"/>
                <w:sz w:val="14"/>
                <w:szCs w:val="14"/>
                <w:lang w:val="fr-FR"/>
              </w:rPr>
              <w:t>’</w:t>
            </w:r>
            <w:r w:rsidRPr="004C2A3C">
              <w:rPr>
                <w:rFonts w:eastAsia="Calibri"/>
                <w:bCs/>
                <w:noProof/>
                <w:color w:val="000000" w:themeColor="text1"/>
                <w:sz w:val="14"/>
                <w:szCs w:val="14"/>
                <w:lang w:val="fr-FR"/>
              </w:rPr>
              <w:t xml:space="preserve">yeux de bovins récemment abattus. </w:t>
            </w:r>
            <w:bookmarkEnd w:id="15"/>
            <w:r w:rsidRPr="004C2A3C">
              <w:rPr>
                <w:rFonts w:eastAsia="Calibri"/>
                <w:bCs/>
                <w:noProof/>
                <w:color w:val="000000" w:themeColor="text1"/>
                <w:sz w:val="14"/>
                <w:szCs w:val="14"/>
                <w:lang w:val="fr-FR"/>
              </w:rPr>
              <w:t xml:space="preserve">Les produits </w:t>
            </w:r>
            <w:r w:rsidRPr="004C2A3C">
              <w:rPr>
                <w:rFonts w:eastAsia="Times New Roman"/>
                <w:sz w:val="14"/>
                <w:szCs w:val="14"/>
              </w:rPr>
              <w:t>chimiques</w:t>
            </w:r>
            <w:r w:rsidRPr="004C2A3C">
              <w:rPr>
                <w:rFonts w:eastAsia="Calibri"/>
                <w:bCs/>
                <w:noProof/>
                <w:color w:val="000000" w:themeColor="text1"/>
                <w:sz w:val="14"/>
                <w:szCs w:val="14"/>
                <w:lang w:val="fr-FR"/>
              </w:rPr>
              <w:t xml:space="preserve"> testés sont appliqués sur la surface épithéliale de la cornée. Les dommages causés par le produit chimique testé sont évalués par des mesures quantitatives :</w:t>
            </w:r>
          </w:p>
          <w:p w14:paraId="69C8A3C9" w14:textId="77777777" w:rsidR="003F1C55" w:rsidRPr="004C2A3C" w:rsidRDefault="003F1C55" w:rsidP="00057475">
            <w:pPr>
              <w:tabs>
                <w:tab w:val="left" w:pos="284"/>
              </w:tabs>
              <w:spacing w:before="60" w:after="60" w:line="200" w:lineRule="atLeast"/>
              <w:ind w:left="57" w:right="57"/>
              <w:rPr>
                <w:rFonts w:eastAsia="Calibri"/>
                <w:bCs/>
                <w:noProof/>
                <w:color w:val="000000" w:themeColor="text1"/>
                <w:sz w:val="14"/>
                <w:szCs w:val="14"/>
                <w:lang w:val="fr-FR"/>
              </w:rPr>
            </w:pPr>
            <w:r w:rsidRPr="004C2A3C">
              <w:rPr>
                <w:rFonts w:eastAsia="Calibri"/>
                <w:bCs/>
                <w:noProof/>
                <w:color w:val="000000" w:themeColor="text1"/>
                <w:sz w:val="14"/>
                <w:szCs w:val="14"/>
                <w:lang w:val="fr-FR"/>
              </w:rPr>
              <w:t>-</w:t>
            </w:r>
            <w:r w:rsidRPr="004C2A3C">
              <w:rPr>
                <w:rFonts w:eastAsia="Calibri"/>
                <w:bCs/>
                <w:noProof/>
                <w:color w:val="000000" w:themeColor="text1"/>
                <w:sz w:val="14"/>
                <w:szCs w:val="14"/>
                <w:lang w:val="fr-FR"/>
              </w:rPr>
              <w:tab/>
              <w:t xml:space="preserve">Des </w:t>
            </w:r>
            <w:r w:rsidRPr="004C2A3C">
              <w:rPr>
                <w:rFonts w:eastAsia="Times New Roman"/>
                <w:sz w:val="14"/>
                <w:szCs w:val="14"/>
              </w:rPr>
              <w:t>modifications</w:t>
            </w:r>
            <w:r w:rsidRPr="004C2A3C">
              <w:rPr>
                <w:rFonts w:eastAsia="Calibri"/>
                <w:bCs/>
                <w:noProof/>
                <w:color w:val="000000" w:themeColor="text1"/>
                <w:sz w:val="14"/>
                <w:szCs w:val="14"/>
                <w:lang w:val="fr-FR"/>
              </w:rPr>
              <w:t xml:space="preserve"> de l</w:t>
            </w:r>
            <w:r>
              <w:rPr>
                <w:rFonts w:eastAsia="Calibri"/>
                <w:bCs/>
                <w:noProof/>
                <w:color w:val="000000" w:themeColor="text1"/>
                <w:sz w:val="14"/>
                <w:szCs w:val="14"/>
                <w:lang w:val="fr-FR"/>
              </w:rPr>
              <w:t>’</w:t>
            </w:r>
            <w:r w:rsidRPr="004C2A3C">
              <w:rPr>
                <w:rFonts w:eastAsia="Calibri"/>
                <w:bCs/>
                <w:noProof/>
                <w:color w:val="000000" w:themeColor="text1"/>
                <w:sz w:val="14"/>
                <w:szCs w:val="14"/>
                <w:lang w:val="fr-FR"/>
              </w:rPr>
              <w:t>opacité de la cornée, à l</w:t>
            </w:r>
            <w:r>
              <w:rPr>
                <w:rFonts w:eastAsia="Calibri"/>
                <w:bCs/>
                <w:noProof/>
                <w:color w:val="000000" w:themeColor="text1"/>
                <w:sz w:val="14"/>
                <w:szCs w:val="14"/>
                <w:lang w:val="fr-FR"/>
              </w:rPr>
              <w:t>’</w:t>
            </w:r>
            <w:r w:rsidRPr="004C2A3C">
              <w:rPr>
                <w:rFonts w:eastAsia="Calibri"/>
                <w:bCs/>
                <w:noProof/>
                <w:color w:val="000000" w:themeColor="text1"/>
                <w:sz w:val="14"/>
                <w:szCs w:val="14"/>
                <w:lang w:val="fr-FR"/>
              </w:rPr>
              <w:t>aide d</w:t>
            </w:r>
            <w:r>
              <w:rPr>
                <w:rFonts w:eastAsia="Calibri"/>
                <w:bCs/>
                <w:noProof/>
                <w:color w:val="000000" w:themeColor="text1"/>
                <w:sz w:val="14"/>
                <w:szCs w:val="14"/>
                <w:lang w:val="fr-FR"/>
              </w:rPr>
              <w:t>’</w:t>
            </w:r>
            <w:r w:rsidRPr="004C2A3C">
              <w:rPr>
                <w:rFonts w:eastAsia="Calibri"/>
                <w:bCs/>
                <w:noProof/>
                <w:color w:val="000000" w:themeColor="text1"/>
                <w:sz w:val="14"/>
                <w:szCs w:val="14"/>
                <w:lang w:val="fr-FR"/>
              </w:rPr>
              <w:t>un opacimètre classique (opacimètre 1) ou à laser (opacimètre 2) ;</w:t>
            </w:r>
          </w:p>
          <w:p w14:paraId="5140454A" w14:textId="77777777" w:rsidR="003F1C55" w:rsidRPr="004C2A3C" w:rsidRDefault="003F1C55" w:rsidP="00057475">
            <w:pPr>
              <w:tabs>
                <w:tab w:val="left" w:pos="284"/>
              </w:tabs>
              <w:spacing w:before="60" w:after="60" w:line="200" w:lineRule="atLeast"/>
              <w:ind w:left="57" w:right="57"/>
              <w:rPr>
                <w:rFonts w:eastAsia="Calibri"/>
                <w:bCs/>
                <w:noProof/>
                <w:color w:val="000000" w:themeColor="text1"/>
                <w:sz w:val="14"/>
                <w:szCs w:val="14"/>
                <w:lang w:val="fr-FR"/>
              </w:rPr>
            </w:pPr>
            <w:r w:rsidRPr="004C2A3C">
              <w:rPr>
                <w:rFonts w:eastAsia="Calibri"/>
                <w:bCs/>
                <w:noProof/>
                <w:color w:val="000000" w:themeColor="text1"/>
                <w:sz w:val="14"/>
                <w:szCs w:val="14"/>
                <w:lang w:val="fr-FR"/>
              </w:rPr>
              <w:t>-</w:t>
            </w:r>
            <w:r w:rsidRPr="004C2A3C">
              <w:rPr>
                <w:rFonts w:eastAsia="Calibri"/>
                <w:bCs/>
                <w:noProof/>
                <w:color w:val="000000" w:themeColor="text1"/>
                <w:sz w:val="14"/>
                <w:szCs w:val="14"/>
                <w:lang w:val="fr-FR"/>
              </w:rPr>
              <w:tab/>
              <w:t xml:space="preserve">Des </w:t>
            </w:r>
            <w:r w:rsidRPr="004C2A3C">
              <w:rPr>
                <w:rFonts w:eastAsia="Times New Roman"/>
                <w:sz w:val="14"/>
                <w:szCs w:val="14"/>
              </w:rPr>
              <w:t>modifications</w:t>
            </w:r>
            <w:r w:rsidRPr="004C2A3C">
              <w:rPr>
                <w:rFonts w:eastAsia="Calibri"/>
                <w:bCs/>
                <w:noProof/>
                <w:color w:val="000000" w:themeColor="text1"/>
                <w:sz w:val="14"/>
                <w:szCs w:val="14"/>
                <w:lang w:val="fr-FR"/>
              </w:rPr>
              <w:t xml:space="preserve"> de la perméabilité de la cornée (au moyen de fluorescéine sodique).</w:t>
            </w:r>
          </w:p>
          <w:p w14:paraId="29AEF79C" w14:textId="77777777" w:rsidR="003F1C55" w:rsidRPr="004C2A3C" w:rsidRDefault="003F1C55" w:rsidP="00057475">
            <w:pPr>
              <w:spacing w:before="60" w:after="60" w:line="200" w:lineRule="atLeast"/>
              <w:ind w:left="57" w:right="57"/>
              <w:rPr>
                <w:rFonts w:eastAsia="Calibri"/>
                <w:b/>
                <w:bCs/>
                <w:noProof/>
                <w:color w:val="000000" w:themeColor="text1"/>
                <w:sz w:val="14"/>
                <w:szCs w:val="14"/>
                <w:lang w:val="fr-FR"/>
              </w:rPr>
            </w:pPr>
            <w:r w:rsidRPr="004C2A3C">
              <w:rPr>
                <w:rFonts w:eastAsia="Calibri"/>
                <w:bCs/>
                <w:noProof/>
                <w:color w:val="000000" w:themeColor="text1"/>
                <w:sz w:val="14"/>
                <w:szCs w:val="14"/>
                <w:lang w:val="fr-FR"/>
              </w:rPr>
              <w:t xml:space="preserve">Les deux mesures servent à déterminer </w:t>
            </w:r>
            <w:bookmarkStart w:id="16" w:name="OLE_LINK9"/>
            <w:r w:rsidRPr="004C2A3C">
              <w:rPr>
                <w:rFonts w:eastAsia="Calibri"/>
                <w:bCs/>
                <w:noProof/>
                <w:color w:val="000000" w:themeColor="text1"/>
                <w:sz w:val="14"/>
                <w:szCs w:val="14"/>
                <w:lang w:val="fr-FR"/>
              </w:rPr>
              <w:t>le score d</w:t>
            </w:r>
            <w:r>
              <w:rPr>
                <w:rFonts w:eastAsia="Calibri"/>
                <w:bCs/>
                <w:noProof/>
                <w:color w:val="000000" w:themeColor="text1"/>
                <w:sz w:val="14"/>
                <w:szCs w:val="14"/>
                <w:lang w:val="fr-FR"/>
              </w:rPr>
              <w:t>’</w:t>
            </w:r>
            <w:r w:rsidRPr="004C2A3C">
              <w:rPr>
                <w:rFonts w:eastAsia="Calibri"/>
                <w:bCs/>
                <w:noProof/>
                <w:color w:val="000000" w:themeColor="text1"/>
                <w:sz w:val="14"/>
                <w:szCs w:val="14"/>
                <w:lang w:val="fr-FR"/>
              </w:rPr>
              <w:t xml:space="preserve">irritation </w:t>
            </w:r>
            <w:r w:rsidRPr="004C2A3C">
              <w:rPr>
                <w:rFonts w:eastAsia="Calibri"/>
                <w:bCs/>
                <w:i/>
                <w:noProof/>
                <w:color w:val="000000" w:themeColor="text1"/>
                <w:sz w:val="14"/>
                <w:szCs w:val="14"/>
                <w:lang w:val="fr-FR"/>
              </w:rPr>
              <w:t>in vitro</w:t>
            </w:r>
            <w:r w:rsidRPr="004C2A3C">
              <w:rPr>
                <w:rFonts w:eastAsia="Calibri"/>
                <w:bCs/>
                <w:noProof/>
                <w:color w:val="000000" w:themeColor="text1"/>
                <w:sz w:val="14"/>
                <w:szCs w:val="14"/>
                <w:lang w:val="fr-FR"/>
              </w:rPr>
              <w:t xml:space="preserve"> </w:t>
            </w:r>
            <w:bookmarkEnd w:id="16"/>
            <w:r w:rsidRPr="004C2A3C">
              <w:rPr>
                <w:rFonts w:eastAsia="Calibri"/>
                <w:bCs/>
                <w:noProof/>
                <w:color w:val="000000" w:themeColor="text1"/>
                <w:sz w:val="14"/>
                <w:szCs w:val="14"/>
                <w:lang w:val="fr-FR"/>
              </w:rPr>
              <w:t>(IVIS) lorsqu</w:t>
            </w:r>
            <w:r>
              <w:rPr>
                <w:rFonts w:eastAsia="Calibri"/>
                <w:bCs/>
                <w:noProof/>
                <w:color w:val="000000" w:themeColor="text1"/>
                <w:sz w:val="14"/>
                <w:szCs w:val="14"/>
                <w:lang w:val="fr-FR"/>
              </w:rPr>
              <w:t>’</w:t>
            </w:r>
            <w:r w:rsidRPr="004C2A3C">
              <w:rPr>
                <w:rFonts w:eastAsia="Calibri"/>
                <w:bCs/>
                <w:noProof/>
                <w:color w:val="000000" w:themeColor="text1"/>
                <w:sz w:val="14"/>
                <w:szCs w:val="14"/>
                <w:lang w:val="fr-FR"/>
              </w:rPr>
              <w:t>on utilise l</w:t>
            </w:r>
            <w:r>
              <w:rPr>
                <w:rFonts w:eastAsia="Calibri"/>
                <w:bCs/>
                <w:noProof/>
                <w:color w:val="000000" w:themeColor="text1"/>
                <w:sz w:val="14"/>
                <w:szCs w:val="14"/>
                <w:lang w:val="fr-FR"/>
              </w:rPr>
              <w:t>’</w:t>
            </w:r>
            <w:r w:rsidRPr="004C2A3C">
              <w:rPr>
                <w:rFonts w:eastAsia="Calibri"/>
                <w:bCs/>
                <w:noProof/>
                <w:color w:val="000000" w:themeColor="text1"/>
                <w:sz w:val="14"/>
                <w:szCs w:val="14"/>
                <w:lang w:val="fr-FR"/>
              </w:rPr>
              <w:t>opacimètre 1, ou le score d</w:t>
            </w:r>
            <w:r>
              <w:rPr>
                <w:rFonts w:eastAsia="Calibri"/>
                <w:bCs/>
                <w:noProof/>
                <w:color w:val="000000" w:themeColor="text1"/>
                <w:sz w:val="14"/>
                <w:szCs w:val="14"/>
                <w:lang w:val="fr-FR"/>
              </w:rPr>
              <w:t>’</w:t>
            </w:r>
            <w:r w:rsidRPr="004C2A3C">
              <w:rPr>
                <w:rFonts w:eastAsia="Calibri"/>
                <w:bCs/>
                <w:noProof/>
                <w:color w:val="000000" w:themeColor="text1"/>
                <w:sz w:val="14"/>
                <w:szCs w:val="14"/>
                <w:lang w:val="fr-FR"/>
              </w:rPr>
              <w:t>irritation LLBO (LIS) lorsqu</w:t>
            </w:r>
            <w:r>
              <w:rPr>
                <w:rFonts w:eastAsia="Calibri"/>
                <w:bCs/>
                <w:noProof/>
                <w:color w:val="000000" w:themeColor="text1"/>
                <w:sz w:val="14"/>
                <w:szCs w:val="14"/>
                <w:lang w:val="fr-FR"/>
              </w:rPr>
              <w:t>’</w:t>
            </w:r>
            <w:r w:rsidRPr="004C2A3C">
              <w:rPr>
                <w:rFonts w:eastAsia="Calibri"/>
                <w:bCs/>
                <w:noProof/>
                <w:color w:val="000000" w:themeColor="text1"/>
                <w:sz w:val="14"/>
                <w:szCs w:val="14"/>
                <w:lang w:val="fr-FR"/>
              </w:rPr>
              <w:t>on utilise l</w:t>
            </w:r>
            <w:r>
              <w:rPr>
                <w:rFonts w:eastAsia="Calibri"/>
                <w:bCs/>
                <w:noProof/>
                <w:color w:val="000000" w:themeColor="text1"/>
                <w:sz w:val="14"/>
                <w:szCs w:val="14"/>
                <w:lang w:val="fr-FR"/>
              </w:rPr>
              <w:t>’</w:t>
            </w:r>
            <w:r w:rsidRPr="004C2A3C">
              <w:rPr>
                <w:rFonts w:eastAsia="Calibri"/>
                <w:bCs/>
                <w:noProof/>
                <w:color w:val="000000" w:themeColor="text1"/>
                <w:sz w:val="14"/>
                <w:szCs w:val="14"/>
                <w:lang w:val="fr-FR"/>
              </w:rPr>
              <w:t>opacimètre 2.</w:t>
            </w:r>
          </w:p>
          <w:p w14:paraId="385DD957" w14:textId="77777777" w:rsidR="003F1C55" w:rsidRPr="004C2A3C" w:rsidRDefault="003F1C55" w:rsidP="00057475">
            <w:pPr>
              <w:spacing w:before="60" w:after="60" w:line="200" w:lineRule="atLeast"/>
              <w:ind w:left="57" w:right="57"/>
              <w:rPr>
                <w:rFonts w:eastAsia="Calibri"/>
                <w:b/>
                <w:bCs/>
                <w:noProof/>
                <w:color w:val="000000" w:themeColor="text1"/>
                <w:sz w:val="14"/>
                <w:szCs w:val="14"/>
                <w:lang w:val="fr-FR"/>
              </w:rPr>
            </w:pPr>
            <w:r w:rsidRPr="004C2A3C">
              <w:rPr>
                <w:rFonts w:eastAsia="Calibri"/>
                <w:b/>
                <w:bCs/>
                <w:noProof/>
                <w:color w:val="000000" w:themeColor="text1"/>
                <w:sz w:val="14"/>
                <w:szCs w:val="14"/>
                <w:lang w:val="fr-FR"/>
              </w:rPr>
              <w:t xml:space="preserve">Critères </w:t>
            </w:r>
            <w:r w:rsidRPr="004C2A3C">
              <w:rPr>
                <w:rFonts w:eastAsia="Times New Roman"/>
                <w:b/>
                <w:bCs/>
                <w:sz w:val="14"/>
                <w:szCs w:val="14"/>
              </w:rPr>
              <w:t>fondés</w:t>
            </w:r>
            <w:r w:rsidRPr="004C2A3C">
              <w:rPr>
                <w:rFonts w:eastAsia="Calibri"/>
                <w:b/>
                <w:bCs/>
                <w:noProof/>
                <w:color w:val="000000" w:themeColor="text1"/>
                <w:sz w:val="14"/>
                <w:szCs w:val="14"/>
                <w:lang w:val="fr-FR"/>
              </w:rPr>
              <w:t xml:space="preserve"> sur le score IVIS ou LIS.</w:t>
            </w:r>
          </w:p>
        </w:tc>
        <w:tc>
          <w:tcPr>
            <w:tcW w:w="605" w:type="pct"/>
            <w:tcBorders>
              <w:top w:val="single" w:sz="4" w:space="0" w:color="auto"/>
              <w:left w:val="single" w:sz="4" w:space="0" w:color="auto"/>
              <w:bottom w:val="single" w:sz="4" w:space="0" w:color="auto"/>
              <w:right w:val="single" w:sz="4" w:space="0" w:color="auto"/>
            </w:tcBorders>
            <w:hideMark/>
          </w:tcPr>
          <w:p w14:paraId="0367A4E4" w14:textId="77777777" w:rsidR="003F1C55" w:rsidRPr="003F1C55" w:rsidRDefault="003F1C55" w:rsidP="00057475">
            <w:pPr>
              <w:spacing w:before="60" w:after="60" w:line="200" w:lineRule="atLeast"/>
              <w:ind w:left="57" w:right="57"/>
              <w:rPr>
                <w:rFonts w:eastAsia="Calibri"/>
                <w:bCs/>
                <w:noProof/>
                <w:color w:val="000000" w:themeColor="text1"/>
                <w:spacing w:val="-1"/>
                <w:sz w:val="14"/>
                <w:szCs w:val="14"/>
                <w:lang w:val="fr-FR"/>
              </w:rPr>
            </w:pPr>
            <w:r w:rsidRPr="003F1C55">
              <w:rPr>
                <w:rFonts w:eastAsia="Calibri"/>
                <w:bCs/>
                <w:noProof/>
                <w:color w:val="000000" w:themeColor="text1"/>
                <w:spacing w:val="-1"/>
                <w:sz w:val="14"/>
                <w:szCs w:val="14"/>
                <w:lang w:val="fr-FR"/>
              </w:rPr>
              <w:t xml:space="preserve">Essai organotypique </w:t>
            </w:r>
            <w:r w:rsidRPr="003F1C55">
              <w:rPr>
                <w:rFonts w:eastAsia="Calibri"/>
                <w:bCs/>
                <w:i/>
                <w:noProof/>
                <w:color w:val="000000" w:themeColor="text1"/>
                <w:spacing w:val="-1"/>
                <w:sz w:val="14"/>
                <w:szCs w:val="14"/>
                <w:lang w:val="fr-FR"/>
              </w:rPr>
              <w:t>ex vivo</w:t>
            </w:r>
            <w:r w:rsidRPr="003F1C55">
              <w:rPr>
                <w:rFonts w:eastAsia="Calibri"/>
                <w:bCs/>
                <w:noProof/>
                <w:color w:val="000000" w:themeColor="text1"/>
                <w:spacing w:val="-1"/>
                <w:sz w:val="14"/>
                <w:szCs w:val="14"/>
                <w:lang w:val="fr-FR"/>
              </w:rPr>
              <w:t xml:space="preserve"> consistant à conserver des yeux de poulet </w:t>
            </w:r>
            <w:r w:rsidRPr="003F1C55">
              <w:rPr>
                <w:rFonts w:eastAsia="Calibri"/>
                <w:bCs/>
                <w:i/>
                <w:noProof/>
                <w:color w:val="000000" w:themeColor="text1"/>
                <w:spacing w:val="-1"/>
                <w:sz w:val="14"/>
                <w:szCs w:val="14"/>
                <w:lang w:val="fr-FR"/>
              </w:rPr>
              <w:t>in vitro</w:t>
            </w:r>
            <w:r w:rsidRPr="003F1C55">
              <w:rPr>
                <w:rFonts w:eastAsia="Calibri"/>
                <w:bCs/>
                <w:noProof/>
                <w:color w:val="000000" w:themeColor="text1"/>
                <w:spacing w:val="-1"/>
                <w:sz w:val="14"/>
                <w:szCs w:val="14"/>
                <w:lang w:val="fr-FR"/>
              </w:rPr>
              <w:t xml:space="preserve"> durant une brève période. Les produits chimiques testés sont appliqués sur la surface épithéliale de la cornée. Les dommages causés par le produit chimique testé sont évalués par : i) une mesure quantitative de l’augmentation de l’épaisseur de la cornée (gonflement) ; ii) une mesure </w:t>
            </w:r>
            <w:r w:rsidRPr="003F1C55">
              <w:rPr>
                <w:rFonts w:eastAsia="Times New Roman"/>
                <w:spacing w:val="-1"/>
                <w:sz w:val="14"/>
                <w:szCs w:val="14"/>
              </w:rPr>
              <w:t>qualitative</w:t>
            </w:r>
            <w:r w:rsidRPr="003F1C55">
              <w:rPr>
                <w:rFonts w:eastAsia="Calibri"/>
                <w:bCs/>
                <w:noProof/>
                <w:color w:val="000000" w:themeColor="text1"/>
                <w:spacing w:val="-1"/>
                <w:sz w:val="14"/>
                <w:szCs w:val="14"/>
                <w:lang w:val="fr-FR"/>
              </w:rPr>
              <w:t xml:space="preserve"> de l’opacité de la cornée ; iii) une mesure qualitative des dommages causés à l’épithélium, par application de fluorescéine sur l’œil ; et iv) une évaluation qualitative des dommages morphologiques macroscopiques causés à la surface. Un examen histopathologique peut être utilisé pour accroître la sensibilité de la méthode en vue d’identifier les détergents et surfactants de la Catégorie 1 à pH non extrême </w:t>
            </w:r>
            <w:r w:rsidRPr="003F1C55">
              <w:rPr>
                <w:rFonts w:eastAsia="Calibri"/>
                <w:bCs/>
                <w:noProof/>
                <w:color w:val="000000" w:themeColor="text1"/>
                <w:spacing w:val="-1"/>
                <w:sz w:val="14"/>
                <w:szCs w:val="14"/>
                <w:lang w:val="fr-FR"/>
              </w:rPr>
              <w:br/>
              <w:t>(2 &lt; pH &lt; 11,5)</w:t>
            </w:r>
            <w:r w:rsidRPr="003F1C55">
              <w:rPr>
                <w:rFonts w:eastAsia="Calibri"/>
                <w:bCs/>
                <w:i/>
                <w:iCs/>
                <w:noProof/>
                <w:color w:val="000000" w:themeColor="text1"/>
                <w:spacing w:val="-1"/>
                <w:sz w:val="14"/>
                <w:szCs w:val="14"/>
                <w:vertAlign w:val="superscript"/>
                <w:lang w:val="fr-FR"/>
              </w:rPr>
              <w:t>b</w:t>
            </w:r>
            <w:r w:rsidRPr="003F1C55">
              <w:rPr>
                <w:rFonts w:eastAsia="Calibri"/>
                <w:bCs/>
                <w:noProof/>
                <w:color w:val="000000" w:themeColor="text1"/>
                <w:spacing w:val="-1"/>
                <w:sz w:val="14"/>
                <w:szCs w:val="14"/>
                <w:lang w:val="fr-FR"/>
              </w:rPr>
              <w:t>.</w:t>
            </w:r>
          </w:p>
          <w:p w14:paraId="3A2D80D7" w14:textId="77777777" w:rsidR="003F1C55" w:rsidRPr="003F1C55" w:rsidRDefault="003F1C55" w:rsidP="00057475">
            <w:pPr>
              <w:spacing w:before="60" w:after="60" w:line="200" w:lineRule="atLeast"/>
              <w:ind w:left="57" w:right="57"/>
              <w:rPr>
                <w:rFonts w:eastAsia="Calibri"/>
                <w:b/>
                <w:bCs/>
                <w:noProof/>
                <w:color w:val="000000" w:themeColor="text1"/>
                <w:spacing w:val="-1"/>
                <w:sz w:val="14"/>
                <w:szCs w:val="14"/>
                <w:lang w:val="fr-FR"/>
              </w:rPr>
            </w:pPr>
            <w:r w:rsidRPr="003F1C55">
              <w:rPr>
                <w:rFonts w:eastAsia="Calibri"/>
                <w:b/>
                <w:bCs/>
                <w:noProof/>
                <w:color w:val="000000" w:themeColor="text1"/>
                <w:spacing w:val="-1"/>
                <w:sz w:val="14"/>
                <w:szCs w:val="14"/>
                <w:lang w:val="fr-FR"/>
              </w:rPr>
              <w:t>Critères fondés sur les scores obtenus pour le gonflement de la cornée, l’opacité et la rétention de fluorescéine, lesquels servent à attribuer une classe OPI (I, II, III ou IV) à chaque critère terminal, et sur une évaluation macroscopique et histopathologique</w:t>
            </w:r>
            <w:r w:rsidRPr="003F1C55">
              <w:rPr>
                <w:rFonts w:eastAsia="Calibri"/>
                <w:b/>
                <w:bCs/>
                <w:i/>
                <w:iCs/>
                <w:noProof/>
                <w:color w:val="000000" w:themeColor="text1"/>
                <w:spacing w:val="-1"/>
                <w:sz w:val="14"/>
                <w:szCs w:val="14"/>
                <w:vertAlign w:val="superscript"/>
                <w:lang w:val="fr-FR"/>
              </w:rPr>
              <w:t>b</w:t>
            </w:r>
            <w:r w:rsidRPr="003F1C55">
              <w:rPr>
                <w:rFonts w:eastAsia="Times New Roman"/>
                <w:b/>
                <w:bCs/>
                <w:spacing w:val="-1"/>
                <w:sz w:val="14"/>
                <w:szCs w:val="14"/>
              </w:rPr>
              <w:t>.</w:t>
            </w:r>
          </w:p>
        </w:tc>
        <w:tc>
          <w:tcPr>
            <w:tcW w:w="605" w:type="pct"/>
            <w:tcBorders>
              <w:top w:val="single" w:sz="4" w:space="0" w:color="auto"/>
              <w:left w:val="single" w:sz="4" w:space="0" w:color="auto"/>
              <w:bottom w:val="single" w:sz="4" w:space="0" w:color="auto"/>
              <w:right w:val="single" w:sz="4" w:space="0" w:color="auto"/>
            </w:tcBorders>
            <w:hideMark/>
          </w:tcPr>
          <w:p w14:paraId="7EB492EA" w14:textId="77777777" w:rsidR="003F1C55" w:rsidRPr="004C2A3C" w:rsidRDefault="003F1C55" w:rsidP="00057475">
            <w:pPr>
              <w:spacing w:before="60" w:after="60" w:line="200" w:lineRule="atLeast"/>
              <w:ind w:left="57" w:right="57"/>
              <w:rPr>
                <w:rFonts w:eastAsia="Calibri"/>
                <w:b/>
                <w:bCs/>
                <w:noProof/>
                <w:color w:val="000000" w:themeColor="text1"/>
                <w:sz w:val="14"/>
                <w:szCs w:val="14"/>
                <w:lang w:val="fr-FR"/>
              </w:rPr>
            </w:pPr>
            <w:r w:rsidRPr="004C2A3C">
              <w:rPr>
                <w:rFonts w:eastAsia="Calibri"/>
                <w:bCs/>
                <w:noProof/>
                <w:color w:val="000000" w:themeColor="text1"/>
                <w:sz w:val="14"/>
                <w:szCs w:val="14"/>
                <w:lang w:val="fr-FR"/>
              </w:rPr>
              <w:t xml:space="preserve">Essai </w:t>
            </w:r>
            <w:r w:rsidRPr="004C2A3C">
              <w:rPr>
                <w:rFonts w:eastAsia="Calibri"/>
                <w:bCs/>
                <w:i/>
                <w:iCs/>
                <w:noProof/>
                <w:color w:val="000000" w:themeColor="text1"/>
                <w:sz w:val="14"/>
                <w:szCs w:val="14"/>
                <w:lang w:val="fr-FR"/>
              </w:rPr>
              <w:t>in vitro</w:t>
            </w:r>
            <w:r w:rsidRPr="004C2A3C">
              <w:rPr>
                <w:rFonts w:eastAsia="Calibri"/>
                <w:bCs/>
                <w:noProof/>
                <w:color w:val="000000" w:themeColor="text1"/>
                <w:sz w:val="14"/>
                <w:szCs w:val="14"/>
                <w:lang w:val="fr-FR"/>
              </w:rPr>
              <w:t xml:space="preserve"> fondé sur des paramètres de cytotoxicité et de fonctionnement cellulaire, réalisé sur une monocouche confluente de cellules épithéliales tubulaires MDCK CB997 cultivées sur des inserts perméables. Les effets toxiques du produit chimique testé induits après un court temps </w:t>
            </w:r>
            <w:r w:rsidRPr="004C2A3C">
              <w:rPr>
                <w:rFonts w:eastAsia="Times New Roman"/>
                <w:sz w:val="14"/>
                <w:szCs w:val="14"/>
              </w:rPr>
              <w:t>d</w:t>
            </w:r>
            <w:r>
              <w:rPr>
                <w:rFonts w:eastAsia="Times New Roman"/>
                <w:sz w:val="14"/>
                <w:szCs w:val="14"/>
              </w:rPr>
              <w:t>’</w:t>
            </w:r>
            <w:r w:rsidRPr="004C2A3C">
              <w:rPr>
                <w:rFonts w:eastAsia="Times New Roman"/>
                <w:sz w:val="14"/>
                <w:szCs w:val="14"/>
              </w:rPr>
              <w:t>exposition</w:t>
            </w:r>
            <w:r w:rsidRPr="004C2A3C">
              <w:rPr>
                <w:rFonts w:eastAsia="Calibri"/>
                <w:bCs/>
                <w:noProof/>
                <w:color w:val="000000" w:themeColor="text1"/>
                <w:sz w:val="14"/>
                <w:szCs w:val="14"/>
                <w:lang w:val="fr-FR"/>
              </w:rPr>
              <w:t xml:space="preserve"> (1 minute) à la substance d</w:t>
            </w:r>
            <w:r>
              <w:rPr>
                <w:rFonts w:eastAsia="Calibri"/>
                <w:bCs/>
                <w:noProof/>
                <w:color w:val="000000" w:themeColor="text1"/>
                <w:sz w:val="14"/>
                <w:szCs w:val="14"/>
                <w:lang w:val="fr-FR"/>
              </w:rPr>
              <w:t>’</w:t>
            </w:r>
            <w:r w:rsidRPr="004C2A3C">
              <w:rPr>
                <w:rFonts w:eastAsia="Calibri"/>
                <w:bCs/>
                <w:noProof/>
                <w:color w:val="000000" w:themeColor="text1"/>
                <w:sz w:val="14"/>
                <w:szCs w:val="14"/>
                <w:lang w:val="fr-FR"/>
              </w:rPr>
              <w:t>essai sont mesurés en déterminant l</w:t>
            </w:r>
            <w:r>
              <w:rPr>
                <w:rFonts w:eastAsia="Calibri"/>
                <w:bCs/>
                <w:noProof/>
                <w:color w:val="000000" w:themeColor="text1"/>
                <w:sz w:val="14"/>
                <w:szCs w:val="14"/>
                <w:lang w:val="fr-FR"/>
              </w:rPr>
              <w:t>’</w:t>
            </w:r>
            <w:r w:rsidRPr="004C2A3C">
              <w:rPr>
                <w:rFonts w:eastAsia="Calibri"/>
                <w:bCs/>
                <w:noProof/>
                <w:color w:val="000000" w:themeColor="text1"/>
                <w:sz w:val="14"/>
                <w:szCs w:val="14"/>
                <w:lang w:val="fr-FR"/>
              </w:rPr>
              <w:t>augmentation de la perméabilité à la fluorescéine-sodium d</w:t>
            </w:r>
            <w:r>
              <w:rPr>
                <w:rFonts w:eastAsia="Calibri"/>
                <w:bCs/>
                <w:noProof/>
                <w:color w:val="000000" w:themeColor="text1"/>
                <w:sz w:val="14"/>
                <w:szCs w:val="14"/>
                <w:lang w:val="fr-FR"/>
              </w:rPr>
              <w:t>’</w:t>
            </w:r>
            <w:r w:rsidRPr="004C2A3C">
              <w:rPr>
                <w:rFonts w:eastAsia="Calibri"/>
                <w:bCs/>
                <w:noProof/>
                <w:color w:val="000000" w:themeColor="text1"/>
                <w:sz w:val="14"/>
                <w:szCs w:val="14"/>
                <w:lang w:val="fr-FR"/>
              </w:rPr>
              <w:t>une monocouche épithéliale de cellules MDCK. La quantité de fluorescéine qui se diffuse est proportionnelle aux lésions provoquées par le produit chimique testé sur les jonctions serrées, les desmosomes et les cellules membranaires, et permet ainsi d</w:t>
            </w:r>
            <w:r>
              <w:rPr>
                <w:rFonts w:eastAsia="Calibri"/>
                <w:bCs/>
                <w:noProof/>
                <w:color w:val="000000" w:themeColor="text1"/>
                <w:sz w:val="14"/>
                <w:szCs w:val="14"/>
                <w:lang w:val="fr-FR"/>
              </w:rPr>
              <w:t>’</w:t>
            </w:r>
            <w:r w:rsidRPr="004C2A3C">
              <w:rPr>
                <w:rFonts w:eastAsia="Calibri"/>
                <w:bCs/>
                <w:noProof/>
                <w:color w:val="000000" w:themeColor="text1"/>
                <w:sz w:val="14"/>
                <w:szCs w:val="14"/>
                <w:lang w:val="fr-FR"/>
              </w:rPr>
              <w:t>estimer sa toxicité potentielle pour l</w:t>
            </w:r>
            <w:r>
              <w:rPr>
                <w:rFonts w:eastAsia="Calibri"/>
                <w:bCs/>
                <w:noProof/>
                <w:color w:val="000000" w:themeColor="text1"/>
                <w:sz w:val="14"/>
                <w:szCs w:val="14"/>
                <w:lang w:val="fr-FR"/>
              </w:rPr>
              <w:t>’</w:t>
            </w:r>
            <w:r w:rsidRPr="004C2A3C">
              <w:rPr>
                <w:rFonts w:eastAsia="Calibri"/>
                <w:bCs/>
                <w:noProof/>
                <w:color w:val="000000" w:themeColor="text1"/>
                <w:sz w:val="14"/>
                <w:szCs w:val="14"/>
                <w:lang w:val="fr-FR"/>
              </w:rPr>
              <w:t>oeil.</w:t>
            </w:r>
          </w:p>
          <w:p w14:paraId="707520E7" w14:textId="77777777" w:rsidR="003F1C55" w:rsidRPr="004C2A3C" w:rsidRDefault="003F1C55" w:rsidP="00057475">
            <w:pPr>
              <w:keepLines/>
              <w:spacing w:before="60" w:after="60" w:line="200" w:lineRule="atLeast"/>
              <w:ind w:left="57" w:right="57"/>
              <w:rPr>
                <w:rFonts w:eastAsia="Calibri"/>
                <w:b/>
                <w:bCs/>
                <w:noProof/>
                <w:color w:val="000000" w:themeColor="text1"/>
                <w:sz w:val="14"/>
                <w:szCs w:val="14"/>
                <w:lang w:val="fr-FR"/>
              </w:rPr>
            </w:pPr>
            <w:r w:rsidRPr="004C2A3C">
              <w:rPr>
                <w:rFonts w:eastAsia="Calibri"/>
                <w:b/>
                <w:bCs/>
                <w:noProof/>
                <w:color w:val="000000" w:themeColor="text1"/>
                <w:sz w:val="14"/>
                <w:szCs w:val="14"/>
                <w:lang w:val="fr-FR"/>
              </w:rPr>
              <w:t>Critères fondés sur la diffusion de fluorescéine moyenne en pourcentage à l</w:t>
            </w:r>
            <w:r>
              <w:rPr>
                <w:rFonts w:eastAsia="Calibri"/>
                <w:b/>
                <w:bCs/>
                <w:noProof/>
                <w:color w:val="000000" w:themeColor="text1"/>
                <w:sz w:val="14"/>
                <w:szCs w:val="14"/>
                <w:lang w:val="fr-FR"/>
              </w:rPr>
              <w:t>’</w:t>
            </w:r>
            <w:r w:rsidRPr="004C2A3C">
              <w:rPr>
                <w:rFonts w:eastAsia="Calibri"/>
                <w:b/>
                <w:bCs/>
                <w:noProof/>
                <w:color w:val="000000" w:themeColor="text1"/>
                <w:sz w:val="14"/>
                <w:szCs w:val="14"/>
                <w:lang w:val="fr-FR"/>
              </w:rPr>
              <w:t>issue d</w:t>
            </w:r>
            <w:r>
              <w:rPr>
                <w:rFonts w:eastAsia="Calibri"/>
                <w:b/>
                <w:bCs/>
                <w:noProof/>
                <w:color w:val="000000" w:themeColor="text1"/>
                <w:sz w:val="14"/>
                <w:szCs w:val="14"/>
                <w:lang w:val="fr-FR"/>
              </w:rPr>
              <w:t>’</w:t>
            </w:r>
            <w:r w:rsidRPr="004C2A3C">
              <w:rPr>
                <w:rFonts w:eastAsia="Calibri"/>
                <w:b/>
                <w:bCs/>
                <w:noProof/>
                <w:color w:val="000000" w:themeColor="text1"/>
                <w:sz w:val="14"/>
                <w:szCs w:val="14"/>
                <w:lang w:val="fr-FR"/>
              </w:rPr>
              <w:t>une période d</w:t>
            </w:r>
            <w:r>
              <w:rPr>
                <w:rFonts w:eastAsia="Calibri"/>
                <w:b/>
                <w:bCs/>
                <w:noProof/>
                <w:color w:val="000000" w:themeColor="text1"/>
                <w:sz w:val="14"/>
                <w:szCs w:val="14"/>
                <w:lang w:val="fr-FR"/>
              </w:rPr>
              <w:t>’</w:t>
            </w:r>
            <w:r w:rsidRPr="004C2A3C">
              <w:rPr>
                <w:rFonts w:eastAsia="Calibri"/>
                <w:b/>
                <w:bCs/>
                <w:noProof/>
                <w:color w:val="000000" w:themeColor="text1"/>
                <w:sz w:val="14"/>
                <w:szCs w:val="14"/>
                <w:lang w:val="fr-FR"/>
              </w:rPr>
              <w:t>exposition donnée.</w:t>
            </w:r>
          </w:p>
        </w:tc>
        <w:tc>
          <w:tcPr>
            <w:tcW w:w="60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87C2E89" w14:textId="77777777" w:rsidR="003F1C55" w:rsidRPr="004C2A3C" w:rsidRDefault="003F1C55" w:rsidP="00057475">
            <w:pPr>
              <w:spacing w:before="60" w:after="60" w:line="200" w:lineRule="atLeast"/>
              <w:ind w:left="57" w:right="57"/>
              <w:rPr>
                <w:rFonts w:eastAsia="Times New Roman"/>
                <w:color w:val="000000" w:themeColor="text1"/>
                <w:sz w:val="14"/>
                <w:szCs w:val="14"/>
                <w:lang w:val="fr-FR"/>
              </w:rPr>
            </w:pPr>
            <w:r w:rsidRPr="004C2A3C">
              <w:rPr>
                <w:rFonts w:eastAsia="Calibri"/>
                <w:bCs/>
                <w:noProof/>
                <w:color w:val="000000" w:themeColor="text1"/>
                <w:sz w:val="14"/>
                <w:szCs w:val="14"/>
                <w:lang w:val="fr-FR"/>
              </w:rPr>
              <w:t xml:space="preserve">Essai </w:t>
            </w:r>
            <w:r w:rsidRPr="004C2A3C">
              <w:rPr>
                <w:rFonts w:eastAsia="Calibri"/>
                <w:bCs/>
                <w:i/>
                <w:noProof/>
                <w:color w:val="000000" w:themeColor="text1"/>
                <w:sz w:val="14"/>
                <w:szCs w:val="14"/>
                <w:lang w:val="fr-FR"/>
              </w:rPr>
              <w:t>in vitro</w:t>
            </w:r>
            <w:r w:rsidRPr="004C2A3C">
              <w:rPr>
                <w:rFonts w:eastAsia="Calibri"/>
                <w:bCs/>
                <w:noProof/>
                <w:color w:val="000000" w:themeColor="text1"/>
                <w:sz w:val="14"/>
                <w:szCs w:val="14"/>
                <w:lang w:val="fr-FR"/>
              </w:rPr>
              <w:t xml:space="preserve"> de cytotoxicité, réalisé sur une monocouche confluente de fibroblastes de cornée de lapin du Statens Seruminstitut (SIRC). Chaque produit chimique soumis à l</w:t>
            </w:r>
            <w:r>
              <w:rPr>
                <w:rFonts w:eastAsia="Calibri"/>
                <w:bCs/>
                <w:noProof/>
                <w:color w:val="000000" w:themeColor="text1"/>
                <w:sz w:val="14"/>
                <w:szCs w:val="14"/>
                <w:lang w:val="fr-FR"/>
              </w:rPr>
              <w:t>’</w:t>
            </w:r>
            <w:r w:rsidRPr="004C2A3C">
              <w:rPr>
                <w:rFonts w:eastAsia="Calibri"/>
                <w:bCs/>
                <w:noProof/>
                <w:color w:val="000000" w:themeColor="text1"/>
                <w:sz w:val="14"/>
                <w:szCs w:val="14"/>
                <w:lang w:val="fr-FR"/>
              </w:rPr>
              <w:t xml:space="preserve">essai est testé aux concentrations de 5 % et de 0,05 %. Après 5 minutes </w:t>
            </w:r>
            <w:r w:rsidRPr="004C2A3C">
              <w:rPr>
                <w:rFonts w:eastAsia="Times New Roman"/>
                <w:sz w:val="14"/>
                <w:szCs w:val="14"/>
              </w:rPr>
              <w:t>d</w:t>
            </w:r>
            <w:r>
              <w:rPr>
                <w:rFonts w:eastAsia="Times New Roman"/>
                <w:sz w:val="14"/>
                <w:szCs w:val="14"/>
              </w:rPr>
              <w:t>’</w:t>
            </w:r>
            <w:r w:rsidRPr="004C2A3C">
              <w:rPr>
                <w:rFonts w:eastAsia="Times New Roman"/>
                <w:sz w:val="14"/>
                <w:szCs w:val="14"/>
              </w:rPr>
              <w:t>exposition</w:t>
            </w:r>
            <w:r w:rsidRPr="004C2A3C">
              <w:rPr>
                <w:rFonts w:eastAsia="Calibri"/>
                <w:bCs/>
                <w:noProof/>
                <w:color w:val="000000" w:themeColor="text1"/>
                <w:sz w:val="14"/>
                <w:szCs w:val="14"/>
                <w:lang w:val="fr-FR"/>
              </w:rPr>
              <w:t>, on évalue la viabilité cellulaire par un dosage quantitatif des cristaux de formazan bleu extraits des cellules et produits par les cellules vivantes lors de la conversion enzymatique du colorant vital MTT.</w:t>
            </w:r>
          </w:p>
          <w:p w14:paraId="2F1217E9" w14:textId="77777777" w:rsidR="003F1C55" w:rsidRPr="004C2A3C" w:rsidRDefault="003F1C55" w:rsidP="00057475">
            <w:pPr>
              <w:spacing w:before="60" w:after="60" w:line="200" w:lineRule="atLeast"/>
              <w:ind w:left="57" w:right="57"/>
              <w:rPr>
                <w:rFonts w:eastAsia="Times New Roman"/>
                <w:b/>
                <w:bCs/>
                <w:color w:val="000000" w:themeColor="text1"/>
                <w:sz w:val="14"/>
                <w:szCs w:val="14"/>
                <w:lang w:val="fr-FR"/>
              </w:rPr>
            </w:pPr>
            <w:r w:rsidRPr="004C2A3C">
              <w:rPr>
                <w:rFonts w:eastAsia="Calibri"/>
                <w:b/>
                <w:bCs/>
                <w:noProof/>
                <w:color w:val="000000" w:themeColor="text1"/>
                <w:sz w:val="14"/>
                <w:szCs w:val="14"/>
                <w:lang w:val="fr-FR"/>
              </w:rPr>
              <w:t>Critères fondés sur la viabilité cellulaire moyenne en pourcentage à l</w:t>
            </w:r>
            <w:r>
              <w:rPr>
                <w:rFonts w:eastAsia="Calibri"/>
                <w:b/>
                <w:bCs/>
                <w:noProof/>
                <w:color w:val="000000" w:themeColor="text1"/>
                <w:sz w:val="14"/>
                <w:szCs w:val="14"/>
                <w:lang w:val="fr-FR"/>
              </w:rPr>
              <w:t>’</w:t>
            </w:r>
            <w:r w:rsidRPr="004C2A3C">
              <w:rPr>
                <w:rFonts w:eastAsia="Calibri"/>
                <w:b/>
                <w:bCs/>
                <w:noProof/>
                <w:color w:val="000000" w:themeColor="text1"/>
                <w:sz w:val="14"/>
                <w:szCs w:val="14"/>
                <w:lang w:val="fr-FR"/>
              </w:rPr>
              <w:t>issue d</w:t>
            </w:r>
            <w:r>
              <w:rPr>
                <w:rFonts w:eastAsia="Calibri"/>
                <w:b/>
                <w:bCs/>
                <w:noProof/>
                <w:color w:val="000000" w:themeColor="text1"/>
                <w:sz w:val="14"/>
                <w:szCs w:val="14"/>
                <w:lang w:val="fr-FR"/>
              </w:rPr>
              <w:t>’</w:t>
            </w:r>
            <w:r w:rsidRPr="004C2A3C">
              <w:rPr>
                <w:rFonts w:eastAsia="Calibri"/>
                <w:b/>
                <w:bCs/>
                <w:noProof/>
                <w:color w:val="000000" w:themeColor="text1"/>
                <w:sz w:val="14"/>
                <w:szCs w:val="14"/>
                <w:lang w:val="fr-FR"/>
              </w:rPr>
              <w:t>une période d</w:t>
            </w:r>
            <w:r>
              <w:rPr>
                <w:rFonts w:eastAsia="Calibri"/>
                <w:b/>
                <w:bCs/>
                <w:noProof/>
                <w:color w:val="000000" w:themeColor="text1"/>
                <w:sz w:val="14"/>
                <w:szCs w:val="14"/>
                <w:lang w:val="fr-FR"/>
              </w:rPr>
              <w:t>’</w:t>
            </w:r>
            <w:r w:rsidRPr="004C2A3C">
              <w:rPr>
                <w:rFonts w:eastAsia="Calibri"/>
                <w:b/>
                <w:bCs/>
                <w:noProof/>
                <w:color w:val="000000" w:themeColor="text1"/>
                <w:sz w:val="14"/>
                <w:szCs w:val="14"/>
                <w:lang w:val="fr-FR"/>
              </w:rPr>
              <w:t>exposition donnée.</w:t>
            </w:r>
          </w:p>
        </w:tc>
        <w:tc>
          <w:tcPr>
            <w:tcW w:w="1143" w:type="pct"/>
            <w:gridSpan w:val="4"/>
            <w:tcBorders>
              <w:top w:val="single" w:sz="4" w:space="0" w:color="auto"/>
              <w:left w:val="single" w:sz="4" w:space="0" w:color="auto"/>
              <w:bottom w:val="single" w:sz="4" w:space="0" w:color="auto"/>
              <w:right w:val="single" w:sz="4" w:space="0" w:color="auto"/>
            </w:tcBorders>
            <w:hideMark/>
          </w:tcPr>
          <w:p w14:paraId="642C0CD3" w14:textId="77777777" w:rsidR="003F1C55" w:rsidRPr="004C2A3C" w:rsidRDefault="003F1C55" w:rsidP="00057475">
            <w:pPr>
              <w:spacing w:before="60" w:after="60" w:line="200" w:lineRule="atLeast"/>
              <w:ind w:left="57" w:right="57"/>
              <w:rPr>
                <w:rFonts w:eastAsia="Calibri"/>
                <w:bCs/>
                <w:noProof/>
                <w:color w:val="000000" w:themeColor="text1"/>
                <w:sz w:val="14"/>
                <w:szCs w:val="14"/>
                <w:lang w:val="fr-FR"/>
              </w:rPr>
            </w:pPr>
            <w:r w:rsidRPr="004C2A3C">
              <w:rPr>
                <w:rFonts w:eastAsia="Calibri"/>
                <w:bCs/>
                <w:noProof/>
                <w:color w:val="000000" w:themeColor="text1"/>
                <w:sz w:val="14"/>
                <w:szCs w:val="14"/>
                <w:lang w:val="fr-FR"/>
              </w:rPr>
              <w:t>Des modèles tridimensionnels d</w:t>
            </w:r>
            <w:r>
              <w:rPr>
                <w:rFonts w:eastAsia="Calibri"/>
                <w:bCs/>
                <w:noProof/>
                <w:color w:val="000000" w:themeColor="text1"/>
                <w:sz w:val="14"/>
                <w:szCs w:val="14"/>
                <w:lang w:val="fr-FR"/>
              </w:rPr>
              <w:t>’</w:t>
            </w:r>
            <w:r w:rsidRPr="004C2A3C">
              <w:rPr>
                <w:rFonts w:eastAsia="Calibri"/>
                <w:bCs/>
                <w:noProof/>
                <w:color w:val="000000" w:themeColor="text1"/>
                <w:sz w:val="14"/>
                <w:szCs w:val="14"/>
                <w:lang w:val="fr-FR"/>
              </w:rPr>
              <w:t>echr sont reconstitués à partir de cellules humaines primaires ou de cellules épithéliales cornéennes humaines immortalisées, cultivées pendant plusieurs jours jusqu</w:t>
            </w:r>
            <w:r>
              <w:rPr>
                <w:rFonts w:eastAsia="Calibri"/>
                <w:bCs/>
                <w:noProof/>
                <w:color w:val="000000" w:themeColor="text1"/>
                <w:sz w:val="14"/>
                <w:szCs w:val="14"/>
                <w:lang w:val="fr-FR"/>
              </w:rPr>
              <w:t>’</w:t>
            </w:r>
            <w:r w:rsidRPr="004C2A3C">
              <w:rPr>
                <w:rFonts w:eastAsia="Calibri"/>
                <w:bCs/>
                <w:noProof/>
                <w:color w:val="000000" w:themeColor="text1"/>
                <w:sz w:val="14"/>
                <w:szCs w:val="14"/>
                <w:lang w:val="fr-FR"/>
              </w:rPr>
              <w:t>à la formation d</w:t>
            </w:r>
            <w:r>
              <w:rPr>
                <w:rFonts w:eastAsia="Calibri"/>
                <w:bCs/>
                <w:noProof/>
                <w:color w:val="000000" w:themeColor="text1"/>
                <w:sz w:val="14"/>
                <w:szCs w:val="14"/>
                <w:lang w:val="fr-FR"/>
              </w:rPr>
              <w:t>’</w:t>
            </w:r>
            <w:r w:rsidRPr="004C2A3C">
              <w:rPr>
                <w:rFonts w:eastAsia="Calibri"/>
                <w:bCs/>
                <w:noProof/>
                <w:color w:val="000000" w:themeColor="text1"/>
                <w:sz w:val="14"/>
                <w:szCs w:val="14"/>
                <w:lang w:val="fr-FR"/>
              </w:rPr>
              <w:t>un épithélium stratifié, hautement différencié, constitué d</w:t>
            </w:r>
            <w:r>
              <w:rPr>
                <w:rFonts w:eastAsia="Calibri"/>
                <w:bCs/>
                <w:noProof/>
                <w:color w:val="000000" w:themeColor="text1"/>
                <w:sz w:val="14"/>
                <w:szCs w:val="14"/>
                <w:lang w:val="fr-FR"/>
              </w:rPr>
              <w:t>’</w:t>
            </w:r>
            <w:r w:rsidRPr="004C2A3C">
              <w:rPr>
                <w:rFonts w:eastAsia="Calibri"/>
                <w:bCs/>
                <w:noProof/>
                <w:color w:val="000000" w:themeColor="text1"/>
                <w:sz w:val="14"/>
                <w:szCs w:val="14"/>
                <w:lang w:val="fr-FR"/>
              </w:rPr>
              <w:t>au moins trois couches cellulaires viables et d</w:t>
            </w:r>
            <w:r>
              <w:rPr>
                <w:rFonts w:eastAsia="Calibri"/>
                <w:bCs/>
                <w:noProof/>
                <w:color w:val="000000" w:themeColor="text1"/>
                <w:sz w:val="14"/>
                <w:szCs w:val="14"/>
                <w:lang w:val="fr-FR"/>
              </w:rPr>
              <w:t>’</w:t>
            </w:r>
            <w:r w:rsidRPr="004C2A3C">
              <w:rPr>
                <w:rFonts w:eastAsia="Calibri"/>
                <w:bCs/>
                <w:noProof/>
                <w:color w:val="000000" w:themeColor="text1"/>
                <w:sz w:val="14"/>
                <w:szCs w:val="14"/>
                <w:lang w:val="fr-FR"/>
              </w:rPr>
              <w:t>une surface non kératinisée présentant une structure morphologiquement similaire à celle de la cornée humaine. Après l</w:t>
            </w:r>
            <w:r>
              <w:rPr>
                <w:rFonts w:eastAsia="Calibri"/>
                <w:bCs/>
                <w:noProof/>
                <w:color w:val="000000" w:themeColor="text1"/>
                <w:sz w:val="14"/>
                <w:szCs w:val="14"/>
                <w:lang w:val="fr-FR"/>
              </w:rPr>
              <w:t>’</w:t>
            </w:r>
            <w:r w:rsidRPr="004C2A3C">
              <w:rPr>
                <w:rFonts w:eastAsia="Calibri"/>
                <w:bCs/>
                <w:noProof/>
                <w:color w:val="000000" w:themeColor="text1"/>
                <w:sz w:val="14"/>
                <w:szCs w:val="14"/>
                <w:lang w:val="fr-FR"/>
              </w:rPr>
              <w:t>exposition et une période d</w:t>
            </w:r>
            <w:r>
              <w:rPr>
                <w:rFonts w:eastAsia="Calibri"/>
                <w:bCs/>
                <w:noProof/>
                <w:color w:val="000000" w:themeColor="text1"/>
                <w:sz w:val="14"/>
                <w:szCs w:val="14"/>
                <w:lang w:val="fr-FR"/>
              </w:rPr>
              <w:t>’</w:t>
            </w:r>
            <w:r w:rsidRPr="004C2A3C">
              <w:rPr>
                <w:rFonts w:eastAsia="Calibri"/>
                <w:bCs/>
                <w:noProof/>
                <w:color w:val="000000" w:themeColor="text1"/>
                <w:sz w:val="14"/>
                <w:szCs w:val="14"/>
                <w:lang w:val="fr-FR"/>
              </w:rPr>
              <w:t>incubation post-traitement (s</w:t>
            </w:r>
            <w:r>
              <w:rPr>
                <w:rFonts w:eastAsia="Calibri"/>
                <w:bCs/>
                <w:noProof/>
                <w:color w:val="000000" w:themeColor="text1"/>
                <w:sz w:val="14"/>
                <w:szCs w:val="14"/>
                <w:lang w:val="fr-FR"/>
              </w:rPr>
              <w:t>’</w:t>
            </w:r>
            <w:r w:rsidRPr="004C2A3C">
              <w:rPr>
                <w:rFonts w:eastAsia="Calibri"/>
                <w:bCs/>
                <w:noProof/>
                <w:color w:val="000000" w:themeColor="text1"/>
                <w:sz w:val="14"/>
                <w:szCs w:val="14"/>
                <w:lang w:val="fr-FR"/>
              </w:rPr>
              <w:t xml:space="preserve">il y a </w:t>
            </w:r>
            <w:r w:rsidRPr="004C2A3C">
              <w:rPr>
                <w:rFonts w:eastAsia="Times New Roman"/>
                <w:sz w:val="14"/>
                <w:szCs w:val="14"/>
              </w:rPr>
              <w:t>lieu</w:t>
            </w:r>
            <w:r w:rsidRPr="004C2A3C">
              <w:rPr>
                <w:rFonts w:eastAsia="Calibri"/>
                <w:bCs/>
                <w:noProof/>
                <w:color w:val="000000" w:themeColor="text1"/>
                <w:sz w:val="14"/>
                <w:szCs w:val="14"/>
                <w:lang w:val="fr-FR"/>
              </w:rPr>
              <w:t>), on évalue la viabilité tissulaire par un dosage quantitatif des cristaux de formazan bleu extraits des tissus et produits par les tissus vivants lors de la conversion enzymatique du colorant vital MTT.</w:t>
            </w:r>
          </w:p>
          <w:p w14:paraId="08F4E9ED" w14:textId="77777777" w:rsidR="003F1C55" w:rsidRPr="004C2A3C" w:rsidRDefault="003F1C55" w:rsidP="00057475">
            <w:pPr>
              <w:spacing w:before="60" w:after="60" w:line="200" w:lineRule="atLeast"/>
              <w:ind w:left="57" w:right="57"/>
              <w:rPr>
                <w:rFonts w:eastAsia="Calibri"/>
                <w:b/>
                <w:bCs/>
                <w:noProof/>
                <w:color w:val="000000" w:themeColor="text1"/>
                <w:sz w:val="14"/>
                <w:szCs w:val="14"/>
                <w:lang w:val="fr-FR"/>
              </w:rPr>
            </w:pPr>
            <w:r w:rsidRPr="004C2A3C">
              <w:rPr>
                <w:rFonts w:eastAsia="Calibri"/>
                <w:b/>
                <w:bCs/>
                <w:noProof/>
                <w:color w:val="000000" w:themeColor="text1"/>
                <w:sz w:val="14"/>
                <w:szCs w:val="14"/>
                <w:lang w:val="fr-FR"/>
              </w:rPr>
              <w:t>Critères fondés sur la viabilité tissulaire moyenne en pourcentage à l</w:t>
            </w:r>
            <w:r>
              <w:rPr>
                <w:rFonts w:eastAsia="Calibri"/>
                <w:b/>
                <w:bCs/>
                <w:noProof/>
                <w:color w:val="000000" w:themeColor="text1"/>
                <w:sz w:val="14"/>
                <w:szCs w:val="14"/>
                <w:lang w:val="fr-FR"/>
              </w:rPr>
              <w:t>’</w:t>
            </w:r>
            <w:r w:rsidRPr="004C2A3C">
              <w:rPr>
                <w:rFonts w:eastAsia="Calibri"/>
                <w:b/>
                <w:bCs/>
                <w:noProof/>
                <w:color w:val="000000" w:themeColor="text1"/>
                <w:sz w:val="14"/>
                <w:szCs w:val="14"/>
                <w:lang w:val="fr-FR"/>
              </w:rPr>
              <w:t>issue d</w:t>
            </w:r>
            <w:r>
              <w:rPr>
                <w:rFonts w:eastAsia="Calibri"/>
                <w:b/>
                <w:bCs/>
                <w:noProof/>
                <w:color w:val="000000" w:themeColor="text1"/>
                <w:sz w:val="14"/>
                <w:szCs w:val="14"/>
                <w:lang w:val="fr-FR"/>
              </w:rPr>
              <w:t>’</w:t>
            </w:r>
            <w:r w:rsidRPr="004C2A3C">
              <w:rPr>
                <w:rFonts w:eastAsia="Calibri"/>
                <w:b/>
                <w:bCs/>
                <w:noProof/>
                <w:color w:val="000000" w:themeColor="text1"/>
                <w:sz w:val="14"/>
                <w:szCs w:val="14"/>
                <w:lang w:val="fr-FR"/>
              </w:rPr>
              <w:t>une période d</w:t>
            </w:r>
            <w:r>
              <w:rPr>
                <w:rFonts w:eastAsia="Calibri"/>
                <w:b/>
                <w:bCs/>
                <w:noProof/>
                <w:color w:val="000000" w:themeColor="text1"/>
                <w:sz w:val="14"/>
                <w:szCs w:val="14"/>
                <w:lang w:val="fr-FR"/>
              </w:rPr>
              <w:t>’</w:t>
            </w:r>
            <w:r w:rsidRPr="004C2A3C">
              <w:rPr>
                <w:rFonts w:eastAsia="Calibri"/>
                <w:b/>
                <w:bCs/>
                <w:noProof/>
                <w:color w:val="000000" w:themeColor="text1"/>
                <w:sz w:val="14"/>
                <w:szCs w:val="14"/>
                <w:lang w:val="fr-FR"/>
              </w:rPr>
              <w:t>exposition et d</w:t>
            </w:r>
            <w:r>
              <w:rPr>
                <w:rFonts w:eastAsia="Calibri"/>
                <w:b/>
                <w:bCs/>
                <w:noProof/>
                <w:color w:val="000000" w:themeColor="text1"/>
                <w:sz w:val="14"/>
                <w:szCs w:val="14"/>
                <w:lang w:val="fr-FR"/>
              </w:rPr>
              <w:t>’</w:t>
            </w:r>
            <w:r w:rsidRPr="004C2A3C">
              <w:rPr>
                <w:rFonts w:eastAsia="Calibri"/>
                <w:b/>
                <w:bCs/>
                <w:noProof/>
                <w:color w:val="000000" w:themeColor="text1"/>
                <w:sz w:val="14"/>
                <w:szCs w:val="14"/>
                <w:lang w:val="fr-FR"/>
              </w:rPr>
              <w:t>une période de post-traitement (s</w:t>
            </w:r>
            <w:r>
              <w:rPr>
                <w:rFonts w:eastAsia="Calibri"/>
                <w:b/>
                <w:bCs/>
                <w:noProof/>
                <w:color w:val="000000" w:themeColor="text1"/>
                <w:sz w:val="14"/>
                <w:szCs w:val="14"/>
                <w:lang w:val="fr-FR"/>
              </w:rPr>
              <w:t>’</w:t>
            </w:r>
            <w:r w:rsidRPr="004C2A3C">
              <w:rPr>
                <w:rFonts w:eastAsia="Calibri"/>
                <w:b/>
                <w:bCs/>
                <w:noProof/>
                <w:color w:val="000000" w:themeColor="text1"/>
                <w:sz w:val="14"/>
                <w:szCs w:val="14"/>
                <w:lang w:val="fr-FR"/>
              </w:rPr>
              <w:t>il y a lieu) données.</w:t>
            </w:r>
          </w:p>
        </w:tc>
        <w:tc>
          <w:tcPr>
            <w:tcW w:w="520" w:type="pct"/>
            <w:tcBorders>
              <w:top w:val="single" w:sz="4" w:space="0" w:color="auto"/>
              <w:left w:val="single" w:sz="4" w:space="0" w:color="auto"/>
              <w:bottom w:val="single" w:sz="4" w:space="0" w:color="auto"/>
              <w:right w:val="single" w:sz="4" w:space="0" w:color="auto"/>
            </w:tcBorders>
            <w:hideMark/>
          </w:tcPr>
          <w:p w14:paraId="36BED275" w14:textId="77777777" w:rsidR="003F1C55" w:rsidRPr="004C2A3C" w:rsidRDefault="003F1C55" w:rsidP="00057475">
            <w:pPr>
              <w:spacing w:before="60" w:after="60" w:line="200" w:lineRule="atLeast"/>
              <w:ind w:left="57" w:right="57"/>
              <w:rPr>
                <w:rFonts w:eastAsia="Calibri"/>
                <w:bCs/>
                <w:noProof/>
                <w:color w:val="000000" w:themeColor="text1"/>
                <w:sz w:val="14"/>
                <w:szCs w:val="14"/>
                <w:lang w:val="fr-FR"/>
              </w:rPr>
            </w:pPr>
            <w:r w:rsidRPr="004C2A3C">
              <w:rPr>
                <w:rFonts w:eastAsia="Calibri"/>
                <w:bCs/>
                <w:noProof/>
                <w:color w:val="000000" w:themeColor="text1"/>
                <w:sz w:val="14"/>
                <w:szCs w:val="14"/>
                <w:lang w:val="fr-FR"/>
              </w:rPr>
              <w:t xml:space="preserve">Essai </w:t>
            </w:r>
            <w:r w:rsidRPr="004C2A3C">
              <w:rPr>
                <w:rFonts w:eastAsia="Calibri"/>
                <w:bCs/>
                <w:i/>
                <w:noProof/>
                <w:color w:val="000000" w:themeColor="text1"/>
                <w:sz w:val="14"/>
                <w:szCs w:val="14"/>
                <w:lang w:val="fr-FR"/>
              </w:rPr>
              <w:t>in vitro</w:t>
            </w:r>
            <w:r w:rsidRPr="004C2A3C">
              <w:rPr>
                <w:rFonts w:eastAsia="Calibri"/>
                <w:bCs/>
                <w:noProof/>
                <w:color w:val="000000" w:themeColor="text1"/>
                <w:sz w:val="14"/>
                <w:szCs w:val="14"/>
                <w:lang w:val="fr-FR"/>
              </w:rPr>
              <w:t xml:space="preserve"> qui exploite des modèles d</w:t>
            </w:r>
            <w:r>
              <w:rPr>
                <w:rFonts w:eastAsia="Calibri"/>
                <w:bCs/>
                <w:noProof/>
                <w:color w:val="000000" w:themeColor="text1"/>
                <w:sz w:val="14"/>
                <w:szCs w:val="14"/>
                <w:lang w:val="fr-FR"/>
              </w:rPr>
              <w:t>’</w:t>
            </w:r>
            <w:r w:rsidRPr="004C2A3C">
              <w:rPr>
                <w:rFonts w:eastAsia="Calibri"/>
                <w:bCs/>
                <w:noProof/>
                <w:color w:val="000000" w:themeColor="text1"/>
                <w:sz w:val="14"/>
                <w:szCs w:val="14"/>
                <w:lang w:val="fr-FR"/>
              </w:rPr>
              <w:t>épithélium cornéen humain reconstitués dans une chambre contenant une matrice en vitrigel de collagène</w:t>
            </w:r>
            <w:r w:rsidRPr="004C2A3C">
              <w:rPr>
                <w:rFonts w:eastAsia="Calibri"/>
                <w:bCs/>
                <w:noProof/>
                <w:color w:val="000000" w:themeColor="text1"/>
                <w:sz w:val="14"/>
                <w:szCs w:val="14"/>
                <w:lang w:val="it-IT"/>
              </w:rPr>
              <w:t xml:space="preserve">. </w:t>
            </w:r>
            <w:r w:rsidRPr="004C2A3C">
              <w:rPr>
                <w:rFonts w:eastAsia="Calibri"/>
                <w:bCs/>
                <w:noProof/>
                <w:color w:val="000000" w:themeColor="text1"/>
                <w:sz w:val="14"/>
                <w:szCs w:val="14"/>
                <w:lang w:val="fr-FR"/>
              </w:rPr>
              <w:t>Le potentiel d</w:t>
            </w:r>
            <w:r>
              <w:rPr>
                <w:rFonts w:eastAsia="Calibri"/>
                <w:bCs/>
                <w:noProof/>
                <w:color w:val="000000" w:themeColor="text1"/>
                <w:sz w:val="14"/>
                <w:szCs w:val="14"/>
                <w:lang w:val="fr-FR"/>
              </w:rPr>
              <w:t>’</w:t>
            </w:r>
            <w:r w:rsidRPr="004C2A3C">
              <w:rPr>
                <w:rFonts w:eastAsia="Calibri"/>
                <w:bCs/>
                <w:noProof/>
                <w:color w:val="000000" w:themeColor="text1"/>
                <w:sz w:val="14"/>
                <w:szCs w:val="14"/>
                <w:lang w:val="fr-FR"/>
              </w:rPr>
              <w:t>irritation oculaire du produit chimique testé est prédit par l</w:t>
            </w:r>
            <w:r>
              <w:rPr>
                <w:rFonts w:eastAsia="Calibri"/>
                <w:bCs/>
                <w:noProof/>
                <w:color w:val="000000" w:themeColor="text1"/>
                <w:sz w:val="14"/>
                <w:szCs w:val="14"/>
                <w:lang w:val="fr-FR"/>
              </w:rPr>
              <w:t>’</w:t>
            </w:r>
            <w:r w:rsidRPr="004C2A3C">
              <w:rPr>
                <w:rFonts w:eastAsia="Calibri"/>
                <w:bCs/>
                <w:noProof/>
                <w:color w:val="000000" w:themeColor="text1"/>
                <w:sz w:val="14"/>
                <w:szCs w:val="14"/>
                <w:lang w:val="fr-FR"/>
              </w:rPr>
              <w:t>analyse des changements dans le temps de la valeur de la résistance électrique transépithéliale, sur la base des scores de trois indices. La valeur de résistance est mesurée toutes les 10 secondes pendant les 3 minutes qui suivent l</w:t>
            </w:r>
            <w:r>
              <w:rPr>
                <w:rFonts w:eastAsia="Calibri"/>
                <w:bCs/>
                <w:noProof/>
                <w:color w:val="000000" w:themeColor="text1"/>
                <w:sz w:val="14"/>
                <w:szCs w:val="14"/>
                <w:lang w:val="fr-FR"/>
              </w:rPr>
              <w:t>’</w:t>
            </w:r>
            <w:r w:rsidRPr="004C2A3C">
              <w:rPr>
                <w:rFonts w:eastAsia="Calibri"/>
                <w:bCs/>
                <w:noProof/>
                <w:color w:val="000000" w:themeColor="text1"/>
                <w:sz w:val="14"/>
                <w:szCs w:val="14"/>
                <w:lang w:val="fr-FR"/>
              </w:rPr>
              <w:t>exposition au produit chimique testé.</w:t>
            </w:r>
          </w:p>
          <w:p w14:paraId="519CB688" w14:textId="77777777" w:rsidR="003F1C55" w:rsidRPr="004C2A3C" w:rsidRDefault="003F1C55" w:rsidP="00057475">
            <w:pPr>
              <w:spacing w:before="60" w:after="60" w:line="200" w:lineRule="atLeast"/>
              <w:ind w:left="57" w:right="57"/>
              <w:rPr>
                <w:rFonts w:eastAsia="Calibri"/>
                <w:bCs/>
                <w:noProof/>
                <w:color w:val="000000" w:themeColor="text1"/>
                <w:sz w:val="14"/>
                <w:szCs w:val="14"/>
                <w:lang w:val="fr-FR"/>
              </w:rPr>
            </w:pPr>
            <w:r w:rsidRPr="004C2A3C">
              <w:rPr>
                <w:rFonts w:eastAsia="Calibri"/>
                <w:b/>
                <w:bCs/>
                <w:noProof/>
                <w:color w:val="000000" w:themeColor="text1"/>
                <w:sz w:val="14"/>
                <w:szCs w:val="14"/>
                <w:lang w:val="fr-FR"/>
              </w:rPr>
              <w:t>Critères fondés sur les trois indices obtenus, à savoir le délai, l</w:t>
            </w:r>
            <w:r>
              <w:rPr>
                <w:rFonts w:eastAsia="Calibri"/>
                <w:b/>
                <w:bCs/>
                <w:noProof/>
                <w:color w:val="000000" w:themeColor="text1"/>
                <w:sz w:val="14"/>
                <w:szCs w:val="14"/>
                <w:lang w:val="fr-FR"/>
              </w:rPr>
              <w:t>’</w:t>
            </w:r>
            <w:r w:rsidRPr="004C2A3C">
              <w:rPr>
                <w:rFonts w:eastAsia="Calibri"/>
                <w:b/>
                <w:bCs/>
                <w:noProof/>
                <w:color w:val="000000" w:themeColor="text1"/>
                <w:sz w:val="14"/>
                <w:szCs w:val="14"/>
                <w:lang w:val="fr-FR"/>
              </w:rPr>
              <w:t>intensité et le niveau plateau de la résistance électrique</w:t>
            </w:r>
            <w:r w:rsidRPr="004C2A3C">
              <w:rPr>
                <w:rFonts w:eastAsia="Calibri"/>
                <w:bCs/>
                <w:noProof/>
                <w:color w:val="000000" w:themeColor="text1"/>
                <w:sz w:val="14"/>
                <w:szCs w:val="14"/>
                <w:lang w:val="fr-FR"/>
              </w:rPr>
              <w:t>.</w:t>
            </w:r>
          </w:p>
        </w:tc>
        <w:tc>
          <w:tcPr>
            <w:tcW w:w="520" w:type="pct"/>
            <w:tcBorders>
              <w:top w:val="single" w:sz="4" w:space="0" w:color="auto"/>
              <w:left w:val="single" w:sz="4" w:space="0" w:color="auto"/>
              <w:bottom w:val="single" w:sz="4" w:space="0" w:color="auto"/>
              <w:right w:val="single" w:sz="4" w:space="0" w:color="auto"/>
            </w:tcBorders>
            <w:hideMark/>
          </w:tcPr>
          <w:p w14:paraId="04136C0E" w14:textId="77777777" w:rsidR="003F1C55" w:rsidRPr="003F1C55" w:rsidRDefault="003F1C55" w:rsidP="00057475">
            <w:pPr>
              <w:spacing w:before="60" w:after="60" w:line="200" w:lineRule="atLeast"/>
              <w:ind w:left="57" w:right="57"/>
              <w:rPr>
                <w:rFonts w:eastAsia="Calibri"/>
                <w:bCs/>
                <w:noProof/>
                <w:color w:val="000000" w:themeColor="text1"/>
                <w:spacing w:val="-1"/>
                <w:sz w:val="14"/>
                <w:szCs w:val="14"/>
                <w:lang w:val="fr-FR"/>
              </w:rPr>
            </w:pPr>
            <w:r w:rsidRPr="003F1C55">
              <w:rPr>
                <w:rFonts w:eastAsia="Calibri"/>
                <w:bCs/>
                <w:noProof/>
                <w:color w:val="000000" w:themeColor="text1"/>
                <w:spacing w:val="-1"/>
                <w:sz w:val="14"/>
                <w:szCs w:val="14"/>
                <w:lang w:val="fr-FR"/>
              </w:rPr>
              <w:t xml:space="preserve">Essai </w:t>
            </w:r>
            <w:r w:rsidRPr="003F1C55">
              <w:rPr>
                <w:rFonts w:eastAsia="Calibri"/>
                <w:bCs/>
                <w:i/>
                <w:noProof/>
                <w:color w:val="000000" w:themeColor="text1"/>
                <w:spacing w:val="-1"/>
                <w:sz w:val="14"/>
                <w:szCs w:val="14"/>
                <w:lang w:val="fr-FR"/>
              </w:rPr>
              <w:t>in vitro</w:t>
            </w:r>
            <w:r w:rsidRPr="003F1C55">
              <w:rPr>
                <w:rFonts w:eastAsia="Calibri"/>
                <w:bCs/>
                <w:noProof/>
                <w:color w:val="000000" w:themeColor="text1"/>
                <w:spacing w:val="-1"/>
                <w:sz w:val="14"/>
                <w:szCs w:val="14"/>
                <w:lang w:val="fr-FR"/>
              </w:rPr>
              <w:t xml:space="preserve"> réalisé à partir d’une matrice macromoléculaire du pois sabre blanc (</w:t>
            </w:r>
            <w:r w:rsidRPr="003F1C55">
              <w:rPr>
                <w:rFonts w:eastAsia="Calibri"/>
                <w:bCs/>
                <w:i/>
                <w:noProof/>
                <w:color w:val="000000" w:themeColor="text1"/>
                <w:spacing w:val="-1"/>
                <w:sz w:val="14"/>
                <w:szCs w:val="14"/>
                <w:lang w:val="fr-FR"/>
              </w:rPr>
              <w:t>Canavalis enisformis)</w:t>
            </w:r>
            <w:r w:rsidRPr="003F1C55">
              <w:rPr>
                <w:rFonts w:eastAsia="Calibri"/>
                <w:bCs/>
                <w:noProof/>
                <w:color w:val="000000" w:themeColor="text1"/>
                <w:spacing w:val="-1"/>
                <w:sz w:val="14"/>
                <w:szCs w:val="14"/>
                <w:lang w:val="fr-FR"/>
              </w:rPr>
              <w:t xml:space="preserve">. La matrice macromoléculaire est la cible du produit chimique testé ; elle est composée d’un mélange de protéines, de glycoprotéines, de glucides, de lipides et d’éléments à faible masse moléculaire qui forment une structure </w:t>
            </w:r>
            <w:r w:rsidRPr="003F1C55">
              <w:rPr>
                <w:rFonts w:eastAsia="Times New Roman"/>
                <w:spacing w:val="-1"/>
                <w:sz w:val="14"/>
                <w:szCs w:val="14"/>
              </w:rPr>
              <w:t>gélifiée</w:t>
            </w:r>
            <w:r w:rsidRPr="003F1C55">
              <w:rPr>
                <w:rFonts w:eastAsia="Calibri"/>
                <w:bCs/>
                <w:noProof/>
                <w:color w:val="000000" w:themeColor="text1"/>
                <w:spacing w:val="-1"/>
                <w:sz w:val="14"/>
                <w:szCs w:val="14"/>
                <w:lang w:val="fr-FR"/>
              </w:rPr>
              <w:t xml:space="preserve"> hautement organisée et transparente après réhydratation. Les produits chimiques testés, causant des lésions oculaires, induisent une désorganisation et une désagrégation de la structure hautement organisée de la matrice macromoléculaire, ce qui génère une turbidité du réactif macromoléculaire. Ce phénomène est quantifié en mesurant les changements dans la diffusion de la lumière.</w:t>
            </w:r>
          </w:p>
          <w:p w14:paraId="78251718" w14:textId="77777777" w:rsidR="003F1C55" w:rsidRPr="003F1C55" w:rsidRDefault="003F1C55" w:rsidP="00057475">
            <w:pPr>
              <w:spacing w:before="60" w:after="60" w:line="200" w:lineRule="atLeast"/>
              <w:ind w:left="57" w:right="57"/>
              <w:rPr>
                <w:rFonts w:eastAsia="Calibri"/>
                <w:b/>
                <w:bCs/>
                <w:noProof/>
                <w:color w:val="000000" w:themeColor="text1"/>
                <w:spacing w:val="-1"/>
                <w:sz w:val="14"/>
                <w:szCs w:val="14"/>
                <w:lang w:val="fr-FR"/>
              </w:rPr>
            </w:pPr>
            <w:r w:rsidRPr="003F1C55">
              <w:rPr>
                <w:rFonts w:eastAsia="Calibri"/>
                <w:b/>
                <w:bCs/>
                <w:noProof/>
                <w:color w:val="000000" w:themeColor="text1"/>
                <w:spacing w:val="-1"/>
                <w:sz w:val="14"/>
                <w:szCs w:val="14"/>
                <w:lang w:val="fr-FR"/>
              </w:rPr>
              <w:t>Critères fondés sur un score maximal qualifié (SMQ) obtenu à la lecture de la densité optique à différentes concentrations, au moyen d’un logiciel.</w:t>
            </w:r>
          </w:p>
        </w:tc>
      </w:tr>
      <w:tr w:rsidR="003F1C55" w:rsidRPr="004C2A3C" w14:paraId="70A78E56" w14:textId="77777777" w:rsidTr="00057475">
        <w:trPr>
          <w:trHeight w:val="1454"/>
        </w:trPr>
        <w:tc>
          <w:tcPr>
            <w:tcW w:w="29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706D4BA" w14:textId="77777777" w:rsidR="003F1C55" w:rsidRPr="004C2A3C" w:rsidRDefault="003F1C55" w:rsidP="00057475">
            <w:pPr>
              <w:spacing w:before="40" w:after="40" w:line="200" w:lineRule="atLeast"/>
              <w:ind w:left="57" w:right="57"/>
              <w:jc w:val="center"/>
              <w:rPr>
                <w:rFonts w:eastAsia="Calibri"/>
                <w:b/>
                <w:bCs/>
                <w:noProof/>
                <w:color w:val="000000" w:themeColor="text1"/>
                <w:sz w:val="14"/>
                <w:szCs w:val="14"/>
              </w:rPr>
            </w:pPr>
            <w:r w:rsidRPr="004C2A3C">
              <w:rPr>
                <w:rFonts w:eastAsia="Calibri"/>
                <w:b/>
                <w:bCs/>
                <w:noProof/>
                <w:color w:val="000000" w:themeColor="text1"/>
                <w:sz w:val="14"/>
                <w:szCs w:val="14"/>
              </w:rPr>
              <w:t>1</w:t>
            </w:r>
          </w:p>
        </w:tc>
        <w:tc>
          <w:tcPr>
            <w:tcW w:w="3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C1BADBF" w14:textId="77777777" w:rsidR="003F1C55" w:rsidRPr="004C2A3C" w:rsidRDefault="003F1C55" w:rsidP="00057475">
            <w:pPr>
              <w:spacing w:before="40" w:after="40" w:line="200" w:lineRule="atLeast"/>
              <w:ind w:left="57" w:right="57"/>
              <w:jc w:val="center"/>
              <w:rPr>
                <w:rFonts w:eastAsia="Calibri"/>
                <w:bCs/>
                <w:noProof/>
                <w:color w:val="000000" w:themeColor="text1"/>
                <w:sz w:val="14"/>
                <w:szCs w:val="14"/>
              </w:rPr>
            </w:pPr>
            <w:r w:rsidRPr="004C2A3C">
              <w:rPr>
                <w:rFonts w:eastAsia="Times New Roman"/>
                <w:sz w:val="14"/>
                <w:szCs w:val="14"/>
              </w:rPr>
              <w:t>Opacimètre</w:t>
            </w:r>
            <w:r w:rsidRPr="004C2A3C">
              <w:rPr>
                <w:rFonts w:eastAsia="Calibri"/>
                <w:bCs/>
                <w:noProof/>
                <w:color w:val="000000" w:themeColor="text1"/>
                <w:sz w:val="14"/>
                <w:szCs w:val="14"/>
              </w:rPr>
              <w:t xml:space="preserve"> </w:t>
            </w:r>
            <w:r w:rsidRPr="004C2A3C">
              <w:rPr>
                <w:rFonts w:eastAsia="Calibri"/>
                <w:bCs/>
                <w:noProof/>
                <w:color w:val="000000" w:themeColor="text1"/>
                <w:sz w:val="14"/>
                <w:szCs w:val="14"/>
              </w:rPr>
              <w:br/>
              <w:t>1</w:t>
            </w:r>
          </w:p>
          <w:p w14:paraId="7CE571D8" w14:textId="77777777" w:rsidR="003F1C55" w:rsidRPr="004C2A3C" w:rsidRDefault="003F1C55" w:rsidP="00057475">
            <w:pPr>
              <w:spacing w:before="40" w:after="40" w:line="200" w:lineRule="atLeast"/>
              <w:ind w:left="57" w:right="57"/>
              <w:jc w:val="center"/>
              <w:rPr>
                <w:rFonts w:eastAsia="Times New Roman"/>
                <w:bCs/>
                <w:noProof/>
                <w:color w:val="000000" w:themeColor="text1"/>
                <w:sz w:val="14"/>
                <w:szCs w:val="14"/>
              </w:rPr>
            </w:pPr>
            <w:r w:rsidRPr="004C2A3C">
              <w:rPr>
                <w:rFonts w:eastAsia="Calibri"/>
                <w:bCs/>
                <w:noProof/>
                <w:color w:val="000000" w:themeColor="text1"/>
                <w:sz w:val="14"/>
                <w:szCs w:val="14"/>
              </w:rPr>
              <w:t>IVIS &gt; 55</w:t>
            </w:r>
          </w:p>
        </w:tc>
        <w:tc>
          <w:tcPr>
            <w:tcW w:w="355" w:type="pct"/>
            <w:tcBorders>
              <w:top w:val="single" w:sz="4" w:space="0" w:color="auto"/>
              <w:left w:val="single" w:sz="4" w:space="0" w:color="auto"/>
              <w:bottom w:val="single" w:sz="4" w:space="0" w:color="auto"/>
              <w:right w:val="single" w:sz="4" w:space="0" w:color="auto"/>
            </w:tcBorders>
          </w:tcPr>
          <w:p w14:paraId="094D563F" w14:textId="77777777" w:rsidR="003F1C55" w:rsidRPr="004C2A3C" w:rsidRDefault="003F1C55" w:rsidP="00057475">
            <w:pPr>
              <w:spacing w:before="40" w:after="40" w:line="200" w:lineRule="atLeast"/>
              <w:ind w:left="57" w:right="57"/>
              <w:jc w:val="center"/>
              <w:rPr>
                <w:rFonts w:eastAsia="Calibri"/>
                <w:bCs/>
                <w:noProof/>
                <w:color w:val="000000" w:themeColor="text1"/>
                <w:sz w:val="14"/>
                <w:szCs w:val="14"/>
                <w:lang w:val="fr-FR"/>
              </w:rPr>
            </w:pPr>
            <w:r w:rsidRPr="004C2A3C">
              <w:rPr>
                <w:rFonts w:eastAsia="Times New Roman"/>
                <w:sz w:val="14"/>
                <w:szCs w:val="14"/>
              </w:rPr>
              <w:t>Opacimètre</w:t>
            </w:r>
            <w:r w:rsidRPr="004C2A3C">
              <w:rPr>
                <w:rFonts w:eastAsia="Calibri"/>
                <w:bCs/>
                <w:noProof/>
                <w:color w:val="000000" w:themeColor="text1"/>
                <w:sz w:val="14"/>
                <w:szCs w:val="14"/>
                <w:lang w:val="fr-FR"/>
              </w:rPr>
              <w:t xml:space="preserve"> </w:t>
            </w:r>
            <w:r w:rsidRPr="004C2A3C">
              <w:rPr>
                <w:rFonts w:eastAsia="Calibri"/>
                <w:bCs/>
                <w:noProof/>
                <w:color w:val="000000" w:themeColor="text1"/>
                <w:sz w:val="14"/>
                <w:szCs w:val="14"/>
                <w:lang w:val="fr-FR"/>
              </w:rPr>
              <w:br/>
              <w:t>2</w:t>
            </w:r>
          </w:p>
          <w:p w14:paraId="76F25C37" w14:textId="77777777" w:rsidR="003F1C55" w:rsidRPr="004C2A3C" w:rsidRDefault="003F1C55" w:rsidP="00057475">
            <w:pPr>
              <w:spacing w:before="40" w:after="40" w:line="200" w:lineRule="atLeast"/>
              <w:ind w:left="57" w:right="57"/>
              <w:jc w:val="center"/>
              <w:rPr>
                <w:rFonts w:eastAsia="Calibri"/>
                <w:bCs/>
                <w:noProof/>
                <w:color w:val="000000" w:themeColor="text1"/>
                <w:sz w:val="14"/>
                <w:szCs w:val="14"/>
              </w:rPr>
            </w:pPr>
            <w:r w:rsidRPr="004C2A3C">
              <w:rPr>
                <w:rFonts w:eastAsia="Calibri"/>
                <w:bCs/>
                <w:noProof/>
                <w:color w:val="000000" w:themeColor="text1"/>
                <w:sz w:val="14"/>
                <w:szCs w:val="14"/>
                <w:lang w:val="fr-FR"/>
              </w:rPr>
              <w:t xml:space="preserve">LIS &gt; 30 et lux/7 ≤ 145 et OD490 &gt;2,5, </w:t>
            </w:r>
            <w:r w:rsidRPr="004C2A3C">
              <w:rPr>
                <w:rFonts w:eastAsia="Calibri"/>
                <w:bCs/>
                <w:noProof/>
                <w:color w:val="000000" w:themeColor="text1"/>
                <w:sz w:val="14"/>
                <w:szCs w:val="14"/>
                <w:lang w:val="fr-FR"/>
              </w:rPr>
              <w:br/>
            </w:r>
            <w:r w:rsidRPr="004C2A3C">
              <w:rPr>
                <w:rFonts w:eastAsia="Times New Roman"/>
                <w:sz w:val="14"/>
                <w:szCs w:val="14"/>
              </w:rPr>
              <w:t>OU</w:t>
            </w:r>
            <w:r w:rsidRPr="004C2A3C">
              <w:rPr>
                <w:rFonts w:eastAsia="Times New Roman"/>
                <w:sz w:val="14"/>
                <w:szCs w:val="14"/>
              </w:rPr>
              <w:br/>
            </w:r>
            <w:r w:rsidRPr="004C2A3C">
              <w:rPr>
                <w:rFonts w:eastAsia="Calibri"/>
                <w:bCs/>
                <w:noProof/>
                <w:color w:val="000000" w:themeColor="text1"/>
                <w:sz w:val="14"/>
                <w:szCs w:val="14"/>
              </w:rPr>
              <w:t>LIS &gt; 30 et lux/7 &gt; 145</w:t>
            </w:r>
          </w:p>
        </w:tc>
        <w:tc>
          <w:tcPr>
            <w:tcW w:w="60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AC8A610" w14:textId="77777777" w:rsidR="003F1C55" w:rsidRPr="004C2A3C" w:rsidRDefault="003F1C55" w:rsidP="00057475">
            <w:pPr>
              <w:spacing w:before="40" w:after="40" w:line="200" w:lineRule="atLeast"/>
              <w:ind w:left="57" w:right="57"/>
              <w:jc w:val="center"/>
              <w:rPr>
                <w:rFonts w:eastAsia="Calibri"/>
                <w:bCs/>
                <w:noProof/>
                <w:color w:val="000000" w:themeColor="text1"/>
                <w:sz w:val="14"/>
                <w:szCs w:val="14"/>
              </w:rPr>
            </w:pPr>
            <w:r w:rsidRPr="004C2A3C">
              <w:rPr>
                <w:rFonts w:eastAsia="Calibri"/>
                <w:bCs/>
                <w:noProof/>
                <w:color w:val="000000" w:themeColor="text1"/>
                <w:sz w:val="14"/>
                <w:szCs w:val="14"/>
                <w:lang w:val="fr-FR"/>
              </w:rPr>
              <w:t xml:space="preserve">Au </w:t>
            </w:r>
            <w:r w:rsidRPr="004C2A3C">
              <w:rPr>
                <w:rFonts w:eastAsia="Times New Roman"/>
                <w:sz w:val="14"/>
                <w:szCs w:val="14"/>
              </w:rPr>
              <w:t>moins</w:t>
            </w:r>
            <w:r w:rsidRPr="004C2A3C">
              <w:rPr>
                <w:rFonts w:eastAsia="Calibri"/>
                <w:bCs/>
                <w:noProof/>
                <w:color w:val="000000" w:themeColor="text1"/>
                <w:sz w:val="14"/>
                <w:szCs w:val="14"/>
                <w:lang w:val="fr-FR"/>
              </w:rPr>
              <w:t xml:space="preserve"> 2 OPI de classe IV, </w:t>
            </w:r>
            <w:r w:rsidRPr="004C2A3C">
              <w:rPr>
                <w:rFonts w:eastAsia="Calibri"/>
                <w:bCs/>
                <w:noProof/>
                <w:color w:val="000000" w:themeColor="text1"/>
                <w:sz w:val="14"/>
                <w:szCs w:val="14"/>
                <w:lang w:val="fr-FR"/>
              </w:rPr>
              <w:br/>
              <w:t>OU</w:t>
            </w:r>
            <w:r w:rsidRPr="004C2A3C">
              <w:rPr>
                <w:rFonts w:eastAsia="Calibri"/>
                <w:bCs/>
                <w:noProof/>
                <w:color w:val="000000" w:themeColor="text1"/>
                <w:sz w:val="14"/>
                <w:szCs w:val="14"/>
                <w:lang w:val="fr-FR"/>
              </w:rPr>
              <w:br/>
              <w:t xml:space="preserve">opacité de la cornée = 3 à 30 min (dans au moins 2 yeux), </w:t>
            </w:r>
            <w:r w:rsidRPr="004C2A3C">
              <w:rPr>
                <w:rFonts w:eastAsia="Calibri"/>
                <w:bCs/>
                <w:noProof/>
                <w:color w:val="000000" w:themeColor="text1"/>
                <w:sz w:val="14"/>
                <w:szCs w:val="14"/>
                <w:lang w:val="fr-FR"/>
              </w:rPr>
              <w:br/>
              <w:t>OU</w:t>
            </w:r>
            <w:r w:rsidRPr="004C2A3C">
              <w:rPr>
                <w:rFonts w:eastAsia="Calibri"/>
                <w:bCs/>
                <w:noProof/>
                <w:color w:val="000000" w:themeColor="text1"/>
                <w:sz w:val="14"/>
                <w:szCs w:val="14"/>
                <w:lang w:val="fr-FR"/>
              </w:rPr>
              <w:br/>
              <w:t xml:space="preserve">opacité de la cornée = 4 à tout </w:t>
            </w:r>
            <w:r w:rsidRPr="004C2A3C">
              <w:rPr>
                <w:rFonts w:eastAsia="Times New Roman"/>
                <w:sz w:val="14"/>
                <w:szCs w:val="14"/>
              </w:rPr>
              <w:t>moment</w:t>
            </w:r>
            <w:r w:rsidRPr="004C2A3C">
              <w:rPr>
                <w:rFonts w:eastAsia="Calibri"/>
                <w:bCs/>
                <w:noProof/>
                <w:color w:val="000000" w:themeColor="text1"/>
                <w:sz w:val="14"/>
                <w:szCs w:val="14"/>
                <w:lang w:val="fr-FR"/>
              </w:rPr>
              <w:t xml:space="preserve"> (dans au moins 2 yeux), OU décollement prononcé de l</w:t>
            </w:r>
            <w:r>
              <w:rPr>
                <w:rFonts w:eastAsia="Calibri"/>
                <w:bCs/>
                <w:noProof/>
                <w:color w:val="000000" w:themeColor="text1"/>
                <w:sz w:val="14"/>
                <w:szCs w:val="14"/>
                <w:lang w:val="fr-FR"/>
              </w:rPr>
              <w:t>’</w:t>
            </w:r>
            <w:r w:rsidRPr="004C2A3C">
              <w:rPr>
                <w:rFonts w:eastAsia="Calibri"/>
                <w:bCs/>
                <w:noProof/>
                <w:color w:val="000000" w:themeColor="text1"/>
                <w:sz w:val="14"/>
                <w:szCs w:val="14"/>
                <w:lang w:val="fr-FR"/>
              </w:rPr>
              <w:t xml:space="preserve">épithélium (dans au moins 1 oeil), OU </w:t>
            </w:r>
            <w:r w:rsidRPr="004C2A3C">
              <w:rPr>
                <w:rFonts w:eastAsia="Times New Roman"/>
                <w:color w:val="000000" w:themeColor="text1"/>
                <w:sz w:val="14"/>
                <w:szCs w:val="14"/>
              </w:rPr>
              <w:t xml:space="preserve">certains effets </w:t>
            </w:r>
            <w:proofErr w:type="spellStart"/>
            <w:r w:rsidRPr="004C2A3C">
              <w:rPr>
                <w:rFonts w:eastAsia="Times New Roman"/>
                <w:color w:val="000000" w:themeColor="text1"/>
                <w:sz w:val="14"/>
                <w:szCs w:val="14"/>
              </w:rPr>
              <w:t>histopathologiques</w:t>
            </w:r>
            <w:r w:rsidRPr="004C2A3C">
              <w:rPr>
                <w:rFonts w:eastAsia="Times New Roman"/>
                <w:i/>
                <w:iCs/>
                <w:color w:val="000000" w:themeColor="text1"/>
                <w:sz w:val="14"/>
                <w:szCs w:val="14"/>
                <w:vertAlign w:val="superscript"/>
              </w:rPr>
              <w:t>b</w:t>
            </w:r>
            <w:proofErr w:type="spellEnd"/>
          </w:p>
        </w:tc>
        <w:tc>
          <w:tcPr>
            <w:tcW w:w="605" w:type="pct"/>
            <w:tcBorders>
              <w:top w:val="single" w:sz="4" w:space="0" w:color="auto"/>
              <w:left w:val="single" w:sz="4" w:space="0" w:color="auto"/>
              <w:bottom w:val="single" w:sz="4" w:space="0" w:color="auto"/>
              <w:right w:val="single" w:sz="4" w:space="0" w:color="auto"/>
            </w:tcBorders>
            <w:hideMark/>
          </w:tcPr>
          <w:p w14:paraId="0E9785DD" w14:textId="77777777" w:rsidR="003F1C55" w:rsidRPr="004C2A3C" w:rsidRDefault="003F1C55" w:rsidP="00057475">
            <w:pPr>
              <w:spacing w:before="40" w:after="40" w:line="200" w:lineRule="atLeast"/>
              <w:ind w:left="57" w:right="57"/>
              <w:jc w:val="center"/>
              <w:rPr>
                <w:rFonts w:eastAsia="Calibri"/>
                <w:bCs/>
                <w:noProof/>
                <w:color w:val="000000" w:themeColor="text1"/>
                <w:sz w:val="14"/>
                <w:szCs w:val="14"/>
                <w:lang w:val="fr-FR"/>
              </w:rPr>
            </w:pPr>
            <w:r w:rsidRPr="004C2A3C">
              <w:rPr>
                <w:rFonts w:eastAsia="Calibri"/>
                <w:bCs/>
                <w:noProof/>
                <w:color w:val="000000" w:themeColor="text1"/>
                <w:sz w:val="14"/>
                <w:szCs w:val="14"/>
                <w:lang w:val="fr-FR"/>
              </w:rPr>
              <w:t>Concentration chimique entraînant une diffusion de fluorescéine de 20 % (FL</w:t>
            </w:r>
            <w:r w:rsidRPr="004C2A3C">
              <w:rPr>
                <w:rFonts w:eastAsia="Calibri"/>
                <w:bCs/>
                <w:noProof/>
                <w:color w:val="000000" w:themeColor="text1"/>
                <w:sz w:val="14"/>
                <w:szCs w:val="14"/>
                <w:vertAlign w:val="subscript"/>
                <w:lang w:val="fr-FR"/>
              </w:rPr>
              <w:t>20</w:t>
            </w:r>
            <w:r w:rsidRPr="004C2A3C">
              <w:rPr>
                <w:rFonts w:eastAsia="Calibri"/>
                <w:bCs/>
                <w:noProof/>
                <w:color w:val="000000" w:themeColor="text1"/>
                <w:sz w:val="14"/>
                <w:szCs w:val="14"/>
                <w:lang w:val="fr-FR"/>
              </w:rPr>
              <w:t>) ≤100 </w:t>
            </w:r>
            <w:r w:rsidRPr="004C2A3C">
              <w:rPr>
                <w:rFonts w:eastAsia="Times New Roman"/>
                <w:sz w:val="14"/>
                <w:szCs w:val="14"/>
              </w:rPr>
              <w:t>mg</w:t>
            </w:r>
            <w:r w:rsidRPr="004C2A3C">
              <w:rPr>
                <w:rFonts w:eastAsia="Calibri"/>
                <w:bCs/>
                <w:noProof/>
                <w:color w:val="000000" w:themeColor="text1"/>
                <w:sz w:val="14"/>
                <w:szCs w:val="14"/>
                <w:lang w:val="fr-FR"/>
              </w:rPr>
              <w:t>/mL</w:t>
            </w:r>
          </w:p>
        </w:tc>
        <w:tc>
          <w:tcPr>
            <w:tcW w:w="60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5F71ECA" w14:textId="77777777" w:rsidR="003F1C55" w:rsidRPr="004C2A3C" w:rsidRDefault="003F1C55" w:rsidP="00057475">
            <w:pPr>
              <w:spacing w:before="40" w:after="40" w:line="200" w:lineRule="atLeast"/>
              <w:ind w:left="57" w:right="57"/>
              <w:jc w:val="center"/>
              <w:rPr>
                <w:rFonts w:eastAsia="Calibri"/>
                <w:bCs/>
                <w:noProof/>
                <w:color w:val="000000" w:themeColor="text1"/>
                <w:sz w:val="14"/>
                <w:szCs w:val="14"/>
              </w:rPr>
            </w:pPr>
            <w:r w:rsidRPr="004C2A3C">
              <w:rPr>
                <w:rFonts w:eastAsia="Calibri"/>
                <w:bCs/>
                <w:noProof/>
                <w:color w:val="000000" w:themeColor="text1"/>
                <w:sz w:val="14"/>
                <w:szCs w:val="14"/>
              </w:rPr>
              <w:t>Viabilité ≤70 % à 5 % et à 0,05 %</w:t>
            </w:r>
          </w:p>
        </w:tc>
        <w:tc>
          <w:tcPr>
            <w:tcW w:w="1143" w:type="pct"/>
            <w:gridSpan w:val="4"/>
            <w:tcBorders>
              <w:top w:val="single" w:sz="4" w:space="0" w:color="auto"/>
              <w:left w:val="single" w:sz="4" w:space="0" w:color="auto"/>
              <w:bottom w:val="single" w:sz="4" w:space="0" w:color="auto"/>
              <w:right w:val="single" w:sz="4" w:space="0" w:color="auto"/>
            </w:tcBorders>
            <w:hideMark/>
          </w:tcPr>
          <w:p w14:paraId="54650B5D" w14:textId="77777777" w:rsidR="003F1C55" w:rsidRPr="004C2A3C" w:rsidRDefault="003F1C55" w:rsidP="00057475">
            <w:pPr>
              <w:spacing w:before="40" w:after="40" w:line="200" w:lineRule="atLeast"/>
              <w:ind w:left="57" w:right="57"/>
              <w:jc w:val="center"/>
              <w:rPr>
                <w:rFonts w:eastAsia="Calibri"/>
                <w:bCs/>
                <w:noProof/>
                <w:color w:val="000000" w:themeColor="text1"/>
                <w:sz w:val="14"/>
                <w:szCs w:val="14"/>
                <w:lang w:val="fr-FR"/>
              </w:rPr>
            </w:pPr>
            <w:r w:rsidRPr="004C2A3C">
              <w:rPr>
                <w:rFonts w:eastAsia="Calibri"/>
                <w:bCs/>
                <w:noProof/>
                <w:color w:val="000000" w:themeColor="text1"/>
                <w:sz w:val="14"/>
                <w:szCs w:val="14"/>
                <w:lang w:val="fr-FR"/>
              </w:rPr>
              <w:t xml:space="preserve">Aucune prédiction indépendante </w:t>
            </w:r>
            <w:r w:rsidRPr="004C2A3C">
              <w:rPr>
                <w:rFonts w:eastAsia="Calibri"/>
                <w:bCs/>
                <w:noProof/>
                <w:color w:val="000000" w:themeColor="text1"/>
                <w:sz w:val="14"/>
                <w:szCs w:val="14"/>
                <w:lang w:val="fr-FR"/>
              </w:rPr>
              <w:br/>
              <w:t xml:space="preserve">ne peut être </w:t>
            </w:r>
            <w:r w:rsidRPr="004C2A3C">
              <w:rPr>
                <w:rFonts w:eastAsia="Times New Roman"/>
                <w:sz w:val="14"/>
                <w:szCs w:val="14"/>
              </w:rPr>
              <w:t>faite</w:t>
            </w:r>
          </w:p>
        </w:tc>
        <w:tc>
          <w:tcPr>
            <w:tcW w:w="520" w:type="pct"/>
            <w:tcBorders>
              <w:top w:val="single" w:sz="4" w:space="0" w:color="auto"/>
              <w:left w:val="single" w:sz="4" w:space="0" w:color="auto"/>
              <w:bottom w:val="single" w:sz="4" w:space="0" w:color="auto"/>
              <w:right w:val="single" w:sz="4" w:space="0" w:color="auto"/>
            </w:tcBorders>
            <w:hideMark/>
          </w:tcPr>
          <w:p w14:paraId="4371E2C6" w14:textId="77777777" w:rsidR="003F1C55" w:rsidRPr="004C2A3C" w:rsidRDefault="003F1C55" w:rsidP="00057475">
            <w:pPr>
              <w:spacing w:before="40" w:after="40" w:line="200" w:lineRule="atLeast"/>
              <w:ind w:left="57" w:right="57"/>
              <w:jc w:val="center"/>
              <w:rPr>
                <w:rFonts w:eastAsia="Calibri"/>
                <w:bCs/>
                <w:noProof/>
                <w:color w:val="000000" w:themeColor="text1"/>
                <w:sz w:val="14"/>
                <w:szCs w:val="14"/>
                <w:lang w:val="fr-FR"/>
              </w:rPr>
            </w:pPr>
            <w:r w:rsidRPr="004C2A3C">
              <w:rPr>
                <w:rFonts w:eastAsia="Calibri"/>
                <w:bCs/>
                <w:noProof/>
                <w:color w:val="000000" w:themeColor="text1"/>
                <w:sz w:val="14"/>
                <w:szCs w:val="14"/>
                <w:lang w:val="fr-FR"/>
              </w:rPr>
              <w:t xml:space="preserve">Aucune prédiction </w:t>
            </w:r>
            <w:r w:rsidRPr="004C2A3C">
              <w:rPr>
                <w:rFonts w:eastAsia="Times New Roman"/>
                <w:sz w:val="14"/>
                <w:szCs w:val="14"/>
              </w:rPr>
              <w:t>indépendante</w:t>
            </w:r>
            <w:r w:rsidRPr="004C2A3C">
              <w:rPr>
                <w:rFonts w:eastAsia="Calibri"/>
                <w:bCs/>
                <w:noProof/>
                <w:color w:val="000000" w:themeColor="text1"/>
                <w:sz w:val="14"/>
                <w:szCs w:val="14"/>
                <w:lang w:val="fr-FR"/>
              </w:rPr>
              <w:t xml:space="preserve"> ne peut être faite</w:t>
            </w:r>
          </w:p>
        </w:tc>
        <w:tc>
          <w:tcPr>
            <w:tcW w:w="520" w:type="pct"/>
            <w:tcBorders>
              <w:top w:val="single" w:sz="4" w:space="0" w:color="auto"/>
              <w:left w:val="single" w:sz="4" w:space="0" w:color="auto"/>
              <w:bottom w:val="single" w:sz="4" w:space="0" w:color="auto"/>
              <w:right w:val="single" w:sz="4" w:space="0" w:color="auto"/>
            </w:tcBorders>
            <w:hideMark/>
          </w:tcPr>
          <w:p w14:paraId="0315A6AB" w14:textId="77777777" w:rsidR="003F1C55" w:rsidRPr="004C2A3C" w:rsidRDefault="003F1C55" w:rsidP="00057475">
            <w:pPr>
              <w:spacing w:before="40" w:after="40" w:line="200" w:lineRule="atLeast"/>
              <w:ind w:left="57" w:right="57"/>
              <w:jc w:val="center"/>
              <w:rPr>
                <w:rFonts w:eastAsia="Calibri"/>
                <w:bCs/>
                <w:noProof/>
                <w:color w:val="000000" w:themeColor="text1"/>
                <w:sz w:val="14"/>
                <w:szCs w:val="14"/>
              </w:rPr>
            </w:pPr>
            <w:r w:rsidRPr="004C2A3C">
              <w:rPr>
                <w:rFonts w:eastAsia="Calibri"/>
                <w:bCs/>
                <w:noProof/>
                <w:color w:val="000000" w:themeColor="text1"/>
                <w:sz w:val="14"/>
                <w:szCs w:val="14"/>
              </w:rPr>
              <w:t>SMQ</w:t>
            </w:r>
            <w:r w:rsidRPr="004C2A3C">
              <w:rPr>
                <w:rFonts w:eastAsia="Times New Roman"/>
                <w:color w:val="000000" w:themeColor="text1"/>
                <w:sz w:val="14"/>
                <w:szCs w:val="14"/>
              </w:rPr>
              <w:t xml:space="preserve"> </w:t>
            </w:r>
            <w:r w:rsidRPr="004C2A3C">
              <w:rPr>
                <w:rFonts w:eastAsia="Calibri"/>
                <w:bCs/>
                <w:noProof/>
                <w:color w:val="000000" w:themeColor="text1"/>
                <w:sz w:val="14"/>
                <w:szCs w:val="14"/>
              </w:rPr>
              <w:t>&gt;30,0</w:t>
            </w:r>
          </w:p>
        </w:tc>
      </w:tr>
      <w:tr w:rsidR="003F1C55" w:rsidRPr="004562B4" w14:paraId="5E7C06F2" w14:textId="77777777" w:rsidTr="00057475">
        <w:trPr>
          <w:trHeight w:val="192"/>
        </w:trPr>
        <w:tc>
          <w:tcPr>
            <w:tcW w:w="29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70C7D7E" w14:textId="77777777" w:rsidR="003F1C55" w:rsidRPr="004C2A3C" w:rsidRDefault="003F1C55" w:rsidP="00057475">
            <w:pPr>
              <w:spacing w:before="40" w:after="40" w:line="200" w:lineRule="atLeast"/>
              <w:ind w:left="57" w:right="57"/>
              <w:jc w:val="center"/>
              <w:rPr>
                <w:rFonts w:eastAsia="Times New Roman"/>
                <w:b/>
                <w:bCs/>
                <w:noProof/>
                <w:color w:val="000000" w:themeColor="text1"/>
                <w:sz w:val="14"/>
                <w:szCs w:val="14"/>
              </w:rPr>
            </w:pPr>
            <w:r w:rsidRPr="004C2A3C">
              <w:rPr>
                <w:rFonts w:eastAsia="Times New Roman"/>
                <w:b/>
                <w:bCs/>
                <w:noProof/>
                <w:color w:val="000000" w:themeColor="text1"/>
                <w:sz w:val="14"/>
                <w:szCs w:val="14"/>
              </w:rPr>
              <w:t>2</w:t>
            </w:r>
            <w:r w:rsidRPr="004C2A3C">
              <w:rPr>
                <w:rFonts w:eastAsia="Times New Roman"/>
                <w:bCs/>
                <w:noProof/>
                <w:color w:val="000000" w:themeColor="text1"/>
                <w:sz w:val="14"/>
                <w:szCs w:val="14"/>
              </w:rPr>
              <w:t>/</w:t>
            </w:r>
            <w:r w:rsidRPr="004C2A3C">
              <w:rPr>
                <w:rFonts w:eastAsia="Times New Roman"/>
                <w:b/>
                <w:bCs/>
                <w:noProof/>
                <w:color w:val="000000" w:themeColor="text1"/>
                <w:sz w:val="14"/>
                <w:szCs w:val="14"/>
              </w:rPr>
              <w:t>2A</w:t>
            </w:r>
            <w:r w:rsidRPr="004C2A3C">
              <w:rPr>
                <w:rFonts w:eastAsia="Times New Roman"/>
                <w:bCs/>
                <w:noProof/>
                <w:color w:val="000000" w:themeColor="text1"/>
                <w:sz w:val="14"/>
                <w:szCs w:val="14"/>
              </w:rPr>
              <w:t>/</w:t>
            </w:r>
            <w:r w:rsidRPr="004C2A3C">
              <w:rPr>
                <w:rFonts w:eastAsia="Times New Roman"/>
                <w:b/>
                <w:bCs/>
                <w:noProof/>
                <w:color w:val="000000" w:themeColor="text1"/>
                <w:sz w:val="14"/>
                <w:szCs w:val="14"/>
              </w:rPr>
              <w:t>2B</w:t>
            </w:r>
          </w:p>
        </w:tc>
        <w:tc>
          <w:tcPr>
            <w:tcW w:w="3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5372C1A" w14:textId="77777777" w:rsidR="003F1C55" w:rsidRPr="004C2A3C" w:rsidRDefault="003F1C55" w:rsidP="00057475">
            <w:pPr>
              <w:spacing w:before="40" w:after="40" w:line="200" w:lineRule="atLeast"/>
              <w:ind w:left="57" w:right="57"/>
              <w:jc w:val="center"/>
              <w:rPr>
                <w:rFonts w:eastAsia="Times New Roman"/>
                <w:bCs/>
                <w:noProof/>
                <w:color w:val="000000" w:themeColor="text1"/>
                <w:sz w:val="14"/>
                <w:szCs w:val="14"/>
                <w:lang w:val="fr-FR"/>
              </w:rPr>
            </w:pPr>
            <w:r w:rsidRPr="004C2A3C">
              <w:rPr>
                <w:rFonts w:eastAsia="Calibri"/>
                <w:bCs/>
                <w:noProof/>
                <w:color w:val="000000" w:themeColor="text1"/>
                <w:sz w:val="14"/>
                <w:szCs w:val="14"/>
                <w:lang w:val="fr-FR"/>
              </w:rPr>
              <w:t>Aucune prédiction indépendante ne peut être faite</w:t>
            </w:r>
          </w:p>
        </w:tc>
        <w:tc>
          <w:tcPr>
            <w:tcW w:w="355" w:type="pct"/>
            <w:tcBorders>
              <w:top w:val="single" w:sz="4" w:space="0" w:color="auto"/>
              <w:left w:val="single" w:sz="4" w:space="0" w:color="auto"/>
              <w:bottom w:val="single" w:sz="4" w:space="0" w:color="auto"/>
              <w:right w:val="single" w:sz="4" w:space="0" w:color="auto"/>
            </w:tcBorders>
            <w:vAlign w:val="center"/>
            <w:hideMark/>
          </w:tcPr>
          <w:p w14:paraId="10A3DFC7" w14:textId="77777777" w:rsidR="003F1C55" w:rsidRPr="004C2A3C" w:rsidRDefault="003F1C55" w:rsidP="00057475">
            <w:pPr>
              <w:spacing w:before="40" w:after="40" w:line="200" w:lineRule="atLeast"/>
              <w:ind w:left="57" w:right="57"/>
              <w:jc w:val="center"/>
              <w:rPr>
                <w:rFonts w:eastAsia="Times New Roman"/>
                <w:bCs/>
                <w:noProof/>
                <w:color w:val="000000" w:themeColor="text1"/>
                <w:sz w:val="14"/>
                <w:szCs w:val="14"/>
                <w:lang w:val="fr-FR"/>
              </w:rPr>
            </w:pPr>
            <w:r w:rsidRPr="004C2A3C">
              <w:rPr>
                <w:rFonts w:eastAsia="Calibri"/>
                <w:bCs/>
                <w:noProof/>
                <w:color w:val="000000" w:themeColor="text1"/>
                <w:sz w:val="14"/>
                <w:szCs w:val="14"/>
                <w:lang w:val="fr-FR"/>
              </w:rPr>
              <w:t xml:space="preserve">Aucune prédiction indépendante ne peut </w:t>
            </w:r>
            <w:r w:rsidRPr="004C2A3C">
              <w:rPr>
                <w:rFonts w:eastAsia="Times New Roman"/>
                <w:sz w:val="14"/>
                <w:szCs w:val="14"/>
              </w:rPr>
              <w:t>être</w:t>
            </w:r>
            <w:r w:rsidRPr="004C2A3C">
              <w:rPr>
                <w:rFonts w:eastAsia="Calibri"/>
                <w:bCs/>
                <w:noProof/>
                <w:color w:val="000000" w:themeColor="text1"/>
                <w:sz w:val="14"/>
                <w:szCs w:val="14"/>
                <w:lang w:val="fr-FR"/>
              </w:rPr>
              <w:t xml:space="preserve"> faite</w:t>
            </w:r>
          </w:p>
        </w:tc>
        <w:tc>
          <w:tcPr>
            <w:tcW w:w="60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9CC9235" w14:textId="77777777" w:rsidR="003F1C55" w:rsidRPr="004C2A3C" w:rsidRDefault="003F1C55" w:rsidP="00057475">
            <w:pPr>
              <w:spacing w:before="40" w:after="40" w:line="200" w:lineRule="atLeast"/>
              <w:ind w:left="57" w:right="57"/>
              <w:jc w:val="center"/>
              <w:rPr>
                <w:rFonts w:eastAsia="Times New Roman"/>
                <w:bCs/>
                <w:noProof/>
                <w:color w:val="000000" w:themeColor="text1"/>
                <w:sz w:val="14"/>
                <w:szCs w:val="14"/>
                <w:lang w:val="fr-FR"/>
              </w:rPr>
            </w:pPr>
            <w:r w:rsidRPr="004C2A3C">
              <w:rPr>
                <w:rFonts w:eastAsia="Calibri"/>
                <w:bCs/>
                <w:noProof/>
                <w:color w:val="000000" w:themeColor="text1"/>
                <w:sz w:val="14"/>
                <w:szCs w:val="14"/>
                <w:lang w:val="fr-FR"/>
              </w:rPr>
              <w:t xml:space="preserve">Aucune </w:t>
            </w:r>
            <w:r w:rsidRPr="004C2A3C">
              <w:rPr>
                <w:rFonts w:eastAsia="Times New Roman"/>
                <w:sz w:val="14"/>
                <w:szCs w:val="14"/>
              </w:rPr>
              <w:t>prédiction</w:t>
            </w:r>
            <w:r w:rsidRPr="004C2A3C">
              <w:rPr>
                <w:rFonts w:eastAsia="Calibri"/>
                <w:bCs/>
                <w:noProof/>
                <w:color w:val="000000" w:themeColor="text1"/>
                <w:sz w:val="14"/>
                <w:szCs w:val="14"/>
                <w:lang w:val="fr-FR"/>
              </w:rPr>
              <w:t xml:space="preserve"> indépendante ne peut être faite</w:t>
            </w:r>
          </w:p>
        </w:tc>
        <w:tc>
          <w:tcPr>
            <w:tcW w:w="605" w:type="pct"/>
            <w:tcBorders>
              <w:top w:val="single" w:sz="4" w:space="0" w:color="auto"/>
              <w:left w:val="single" w:sz="4" w:space="0" w:color="auto"/>
              <w:bottom w:val="single" w:sz="4" w:space="0" w:color="auto"/>
              <w:right w:val="single" w:sz="4" w:space="0" w:color="auto"/>
            </w:tcBorders>
            <w:hideMark/>
          </w:tcPr>
          <w:p w14:paraId="3811EEF2" w14:textId="77777777" w:rsidR="003F1C55" w:rsidRPr="004C2A3C" w:rsidRDefault="003F1C55" w:rsidP="00057475">
            <w:pPr>
              <w:spacing w:before="40" w:after="40" w:line="200" w:lineRule="atLeast"/>
              <w:ind w:left="57" w:right="57"/>
              <w:jc w:val="center"/>
              <w:rPr>
                <w:rFonts w:eastAsia="Calibri"/>
                <w:bCs/>
                <w:noProof/>
                <w:color w:val="000000" w:themeColor="text1"/>
                <w:sz w:val="14"/>
                <w:szCs w:val="14"/>
                <w:lang w:val="fr-FR"/>
              </w:rPr>
            </w:pPr>
            <w:r w:rsidRPr="004C2A3C">
              <w:rPr>
                <w:rFonts w:eastAsia="Calibri"/>
                <w:bCs/>
                <w:noProof/>
                <w:color w:val="000000" w:themeColor="text1"/>
                <w:sz w:val="14"/>
                <w:szCs w:val="14"/>
                <w:lang w:val="fr-FR"/>
              </w:rPr>
              <w:t xml:space="preserve">Aucune prédiction indépendante </w:t>
            </w:r>
            <w:r w:rsidRPr="004C2A3C">
              <w:rPr>
                <w:rFonts w:eastAsia="Times New Roman"/>
                <w:sz w:val="14"/>
                <w:szCs w:val="14"/>
              </w:rPr>
              <w:t>ne</w:t>
            </w:r>
            <w:r w:rsidRPr="004C2A3C">
              <w:rPr>
                <w:rFonts w:eastAsia="Calibri"/>
                <w:bCs/>
                <w:noProof/>
                <w:color w:val="000000" w:themeColor="text1"/>
                <w:sz w:val="14"/>
                <w:szCs w:val="14"/>
                <w:lang w:val="fr-FR"/>
              </w:rPr>
              <w:t xml:space="preserve"> peut être faite</w:t>
            </w:r>
          </w:p>
        </w:tc>
        <w:tc>
          <w:tcPr>
            <w:tcW w:w="60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3087EC6" w14:textId="77777777" w:rsidR="003F1C55" w:rsidRPr="004C2A3C" w:rsidRDefault="003F1C55" w:rsidP="00057475">
            <w:pPr>
              <w:spacing w:before="40" w:after="40" w:line="200" w:lineRule="atLeast"/>
              <w:ind w:left="57" w:right="57"/>
              <w:jc w:val="center"/>
              <w:rPr>
                <w:rFonts w:eastAsia="Times New Roman"/>
                <w:bCs/>
                <w:noProof/>
                <w:color w:val="000000" w:themeColor="text1"/>
                <w:sz w:val="14"/>
                <w:szCs w:val="14"/>
                <w:lang w:val="fr-FR"/>
              </w:rPr>
            </w:pPr>
            <w:r w:rsidRPr="004C2A3C">
              <w:rPr>
                <w:rFonts w:eastAsia="Calibri"/>
                <w:bCs/>
                <w:noProof/>
                <w:color w:val="000000" w:themeColor="text1"/>
                <w:sz w:val="14"/>
                <w:szCs w:val="14"/>
                <w:lang w:val="fr-FR"/>
              </w:rPr>
              <w:t>Aucune prédiction indépendante ne peut être faite</w:t>
            </w:r>
          </w:p>
        </w:tc>
        <w:tc>
          <w:tcPr>
            <w:tcW w:w="1143" w:type="pct"/>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7F44900" w14:textId="77777777" w:rsidR="003F1C55" w:rsidRPr="004C2A3C" w:rsidRDefault="003F1C55" w:rsidP="00057475">
            <w:pPr>
              <w:spacing w:before="40" w:after="40" w:line="200" w:lineRule="atLeast"/>
              <w:ind w:left="57" w:right="57"/>
              <w:jc w:val="center"/>
              <w:rPr>
                <w:rFonts w:eastAsia="Times New Roman"/>
                <w:bCs/>
                <w:noProof/>
                <w:color w:val="000000" w:themeColor="text1"/>
                <w:sz w:val="14"/>
                <w:szCs w:val="14"/>
                <w:lang w:val="fr-FR"/>
              </w:rPr>
            </w:pPr>
            <w:r w:rsidRPr="004C2A3C">
              <w:rPr>
                <w:rFonts w:eastAsia="Calibri"/>
                <w:bCs/>
                <w:noProof/>
                <w:color w:val="000000" w:themeColor="text1"/>
                <w:sz w:val="14"/>
                <w:szCs w:val="14"/>
                <w:lang w:val="fr-FR"/>
              </w:rPr>
              <w:t xml:space="preserve">Aucune prédiction indépendante </w:t>
            </w:r>
            <w:r w:rsidRPr="004C2A3C">
              <w:rPr>
                <w:rFonts w:eastAsia="Calibri"/>
                <w:bCs/>
                <w:noProof/>
                <w:color w:val="000000" w:themeColor="text1"/>
                <w:sz w:val="14"/>
                <w:szCs w:val="14"/>
                <w:lang w:val="fr-FR"/>
              </w:rPr>
              <w:br/>
              <w:t>ne peut être faite</w:t>
            </w:r>
          </w:p>
        </w:tc>
        <w:tc>
          <w:tcPr>
            <w:tcW w:w="520" w:type="pct"/>
            <w:tcBorders>
              <w:top w:val="single" w:sz="4" w:space="0" w:color="auto"/>
              <w:left w:val="single" w:sz="4" w:space="0" w:color="auto"/>
              <w:bottom w:val="single" w:sz="4" w:space="0" w:color="auto"/>
              <w:right w:val="single" w:sz="4" w:space="0" w:color="auto"/>
            </w:tcBorders>
            <w:hideMark/>
          </w:tcPr>
          <w:p w14:paraId="11A13B07" w14:textId="77777777" w:rsidR="003F1C55" w:rsidRPr="004C2A3C" w:rsidRDefault="003F1C55" w:rsidP="00057475">
            <w:pPr>
              <w:spacing w:before="40" w:after="40" w:line="200" w:lineRule="atLeast"/>
              <w:ind w:left="57" w:right="57"/>
              <w:jc w:val="center"/>
              <w:rPr>
                <w:rFonts w:eastAsia="Calibri"/>
                <w:bCs/>
                <w:noProof/>
                <w:color w:val="000000" w:themeColor="text1"/>
                <w:sz w:val="14"/>
                <w:szCs w:val="14"/>
                <w:lang w:val="fr-FR"/>
              </w:rPr>
            </w:pPr>
            <w:r w:rsidRPr="004C2A3C">
              <w:rPr>
                <w:rFonts w:eastAsia="Calibri"/>
                <w:bCs/>
                <w:noProof/>
                <w:color w:val="000000" w:themeColor="text1"/>
                <w:sz w:val="14"/>
                <w:szCs w:val="14"/>
                <w:lang w:val="fr-FR"/>
              </w:rPr>
              <w:t xml:space="preserve">Aucune </w:t>
            </w:r>
            <w:r w:rsidRPr="004C2A3C">
              <w:rPr>
                <w:rFonts w:eastAsia="Times New Roman"/>
                <w:sz w:val="14"/>
                <w:szCs w:val="14"/>
              </w:rPr>
              <w:t>prédiction</w:t>
            </w:r>
            <w:r w:rsidRPr="004C2A3C">
              <w:rPr>
                <w:rFonts w:eastAsia="Calibri"/>
                <w:bCs/>
                <w:noProof/>
                <w:color w:val="000000" w:themeColor="text1"/>
                <w:sz w:val="14"/>
                <w:szCs w:val="14"/>
                <w:lang w:val="fr-FR"/>
              </w:rPr>
              <w:t xml:space="preserve"> indépendante ne peut être faite</w:t>
            </w:r>
          </w:p>
        </w:tc>
        <w:tc>
          <w:tcPr>
            <w:tcW w:w="520" w:type="pct"/>
            <w:tcBorders>
              <w:top w:val="single" w:sz="4" w:space="0" w:color="auto"/>
              <w:left w:val="single" w:sz="4" w:space="0" w:color="auto"/>
              <w:bottom w:val="single" w:sz="4" w:space="0" w:color="auto"/>
              <w:right w:val="single" w:sz="4" w:space="0" w:color="auto"/>
            </w:tcBorders>
            <w:hideMark/>
          </w:tcPr>
          <w:p w14:paraId="71622D98" w14:textId="77777777" w:rsidR="003F1C55" w:rsidRPr="004C2A3C" w:rsidRDefault="003F1C55" w:rsidP="00057475">
            <w:pPr>
              <w:spacing w:before="40" w:after="40" w:line="200" w:lineRule="atLeast"/>
              <w:ind w:left="57" w:right="57"/>
              <w:jc w:val="center"/>
              <w:rPr>
                <w:rFonts w:eastAsia="Calibri"/>
                <w:bCs/>
                <w:noProof/>
                <w:color w:val="000000" w:themeColor="text1"/>
                <w:sz w:val="14"/>
                <w:szCs w:val="14"/>
                <w:lang w:val="fr-FR"/>
              </w:rPr>
            </w:pPr>
            <w:r w:rsidRPr="004C2A3C">
              <w:rPr>
                <w:rFonts w:eastAsia="Calibri"/>
                <w:bCs/>
                <w:noProof/>
                <w:color w:val="000000" w:themeColor="text1"/>
                <w:sz w:val="14"/>
                <w:szCs w:val="14"/>
                <w:lang w:val="fr-FR"/>
              </w:rPr>
              <w:t xml:space="preserve">Aucune prédiction indépendante </w:t>
            </w:r>
            <w:r w:rsidRPr="004C2A3C">
              <w:rPr>
                <w:rFonts w:eastAsia="Times New Roman"/>
                <w:sz w:val="14"/>
                <w:szCs w:val="14"/>
              </w:rPr>
              <w:t>ne</w:t>
            </w:r>
            <w:r w:rsidRPr="004C2A3C">
              <w:rPr>
                <w:rFonts w:eastAsia="Calibri"/>
                <w:bCs/>
                <w:noProof/>
                <w:color w:val="000000" w:themeColor="text1"/>
                <w:sz w:val="14"/>
                <w:szCs w:val="14"/>
                <w:lang w:val="fr-FR"/>
              </w:rPr>
              <w:t xml:space="preserve"> peut être faite</w:t>
            </w:r>
          </w:p>
        </w:tc>
      </w:tr>
      <w:tr w:rsidR="003F1C55" w:rsidRPr="004C2A3C" w14:paraId="668A9DF5" w14:textId="77777777" w:rsidTr="00057475">
        <w:trPr>
          <w:trHeight w:val="399"/>
        </w:trPr>
        <w:tc>
          <w:tcPr>
            <w:tcW w:w="29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7234CF3" w14:textId="77777777" w:rsidR="003F1C55" w:rsidRPr="004C2A3C" w:rsidRDefault="003F1C55" w:rsidP="00057475">
            <w:pPr>
              <w:keepNext/>
              <w:keepLines/>
              <w:spacing w:before="40" w:after="40" w:line="200" w:lineRule="atLeast"/>
              <w:ind w:left="57" w:right="57"/>
              <w:jc w:val="center"/>
              <w:rPr>
                <w:rFonts w:eastAsia="Times New Roman"/>
                <w:b/>
                <w:bCs/>
                <w:noProof/>
                <w:color w:val="000000" w:themeColor="text1"/>
                <w:sz w:val="14"/>
                <w:szCs w:val="14"/>
              </w:rPr>
            </w:pPr>
            <w:r w:rsidRPr="004C2A3C">
              <w:rPr>
                <w:rFonts w:eastAsia="Calibri"/>
                <w:b/>
                <w:bCs/>
                <w:noProof/>
                <w:color w:val="000000" w:themeColor="text1"/>
                <w:sz w:val="14"/>
                <w:szCs w:val="14"/>
              </w:rPr>
              <w:t xml:space="preserve">Non </w:t>
            </w:r>
            <w:r w:rsidRPr="004C2A3C">
              <w:rPr>
                <w:rFonts w:eastAsia="Times New Roman"/>
                <w:b/>
                <w:bCs/>
                <w:sz w:val="14"/>
                <w:szCs w:val="14"/>
              </w:rPr>
              <w:t>classé</w:t>
            </w:r>
          </w:p>
        </w:tc>
        <w:tc>
          <w:tcPr>
            <w:tcW w:w="3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04BFAB8" w14:textId="77777777" w:rsidR="003F1C55" w:rsidRPr="004C2A3C" w:rsidRDefault="003F1C55" w:rsidP="00057475">
            <w:pPr>
              <w:keepNext/>
              <w:keepLines/>
              <w:spacing w:before="40" w:after="40" w:line="200" w:lineRule="atLeast"/>
              <w:ind w:left="57" w:right="57"/>
              <w:jc w:val="center"/>
              <w:rPr>
                <w:rFonts w:eastAsia="Calibri"/>
                <w:bCs/>
                <w:noProof/>
                <w:color w:val="000000" w:themeColor="text1"/>
                <w:sz w:val="14"/>
                <w:szCs w:val="14"/>
              </w:rPr>
            </w:pPr>
            <w:r w:rsidRPr="004C2A3C">
              <w:rPr>
                <w:rFonts w:eastAsia="Times New Roman"/>
                <w:sz w:val="14"/>
                <w:szCs w:val="14"/>
              </w:rPr>
              <w:t>Opacimètre</w:t>
            </w:r>
            <w:r w:rsidRPr="004C2A3C">
              <w:rPr>
                <w:rFonts w:eastAsia="Times New Roman"/>
                <w:sz w:val="14"/>
                <w:szCs w:val="14"/>
              </w:rPr>
              <w:br/>
            </w:r>
            <w:r w:rsidRPr="004C2A3C">
              <w:rPr>
                <w:rFonts w:eastAsia="Calibri"/>
                <w:bCs/>
                <w:noProof/>
                <w:color w:val="000000" w:themeColor="text1"/>
                <w:sz w:val="14"/>
                <w:szCs w:val="14"/>
              </w:rPr>
              <w:t>1</w:t>
            </w:r>
          </w:p>
          <w:p w14:paraId="7DDE22A8" w14:textId="77777777" w:rsidR="003F1C55" w:rsidRPr="004C2A3C" w:rsidRDefault="003F1C55" w:rsidP="00057475">
            <w:pPr>
              <w:keepNext/>
              <w:keepLines/>
              <w:spacing w:before="40" w:after="40" w:line="200" w:lineRule="atLeast"/>
              <w:ind w:left="57" w:right="57"/>
              <w:jc w:val="center"/>
              <w:rPr>
                <w:rFonts w:eastAsia="Times New Roman"/>
                <w:bCs/>
                <w:noProof/>
                <w:color w:val="000000" w:themeColor="text1"/>
                <w:sz w:val="14"/>
                <w:szCs w:val="14"/>
              </w:rPr>
            </w:pPr>
            <w:r w:rsidRPr="004C2A3C">
              <w:rPr>
                <w:rFonts w:eastAsia="Calibri"/>
                <w:bCs/>
                <w:noProof/>
                <w:color w:val="000000" w:themeColor="text1"/>
                <w:sz w:val="14"/>
                <w:szCs w:val="14"/>
              </w:rPr>
              <w:t>IVIS ≤ 3</w:t>
            </w:r>
          </w:p>
        </w:tc>
        <w:tc>
          <w:tcPr>
            <w:tcW w:w="355" w:type="pct"/>
            <w:tcBorders>
              <w:top w:val="single" w:sz="4" w:space="0" w:color="auto"/>
              <w:left w:val="single" w:sz="4" w:space="0" w:color="auto"/>
              <w:bottom w:val="single" w:sz="4" w:space="0" w:color="auto"/>
              <w:right w:val="single" w:sz="4" w:space="0" w:color="auto"/>
            </w:tcBorders>
          </w:tcPr>
          <w:p w14:paraId="4DE4819D" w14:textId="77777777" w:rsidR="003F1C55" w:rsidRPr="004C2A3C" w:rsidRDefault="003F1C55" w:rsidP="00057475">
            <w:pPr>
              <w:keepNext/>
              <w:keepLines/>
              <w:spacing w:before="40" w:after="40" w:line="200" w:lineRule="atLeast"/>
              <w:ind w:left="57" w:right="57"/>
              <w:jc w:val="center"/>
              <w:rPr>
                <w:rFonts w:eastAsia="Times New Roman"/>
                <w:bCs/>
                <w:noProof/>
                <w:color w:val="000000" w:themeColor="text1"/>
                <w:sz w:val="14"/>
                <w:szCs w:val="14"/>
              </w:rPr>
            </w:pPr>
            <w:r w:rsidRPr="004C2A3C">
              <w:rPr>
                <w:rFonts w:eastAsia="Times New Roman"/>
                <w:sz w:val="14"/>
                <w:szCs w:val="14"/>
              </w:rPr>
              <w:t>Opacimètre</w:t>
            </w:r>
            <w:r w:rsidRPr="004C2A3C">
              <w:rPr>
                <w:rFonts w:eastAsia="Times New Roman"/>
                <w:sz w:val="14"/>
                <w:szCs w:val="14"/>
              </w:rPr>
              <w:br/>
            </w:r>
            <w:r w:rsidRPr="004C2A3C">
              <w:rPr>
                <w:rFonts w:eastAsia="Times New Roman"/>
                <w:bCs/>
                <w:noProof/>
                <w:color w:val="000000" w:themeColor="text1"/>
                <w:sz w:val="14"/>
                <w:szCs w:val="14"/>
              </w:rPr>
              <w:t>2</w:t>
            </w:r>
          </w:p>
          <w:p w14:paraId="524D528E" w14:textId="77777777" w:rsidR="003F1C55" w:rsidRPr="004C2A3C" w:rsidRDefault="003F1C55" w:rsidP="00057475">
            <w:pPr>
              <w:keepNext/>
              <w:keepLines/>
              <w:spacing w:before="40" w:after="40" w:line="200" w:lineRule="atLeast"/>
              <w:ind w:left="57" w:right="57"/>
              <w:jc w:val="center"/>
              <w:rPr>
                <w:rFonts w:eastAsia="Times New Roman"/>
                <w:bCs/>
                <w:noProof/>
                <w:color w:val="000000" w:themeColor="text1"/>
                <w:sz w:val="14"/>
                <w:szCs w:val="14"/>
              </w:rPr>
            </w:pPr>
            <w:r w:rsidRPr="004C2A3C">
              <w:rPr>
                <w:rFonts w:eastAsia="Times New Roman"/>
                <w:bCs/>
                <w:noProof/>
                <w:color w:val="000000" w:themeColor="text1"/>
                <w:sz w:val="14"/>
                <w:szCs w:val="14"/>
              </w:rPr>
              <w:t>LIS ≤ 30</w:t>
            </w:r>
          </w:p>
        </w:tc>
        <w:tc>
          <w:tcPr>
            <w:tcW w:w="60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B64E859" w14:textId="77777777" w:rsidR="003F1C55" w:rsidRPr="004C2A3C" w:rsidRDefault="003F1C55" w:rsidP="00057475">
            <w:pPr>
              <w:keepNext/>
              <w:keepLines/>
              <w:spacing w:before="40" w:after="40" w:line="200" w:lineRule="atLeast"/>
              <w:ind w:left="57" w:right="57"/>
              <w:jc w:val="center"/>
              <w:rPr>
                <w:rFonts w:eastAsia="Times New Roman"/>
                <w:noProof/>
                <w:color w:val="000000" w:themeColor="text1"/>
                <w:sz w:val="14"/>
                <w:szCs w:val="14"/>
                <w:lang w:val="fr-FR"/>
              </w:rPr>
            </w:pPr>
            <w:r w:rsidRPr="004C2A3C">
              <w:rPr>
                <w:rFonts w:eastAsia="Calibri"/>
                <w:bCs/>
                <w:noProof/>
                <w:color w:val="000000" w:themeColor="text1"/>
                <w:sz w:val="14"/>
                <w:szCs w:val="14"/>
                <w:lang w:val="fr-FR"/>
              </w:rPr>
              <w:t xml:space="preserve">OPI de classe I pour les 3 critères </w:t>
            </w:r>
            <w:r w:rsidRPr="004C2A3C">
              <w:rPr>
                <w:rFonts w:eastAsia="Times New Roman"/>
                <w:sz w:val="14"/>
                <w:szCs w:val="14"/>
              </w:rPr>
              <w:t>terminaux</w:t>
            </w:r>
            <w:r w:rsidRPr="004C2A3C">
              <w:rPr>
                <w:rFonts w:eastAsia="Calibri"/>
                <w:bCs/>
                <w:noProof/>
                <w:color w:val="000000" w:themeColor="text1"/>
                <w:sz w:val="14"/>
                <w:szCs w:val="14"/>
                <w:lang w:val="fr-FR"/>
              </w:rPr>
              <w:t xml:space="preserve">, </w:t>
            </w:r>
            <w:r w:rsidRPr="004C2A3C">
              <w:rPr>
                <w:rFonts w:eastAsia="Calibri"/>
                <w:bCs/>
                <w:noProof/>
                <w:color w:val="000000" w:themeColor="text1"/>
                <w:sz w:val="14"/>
                <w:szCs w:val="14"/>
                <w:lang w:val="fr-FR"/>
              </w:rPr>
              <w:br/>
              <w:t>OU</w:t>
            </w:r>
            <w:r w:rsidRPr="004C2A3C">
              <w:rPr>
                <w:rFonts w:eastAsia="Calibri"/>
                <w:bCs/>
                <w:noProof/>
                <w:color w:val="000000" w:themeColor="text1"/>
                <w:sz w:val="14"/>
                <w:szCs w:val="14"/>
                <w:lang w:val="fr-FR"/>
              </w:rPr>
              <w:br/>
              <w:t>OPI de classe I pour 2 critères terminaux et OPI de classe II pour l</w:t>
            </w:r>
            <w:r>
              <w:rPr>
                <w:rFonts w:eastAsia="Calibri"/>
                <w:bCs/>
                <w:noProof/>
                <w:color w:val="000000" w:themeColor="text1"/>
                <w:sz w:val="14"/>
                <w:szCs w:val="14"/>
                <w:lang w:val="fr-FR"/>
              </w:rPr>
              <w:t>’</w:t>
            </w:r>
            <w:r w:rsidRPr="004C2A3C">
              <w:rPr>
                <w:rFonts w:eastAsia="Calibri"/>
                <w:bCs/>
                <w:noProof/>
                <w:color w:val="000000" w:themeColor="text1"/>
                <w:sz w:val="14"/>
                <w:szCs w:val="14"/>
                <w:lang w:val="fr-FR"/>
              </w:rPr>
              <w:t xml:space="preserve">autre critère terminal, </w:t>
            </w:r>
            <w:r w:rsidRPr="004C2A3C">
              <w:rPr>
                <w:rFonts w:eastAsia="Calibri"/>
                <w:bCs/>
                <w:noProof/>
                <w:color w:val="000000" w:themeColor="text1"/>
                <w:sz w:val="14"/>
                <w:szCs w:val="14"/>
                <w:lang w:val="fr-FR"/>
              </w:rPr>
              <w:br/>
              <w:t>OU</w:t>
            </w:r>
            <w:r w:rsidRPr="004C2A3C">
              <w:rPr>
                <w:rFonts w:eastAsia="Calibri"/>
                <w:bCs/>
                <w:noProof/>
                <w:color w:val="000000" w:themeColor="text1"/>
                <w:sz w:val="14"/>
                <w:szCs w:val="14"/>
                <w:lang w:val="fr-FR"/>
              </w:rPr>
              <w:br/>
              <w:t>OPI de classe II pour 2 critères terminaux et OPI de classe I pour l</w:t>
            </w:r>
            <w:r>
              <w:rPr>
                <w:rFonts w:eastAsia="Calibri"/>
                <w:bCs/>
                <w:noProof/>
                <w:color w:val="000000" w:themeColor="text1"/>
                <w:sz w:val="14"/>
                <w:szCs w:val="14"/>
                <w:lang w:val="fr-FR"/>
              </w:rPr>
              <w:t>’</w:t>
            </w:r>
            <w:r w:rsidRPr="004C2A3C">
              <w:rPr>
                <w:rFonts w:eastAsia="Calibri"/>
                <w:bCs/>
                <w:noProof/>
                <w:color w:val="000000" w:themeColor="text1"/>
                <w:sz w:val="14"/>
                <w:szCs w:val="14"/>
                <w:lang w:val="fr-FR"/>
              </w:rPr>
              <w:t>autre critère terminal</w:t>
            </w:r>
          </w:p>
        </w:tc>
        <w:tc>
          <w:tcPr>
            <w:tcW w:w="605" w:type="pct"/>
            <w:tcBorders>
              <w:top w:val="single" w:sz="4" w:space="0" w:color="auto"/>
              <w:left w:val="single" w:sz="4" w:space="0" w:color="auto"/>
              <w:bottom w:val="single" w:sz="4" w:space="0" w:color="auto"/>
              <w:right w:val="single" w:sz="4" w:space="0" w:color="auto"/>
            </w:tcBorders>
            <w:hideMark/>
          </w:tcPr>
          <w:p w14:paraId="6932AB92" w14:textId="77777777" w:rsidR="003F1C55" w:rsidRPr="004C2A3C" w:rsidRDefault="003F1C55" w:rsidP="00057475">
            <w:pPr>
              <w:keepNext/>
              <w:keepLines/>
              <w:spacing w:before="40" w:after="40" w:line="200" w:lineRule="atLeast"/>
              <w:ind w:left="57" w:right="57"/>
              <w:jc w:val="center"/>
              <w:rPr>
                <w:rFonts w:eastAsia="Calibri"/>
                <w:bCs/>
                <w:noProof/>
                <w:color w:val="000000" w:themeColor="text1"/>
                <w:sz w:val="14"/>
                <w:szCs w:val="14"/>
                <w:lang w:val="fr-FR"/>
              </w:rPr>
            </w:pPr>
            <w:r w:rsidRPr="004C2A3C">
              <w:rPr>
                <w:rFonts w:eastAsia="Calibri"/>
                <w:bCs/>
                <w:noProof/>
                <w:color w:val="000000" w:themeColor="text1"/>
                <w:sz w:val="14"/>
                <w:szCs w:val="14"/>
                <w:lang w:val="fr-FR"/>
              </w:rPr>
              <w:t xml:space="preserve">Aucune prédiction indépendante ne peut être </w:t>
            </w:r>
            <w:r w:rsidRPr="004C2A3C">
              <w:rPr>
                <w:rFonts w:eastAsia="Times New Roman"/>
                <w:sz w:val="14"/>
                <w:szCs w:val="14"/>
              </w:rPr>
              <w:t>faite</w:t>
            </w:r>
          </w:p>
        </w:tc>
        <w:tc>
          <w:tcPr>
            <w:tcW w:w="60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7ECE903" w14:textId="77777777" w:rsidR="003F1C55" w:rsidRPr="004C2A3C" w:rsidRDefault="003F1C55" w:rsidP="00057475">
            <w:pPr>
              <w:keepNext/>
              <w:keepLines/>
              <w:spacing w:before="40" w:after="40" w:line="200" w:lineRule="atLeast"/>
              <w:ind w:left="57" w:right="57"/>
              <w:jc w:val="center"/>
              <w:rPr>
                <w:rFonts w:eastAsia="Times New Roman"/>
                <w:bCs/>
                <w:noProof/>
                <w:color w:val="000000" w:themeColor="text1"/>
                <w:sz w:val="14"/>
                <w:szCs w:val="14"/>
              </w:rPr>
            </w:pPr>
            <w:r w:rsidRPr="004C2A3C">
              <w:rPr>
                <w:rFonts w:eastAsia="Calibri"/>
                <w:bCs/>
                <w:noProof/>
                <w:color w:val="000000" w:themeColor="text1"/>
                <w:sz w:val="14"/>
                <w:szCs w:val="14"/>
              </w:rPr>
              <w:t>Viabilité &gt;70 %</w:t>
            </w:r>
            <w:r w:rsidRPr="004C2A3C">
              <w:rPr>
                <w:rFonts w:eastAsia="Calibri"/>
                <w:bCs/>
                <w:noProof/>
                <w:color w:val="000000" w:themeColor="text1"/>
                <w:sz w:val="14"/>
                <w:szCs w:val="14"/>
              </w:rPr>
              <w:br/>
              <w:t xml:space="preserve">à 5 % </w:t>
            </w:r>
            <w:r w:rsidRPr="004C2A3C">
              <w:rPr>
                <w:rFonts w:eastAsia="Times New Roman"/>
                <w:sz w:val="14"/>
                <w:szCs w:val="14"/>
              </w:rPr>
              <w:t>et</w:t>
            </w:r>
            <w:r w:rsidRPr="004C2A3C">
              <w:rPr>
                <w:rFonts w:eastAsia="Calibri"/>
                <w:bCs/>
                <w:noProof/>
                <w:color w:val="000000" w:themeColor="text1"/>
                <w:sz w:val="14"/>
                <w:szCs w:val="14"/>
              </w:rPr>
              <w:t xml:space="preserve"> à 0,05 %</w:t>
            </w:r>
          </w:p>
        </w:tc>
        <w:tc>
          <w:tcPr>
            <w:tcW w:w="285" w:type="pct"/>
            <w:tcBorders>
              <w:top w:val="single" w:sz="4" w:space="0" w:color="auto"/>
              <w:left w:val="single" w:sz="4" w:space="0" w:color="auto"/>
              <w:bottom w:val="single" w:sz="4" w:space="0" w:color="auto"/>
              <w:right w:val="single" w:sz="4" w:space="0" w:color="auto"/>
            </w:tcBorders>
          </w:tcPr>
          <w:p w14:paraId="36B4044A" w14:textId="77777777" w:rsidR="003F1C55" w:rsidRPr="004C2A3C" w:rsidRDefault="003F1C55" w:rsidP="00057475">
            <w:pPr>
              <w:keepNext/>
              <w:keepLines/>
              <w:spacing w:before="40" w:after="40" w:line="200" w:lineRule="atLeast"/>
              <w:jc w:val="center"/>
              <w:rPr>
                <w:rFonts w:eastAsia="Calibri"/>
                <w:bCs/>
                <w:noProof/>
                <w:color w:val="000000" w:themeColor="text1"/>
                <w:sz w:val="14"/>
                <w:szCs w:val="14"/>
                <w:lang w:val="fr-FR"/>
              </w:rPr>
            </w:pPr>
            <w:r w:rsidRPr="004C2A3C">
              <w:rPr>
                <w:rFonts w:eastAsia="Calibri"/>
                <w:bCs/>
                <w:noProof/>
                <w:color w:val="000000" w:themeColor="text1"/>
                <w:sz w:val="14"/>
                <w:szCs w:val="14"/>
                <w:lang w:val="fr-FR"/>
              </w:rPr>
              <w:t xml:space="preserve">Méthode </w:t>
            </w:r>
            <w:r w:rsidRPr="004C2A3C">
              <w:rPr>
                <w:rFonts w:eastAsia="Times New Roman"/>
                <w:sz w:val="14"/>
                <w:szCs w:val="14"/>
              </w:rPr>
              <w:t>d</w:t>
            </w:r>
            <w:r>
              <w:rPr>
                <w:rFonts w:eastAsia="Times New Roman"/>
                <w:sz w:val="14"/>
                <w:szCs w:val="14"/>
              </w:rPr>
              <w:t>’</w:t>
            </w:r>
            <w:r w:rsidRPr="004C2A3C">
              <w:rPr>
                <w:rFonts w:eastAsia="Times New Roman"/>
                <w:sz w:val="14"/>
                <w:szCs w:val="14"/>
              </w:rPr>
              <w:t>essai</w:t>
            </w:r>
            <w:r w:rsidRPr="004C2A3C">
              <w:rPr>
                <w:rFonts w:eastAsia="Times New Roman"/>
                <w:sz w:val="14"/>
                <w:szCs w:val="14"/>
              </w:rPr>
              <w:br/>
            </w:r>
            <w:r w:rsidRPr="004C2A3C">
              <w:rPr>
                <w:rFonts w:eastAsia="Calibri"/>
                <w:bCs/>
                <w:noProof/>
                <w:color w:val="000000" w:themeColor="text1"/>
                <w:sz w:val="14"/>
                <w:szCs w:val="14"/>
                <w:lang w:val="fr-FR"/>
              </w:rPr>
              <w:t>1</w:t>
            </w:r>
          </w:p>
          <w:p w14:paraId="33154973" w14:textId="77777777" w:rsidR="003F1C55" w:rsidRPr="004C2A3C" w:rsidRDefault="003F1C55" w:rsidP="00057475">
            <w:pPr>
              <w:keepNext/>
              <w:keepLines/>
              <w:spacing w:before="40" w:after="40" w:line="200" w:lineRule="atLeast"/>
              <w:ind w:left="57" w:right="57"/>
              <w:jc w:val="center"/>
              <w:rPr>
                <w:rFonts w:eastAsia="Calibri"/>
                <w:bCs/>
                <w:noProof/>
                <w:color w:val="000000" w:themeColor="text1"/>
                <w:sz w:val="14"/>
                <w:szCs w:val="14"/>
                <w:lang w:val="fr-FR"/>
              </w:rPr>
            </w:pPr>
            <w:r w:rsidRPr="004C2A3C">
              <w:rPr>
                <w:rFonts w:eastAsia="Calibri"/>
                <w:bCs/>
                <w:noProof/>
                <w:color w:val="000000" w:themeColor="text1"/>
                <w:sz w:val="14"/>
                <w:szCs w:val="14"/>
                <w:lang w:val="fr-FR"/>
              </w:rPr>
              <w:t>Liquides et solides : viabilité &gt;60 %</w:t>
            </w:r>
          </w:p>
        </w:tc>
        <w:tc>
          <w:tcPr>
            <w:tcW w:w="286" w:type="pct"/>
            <w:tcBorders>
              <w:top w:val="single" w:sz="4" w:space="0" w:color="auto"/>
              <w:left w:val="single" w:sz="4" w:space="0" w:color="auto"/>
              <w:bottom w:val="single" w:sz="4" w:space="0" w:color="auto"/>
              <w:right w:val="single" w:sz="4" w:space="0" w:color="auto"/>
            </w:tcBorders>
          </w:tcPr>
          <w:p w14:paraId="52AF8DF4" w14:textId="77777777" w:rsidR="003F1C55" w:rsidRPr="004C2A3C" w:rsidRDefault="003F1C55" w:rsidP="00057475">
            <w:pPr>
              <w:keepNext/>
              <w:keepLines/>
              <w:spacing w:before="40" w:after="40" w:line="200" w:lineRule="atLeast"/>
              <w:ind w:left="57" w:right="57"/>
              <w:jc w:val="center"/>
              <w:rPr>
                <w:rFonts w:eastAsia="Calibri"/>
                <w:bCs/>
                <w:noProof/>
                <w:color w:val="000000" w:themeColor="text1"/>
                <w:sz w:val="14"/>
                <w:szCs w:val="14"/>
                <w:lang w:val="fr-FR"/>
              </w:rPr>
            </w:pPr>
            <w:r w:rsidRPr="004C2A3C">
              <w:rPr>
                <w:rFonts w:eastAsia="Calibri"/>
                <w:bCs/>
                <w:noProof/>
                <w:color w:val="000000" w:themeColor="text1"/>
                <w:sz w:val="14"/>
                <w:szCs w:val="14"/>
                <w:lang w:val="fr-FR"/>
              </w:rPr>
              <w:t xml:space="preserve">Méthode </w:t>
            </w:r>
            <w:r w:rsidRPr="004C2A3C">
              <w:rPr>
                <w:rFonts w:eastAsia="Times New Roman"/>
                <w:sz w:val="14"/>
                <w:szCs w:val="14"/>
              </w:rPr>
              <w:t>d</w:t>
            </w:r>
            <w:r>
              <w:rPr>
                <w:rFonts w:eastAsia="Times New Roman"/>
                <w:sz w:val="14"/>
                <w:szCs w:val="14"/>
              </w:rPr>
              <w:t>’</w:t>
            </w:r>
            <w:r w:rsidRPr="004C2A3C">
              <w:rPr>
                <w:rFonts w:eastAsia="Times New Roman"/>
                <w:sz w:val="14"/>
                <w:szCs w:val="14"/>
              </w:rPr>
              <w:t>essai</w:t>
            </w:r>
            <w:r w:rsidRPr="004C2A3C">
              <w:rPr>
                <w:rFonts w:eastAsia="Times New Roman"/>
                <w:sz w:val="14"/>
                <w:szCs w:val="14"/>
              </w:rPr>
              <w:br/>
            </w:r>
            <w:r w:rsidRPr="004C2A3C">
              <w:rPr>
                <w:rFonts w:eastAsia="Calibri"/>
                <w:bCs/>
                <w:noProof/>
                <w:color w:val="000000" w:themeColor="text1"/>
                <w:sz w:val="14"/>
                <w:szCs w:val="14"/>
                <w:lang w:val="fr-FR"/>
              </w:rPr>
              <w:t>2</w:t>
            </w:r>
          </w:p>
          <w:p w14:paraId="33E5A6ED" w14:textId="77777777" w:rsidR="003F1C55" w:rsidRPr="004C2A3C" w:rsidRDefault="003F1C55" w:rsidP="00057475">
            <w:pPr>
              <w:keepNext/>
              <w:keepLines/>
              <w:spacing w:before="40" w:after="40" w:line="200" w:lineRule="atLeast"/>
              <w:ind w:left="57" w:right="57"/>
              <w:jc w:val="center"/>
              <w:rPr>
                <w:rFonts w:eastAsia="Calibri"/>
                <w:bCs/>
                <w:noProof/>
                <w:color w:val="000000" w:themeColor="text1"/>
                <w:sz w:val="14"/>
                <w:szCs w:val="14"/>
              </w:rPr>
            </w:pPr>
            <w:r w:rsidRPr="004C2A3C">
              <w:rPr>
                <w:rFonts w:eastAsia="Calibri"/>
                <w:bCs/>
                <w:noProof/>
                <w:color w:val="000000" w:themeColor="text1"/>
                <w:sz w:val="14"/>
                <w:szCs w:val="14"/>
                <w:lang w:val="fr-FR"/>
              </w:rPr>
              <w:t xml:space="preserve">Liquides : </w:t>
            </w:r>
            <w:r w:rsidRPr="004C2A3C">
              <w:rPr>
                <w:rFonts w:eastAsia="Times New Roman"/>
                <w:sz w:val="14"/>
                <w:szCs w:val="14"/>
              </w:rPr>
              <w:t>viabilité</w:t>
            </w:r>
            <w:r w:rsidRPr="004C2A3C">
              <w:rPr>
                <w:rFonts w:eastAsia="Calibri"/>
                <w:bCs/>
                <w:noProof/>
                <w:color w:val="000000" w:themeColor="text1"/>
                <w:sz w:val="14"/>
                <w:szCs w:val="14"/>
                <w:lang w:val="fr-FR"/>
              </w:rPr>
              <w:t xml:space="preserve"> &gt;60 % ; solides : </w:t>
            </w:r>
            <w:r w:rsidRPr="004C2A3C">
              <w:rPr>
                <w:rFonts w:eastAsia="Calibri"/>
                <w:bCs/>
                <w:noProof/>
                <w:color w:val="000000" w:themeColor="text1"/>
                <w:sz w:val="14"/>
                <w:szCs w:val="14"/>
                <w:lang w:val="pt-PT"/>
              </w:rPr>
              <w:t>viabilité &gt;50 %</w:t>
            </w:r>
          </w:p>
        </w:tc>
        <w:tc>
          <w:tcPr>
            <w:tcW w:w="286" w:type="pct"/>
            <w:tcBorders>
              <w:top w:val="single" w:sz="4" w:space="0" w:color="auto"/>
              <w:left w:val="single" w:sz="4" w:space="0" w:color="auto"/>
              <w:bottom w:val="single" w:sz="4" w:space="0" w:color="auto"/>
              <w:right w:val="single" w:sz="4" w:space="0" w:color="auto"/>
            </w:tcBorders>
          </w:tcPr>
          <w:p w14:paraId="0C41B169" w14:textId="77777777" w:rsidR="003F1C55" w:rsidRPr="004C2A3C" w:rsidRDefault="003F1C55" w:rsidP="00057475">
            <w:pPr>
              <w:keepNext/>
              <w:keepLines/>
              <w:spacing w:before="40" w:after="40" w:line="200" w:lineRule="atLeast"/>
              <w:ind w:left="57" w:right="57"/>
              <w:jc w:val="center"/>
              <w:rPr>
                <w:rFonts w:eastAsia="Calibri"/>
                <w:bCs/>
                <w:noProof/>
                <w:color w:val="000000" w:themeColor="text1"/>
                <w:sz w:val="14"/>
                <w:szCs w:val="14"/>
                <w:lang w:val="fr-FR"/>
              </w:rPr>
            </w:pPr>
            <w:r w:rsidRPr="004C2A3C">
              <w:rPr>
                <w:rFonts w:eastAsia="Times New Roman"/>
                <w:sz w:val="14"/>
                <w:szCs w:val="14"/>
              </w:rPr>
              <w:t>Méthode</w:t>
            </w:r>
            <w:r w:rsidRPr="004C2A3C">
              <w:rPr>
                <w:rFonts w:eastAsia="Calibri"/>
                <w:bCs/>
                <w:noProof/>
                <w:color w:val="000000" w:themeColor="text1"/>
                <w:sz w:val="14"/>
                <w:szCs w:val="14"/>
                <w:lang w:val="fr-FR"/>
              </w:rPr>
              <w:t xml:space="preserve"> d</w:t>
            </w:r>
            <w:r>
              <w:rPr>
                <w:rFonts w:eastAsia="Calibri"/>
                <w:bCs/>
                <w:noProof/>
                <w:color w:val="000000" w:themeColor="text1"/>
                <w:sz w:val="14"/>
                <w:szCs w:val="14"/>
                <w:lang w:val="fr-FR"/>
              </w:rPr>
              <w:t>’</w:t>
            </w:r>
            <w:r w:rsidRPr="004C2A3C">
              <w:rPr>
                <w:rFonts w:eastAsia="Calibri"/>
                <w:bCs/>
                <w:noProof/>
                <w:color w:val="000000" w:themeColor="text1"/>
                <w:sz w:val="14"/>
                <w:szCs w:val="14"/>
                <w:lang w:val="fr-FR"/>
              </w:rPr>
              <w:t>essai</w:t>
            </w:r>
            <w:r w:rsidRPr="004C2A3C">
              <w:rPr>
                <w:rFonts w:eastAsia="Calibri"/>
                <w:bCs/>
                <w:noProof/>
                <w:color w:val="000000" w:themeColor="text1"/>
                <w:sz w:val="14"/>
                <w:szCs w:val="14"/>
                <w:lang w:val="fr-FR"/>
              </w:rPr>
              <w:br/>
              <w:t>3</w:t>
            </w:r>
          </w:p>
          <w:p w14:paraId="4F3FBE6B" w14:textId="77777777" w:rsidR="003F1C55" w:rsidRPr="004C2A3C" w:rsidRDefault="003F1C55" w:rsidP="00057475">
            <w:pPr>
              <w:keepNext/>
              <w:keepLines/>
              <w:spacing w:before="40" w:after="40" w:line="200" w:lineRule="atLeast"/>
              <w:ind w:left="57" w:right="57"/>
              <w:jc w:val="center"/>
              <w:rPr>
                <w:rFonts w:eastAsia="Calibri"/>
                <w:bCs/>
                <w:noProof/>
                <w:color w:val="000000" w:themeColor="text1"/>
                <w:sz w:val="14"/>
                <w:szCs w:val="14"/>
                <w:lang w:val="fr-FR"/>
              </w:rPr>
            </w:pPr>
            <w:r w:rsidRPr="004C2A3C">
              <w:rPr>
                <w:rFonts w:eastAsia="Calibri"/>
                <w:bCs/>
                <w:noProof/>
                <w:color w:val="000000" w:themeColor="text1"/>
                <w:sz w:val="14"/>
                <w:szCs w:val="14"/>
                <w:lang w:val="fr-FR"/>
              </w:rPr>
              <w:t xml:space="preserve">Liquides et </w:t>
            </w:r>
            <w:r w:rsidRPr="004C2A3C">
              <w:rPr>
                <w:rFonts w:eastAsia="Times New Roman"/>
                <w:sz w:val="14"/>
                <w:szCs w:val="14"/>
              </w:rPr>
              <w:t>solides</w:t>
            </w:r>
            <w:r w:rsidRPr="004C2A3C">
              <w:rPr>
                <w:rFonts w:eastAsia="Calibri"/>
                <w:bCs/>
                <w:noProof/>
                <w:color w:val="000000" w:themeColor="text1"/>
                <w:sz w:val="14"/>
                <w:szCs w:val="14"/>
                <w:lang w:val="fr-FR"/>
              </w:rPr>
              <w:t> : viabilité &gt;40 %</w:t>
            </w:r>
          </w:p>
        </w:tc>
        <w:tc>
          <w:tcPr>
            <w:tcW w:w="286" w:type="pct"/>
            <w:tcBorders>
              <w:top w:val="single" w:sz="4" w:space="0" w:color="auto"/>
              <w:left w:val="single" w:sz="4" w:space="0" w:color="auto"/>
              <w:bottom w:val="single" w:sz="4" w:space="0" w:color="auto"/>
              <w:right w:val="single" w:sz="4" w:space="0" w:color="auto"/>
            </w:tcBorders>
          </w:tcPr>
          <w:p w14:paraId="5B78EE54" w14:textId="77777777" w:rsidR="003F1C55" w:rsidRPr="004C2A3C" w:rsidRDefault="003F1C55" w:rsidP="00057475">
            <w:pPr>
              <w:keepNext/>
              <w:keepLines/>
              <w:spacing w:before="40" w:after="40" w:line="200" w:lineRule="atLeast"/>
              <w:ind w:left="57" w:right="57"/>
              <w:jc w:val="center"/>
              <w:rPr>
                <w:rFonts w:eastAsia="Calibri"/>
                <w:bCs/>
                <w:noProof/>
                <w:color w:val="000000" w:themeColor="text1"/>
                <w:sz w:val="14"/>
                <w:szCs w:val="14"/>
                <w:lang w:val="fr-FR"/>
              </w:rPr>
            </w:pPr>
            <w:r w:rsidRPr="004C2A3C">
              <w:rPr>
                <w:rFonts w:eastAsia="Calibri"/>
                <w:bCs/>
                <w:noProof/>
                <w:color w:val="000000" w:themeColor="text1"/>
                <w:sz w:val="14"/>
                <w:szCs w:val="14"/>
                <w:lang w:val="fr-FR"/>
              </w:rPr>
              <w:t xml:space="preserve">Méthode </w:t>
            </w:r>
            <w:r w:rsidRPr="004C2A3C">
              <w:rPr>
                <w:rFonts w:eastAsia="Times New Roman"/>
                <w:sz w:val="14"/>
                <w:szCs w:val="14"/>
              </w:rPr>
              <w:t>d</w:t>
            </w:r>
            <w:r>
              <w:rPr>
                <w:rFonts w:eastAsia="Times New Roman"/>
                <w:sz w:val="14"/>
                <w:szCs w:val="14"/>
              </w:rPr>
              <w:t>’</w:t>
            </w:r>
            <w:r w:rsidRPr="004C2A3C">
              <w:rPr>
                <w:rFonts w:eastAsia="Times New Roman"/>
                <w:sz w:val="14"/>
                <w:szCs w:val="14"/>
              </w:rPr>
              <w:t>essai</w:t>
            </w:r>
            <w:r w:rsidRPr="004C2A3C">
              <w:rPr>
                <w:rFonts w:eastAsia="Times New Roman"/>
                <w:sz w:val="14"/>
                <w:szCs w:val="14"/>
              </w:rPr>
              <w:br/>
            </w:r>
            <w:r w:rsidRPr="004C2A3C">
              <w:rPr>
                <w:rFonts w:eastAsia="Calibri"/>
                <w:bCs/>
                <w:noProof/>
                <w:color w:val="000000" w:themeColor="text1"/>
                <w:sz w:val="14"/>
                <w:szCs w:val="14"/>
                <w:lang w:val="fr-FR"/>
              </w:rPr>
              <w:t>4</w:t>
            </w:r>
          </w:p>
          <w:p w14:paraId="495BF617" w14:textId="77777777" w:rsidR="003F1C55" w:rsidRPr="004C2A3C" w:rsidRDefault="003F1C55" w:rsidP="00057475">
            <w:pPr>
              <w:keepNext/>
              <w:keepLines/>
              <w:spacing w:before="40" w:after="40" w:line="200" w:lineRule="atLeast"/>
              <w:ind w:left="57" w:right="57"/>
              <w:jc w:val="center"/>
              <w:rPr>
                <w:rFonts w:eastAsia="Calibri"/>
                <w:bCs/>
                <w:noProof/>
                <w:color w:val="000000" w:themeColor="text1"/>
                <w:sz w:val="14"/>
                <w:szCs w:val="14"/>
              </w:rPr>
            </w:pPr>
            <w:r w:rsidRPr="004C2A3C">
              <w:rPr>
                <w:rFonts w:eastAsia="Calibri"/>
                <w:bCs/>
                <w:noProof/>
                <w:color w:val="000000" w:themeColor="text1"/>
                <w:sz w:val="14"/>
                <w:szCs w:val="14"/>
                <w:lang w:val="fr-FR"/>
              </w:rPr>
              <w:t xml:space="preserve">Liquides : viabilité &gt;35 % ; solides : </w:t>
            </w:r>
            <w:r w:rsidRPr="004C2A3C">
              <w:rPr>
                <w:rFonts w:eastAsia="Calibri"/>
                <w:bCs/>
                <w:noProof/>
                <w:color w:val="000000" w:themeColor="text1"/>
                <w:sz w:val="14"/>
                <w:szCs w:val="14"/>
                <w:lang w:val="pt-PT"/>
              </w:rPr>
              <w:t>viabilité &gt;60 %</w:t>
            </w:r>
          </w:p>
        </w:tc>
        <w:tc>
          <w:tcPr>
            <w:tcW w:w="520" w:type="pct"/>
            <w:tcBorders>
              <w:top w:val="single" w:sz="4" w:space="0" w:color="auto"/>
              <w:left w:val="single" w:sz="4" w:space="0" w:color="auto"/>
              <w:bottom w:val="single" w:sz="4" w:space="0" w:color="auto"/>
              <w:right w:val="single" w:sz="4" w:space="0" w:color="auto"/>
            </w:tcBorders>
            <w:hideMark/>
          </w:tcPr>
          <w:p w14:paraId="67FCA792" w14:textId="77777777" w:rsidR="003F1C55" w:rsidRPr="004C2A3C" w:rsidRDefault="003F1C55" w:rsidP="00057475">
            <w:pPr>
              <w:keepNext/>
              <w:keepLines/>
              <w:spacing w:before="40" w:after="40" w:line="200" w:lineRule="atLeast"/>
              <w:ind w:left="57" w:right="57"/>
              <w:jc w:val="center"/>
              <w:rPr>
                <w:rFonts w:eastAsia="Calibri"/>
                <w:bCs/>
                <w:noProof/>
                <w:color w:val="000000" w:themeColor="text1"/>
                <w:sz w:val="14"/>
                <w:szCs w:val="14"/>
                <w:lang w:val="fr-FR"/>
              </w:rPr>
            </w:pPr>
            <w:r w:rsidRPr="004C2A3C">
              <w:rPr>
                <w:rFonts w:eastAsia="Calibri"/>
                <w:bCs/>
                <w:noProof/>
                <w:color w:val="000000" w:themeColor="text1"/>
                <w:sz w:val="14"/>
                <w:szCs w:val="14"/>
                <w:lang w:val="fr-FR"/>
              </w:rPr>
              <w:t xml:space="preserve">Délai &gt;180 secondes </w:t>
            </w:r>
            <w:r w:rsidRPr="004C2A3C">
              <w:rPr>
                <w:rFonts w:eastAsia="Calibri"/>
                <w:bCs/>
                <w:noProof/>
                <w:color w:val="000000" w:themeColor="text1"/>
                <w:sz w:val="14"/>
                <w:szCs w:val="14"/>
                <w:lang w:val="fr-FR"/>
              </w:rPr>
              <w:br/>
              <w:t xml:space="preserve">et </w:t>
            </w:r>
            <w:r w:rsidRPr="004C2A3C">
              <w:rPr>
                <w:rFonts w:eastAsia="Times New Roman"/>
                <w:sz w:val="14"/>
                <w:szCs w:val="14"/>
              </w:rPr>
              <w:t>intensité</w:t>
            </w:r>
            <w:r w:rsidRPr="004C2A3C">
              <w:rPr>
                <w:rFonts w:eastAsia="Calibri"/>
                <w:bCs/>
                <w:noProof/>
                <w:color w:val="000000" w:themeColor="text1"/>
                <w:sz w:val="14"/>
                <w:szCs w:val="14"/>
                <w:lang w:val="fr-FR"/>
              </w:rPr>
              <w:t xml:space="preserve"> &lt;0,05 %/seconde et </w:t>
            </w:r>
            <w:r w:rsidRPr="004C2A3C">
              <w:rPr>
                <w:rFonts w:eastAsia="Times New Roman"/>
                <w:sz w:val="14"/>
                <w:szCs w:val="14"/>
              </w:rPr>
              <w:t>niveau</w:t>
            </w:r>
            <w:r w:rsidRPr="004C2A3C">
              <w:rPr>
                <w:rFonts w:eastAsia="Calibri"/>
                <w:bCs/>
                <w:noProof/>
                <w:color w:val="000000" w:themeColor="text1"/>
                <w:sz w:val="14"/>
                <w:szCs w:val="14"/>
                <w:lang w:val="fr-FR"/>
              </w:rPr>
              <w:t xml:space="preserve"> plateau ≤5,0 %</w:t>
            </w:r>
          </w:p>
        </w:tc>
        <w:tc>
          <w:tcPr>
            <w:tcW w:w="520" w:type="pct"/>
            <w:tcBorders>
              <w:top w:val="single" w:sz="4" w:space="0" w:color="auto"/>
              <w:left w:val="single" w:sz="4" w:space="0" w:color="auto"/>
              <w:bottom w:val="single" w:sz="4" w:space="0" w:color="auto"/>
              <w:right w:val="single" w:sz="4" w:space="0" w:color="auto"/>
            </w:tcBorders>
            <w:hideMark/>
          </w:tcPr>
          <w:p w14:paraId="62B5765C" w14:textId="77777777" w:rsidR="003F1C55" w:rsidRPr="004C2A3C" w:rsidRDefault="003F1C55" w:rsidP="00057475">
            <w:pPr>
              <w:keepNext/>
              <w:keepLines/>
              <w:spacing w:before="40" w:after="40" w:line="200" w:lineRule="atLeast"/>
              <w:ind w:left="57" w:right="57"/>
              <w:jc w:val="center"/>
              <w:rPr>
                <w:rFonts w:eastAsia="Calibri"/>
                <w:bCs/>
                <w:noProof/>
                <w:color w:val="000000" w:themeColor="text1"/>
                <w:sz w:val="14"/>
                <w:szCs w:val="14"/>
              </w:rPr>
            </w:pPr>
            <w:r w:rsidRPr="004C2A3C">
              <w:rPr>
                <w:rFonts w:eastAsia="Calibri"/>
                <w:bCs/>
                <w:noProof/>
                <w:color w:val="000000" w:themeColor="text1"/>
                <w:sz w:val="14"/>
                <w:szCs w:val="14"/>
              </w:rPr>
              <w:t>SMQ ≤12,5</w:t>
            </w:r>
          </w:p>
        </w:tc>
      </w:tr>
    </w:tbl>
    <w:p w14:paraId="20CBE763" w14:textId="77777777" w:rsidR="003F1C55" w:rsidRDefault="003F1C55" w:rsidP="003F1C55">
      <w:pPr>
        <w:suppressAutoHyphens w:val="0"/>
        <w:kinsoku/>
        <w:overflowPunct/>
        <w:autoSpaceDE/>
        <w:autoSpaceDN/>
        <w:adjustRightInd/>
        <w:snapToGrid/>
        <w:spacing w:line="240" w:lineRule="auto"/>
        <w:ind w:left="284" w:firstLine="170"/>
        <w:rPr>
          <w:i/>
          <w:iCs/>
          <w:color w:val="000000" w:themeColor="text1"/>
          <w:sz w:val="18"/>
          <w:szCs w:val="18"/>
          <w:lang w:val="fr-FR"/>
        </w:rPr>
      </w:pPr>
      <w:proofErr w:type="gramStart"/>
      <w:r w:rsidRPr="004C2A3C">
        <w:rPr>
          <w:b/>
          <w:bCs/>
          <w:i/>
          <w:iCs/>
          <w:color w:val="000000" w:themeColor="text1"/>
          <w:sz w:val="18"/>
          <w:szCs w:val="18"/>
          <w:vertAlign w:val="superscript"/>
          <w:lang w:val="fr-FR"/>
        </w:rPr>
        <w:t>a</w:t>
      </w:r>
      <w:r w:rsidRPr="004C2A3C">
        <w:rPr>
          <w:color w:val="000000" w:themeColor="text1"/>
          <w:sz w:val="18"/>
          <w:szCs w:val="18"/>
          <w:lang w:val="fr-FR"/>
        </w:rPr>
        <w:t xml:space="preserve">  </w:t>
      </w:r>
      <w:r w:rsidRPr="004C2A3C">
        <w:rPr>
          <w:i/>
          <w:iCs/>
          <w:color w:val="000000" w:themeColor="text1"/>
          <w:sz w:val="18"/>
          <w:szCs w:val="18"/>
          <w:lang w:val="fr-FR"/>
        </w:rPr>
        <w:t>Les</w:t>
      </w:r>
      <w:proofErr w:type="gramEnd"/>
      <w:r w:rsidRPr="004C2A3C">
        <w:rPr>
          <w:i/>
          <w:iCs/>
          <w:color w:val="000000" w:themeColor="text1"/>
          <w:sz w:val="18"/>
          <w:szCs w:val="18"/>
          <w:lang w:val="fr-FR"/>
        </w:rPr>
        <w:t xml:space="preserve"> critères de classification doivent être interprétés dans le contexte des lignes directrices 437, 438, 460, 491, 492, 494 et 496 de l</w:t>
      </w:r>
      <w:r>
        <w:rPr>
          <w:i/>
          <w:iCs/>
          <w:color w:val="000000" w:themeColor="text1"/>
          <w:sz w:val="18"/>
          <w:szCs w:val="18"/>
          <w:lang w:val="fr-FR"/>
        </w:rPr>
        <w:t>’</w:t>
      </w:r>
      <w:r w:rsidRPr="004C2A3C">
        <w:rPr>
          <w:i/>
          <w:iCs/>
          <w:color w:val="000000" w:themeColor="text1"/>
          <w:sz w:val="18"/>
          <w:szCs w:val="18"/>
          <w:lang w:val="fr-FR"/>
        </w:rPr>
        <w:t>OCDE.</w:t>
      </w:r>
    </w:p>
    <w:p w14:paraId="04D912D9" w14:textId="17833D1B" w:rsidR="005C5880" w:rsidRPr="00B80EA1" w:rsidRDefault="003F1C55" w:rsidP="003F1C55">
      <w:pPr>
        <w:suppressAutoHyphens w:val="0"/>
        <w:kinsoku/>
        <w:overflowPunct/>
        <w:autoSpaceDE/>
        <w:autoSpaceDN/>
        <w:adjustRightInd/>
        <w:snapToGrid/>
        <w:spacing w:line="240" w:lineRule="auto"/>
        <w:ind w:left="284" w:firstLine="170"/>
        <w:rPr>
          <w:rFonts w:eastAsia="Times New Roman"/>
          <w:i/>
          <w:iCs/>
          <w:color w:val="000000" w:themeColor="text1"/>
          <w:sz w:val="18"/>
          <w:szCs w:val="18"/>
        </w:rPr>
      </w:pPr>
      <w:proofErr w:type="gramStart"/>
      <w:r w:rsidRPr="004C2A3C">
        <w:rPr>
          <w:rFonts w:eastAsia="Times New Roman"/>
          <w:b/>
          <w:bCs/>
          <w:i/>
          <w:iCs/>
          <w:color w:val="000000" w:themeColor="text1"/>
          <w:sz w:val="18"/>
          <w:szCs w:val="18"/>
          <w:vertAlign w:val="superscript"/>
          <w:lang w:val="fr-FR"/>
        </w:rPr>
        <w:t>b</w:t>
      </w:r>
      <w:r w:rsidRPr="004C2A3C">
        <w:rPr>
          <w:rFonts w:eastAsia="Times New Roman"/>
          <w:color w:val="000000" w:themeColor="text1"/>
          <w:sz w:val="18"/>
          <w:szCs w:val="18"/>
          <w:lang w:val="fr-FR"/>
        </w:rPr>
        <w:t xml:space="preserve">  </w:t>
      </w:r>
      <w:r w:rsidRPr="004C2A3C">
        <w:rPr>
          <w:rFonts w:eastAsia="Times New Roman"/>
          <w:i/>
          <w:iCs/>
          <w:color w:val="000000" w:themeColor="text1"/>
          <w:sz w:val="18"/>
          <w:szCs w:val="18"/>
          <w:lang w:val="fr-FR"/>
        </w:rPr>
        <w:t>En</w:t>
      </w:r>
      <w:proofErr w:type="gramEnd"/>
      <w:r w:rsidRPr="004C2A3C">
        <w:rPr>
          <w:rFonts w:eastAsia="Times New Roman"/>
          <w:i/>
          <w:iCs/>
          <w:color w:val="000000" w:themeColor="text1"/>
          <w:sz w:val="18"/>
          <w:szCs w:val="18"/>
          <w:lang w:val="fr-FR"/>
        </w:rPr>
        <w:t xml:space="preserve"> ce qui concerne les critères, on se reportera à la ligne directrice 438 de l</w:t>
      </w:r>
      <w:r>
        <w:rPr>
          <w:rFonts w:eastAsia="Times New Roman"/>
          <w:i/>
          <w:iCs/>
          <w:color w:val="000000" w:themeColor="text1"/>
          <w:sz w:val="18"/>
          <w:szCs w:val="18"/>
          <w:lang w:val="fr-FR"/>
        </w:rPr>
        <w:t>’</w:t>
      </w:r>
      <w:r w:rsidRPr="004C2A3C">
        <w:rPr>
          <w:rFonts w:eastAsia="Times New Roman"/>
          <w:i/>
          <w:iCs/>
          <w:color w:val="000000" w:themeColor="text1"/>
          <w:sz w:val="18"/>
          <w:szCs w:val="18"/>
          <w:lang w:val="fr-FR"/>
        </w:rPr>
        <w:t>OCDE.</w:t>
      </w:r>
    </w:p>
    <w:p w14:paraId="01E1930B" w14:textId="77777777" w:rsidR="003D06F0" w:rsidRPr="00B80EA1" w:rsidRDefault="003D06F0" w:rsidP="00116EA2">
      <w:pPr>
        <w:rPr>
          <w:color w:val="000000" w:themeColor="text1"/>
        </w:rPr>
        <w:sectPr w:rsidR="003D06F0" w:rsidRPr="00B80EA1" w:rsidSect="00116EA2">
          <w:headerReference w:type="even" r:id="rId27"/>
          <w:headerReference w:type="default" r:id="rId28"/>
          <w:footerReference w:type="even" r:id="rId29"/>
          <w:footerReference w:type="default" r:id="rId30"/>
          <w:endnotePr>
            <w:numFmt w:val="decimal"/>
          </w:endnotePr>
          <w:pgSz w:w="16838" w:h="11906" w:orient="landscape" w:code="9"/>
          <w:pgMar w:top="1134" w:right="1417" w:bottom="1134" w:left="1134" w:header="567" w:footer="567" w:gutter="0"/>
          <w:cols w:space="708"/>
          <w:docGrid w:linePitch="360"/>
        </w:sectPr>
      </w:pPr>
    </w:p>
    <w:p w14:paraId="4C7626AD" w14:textId="77777777" w:rsidR="003F1C55" w:rsidRPr="004C2A3C" w:rsidRDefault="003F1C55" w:rsidP="003F1C55">
      <w:pPr>
        <w:tabs>
          <w:tab w:val="left" w:pos="2268"/>
          <w:tab w:val="left" w:pos="3402"/>
        </w:tabs>
        <w:spacing w:after="120"/>
        <w:ind w:left="2268" w:right="1134"/>
        <w:jc w:val="both"/>
        <w:rPr>
          <w:rFonts w:eastAsia="Times New Roman"/>
          <w:color w:val="000000" w:themeColor="text1"/>
          <w:lang w:val="fr-FR"/>
        </w:rPr>
      </w:pPr>
      <w:r w:rsidRPr="004C2A3C">
        <w:rPr>
          <w:rFonts w:eastAsia="Times New Roman"/>
          <w:color w:val="000000" w:themeColor="text1"/>
          <w:lang w:val="fr-FR"/>
        </w:rPr>
        <w:t>3.3.5.3.5.2</w:t>
      </w:r>
      <w:r w:rsidRPr="004C2A3C">
        <w:rPr>
          <w:rFonts w:eastAsia="Times New Roman"/>
          <w:color w:val="000000" w:themeColor="text1"/>
          <w:lang w:val="fr-FR"/>
        </w:rPr>
        <w:tab/>
        <w:t>On trouvera ci-dessous une liste non exhaustive d</w:t>
      </w:r>
      <w:r>
        <w:rPr>
          <w:rFonts w:eastAsia="Times New Roman"/>
          <w:color w:val="000000" w:themeColor="text1"/>
          <w:lang w:val="fr-FR"/>
        </w:rPr>
        <w:t>’</w:t>
      </w:r>
      <w:r w:rsidRPr="004C2A3C">
        <w:rPr>
          <w:rFonts w:eastAsia="Times New Roman"/>
          <w:color w:val="000000" w:themeColor="text1"/>
          <w:lang w:val="fr-FR"/>
        </w:rPr>
        <w:t>autres méthodes d</w:t>
      </w:r>
      <w:r>
        <w:rPr>
          <w:rFonts w:eastAsia="Times New Roman"/>
          <w:color w:val="000000" w:themeColor="text1"/>
          <w:lang w:val="fr-FR"/>
        </w:rPr>
        <w:t>’</w:t>
      </w:r>
      <w:r w:rsidRPr="004C2A3C">
        <w:rPr>
          <w:rFonts w:eastAsia="Times New Roman"/>
          <w:color w:val="000000" w:themeColor="text1"/>
          <w:lang w:val="fr-FR"/>
        </w:rPr>
        <w:t xml:space="preserve">essai </w:t>
      </w:r>
      <w:r w:rsidRPr="004C2A3C">
        <w:rPr>
          <w:rFonts w:eastAsia="Times New Roman"/>
          <w:i/>
          <w:iCs/>
          <w:color w:val="000000" w:themeColor="text1"/>
          <w:lang w:val="fr-FR"/>
        </w:rPr>
        <w:t>in vitro</w:t>
      </w:r>
      <w:r w:rsidRPr="004C2A3C">
        <w:rPr>
          <w:rFonts w:eastAsia="Times New Roman"/>
          <w:iCs/>
          <w:color w:val="000000" w:themeColor="text1"/>
          <w:lang w:val="fr-FR"/>
        </w:rPr>
        <w:t>/</w:t>
      </w:r>
      <w:r w:rsidRPr="004C2A3C">
        <w:rPr>
          <w:rFonts w:eastAsia="Times New Roman"/>
          <w:i/>
          <w:iCs/>
          <w:color w:val="000000" w:themeColor="text1"/>
          <w:lang w:val="fr-FR"/>
        </w:rPr>
        <w:t>ex vivo</w:t>
      </w:r>
      <w:r w:rsidRPr="004C2A3C">
        <w:rPr>
          <w:rFonts w:eastAsia="Times New Roman"/>
          <w:color w:val="000000" w:themeColor="text1"/>
          <w:lang w:val="fr-FR"/>
        </w:rPr>
        <w:t xml:space="preserve"> validées, qui ont été acceptées par certaines autorités compétentes, mais qui n</w:t>
      </w:r>
      <w:r>
        <w:rPr>
          <w:rFonts w:eastAsia="Times New Roman"/>
          <w:color w:val="000000" w:themeColor="text1"/>
          <w:lang w:val="fr-FR"/>
        </w:rPr>
        <w:t>’</w:t>
      </w:r>
      <w:r w:rsidRPr="004C2A3C">
        <w:rPr>
          <w:rFonts w:eastAsia="Times New Roman"/>
          <w:color w:val="000000" w:themeColor="text1"/>
          <w:lang w:val="fr-FR"/>
        </w:rPr>
        <w:t>ont pas été adoptées par l</w:t>
      </w:r>
      <w:r>
        <w:rPr>
          <w:rFonts w:eastAsia="Times New Roman"/>
          <w:color w:val="000000" w:themeColor="text1"/>
          <w:lang w:val="fr-FR"/>
        </w:rPr>
        <w:t>’</w:t>
      </w:r>
      <w:r w:rsidRPr="004C2A3C">
        <w:rPr>
          <w:rFonts w:eastAsia="Times New Roman"/>
          <w:color w:val="000000" w:themeColor="text1"/>
          <w:lang w:val="fr-FR"/>
        </w:rPr>
        <w:t>OCDE au titre de ses lignes directrices pour les essais. Une autorité compétente peut décider des éventuels critères de classification à appliquer à ces méthodes d</w:t>
      </w:r>
      <w:r>
        <w:rPr>
          <w:rFonts w:eastAsia="Times New Roman"/>
          <w:color w:val="000000" w:themeColor="text1"/>
          <w:lang w:val="fr-FR"/>
        </w:rPr>
        <w:t>’</w:t>
      </w:r>
      <w:r w:rsidRPr="004C2A3C">
        <w:rPr>
          <w:rFonts w:eastAsia="Times New Roman"/>
          <w:color w:val="000000" w:themeColor="text1"/>
          <w:lang w:val="fr-FR"/>
        </w:rPr>
        <w:t>essai :</w:t>
      </w:r>
    </w:p>
    <w:p w14:paraId="6BB69FB3" w14:textId="77777777" w:rsidR="003F1C55" w:rsidRPr="004C2A3C" w:rsidRDefault="003F1C55" w:rsidP="003F1C55">
      <w:pPr>
        <w:numPr>
          <w:ilvl w:val="0"/>
          <w:numId w:val="2"/>
        </w:numPr>
        <w:spacing w:after="120"/>
        <w:ind w:left="2552" w:right="1134" w:hanging="284"/>
        <w:jc w:val="both"/>
        <w:rPr>
          <w:rFonts w:eastAsia="Times New Roman"/>
          <w:lang w:val="fr-FR"/>
        </w:rPr>
      </w:pPr>
      <w:r w:rsidRPr="004C2A3C">
        <w:rPr>
          <w:rFonts w:eastAsia="Times New Roman"/>
          <w:lang w:val="fr-FR"/>
        </w:rPr>
        <w:t>Essais d</w:t>
      </w:r>
      <w:r>
        <w:rPr>
          <w:rFonts w:eastAsia="Times New Roman"/>
          <w:lang w:val="fr-FR"/>
        </w:rPr>
        <w:t>’</w:t>
      </w:r>
      <w:r w:rsidRPr="004C2A3C">
        <w:rPr>
          <w:rFonts w:eastAsia="Times New Roman"/>
          <w:lang w:val="fr-FR"/>
        </w:rPr>
        <w:t>exposition TE</w:t>
      </w:r>
      <w:r w:rsidRPr="004C2A3C">
        <w:rPr>
          <w:rFonts w:eastAsia="Times New Roman"/>
          <w:vertAlign w:val="subscript"/>
          <w:lang w:val="fr-FR"/>
        </w:rPr>
        <w:t>50</w:t>
      </w:r>
      <w:r w:rsidRPr="004C2A3C">
        <w:rPr>
          <w:rFonts w:eastAsia="Times New Roman"/>
          <w:lang w:val="fr-FR"/>
        </w:rPr>
        <w:t xml:space="preserve"> sur des épithéliums cornéens humains reconstitués (</w:t>
      </w:r>
      <w:proofErr w:type="spellStart"/>
      <w:r w:rsidRPr="004C2A3C">
        <w:rPr>
          <w:rFonts w:eastAsia="Times New Roman"/>
          <w:lang w:val="fr-FR"/>
        </w:rPr>
        <w:t>echr</w:t>
      </w:r>
      <w:proofErr w:type="spellEnd"/>
      <w:r w:rsidRPr="004C2A3C">
        <w:rPr>
          <w:rFonts w:eastAsia="Times New Roman"/>
          <w:lang w:val="fr-FR"/>
        </w:rPr>
        <w:t>), décrits dans la ligne directrice 492 de l</w:t>
      </w:r>
      <w:r>
        <w:rPr>
          <w:rFonts w:eastAsia="Times New Roman"/>
          <w:lang w:val="fr-FR"/>
        </w:rPr>
        <w:t>’</w:t>
      </w:r>
      <w:r w:rsidRPr="004C2A3C">
        <w:rPr>
          <w:rFonts w:eastAsia="Times New Roman"/>
          <w:lang w:val="fr-FR"/>
        </w:rPr>
        <w:t>OCDE (</w:t>
      </w:r>
      <w:proofErr w:type="spellStart"/>
      <w:r w:rsidRPr="004C2A3C">
        <w:rPr>
          <w:rFonts w:eastAsia="Times New Roman"/>
          <w:lang w:val="fr-FR"/>
        </w:rPr>
        <w:t>Kandarova</w:t>
      </w:r>
      <w:proofErr w:type="spellEnd"/>
      <w:r w:rsidRPr="004C2A3C">
        <w:rPr>
          <w:rFonts w:eastAsia="Times New Roman"/>
          <w:lang w:val="fr-FR"/>
        </w:rPr>
        <w:t xml:space="preserve"> </w:t>
      </w:r>
      <w:r w:rsidRPr="004C2A3C">
        <w:rPr>
          <w:rFonts w:eastAsia="Times New Roman"/>
          <w:i/>
          <w:iCs/>
          <w:lang w:val="fr-FR"/>
        </w:rPr>
        <w:t>et al</w:t>
      </w:r>
      <w:r w:rsidRPr="004C2A3C">
        <w:rPr>
          <w:rFonts w:eastAsia="Times New Roman"/>
          <w:lang w:val="fr-FR"/>
        </w:rPr>
        <w:t xml:space="preserve">., 2018 ; </w:t>
      </w:r>
      <w:proofErr w:type="spellStart"/>
      <w:r w:rsidRPr="004C2A3C">
        <w:rPr>
          <w:rFonts w:eastAsia="Times New Roman"/>
          <w:lang w:val="fr-FR"/>
        </w:rPr>
        <w:t>Alépée</w:t>
      </w:r>
      <w:proofErr w:type="spellEnd"/>
      <w:r w:rsidRPr="004C2A3C">
        <w:rPr>
          <w:rFonts w:eastAsia="Times New Roman"/>
          <w:lang w:val="fr-FR"/>
        </w:rPr>
        <w:t xml:space="preserve"> </w:t>
      </w:r>
      <w:r w:rsidRPr="004C2A3C">
        <w:rPr>
          <w:rFonts w:eastAsia="Times New Roman"/>
          <w:i/>
          <w:iCs/>
          <w:lang w:val="fr-FR"/>
        </w:rPr>
        <w:t>et al</w:t>
      </w:r>
      <w:r w:rsidRPr="004C2A3C">
        <w:rPr>
          <w:rFonts w:eastAsia="Times New Roman"/>
          <w:lang w:val="fr-FR"/>
        </w:rPr>
        <w:t>., 2020) ;</w:t>
      </w:r>
    </w:p>
    <w:p w14:paraId="58198299" w14:textId="77777777" w:rsidR="003F1C55" w:rsidRPr="004C2A3C" w:rsidRDefault="003F1C55" w:rsidP="003F1C55">
      <w:pPr>
        <w:numPr>
          <w:ilvl w:val="0"/>
          <w:numId w:val="2"/>
        </w:numPr>
        <w:spacing w:after="120"/>
        <w:ind w:left="2552" w:right="1134" w:hanging="284"/>
        <w:jc w:val="both"/>
        <w:rPr>
          <w:rFonts w:eastAsia="Times New Roman"/>
          <w:lang w:val="fr-FR"/>
        </w:rPr>
      </w:pPr>
      <w:r w:rsidRPr="004C2A3C">
        <w:rPr>
          <w:rFonts w:eastAsia="Times New Roman"/>
          <w:lang w:val="fr-FR"/>
        </w:rPr>
        <w:t>Essai d</w:t>
      </w:r>
      <w:r>
        <w:rPr>
          <w:rFonts w:eastAsia="Times New Roman"/>
          <w:lang w:val="fr-FR"/>
        </w:rPr>
        <w:t>’</w:t>
      </w:r>
      <w:r w:rsidRPr="004C2A3C">
        <w:rPr>
          <w:rFonts w:eastAsia="Times New Roman"/>
          <w:lang w:val="fr-FR"/>
        </w:rPr>
        <w:t xml:space="preserve">irritation oculaire </w:t>
      </w:r>
      <w:r w:rsidRPr="004C2A3C">
        <w:rPr>
          <w:rFonts w:eastAsia="Times New Roman"/>
          <w:i/>
          <w:iCs/>
          <w:lang w:val="fr-FR"/>
        </w:rPr>
        <w:t>ex vivo</w:t>
      </w:r>
      <w:r w:rsidRPr="004C2A3C">
        <w:rPr>
          <w:rFonts w:eastAsia="Times New Roman"/>
          <w:lang w:val="fr-FR"/>
        </w:rPr>
        <w:t xml:space="preserve"> EVEIT : essai </w:t>
      </w:r>
      <w:r w:rsidRPr="004C2A3C">
        <w:rPr>
          <w:rFonts w:eastAsia="Times New Roman"/>
          <w:i/>
          <w:iCs/>
          <w:lang w:val="fr-FR"/>
        </w:rPr>
        <w:t>ex vivo</w:t>
      </w:r>
      <w:r w:rsidRPr="004C2A3C">
        <w:rPr>
          <w:rFonts w:eastAsia="Times New Roman"/>
          <w:lang w:val="fr-FR"/>
        </w:rPr>
        <w:t xml:space="preserve"> réalisé à partir de tissus cornéens de lapin excisés, maintenus en culture pendant plusieurs jours, qui consiste à observer la reconstitution des tissus en vue de modéliser les effets réversibles et les effets non réversibles sur les yeux. La reconstitution des tissus à leur pleine épaisseur est observée de manière non invasive, par tomographie par cohérence optique (</w:t>
      </w:r>
      <w:proofErr w:type="spellStart"/>
      <w:r w:rsidRPr="004C2A3C">
        <w:rPr>
          <w:rFonts w:eastAsia="Times New Roman"/>
          <w:lang w:val="fr-FR"/>
        </w:rPr>
        <w:t>Frentz</w:t>
      </w:r>
      <w:proofErr w:type="spellEnd"/>
      <w:r w:rsidRPr="004C2A3C">
        <w:rPr>
          <w:rFonts w:eastAsia="Times New Roman"/>
          <w:lang w:val="fr-FR"/>
        </w:rPr>
        <w:t xml:space="preserve"> </w:t>
      </w:r>
      <w:r w:rsidRPr="004C2A3C">
        <w:rPr>
          <w:rFonts w:eastAsia="Times New Roman"/>
          <w:i/>
          <w:iCs/>
          <w:lang w:val="fr-FR"/>
        </w:rPr>
        <w:t>et al</w:t>
      </w:r>
      <w:r w:rsidRPr="004C2A3C">
        <w:rPr>
          <w:rFonts w:eastAsia="Times New Roman"/>
          <w:lang w:val="fr-FR"/>
        </w:rPr>
        <w:t xml:space="preserve">., 2008 ; </w:t>
      </w:r>
      <w:proofErr w:type="spellStart"/>
      <w:r w:rsidRPr="004C2A3C">
        <w:rPr>
          <w:rFonts w:eastAsia="Times New Roman"/>
          <w:lang w:val="fr-FR"/>
        </w:rPr>
        <w:t>Spöler</w:t>
      </w:r>
      <w:proofErr w:type="spellEnd"/>
      <w:r w:rsidRPr="004C2A3C">
        <w:rPr>
          <w:rFonts w:eastAsia="Times New Roman"/>
          <w:lang w:val="fr-FR"/>
        </w:rPr>
        <w:t xml:space="preserve"> </w:t>
      </w:r>
      <w:r w:rsidRPr="004C2A3C">
        <w:rPr>
          <w:rFonts w:eastAsia="Times New Roman"/>
          <w:i/>
          <w:iCs/>
          <w:lang w:val="fr-FR"/>
        </w:rPr>
        <w:t>et al</w:t>
      </w:r>
      <w:r w:rsidRPr="004C2A3C">
        <w:rPr>
          <w:rFonts w:eastAsia="Times New Roman"/>
          <w:lang w:val="fr-FR"/>
        </w:rPr>
        <w:t xml:space="preserve">., 2007 ; </w:t>
      </w:r>
      <w:proofErr w:type="spellStart"/>
      <w:r w:rsidRPr="004C2A3C">
        <w:rPr>
          <w:rFonts w:eastAsia="Times New Roman"/>
          <w:lang w:val="fr-FR"/>
        </w:rPr>
        <w:t>Spöler</w:t>
      </w:r>
      <w:proofErr w:type="spellEnd"/>
      <w:r w:rsidRPr="004C2A3C">
        <w:rPr>
          <w:rFonts w:eastAsia="Times New Roman"/>
          <w:lang w:val="fr-FR"/>
        </w:rPr>
        <w:t xml:space="preserve"> </w:t>
      </w:r>
      <w:r w:rsidRPr="004C2A3C">
        <w:rPr>
          <w:rFonts w:eastAsia="Times New Roman"/>
          <w:i/>
          <w:iCs/>
          <w:lang w:val="fr-FR"/>
        </w:rPr>
        <w:t>et al</w:t>
      </w:r>
      <w:r w:rsidRPr="004C2A3C">
        <w:rPr>
          <w:rFonts w:eastAsia="Times New Roman"/>
          <w:lang w:val="fr-FR"/>
        </w:rPr>
        <w:t>., 2015) ;</w:t>
      </w:r>
    </w:p>
    <w:p w14:paraId="65B40910" w14:textId="77777777" w:rsidR="003F1C55" w:rsidRPr="004C2A3C" w:rsidRDefault="003F1C55" w:rsidP="003F1C55">
      <w:pPr>
        <w:numPr>
          <w:ilvl w:val="0"/>
          <w:numId w:val="2"/>
        </w:numPr>
        <w:spacing w:after="120"/>
        <w:ind w:left="2552" w:right="1134" w:hanging="284"/>
        <w:jc w:val="both"/>
        <w:rPr>
          <w:rFonts w:eastAsia="Times New Roman"/>
          <w:lang w:val="fr-FR"/>
        </w:rPr>
      </w:pPr>
      <w:r w:rsidRPr="004C2A3C">
        <w:rPr>
          <w:rFonts w:eastAsia="Times New Roman"/>
          <w:lang w:val="fr-FR"/>
        </w:rPr>
        <w:t>Essai d</w:t>
      </w:r>
      <w:r>
        <w:rPr>
          <w:rFonts w:eastAsia="Times New Roman"/>
          <w:lang w:val="fr-FR"/>
        </w:rPr>
        <w:t>’</w:t>
      </w:r>
      <w:r w:rsidRPr="004C2A3C">
        <w:rPr>
          <w:rFonts w:eastAsia="Times New Roman"/>
          <w:lang w:val="fr-FR"/>
        </w:rPr>
        <w:t xml:space="preserve">opacité et de réversibilité </w:t>
      </w:r>
      <w:proofErr w:type="spellStart"/>
      <w:r w:rsidRPr="004C2A3C">
        <w:rPr>
          <w:rFonts w:eastAsia="Times New Roman"/>
          <w:lang w:val="fr-FR"/>
        </w:rPr>
        <w:t>PorCORA</w:t>
      </w:r>
      <w:proofErr w:type="spellEnd"/>
      <w:r w:rsidRPr="004C2A3C">
        <w:rPr>
          <w:rFonts w:eastAsia="Times New Roman"/>
          <w:lang w:val="fr-FR"/>
        </w:rPr>
        <w:t xml:space="preserve"> : essai </w:t>
      </w:r>
      <w:r w:rsidRPr="004C2A3C">
        <w:rPr>
          <w:rFonts w:eastAsia="Times New Roman"/>
          <w:i/>
          <w:iCs/>
          <w:lang w:val="fr-FR"/>
        </w:rPr>
        <w:t xml:space="preserve">ex vivo </w:t>
      </w:r>
      <w:r w:rsidRPr="004C2A3C">
        <w:rPr>
          <w:rFonts w:eastAsia="Times New Roman"/>
          <w:lang w:val="fr-FR"/>
        </w:rPr>
        <w:t>réalisé à partir de tissus cornéens de porc excisés, maintenus en culture jusqu</w:t>
      </w:r>
      <w:r>
        <w:rPr>
          <w:rFonts w:eastAsia="Times New Roman"/>
          <w:lang w:val="fr-FR"/>
        </w:rPr>
        <w:t>’</w:t>
      </w:r>
      <w:r w:rsidRPr="004C2A3C">
        <w:rPr>
          <w:rFonts w:eastAsia="Times New Roman"/>
          <w:lang w:val="fr-FR"/>
        </w:rPr>
        <w:t>à 21 jours, qui consiste à observer la reconstitution des tissus en vue de modéliser les effets réversibles et les effets non réversibles sur les yeux. Un colorant fluorescent est appliqué sur les tissus, ce qui permet d</w:t>
      </w:r>
      <w:r>
        <w:rPr>
          <w:rFonts w:eastAsia="Times New Roman"/>
          <w:lang w:val="fr-FR"/>
        </w:rPr>
        <w:t>’</w:t>
      </w:r>
      <w:r w:rsidRPr="004C2A3C">
        <w:rPr>
          <w:rFonts w:eastAsia="Times New Roman"/>
          <w:lang w:val="fr-FR"/>
        </w:rPr>
        <w:t>observer les effets sur les épithéliums cornéens (</w:t>
      </w:r>
      <w:proofErr w:type="spellStart"/>
      <w:r w:rsidRPr="004C2A3C">
        <w:rPr>
          <w:rFonts w:eastAsia="Times New Roman"/>
          <w:lang w:val="fr-FR"/>
        </w:rPr>
        <w:t>Piehl</w:t>
      </w:r>
      <w:proofErr w:type="spellEnd"/>
      <w:r w:rsidRPr="004C2A3C">
        <w:rPr>
          <w:rFonts w:eastAsia="Times New Roman"/>
          <w:lang w:val="fr-FR"/>
        </w:rPr>
        <w:t xml:space="preserve"> </w:t>
      </w:r>
      <w:r w:rsidRPr="004C2A3C">
        <w:rPr>
          <w:rFonts w:eastAsia="Times New Roman"/>
          <w:i/>
          <w:iCs/>
          <w:lang w:val="fr-FR"/>
        </w:rPr>
        <w:t>et al</w:t>
      </w:r>
      <w:r w:rsidRPr="004C2A3C">
        <w:rPr>
          <w:rFonts w:eastAsia="Times New Roman"/>
          <w:lang w:val="fr-FR"/>
        </w:rPr>
        <w:t xml:space="preserve">., 2010 ; </w:t>
      </w:r>
      <w:proofErr w:type="spellStart"/>
      <w:r w:rsidRPr="004C2A3C">
        <w:rPr>
          <w:rFonts w:eastAsia="Times New Roman"/>
          <w:lang w:val="fr-FR"/>
        </w:rPr>
        <w:t>Piehl</w:t>
      </w:r>
      <w:proofErr w:type="spellEnd"/>
      <w:r w:rsidRPr="004C2A3C">
        <w:rPr>
          <w:rFonts w:eastAsia="Times New Roman"/>
          <w:lang w:val="fr-FR"/>
        </w:rPr>
        <w:t xml:space="preserve"> </w:t>
      </w:r>
      <w:r w:rsidRPr="004C2A3C">
        <w:rPr>
          <w:rFonts w:eastAsia="Times New Roman"/>
          <w:i/>
          <w:iCs/>
          <w:lang w:val="fr-FR"/>
        </w:rPr>
        <w:t>et al</w:t>
      </w:r>
      <w:r w:rsidRPr="004C2A3C">
        <w:rPr>
          <w:rFonts w:eastAsia="Times New Roman"/>
          <w:lang w:val="fr-FR"/>
        </w:rPr>
        <w:t>., 2011) ;</w:t>
      </w:r>
    </w:p>
    <w:p w14:paraId="46CC90B7" w14:textId="77777777" w:rsidR="003F1C55" w:rsidRPr="004C2A3C" w:rsidRDefault="003F1C55" w:rsidP="003F1C55">
      <w:pPr>
        <w:numPr>
          <w:ilvl w:val="0"/>
          <w:numId w:val="2"/>
        </w:numPr>
        <w:spacing w:after="120"/>
        <w:ind w:left="2552" w:right="1134" w:hanging="284"/>
        <w:jc w:val="both"/>
        <w:rPr>
          <w:rFonts w:eastAsia="Times New Roman"/>
          <w:lang w:val="fr-FR"/>
        </w:rPr>
      </w:pPr>
      <w:r w:rsidRPr="004C2A3C">
        <w:rPr>
          <w:rFonts w:eastAsia="Times New Roman"/>
          <w:lang w:val="fr-FR"/>
        </w:rPr>
        <w:t xml:space="preserve">Essai </w:t>
      </w:r>
      <w:proofErr w:type="spellStart"/>
      <w:r w:rsidRPr="004C2A3C">
        <w:rPr>
          <w:rFonts w:eastAsia="Times New Roman"/>
          <w:lang w:val="fr-FR"/>
        </w:rPr>
        <w:t>EyeIRR</w:t>
      </w:r>
      <w:proofErr w:type="spellEnd"/>
      <w:r w:rsidRPr="004C2A3C">
        <w:rPr>
          <w:rFonts w:eastAsia="Times New Roman"/>
          <w:lang w:val="fr-FR"/>
        </w:rPr>
        <w:t xml:space="preserve">-IS : méthode génomique appliquée à un modèle </w:t>
      </w:r>
      <w:proofErr w:type="spellStart"/>
      <w:r w:rsidRPr="004C2A3C">
        <w:rPr>
          <w:rFonts w:eastAsia="Times New Roman"/>
          <w:lang w:val="fr-FR"/>
        </w:rPr>
        <w:t>echr</w:t>
      </w:r>
      <w:proofErr w:type="spellEnd"/>
      <w:r w:rsidRPr="004C2A3C">
        <w:rPr>
          <w:rFonts w:eastAsia="Times New Roman"/>
          <w:lang w:val="fr-FR"/>
        </w:rPr>
        <w:t xml:space="preserve"> (</w:t>
      </w:r>
      <w:proofErr w:type="spellStart"/>
      <w:r w:rsidRPr="004C2A3C">
        <w:rPr>
          <w:rFonts w:eastAsia="Times New Roman"/>
          <w:lang w:val="fr-FR"/>
        </w:rPr>
        <w:t>Cottrez</w:t>
      </w:r>
      <w:proofErr w:type="spellEnd"/>
      <w:r w:rsidRPr="004C2A3C">
        <w:rPr>
          <w:rFonts w:eastAsia="Times New Roman"/>
          <w:lang w:val="fr-FR"/>
        </w:rPr>
        <w:t xml:space="preserve"> </w:t>
      </w:r>
      <w:r w:rsidRPr="004C2A3C">
        <w:rPr>
          <w:rFonts w:eastAsia="Times New Roman"/>
          <w:i/>
          <w:iCs/>
          <w:lang w:val="fr-FR"/>
        </w:rPr>
        <w:t>et al</w:t>
      </w:r>
      <w:r w:rsidRPr="004C2A3C">
        <w:rPr>
          <w:rFonts w:eastAsia="Times New Roman"/>
          <w:lang w:val="fr-FR"/>
        </w:rPr>
        <w:t>., 2021) ;</w:t>
      </w:r>
    </w:p>
    <w:p w14:paraId="30D89785" w14:textId="77777777" w:rsidR="003F1C55" w:rsidRPr="004C2A3C" w:rsidRDefault="003F1C55" w:rsidP="003F1C55">
      <w:pPr>
        <w:numPr>
          <w:ilvl w:val="0"/>
          <w:numId w:val="2"/>
        </w:numPr>
        <w:spacing w:after="120"/>
        <w:ind w:left="2552" w:right="1134" w:hanging="284"/>
        <w:jc w:val="both"/>
        <w:rPr>
          <w:rFonts w:eastAsia="Times New Roman"/>
          <w:lang w:val="fr-FR"/>
        </w:rPr>
      </w:pPr>
      <w:r w:rsidRPr="004C2A3C">
        <w:rPr>
          <w:rFonts w:eastAsia="Times New Roman"/>
          <w:lang w:val="fr-FR"/>
        </w:rPr>
        <w:t>Méthode d</w:t>
      </w:r>
      <w:r>
        <w:rPr>
          <w:rFonts w:eastAsia="Times New Roman"/>
          <w:lang w:val="fr-FR"/>
        </w:rPr>
        <w:t>’</w:t>
      </w:r>
      <w:r w:rsidRPr="004C2A3C">
        <w:rPr>
          <w:rFonts w:eastAsia="Times New Roman"/>
          <w:lang w:val="fr-FR"/>
        </w:rPr>
        <w:t xml:space="preserve">essai macromoléculaire </w:t>
      </w:r>
      <w:r w:rsidRPr="004C2A3C">
        <w:rPr>
          <w:rFonts w:eastAsia="Times New Roman"/>
          <w:i/>
          <w:iCs/>
          <w:lang w:val="fr-FR"/>
        </w:rPr>
        <w:t>in vitro</w:t>
      </w:r>
      <w:r w:rsidRPr="004C2A3C">
        <w:rPr>
          <w:rFonts w:eastAsia="Times New Roman"/>
          <w:lang w:val="fr-FR"/>
        </w:rPr>
        <w:t xml:space="preserve"> (méthode d</w:t>
      </w:r>
      <w:r>
        <w:rPr>
          <w:rFonts w:eastAsia="Times New Roman"/>
          <w:lang w:val="fr-FR"/>
        </w:rPr>
        <w:t>’</w:t>
      </w:r>
      <w:r w:rsidRPr="004C2A3C">
        <w:rPr>
          <w:rFonts w:eastAsia="Times New Roman"/>
          <w:lang w:val="fr-FR"/>
        </w:rPr>
        <w:t>essai 2), comparable à la méthode d</w:t>
      </w:r>
      <w:r>
        <w:rPr>
          <w:rFonts w:eastAsia="Times New Roman"/>
          <w:lang w:val="fr-FR"/>
        </w:rPr>
        <w:t>’</w:t>
      </w:r>
      <w:r w:rsidRPr="004C2A3C">
        <w:rPr>
          <w:rFonts w:eastAsia="Times New Roman"/>
          <w:lang w:val="fr-FR"/>
        </w:rPr>
        <w:t>essai 1 décrite dans la ligne directrice 496 de l</w:t>
      </w:r>
      <w:r>
        <w:rPr>
          <w:rFonts w:eastAsia="Times New Roman"/>
          <w:lang w:val="fr-FR"/>
        </w:rPr>
        <w:t>’</w:t>
      </w:r>
      <w:r w:rsidRPr="004C2A3C">
        <w:rPr>
          <w:rFonts w:eastAsia="Times New Roman"/>
          <w:lang w:val="fr-FR"/>
        </w:rPr>
        <w:t>OCDE (</w:t>
      </w:r>
      <w:proofErr w:type="spellStart"/>
      <w:r w:rsidRPr="004C2A3C">
        <w:rPr>
          <w:rFonts w:eastAsia="Times New Roman"/>
          <w:lang w:val="fr-FR"/>
        </w:rPr>
        <w:t>Choksi</w:t>
      </w:r>
      <w:proofErr w:type="spellEnd"/>
      <w:r w:rsidRPr="004C2A3C">
        <w:rPr>
          <w:rFonts w:eastAsia="Times New Roman"/>
          <w:lang w:val="fr-FR"/>
        </w:rPr>
        <w:t xml:space="preserve"> </w:t>
      </w:r>
      <w:r w:rsidRPr="004C2A3C">
        <w:rPr>
          <w:rFonts w:eastAsia="Times New Roman"/>
          <w:i/>
          <w:iCs/>
          <w:lang w:val="fr-FR"/>
        </w:rPr>
        <w:t>et al.</w:t>
      </w:r>
      <w:r w:rsidRPr="004C2A3C">
        <w:rPr>
          <w:rFonts w:eastAsia="Times New Roman"/>
          <w:lang w:val="fr-FR"/>
        </w:rPr>
        <w:t>, 2020) ;</w:t>
      </w:r>
    </w:p>
    <w:p w14:paraId="00399765" w14:textId="77777777" w:rsidR="003F1C55" w:rsidRPr="004C2A3C" w:rsidRDefault="003F1C55" w:rsidP="003F1C55">
      <w:pPr>
        <w:numPr>
          <w:ilvl w:val="0"/>
          <w:numId w:val="2"/>
        </w:numPr>
        <w:spacing w:after="120"/>
        <w:ind w:left="2552" w:right="1134" w:hanging="284"/>
        <w:jc w:val="both"/>
        <w:rPr>
          <w:rFonts w:eastAsia="Times New Roman"/>
          <w:lang w:val="fr-FR"/>
        </w:rPr>
      </w:pPr>
      <w:r w:rsidRPr="004C2A3C">
        <w:rPr>
          <w:rFonts w:eastAsia="Times New Roman"/>
          <w:lang w:val="fr-FR"/>
        </w:rPr>
        <w:t>Essai d</w:t>
      </w:r>
      <w:r>
        <w:rPr>
          <w:rFonts w:eastAsia="Times New Roman"/>
          <w:lang w:val="fr-FR"/>
        </w:rPr>
        <w:t>’</w:t>
      </w:r>
      <w:r w:rsidRPr="004C2A3C">
        <w:rPr>
          <w:rFonts w:eastAsia="Times New Roman"/>
          <w:lang w:val="fr-FR"/>
        </w:rPr>
        <w:t xml:space="preserve">activité métabolique : essai </w:t>
      </w:r>
      <w:r w:rsidRPr="004C2A3C">
        <w:rPr>
          <w:rFonts w:eastAsia="Times New Roman"/>
          <w:i/>
          <w:iCs/>
          <w:lang w:val="fr-FR"/>
        </w:rPr>
        <w:t>in vitro</w:t>
      </w:r>
      <w:r w:rsidRPr="004C2A3C">
        <w:rPr>
          <w:rFonts w:eastAsia="Times New Roman"/>
          <w:lang w:val="fr-FR"/>
        </w:rPr>
        <w:t xml:space="preserve"> consistant à mesurer les changements du taux métabolique dans une monocouche cellulaire L929 à laquelle on a appliqué le matériau d</w:t>
      </w:r>
      <w:r>
        <w:rPr>
          <w:rFonts w:eastAsia="Times New Roman"/>
          <w:lang w:val="fr-FR"/>
        </w:rPr>
        <w:t>’</w:t>
      </w:r>
      <w:r w:rsidRPr="004C2A3C">
        <w:rPr>
          <w:rFonts w:eastAsia="Times New Roman"/>
          <w:lang w:val="fr-FR"/>
        </w:rPr>
        <w:t>essai (</w:t>
      </w:r>
      <w:proofErr w:type="spellStart"/>
      <w:r w:rsidRPr="004C2A3C">
        <w:rPr>
          <w:rFonts w:eastAsia="Times New Roman"/>
          <w:lang w:val="fr-FR"/>
        </w:rPr>
        <w:t>Harbell</w:t>
      </w:r>
      <w:proofErr w:type="spellEnd"/>
      <w:r w:rsidRPr="004C2A3C">
        <w:rPr>
          <w:rFonts w:eastAsia="Times New Roman"/>
          <w:lang w:val="fr-FR"/>
        </w:rPr>
        <w:t xml:space="preserve"> </w:t>
      </w:r>
      <w:r w:rsidRPr="004C2A3C">
        <w:rPr>
          <w:rFonts w:eastAsia="Times New Roman"/>
          <w:i/>
          <w:iCs/>
          <w:lang w:val="fr-FR"/>
        </w:rPr>
        <w:t>et al</w:t>
      </w:r>
      <w:r w:rsidRPr="004C2A3C">
        <w:rPr>
          <w:rFonts w:eastAsia="Times New Roman"/>
          <w:lang w:val="fr-FR"/>
        </w:rPr>
        <w:t xml:space="preserve">., 1999 ; EURL ECVAM, 2004a ; </w:t>
      </w:r>
      <w:proofErr w:type="spellStart"/>
      <w:r w:rsidRPr="004C2A3C">
        <w:rPr>
          <w:rFonts w:eastAsia="Times New Roman"/>
          <w:lang w:val="fr-FR"/>
        </w:rPr>
        <w:t>Hartog</w:t>
      </w:r>
      <w:proofErr w:type="spellEnd"/>
      <w:r w:rsidRPr="004C2A3C">
        <w:rPr>
          <w:rFonts w:eastAsia="Times New Roman"/>
          <w:lang w:val="fr-FR"/>
        </w:rPr>
        <w:t xml:space="preserve"> </w:t>
      </w:r>
      <w:r w:rsidRPr="004C2A3C">
        <w:rPr>
          <w:rFonts w:eastAsia="Times New Roman"/>
          <w:i/>
          <w:iCs/>
          <w:lang w:val="fr-FR"/>
        </w:rPr>
        <w:t>et al</w:t>
      </w:r>
      <w:r w:rsidRPr="004C2A3C">
        <w:rPr>
          <w:rFonts w:eastAsia="Times New Roman"/>
          <w:lang w:val="fr-FR"/>
        </w:rPr>
        <w:t xml:space="preserve">., 2010 ; Nash </w:t>
      </w:r>
      <w:r w:rsidRPr="004C2A3C">
        <w:rPr>
          <w:rFonts w:eastAsia="Times New Roman"/>
          <w:i/>
          <w:lang w:val="fr-FR"/>
        </w:rPr>
        <w:t>et al</w:t>
      </w:r>
      <w:r w:rsidRPr="004C2A3C">
        <w:rPr>
          <w:rFonts w:eastAsia="Times New Roman"/>
          <w:lang w:val="fr-FR"/>
        </w:rPr>
        <w:t>., 2014) ;</w:t>
      </w:r>
    </w:p>
    <w:p w14:paraId="3C71BB82" w14:textId="77777777" w:rsidR="003F1C55" w:rsidRPr="004C2A3C" w:rsidRDefault="003F1C55" w:rsidP="003F1C55">
      <w:pPr>
        <w:numPr>
          <w:ilvl w:val="0"/>
          <w:numId w:val="2"/>
        </w:numPr>
        <w:spacing w:after="120"/>
        <w:ind w:left="2552" w:right="1134" w:hanging="284"/>
        <w:jc w:val="both"/>
        <w:rPr>
          <w:rFonts w:eastAsia="Times New Roman"/>
          <w:lang w:val="fr-FR"/>
        </w:rPr>
      </w:pPr>
      <w:r w:rsidRPr="004C2A3C">
        <w:rPr>
          <w:rFonts w:eastAsia="Times New Roman"/>
          <w:lang w:val="fr-FR"/>
        </w:rPr>
        <w:t xml:space="preserve">Essai sur la membrane </w:t>
      </w:r>
      <w:proofErr w:type="spellStart"/>
      <w:r w:rsidRPr="004C2A3C">
        <w:rPr>
          <w:rFonts w:eastAsia="Times New Roman"/>
          <w:lang w:val="fr-FR"/>
        </w:rPr>
        <w:t>chorio</w:t>
      </w:r>
      <w:proofErr w:type="spellEnd"/>
      <w:r w:rsidRPr="004C2A3C">
        <w:rPr>
          <w:rFonts w:eastAsia="Times New Roman"/>
          <w:lang w:val="fr-FR"/>
        </w:rPr>
        <w:t>-allantoïque de l</w:t>
      </w:r>
      <w:r>
        <w:rPr>
          <w:rFonts w:eastAsia="Times New Roman"/>
          <w:lang w:val="fr-FR"/>
        </w:rPr>
        <w:t>’</w:t>
      </w:r>
      <w:r w:rsidRPr="004C2A3C">
        <w:rPr>
          <w:rFonts w:eastAsia="Times New Roman"/>
          <w:lang w:val="fr-FR"/>
        </w:rPr>
        <w:t>œuf de poule (HET-CAM) : essai organotypique réalisé sur la membrane vascularisée d</w:t>
      </w:r>
      <w:r>
        <w:rPr>
          <w:rFonts w:eastAsia="Times New Roman"/>
          <w:lang w:val="fr-FR"/>
        </w:rPr>
        <w:t>’</w:t>
      </w:r>
      <w:r w:rsidRPr="004C2A3C">
        <w:rPr>
          <w:rFonts w:eastAsia="Times New Roman"/>
          <w:lang w:val="fr-FR"/>
        </w:rPr>
        <w:t>œufs de poule fertiles pour évaluer la capacité d</w:t>
      </w:r>
      <w:r>
        <w:rPr>
          <w:rFonts w:eastAsia="Times New Roman"/>
          <w:lang w:val="fr-FR"/>
        </w:rPr>
        <w:t>’</w:t>
      </w:r>
      <w:r w:rsidRPr="004C2A3C">
        <w:rPr>
          <w:rFonts w:eastAsia="Times New Roman"/>
          <w:lang w:val="fr-FR"/>
        </w:rPr>
        <w:t>un matériau d</w:t>
      </w:r>
      <w:r>
        <w:rPr>
          <w:rFonts w:eastAsia="Times New Roman"/>
          <w:lang w:val="fr-FR"/>
        </w:rPr>
        <w:t>’</w:t>
      </w:r>
      <w:r w:rsidRPr="004C2A3C">
        <w:rPr>
          <w:rFonts w:eastAsia="Times New Roman"/>
          <w:lang w:val="fr-FR"/>
        </w:rPr>
        <w:t xml:space="preserve">essai à provoquer des changements vasculaires (Spielmann </w:t>
      </w:r>
      <w:r w:rsidRPr="004C2A3C">
        <w:rPr>
          <w:rFonts w:eastAsia="Times New Roman"/>
          <w:i/>
          <w:iCs/>
          <w:lang w:val="fr-FR"/>
        </w:rPr>
        <w:t>et al</w:t>
      </w:r>
      <w:r w:rsidRPr="004C2A3C">
        <w:rPr>
          <w:rFonts w:eastAsia="Times New Roman"/>
          <w:lang w:val="fr-FR"/>
        </w:rPr>
        <w:t xml:space="preserve">., 1993 ; Balls </w:t>
      </w:r>
      <w:r w:rsidRPr="004C2A3C">
        <w:rPr>
          <w:rFonts w:eastAsia="Times New Roman"/>
          <w:i/>
          <w:iCs/>
          <w:lang w:val="fr-FR"/>
        </w:rPr>
        <w:t>et al</w:t>
      </w:r>
      <w:r w:rsidRPr="004C2A3C">
        <w:rPr>
          <w:rFonts w:eastAsia="Times New Roman"/>
          <w:lang w:val="fr-FR"/>
        </w:rPr>
        <w:t xml:space="preserve">., 1995 ; Spielmann </w:t>
      </w:r>
      <w:r w:rsidRPr="004C2A3C">
        <w:rPr>
          <w:rFonts w:eastAsia="Times New Roman"/>
          <w:i/>
          <w:iCs/>
          <w:lang w:val="fr-FR"/>
        </w:rPr>
        <w:t>et al</w:t>
      </w:r>
      <w:r w:rsidRPr="004C2A3C">
        <w:rPr>
          <w:rFonts w:eastAsia="Times New Roman"/>
          <w:lang w:val="fr-FR"/>
        </w:rPr>
        <w:t xml:space="preserve">., 1996 ; </w:t>
      </w:r>
      <w:proofErr w:type="spellStart"/>
      <w:r w:rsidRPr="004C2A3C">
        <w:rPr>
          <w:rFonts w:eastAsia="Times New Roman"/>
          <w:lang w:val="fr-FR"/>
        </w:rPr>
        <w:t>Brantom</w:t>
      </w:r>
      <w:proofErr w:type="spellEnd"/>
      <w:r w:rsidRPr="004C2A3C">
        <w:rPr>
          <w:rFonts w:eastAsia="Times New Roman"/>
          <w:lang w:val="fr-FR"/>
        </w:rPr>
        <w:t xml:space="preserve"> </w:t>
      </w:r>
      <w:r w:rsidRPr="004C2A3C">
        <w:rPr>
          <w:rFonts w:eastAsia="Times New Roman"/>
          <w:i/>
          <w:iCs/>
          <w:lang w:val="fr-FR"/>
        </w:rPr>
        <w:t>et al</w:t>
      </w:r>
      <w:r w:rsidRPr="004C2A3C">
        <w:rPr>
          <w:rFonts w:eastAsia="Times New Roman"/>
          <w:lang w:val="fr-FR"/>
        </w:rPr>
        <w:t>., 1997 ; ICCVAM, 2007 ; ICCVAM, 2010) ;</w:t>
      </w:r>
    </w:p>
    <w:p w14:paraId="72333E72" w14:textId="77777777" w:rsidR="003F1C55" w:rsidRPr="004C2A3C" w:rsidRDefault="003F1C55" w:rsidP="003F1C55">
      <w:pPr>
        <w:numPr>
          <w:ilvl w:val="0"/>
          <w:numId w:val="2"/>
        </w:numPr>
        <w:spacing w:after="120"/>
        <w:ind w:left="2552" w:right="1134" w:hanging="284"/>
        <w:jc w:val="both"/>
        <w:rPr>
          <w:rFonts w:eastAsia="Times New Roman"/>
          <w:lang w:val="fr-FR"/>
        </w:rPr>
      </w:pPr>
      <w:r w:rsidRPr="004C2A3C">
        <w:rPr>
          <w:rFonts w:eastAsia="Times New Roman"/>
          <w:lang w:val="fr-FR"/>
        </w:rPr>
        <w:t xml:space="preserve">Essai vasculaire sur la membrane </w:t>
      </w:r>
      <w:proofErr w:type="spellStart"/>
      <w:r w:rsidRPr="004C2A3C">
        <w:rPr>
          <w:rFonts w:eastAsia="Times New Roman"/>
          <w:lang w:val="fr-FR"/>
        </w:rPr>
        <w:t>chorio</w:t>
      </w:r>
      <w:proofErr w:type="spellEnd"/>
      <w:r w:rsidRPr="004C2A3C">
        <w:rPr>
          <w:rFonts w:eastAsia="Times New Roman"/>
          <w:lang w:val="fr-FR"/>
        </w:rPr>
        <w:t>-allantoïque (CAMVA) : essai organotypique réalisé sur la membrane vascularisée d</w:t>
      </w:r>
      <w:r>
        <w:rPr>
          <w:rFonts w:eastAsia="Times New Roman"/>
          <w:lang w:val="fr-FR"/>
        </w:rPr>
        <w:t>’</w:t>
      </w:r>
      <w:r w:rsidRPr="004C2A3C">
        <w:rPr>
          <w:rFonts w:eastAsia="Times New Roman"/>
          <w:lang w:val="fr-FR"/>
        </w:rPr>
        <w:t>œufs de poule fertiles pour évaluer la capacité d</w:t>
      </w:r>
      <w:r>
        <w:rPr>
          <w:rFonts w:eastAsia="Times New Roman"/>
          <w:lang w:val="fr-FR"/>
        </w:rPr>
        <w:t>’</w:t>
      </w:r>
      <w:r w:rsidRPr="004C2A3C">
        <w:rPr>
          <w:rFonts w:eastAsia="Times New Roman"/>
          <w:lang w:val="fr-FR"/>
        </w:rPr>
        <w:t>un matériau d</w:t>
      </w:r>
      <w:r>
        <w:rPr>
          <w:rFonts w:eastAsia="Times New Roman"/>
          <w:lang w:val="fr-FR"/>
        </w:rPr>
        <w:t>’</w:t>
      </w:r>
      <w:r w:rsidRPr="004C2A3C">
        <w:rPr>
          <w:rFonts w:eastAsia="Times New Roman"/>
          <w:lang w:val="fr-FR"/>
        </w:rPr>
        <w:t>essai à provoquer des changements vasculaires (</w:t>
      </w:r>
      <w:proofErr w:type="spellStart"/>
      <w:r w:rsidRPr="004C2A3C">
        <w:rPr>
          <w:rFonts w:eastAsia="Times New Roman"/>
          <w:lang w:val="fr-FR"/>
        </w:rPr>
        <w:t>Bagley</w:t>
      </w:r>
      <w:proofErr w:type="spellEnd"/>
      <w:r w:rsidRPr="004C2A3C">
        <w:rPr>
          <w:rFonts w:eastAsia="Times New Roman"/>
          <w:lang w:val="fr-FR"/>
        </w:rPr>
        <w:t xml:space="preserve"> </w:t>
      </w:r>
      <w:r w:rsidRPr="004C2A3C">
        <w:rPr>
          <w:rFonts w:eastAsia="Times New Roman"/>
          <w:i/>
          <w:iCs/>
          <w:lang w:val="fr-FR"/>
        </w:rPr>
        <w:t>et al</w:t>
      </w:r>
      <w:r w:rsidRPr="004C2A3C">
        <w:rPr>
          <w:rFonts w:eastAsia="Times New Roman"/>
          <w:lang w:val="fr-FR"/>
        </w:rPr>
        <w:t xml:space="preserve">., 1994 ; </w:t>
      </w:r>
      <w:proofErr w:type="spellStart"/>
      <w:r w:rsidRPr="004C2A3C">
        <w:rPr>
          <w:rFonts w:eastAsia="Times New Roman"/>
          <w:lang w:val="fr-FR"/>
        </w:rPr>
        <w:t>Brantom</w:t>
      </w:r>
      <w:proofErr w:type="spellEnd"/>
      <w:r w:rsidRPr="004C2A3C">
        <w:rPr>
          <w:rFonts w:eastAsia="Times New Roman"/>
          <w:lang w:val="fr-FR"/>
        </w:rPr>
        <w:t xml:space="preserve"> </w:t>
      </w:r>
      <w:r w:rsidRPr="004C2A3C">
        <w:rPr>
          <w:rFonts w:eastAsia="Times New Roman"/>
          <w:i/>
          <w:iCs/>
          <w:lang w:val="fr-FR"/>
        </w:rPr>
        <w:t>et al</w:t>
      </w:r>
      <w:r w:rsidRPr="004C2A3C">
        <w:rPr>
          <w:rFonts w:eastAsia="Times New Roman"/>
          <w:lang w:val="fr-FR"/>
        </w:rPr>
        <w:t xml:space="preserve">., 1997 ; </w:t>
      </w:r>
      <w:proofErr w:type="spellStart"/>
      <w:r w:rsidRPr="004C2A3C">
        <w:rPr>
          <w:rFonts w:eastAsia="Times New Roman"/>
          <w:lang w:val="fr-FR"/>
        </w:rPr>
        <w:t>Bagley</w:t>
      </w:r>
      <w:proofErr w:type="spellEnd"/>
      <w:r w:rsidRPr="004C2A3C">
        <w:rPr>
          <w:rFonts w:eastAsia="Times New Roman"/>
          <w:lang w:val="fr-FR"/>
        </w:rPr>
        <w:t xml:space="preserve"> </w:t>
      </w:r>
      <w:r w:rsidRPr="004C2A3C">
        <w:rPr>
          <w:rFonts w:eastAsia="Times New Roman"/>
          <w:i/>
          <w:iCs/>
          <w:lang w:val="fr-FR"/>
        </w:rPr>
        <w:t>et al</w:t>
      </w:r>
      <w:r w:rsidRPr="004C2A3C">
        <w:rPr>
          <w:rFonts w:eastAsia="Times New Roman"/>
          <w:lang w:val="fr-FR"/>
        </w:rPr>
        <w:t xml:space="preserve">., 1999 ; </w:t>
      </w:r>
      <w:proofErr w:type="spellStart"/>
      <w:r w:rsidRPr="004C2A3C">
        <w:rPr>
          <w:rFonts w:eastAsia="Times New Roman"/>
          <w:lang w:val="fr-FR"/>
        </w:rPr>
        <w:t>Donahue</w:t>
      </w:r>
      <w:proofErr w:type="spellEnd"/>
      <w:r w:rsidRPr="004C2A3C">
        <w:rPr>
          <w:rFonts w:eastAsia="Times New Roman"/>
          <w:lang w:val="fr-FR"/>
        </w:rPr>
        <w:t xml:space="preserve"> </w:t>
      </w:r>
      <w:r w:rsidRPr="004C2A3C">
        <w:rPr>
          <w:rFonts w:eastAsia="Times New Roman"/>
          <w:i/>
          <w:iCs/>
          <w:lang w:val="fr-FR"/>
        </w:rPr>
        <w:t>et al</w:t>
      </w:r>
      <w:r w:rsidRPr="004C2A3C">
        <w:rPr>
          <w:rFonts w:eastAsia="Times New Roman"/>
          <w:lang w:val="fr-FR"/>
        </w:rPr>
        <w:t>., 2011) ;</w:t>
      </w:r>
    </w:p>
    <w:p w14:paraId="32EF89EF" w14:textId="77777777" w:rsidR="003F1C55" w:rsidRPr="004C2A3C" w:rsidRDefault="003F1C55" w:rsidP="003F1C55">
      <w:pPr>
        <w:numPr>
          <w:ilvl w:val="0"/>
          <w:numId w:val="2"/>
        </w:numPr>
        <w:spacing w:after="120"/>
        <w:ind w:left="2552" w:right="1134" w:hanging="284"/>
        <w:jc w:val="both"/>
        <w:rPr>
          <w:rFonts w:eastAsia="Times New Roman"/>
          <w:lang w:val="fr-FR"/>
        </w:rPr>
      </w:pPr>
      <w:r w:rsidRPr="004C2A3C">
        <w:rPr>
          <w:rFonts w:eastAsia="Times New Roman"/>
          <w:lang w:val="fr-FR"/>
        </w:rPr>
        <w:t xml:space="preserve">Essai au rouge neutre (NRR) : essai </w:t>
      </w:r>
      <w:r w:rsidRPr="004C2A3C">
        <w:rPr>
          <w:rFonts w:eastAsia="Times New Roman"/>
          <w:i/>
          <w:iCs/>
          <w:lang w:val="fr-FR"/>
        </w:rPr>
        <w:t>in vitro</w:t>
      </w:r>
      <w:r w:rsidRPr="004C2A3C">
        <w:rPr>
          <w:rFonts w:eastAsia="Times New Roman"/>
          <w:lang w:val="fr-FR"/>
        </w:rPr>
        <w:t xml:space="preserve"> consistant à mesurer quantitativement la capacité d</w:t>
      </w:r>
      <w:r>
        <w:rPr>
          <w:rFonts w:eastAsia="Times New Roman"/>
          <w:lang w:val="fr-FR"/>
        </w:rPr>
        <w:t>’</w:t>
      </w:r>
      <w:r w:rsidRPr="004C2A3C">
        <w:rPr>
          <w:rFonts w:eastAsia="Times New Roman"/>
          <w:lang w:val="fr-FR"/>
        </w:rPr>
        <w:t xml:space="preserve">une substance à causer des dommages aux membranes cellulaires dans une monocouche de kératinocytes épidermiques humains normaux (NHEK) (Reader </w:t>
      </w:r>
      <w:r w:rsidRPr="004C2A3C">
        <w:rPr>
          <w:rFonts w:eastAsia="Times New Roman"/>
          <w:i/>
          <w:iCs/>
          <w:lang w:val="fr-FR"/>
        </w:rPr>
        <w:t>et al</w:t>
      </w:r>
      <w:r w:rsidRPr="004C2A3C">
        <w:rPr>
          <w:rFonts w:eastAsia="Times New Roman"/>
          <w:lang w:val="fr-FR"/>
        </w:rPr>
        <w:t xml:space="preserve">., 1989 ; Reader </w:t>
      </w:r>
      <w:r w:rsidRPr="004C2A3C">
        <w:rPr>
          <w:rFonts w:eastAsia="Times New Roman"/>
          <w:i/>
          <w:iCs/>
          <w:lang w:val="fr-FR"/>
        </w:rPr>
        <w:t>et al</w:t>
      </w:r>
      <w:r w:rsidRPr="004C2A3C">
        <w:rPr>
          <w:rFonts w:eastAsia="Times New Roman"/>
          <w:lang w:val="fr-FR"/>
        </w:rPr>
        <w:t xml:space="preserve">., 1990 ; </w:t>
      </w:r>
      <w:proofErr w:type="spellStart"/>
      <w:r w:rsidRPr="004C2A3C">
        <w:rPr>
          <w:rFonts w:eastAsia="Times New Roman"/>
          <w:lang w:val="fr-FR"/>
        </w:rPr>
        <w:t>Zuang</w:t>
      </w:r>
      <w:proofErr w:type="spellEnd"/>
      <w:r w:rsidRPr="004C2A3C">
        <w:rPr>
          <w:rFonts w:eastAsia="Times New Roman"/>
          <w:lang w:val="fr-FR"/>
        </w:rPr>
        <w:t xml:space="preserve">, 2001 ; EURL ECVAM, 2004b ; </w:t>
      </w:r>
      <w:proofErr w:type="spellStart"/>
      <w:r w:rsidRPr="004C2A3C">
        <w:rPr>
          <w:rFonts w:eastAsia="Times New Roman"/>
          <w:lang w:val="fr-FR"/>
        </w:rPr>
        <w:t>Settivari</w:t>
      </w:r>
      <w:proofErr w:type="spellEnd"/>
      <w:r w:rsidRPr="004C2A3C">
        <w:rPr>
          <w:rFonts w:eastAsia="Times New Roman"/>
          <w:lang w:val="fr-FR"/>
        </w:rPr>
        <w:t xml:space="preserve"> </w:t>
      </w:r>
      <w:r w:rsidRPr="004C2A3C">
        <w:rPr>
          <w:rFonts w:eastAsia="Times New Roman"/>
          <w:i/>
          <w:iCs/>
          <w:lang w:val="fr-FR"/>
        </w:rPr>
        <w:t>et al</w:t>
      </w:r>
      <w:r w:rsidRPr="004C2A3C">
        <w:rPr>
          <w:rFonts w:eastAsia="Times New Roman"/>
          <w:lang w:val="fr-FR"/>
        </w:rPr>
        <w:t>., 2016) ;</w:t>
      </w:r>
    </w:p>
    <w:p w14:paraId="2A8B6CAB" w14:textId="77777777" w:rsidR="003F1C55" w:rsidRPr="004C2A3C" w:rsidRDefault="003F1C55" w:rsidP="003F1C55">
      <w:pPr>
        <w:numPr>
          <w:ilvl w:val="0"/>
          <w:numId w:val="2"/>
        </w:numPr>
        <w:spacing w:after="120"/>
        <w:ind w:left="2552" w:right="1134" w:hanging="284"/>
        <w:jc w:val="both"/>
        <w:rPr>
          <w:rFonts w:eastAsia="Times New Roman"/>
          <w:lang w:val="fr-FR"/>
        </w:rPr>
      </w:pPr>
      <w:r w:rsidRPr="004C2A3C">
        <w:rPr>
          <w:rFonts w:eastAsia="Times New Roman"/>
          <w:lang w:val="fr-FR"/>
        </w:rPr>
        <w:t>Essai sur œil de lapin isolé (IRE), comparable à l</w:t>
      </w:r>
      <w:r>
        <w:rPr>
          <w:rFonts w:eastAsia="Times New Roman"/>
          <w:lang w:val="fr-FR"/>
        </w:rPr>
        <w:t>’</w:t>
      </w:r>
      <w:r w:rsidRPr="004C2A3C">
        <w:rPr>
          <w:rFonts w:eastAsia="Times New Roman"/>
          <w:lang w:val="fr-FR"/>
        </w:rPr>
        <w:t>essai 438 de l</w:t>
      </w:r>
      <w:r>
        <w:rPr>
          <w:rFonts w:eastAsia="Times New Roman"/>
          <w:lang w:val="fr-FR"/>
        </w:rPr>
        <w:t>’</w:t>
      </w:r>
      <w:r w:rsidRPr="004C2A3C">
        <w:rPr>
          <w:rFonts w:eastAsia="Times New Roman"/>
          <w:lang w:val="fr-FR"/>
        </w:rPr>
        <w:t xml:space="preserve">OCDE, mais avec des yeux de lapin isolés, et non des yeux de poulet isolés (Burton </w:t>
      </w:r>
      <w:r w:rsidRPr="004C2A3C">
        <w:rPr>
          <w:rFonts w:eastAsia="Times New Roman"/>
          <w:i/>
          <w:iCs/>
          <w:lang w:val="fr-FR"/>
        </w:rPr>
        <w:t>et al</w:t>
      </w:r>
      <w:r w:rsidRPr="004C2A3C">
        <w:rPr>
          <w:rFonts w:eastAsia="Times New Roman"/>
          <w:lang w:val="fr-FR"/>
        </w:rPr>
        <w:t xml:space="preserve">., 1981 ; Whittle </w:t>
      </w:r>
      <w:r w:rsidRPr="004C2A3C">
        <w:rPr>
          <w:rFonts w:eastAsia="Times New Roman"/>
          <w:i/>
          <w:iCs/>
          <w:lang w:val="fr-FR"/>
        </w:rPr>
        <w:t>et al</w:t>
      </w:r>
      <w:r w:rsidRPr="004C2A3C">
        <w:rPr>
          <w:rFonts w:eastAsia="Times New Roman"/>
          <w:lang w:val="fr-FR"/>
        </w:rPr>
        <w:t xml:space="preserve">. 1992 ; Balls </w:t>
      </w:r>
      <w:r w:rsidRPr="004C2A3C">
        <w:rPr>
          <w:rFonts w:eastAsia="Times New Roman"/>
          <w:i/>
          <w:iCs/>
          <w:lang w:val="fr-FR"/>
        </w:rPr>
        <w:t>et al</w:t>
      </w:r>
      <w:r w:rsidRPr="004C2A3C">
        <w:rPr>
          <w:rFonts w:eastAsia="Times New Roman"/>
          <w:lang w:val="fr-FR"/>
        </w:rPr>
        <w:t xml:space="preserve">., 1995 ; </w:t>
      </w:r>
      <w:proofErr w:type="spellStart"/>
      <w:r w:rsidRPr="004C2A3C">
        <w:rPr>
          <w:rFonts w:eastAsia="Times New Roman"/>
          <w:lang w:val="fr-FR"/>
        </w:rPr>
        <w:t>Brantom</w:t>
      </w:r>
      <w:proofErr w:type="spellEnd"/>
      <w:r w:rsidRPr="004C2A3C">
        <w:rPr>
          <w:rFonts w:eastAsia="Times New Roman"/>
          <w:lang w:val="fr-FR"/>
        </w:rPr>
        <w:t xml:space="preserve"> </w:t>
      </w:r>
      <w:r w:rsidRPr="004C2A3C">
        <w:rPr>
          <w:rFonts w:eastAsia="Times New Roman"/>
          <w:i/>
          <w:iCs/>
          <w:lang w:val="fr-FR"/>
        </w:rPr>
        <w:t>et al</w:t>
      </w:r>
      <w:r w:rsidRPr="004C2A3C">
        <w:rPr>
          <w:rFonts w:eastAsia="Times New Roman"/>
          <w:lang w:val="fr-FR"/>
        </w:rPr>
        <w:t>., 1997 ; ICCVAM, 2007 ; ICCVAM, 2010).</w:t>
      </w:r>
    </w:p>
    <w:p w14:paraId="41D4A39A" w14:textId="77777777" w:rsidR="003F1C55" w:rsidRPr="004C2A3C" w:rsidRDefault="003F1C55" w:rsidP="003F1C55">
      <w:pPr>
        <w:keepNext/>
        <w:tabs>
          <w:tab w:val="left" w:pos="3402"/>
        </w:tabs>
        <w:spacing w:after="120"/>
        <w:ind w:left="2268" w:right="1134"/>
        <w:jc w:val="both"/>
        <w:rPr>
          <w:rFonts w:eastAsia="Times New Roman"/>
          <w:i/>
          <w:iCs/>
          <w:color w:val="000000" w:themeColor="text1"/>
          <w:lang w:val="fr-FR"/>
        </w:rPr>
      </w:pPr>
      <w:r w:rsidRPr="004C2A3C">
        <w:rPr>
          <w:rFonts w:eastAsia="Times New Roman"/>
          <w:color w:val="000000" w:themeColor="text1"/>
          <w:lang w:val="fr-FR"/>
        </w:rPr>
        <w:t>3.3.5.3.6</w:t>
      </w:r>
      <w:r w:rsidRPr="004C2A3C">
        <w:rPr>
          <w:rFonts w:eastAsia="Times New Roman"/>
          <w:color w:val="000000" w:themeColor="text1"/>
          <w:lang w:val="fr-FR"/>
        </w:rPr>
        <w:tab/>
      </w:r>
      <w:r w:rsidRPr="004C2A3C">
        <w:rPr>
          <w:rFonts w:eastAsia="Times New Roman"/>
          <w:i/>
          <w:iCs/>
          <w:color w:val="000000" w:themeColor="text1"/>
          <w:lang w:val="fr-FR"/>
        </w:rPr>
        <w:t>Instructions d</w:t>
      </w:r>
      <w:r>
        <w:rPr>
          <w:rFonts w:eastAsia="Times New Roman"/>
          <w:i/>
          <w:iCs/>
          <w:color w:val="000000" w:themeColor="text1"/>
          <w:lang w:val="fr-FR"/>
        </w:rPr>
        <w:t>’</w:t>
      </w:r>
      <w:r w:rsidRPr="004C2A3C">
        <w:rPr>
          <w:rFonts w:eastAsia="Times New Roman"/>
          <w:i/>
          <w:iCs/>
          <w:color w:val="000000" w:themeColor="text1"/>
          <w:lang w:val="fr-FR"/>
        </w:rPr>
        <w:t>utilisation d</w:t>
      </w:r>
      <w:r>
        <w:rPr>
          <w:rFonts w:eastAsia="Times New Roman"/>
          <w:i/>
          <w:iCs/>
          <w:color w:val="000000" w:themeColor="text1"/>
          <w:lang w:val="fr-FR"/>
        </w:rPr>
        <w:t>’</w:t>
      </w:r>
      <w:r w:rsidRPr="004C2A3C">
        <w:rPr>
          <w:rFonts w:eastAsia="Times New Roman"/>
          <w:i/>
          <w:iCs/>
          <w:color w:val="000000" w:themeColor="text1"/>
          <w:lang w:val="fr-FR"/>
        </w:rPr>
        <w:t>autres données existantes sur des effets cutanés ou oculaires sur animaux aux fins de classification au titre des lésions oculaires graves ou de l</w:t>
      </w:r>
      <w:r>
        <w:rPr>
          <w:rFonts w:eastAsia="Times New Roman"/>
          <w:i/>
          <w:iCs/>
          <w:color w:val="000000" w:themeColor="text1"/>
          <w:lang w:val="fr-FR"/>
        </w:rPr>
        <w:t>’</w:t>
      </w:r>
      <w:r w:rsidRPr="004C2A3C">
        <w:rPr>
          <w:rFonts w:eastAsia="Times New Roman"/>
          <w:i/>
          <w:iCs/>
          <w:color w:val="000000" w:themeColor="text1"/>
          <w:lang w:val="fr-FR"/>
        </w:rPr>
        <w:t>irritation oculaire</w:t>
      </w:r>
    </w:p>
    <w:p w14:paraId="15952FBA" w14:textId="77777777" w:rsidR="003F1C55" w:rsidRPr="004C2A3C" w:rsidRDefault="003F1C55" w:rsidP="003F1C55">
      <w:pPr>
        <w:tabs>
          <w:tab w:val="left" w:pos="3402"/>
        </w:tabs>
        <w:spacing w:after="120"/>
        <w:ind w:left="2268" w:right="1134"/>
        <w:jc w:val="both"/>
        <w:rPr>
          <w:rFonts w:eastAsia="Times New Roman"/>
          <w:color w:val="000000" w:themeColor="text1"/>
          <w:lang w:val="fr-FR"/>
        </w:rPr>
      </w:pPr>
      <w:r w:rsidRPr="004C2A3C">
        <w:rPr>
          <w:rFonts w:eastAsia="Times New Roman"/>
          <w:color w:val="000000" w:themeColor="text1"/>
          <w:lang w:val="fr-FR"/>
        </w:rPr>
        <w:t>3.3.5.3.6.1</w:t>
      </w:r>
      <w:r w:rsidRPr="004C2A3C">
        <w:rPr>
          <w:rFonts w:eastAsia="Times New Roman"/>
          <w:color w:val="000000" w:themeColor="text1"/>
          <w:lang w:val="fr-FR"/>
        </w:rPr>
        <w:tab/>
        <w:t>La disponibilité d</w:t>
      </w:r>
      <w:r>
        <w:rPr>
          <w:rFonts w:eastAsia="Times New Roman"/>
          <w:color w:val="000000" w:themeColor="text1"/>
          <w:lang w:val="fr-FR"/>
        </w:rPr>
        <w:t>’</w:t>
      </w:r>
      <w:r w:rsidRPr="004C2A3C">
        <w:rPr>
          <w:rFonts w:eastAsia="Times New Roman"/>
          <w:color w:val="000000" w:themeColor="text1"/>
          <w:lang w:val="fr-FR"/>
        </w:rPr>
        <w:t>autres données animales sur des lésions oculaires graves ou une irritation oculaire peut être limitée, sachant qu</w:t>
      </w:r>
      <w:r>
        <w:rPr>
          <w:rFonts w:eastAsia="Times New Roman"/>
          <w:color w:val="000000" w:themeColor="text1"/>
          <w:lang w:val="fr-FR"/>
        </w:rPr>
        <w:t>’</w:t>
      </w:r>
      <w:r w:rsidRPr="004C2A3C">
        <w:rPr>
          <w:rFonts w:eastAsia="Times New Roman"/>
          <w:color w:val="000000" w:themeColor="text1"/>
          <w:lang w:val="fr-FR"/>
        </w:rPr>
        <w:t>on n</w:t>
      </w:r>
      <w:r>
        <w:rPr>
          <w:rFonts w:eastAsia="Times New Roman"/>
          <w:color w:val="000000" w:themeColor="text1"/>
          <w:lang w:val="fr-FR"/>
        </w:rPr>
        <w:t>’</w:t>
      </w:r>
      <w:r w:rsidRPr="004C2A3C">
        <w:rPr>
          <w:rFonts w:eastAsia="Times New Roman"/>
          <w:color w:val="000000" w:themeColor="text1"/>
          <w:lang w:val="fr-FR"/>
        </w:rPr>
        <w:t>effectue généralement pas d</w:t>
      </w:r>
      <w:r>
        <w:rPr>
          <w:rFonts w:eastAsia="Times New Roman"/>
          <w:color w:val="000000" w:themeColor="text1"/>
          <w:lang w:val="fr-FR"/>
        </w:rPr>
        <w:t>’</w:t>
      </w:r>
      <w:r w:rsidRPr="004C2A3C">
        <w:rPr>
          <w:rFonts w:eastAsia="Times New Roman"/>
          <w:color w:val="000000" w:themeColor="text1"/>
          <w:lang w:val="fr-FR"/>
        </w:rPr>
        <w:t>essais sur l</w:t>
      </w:r>
      <w:r>
        <w:rPr>
          <w:rFonts w:eastAsia="Times New Roman"/>
          <w:color w:val="000000" w:themeColor="text1"/>
          <w:lang w:val="fr-FR"/>
        </w:rPr>
        <w:t>’</w:t>
      </w:r>
      <w:r w:rsidRPr="004C2A3C">
        <w:rPr>
          <w:rFonts w:eastAsia="Times New Roman"/>
          <w:color w:val="000000" w:themeColor="text1"/>
          <w:lang w:val="fr-FR"/>
        </w:rPr>
        <w:t>œil comme voie d</w:t>
      </w:r>
      <w:r>
        <w:rPr>
          <w:rFonts w:eastAsia="Times New Roman"/>
          <w:color w:val="000000" w:themeColor="text1"/>
          <w:lang w:val="fr-FR"/>
        </w:rPr>
        <w:t>’</w:t>
      </w:r>
      <w:r w:rsidRPr="004C2A3C">
        <w:rPr>
          <w:rFonts w:eastAsia="Times New Roman"/>
          <w:color w:val="000000" w:themeColor="text1"/>
          <w:lang w:val="fr-FR"/>
        </w:rPr>
        <w:t>exposition. On dispose toutefois des données rétrospectives de l</w:t>
      </w:r>
      <w:r>
        <w:rPr>
          <w:rFonts w:eastAsia="Times New Roman"/>
          <w:color w:val="000000" w:themeColor="text1"/>
          <w:lang w:val="fr-FR"/>
        </w:rPr>
        <w:t>’</w:t>
      </w:r>
      <w:r w:rsidRPr="004C2A3C">
        <w:rPr>
          <w:rFonts w:eastAsia="Times New Roman"/>
          <w:color w:val="000000" w:themeColor="text1"/>
          <w:lang w:val="fr-FR"/>
        </w:rPr>
        <w:t>essai Low Volume Eye Test (LVET), lesquelles peuvent être utilisées dans une évaluation de la force probante des données. L</w:t>
      </w:r>
      <w:r>
        <w:rPr>
          <w:rFonts w:eastAsia="Times New Roman"/>
          <w:color w:val="000000" w:themeColor="text1"/>
          <w:lang w:val="fr-FR"/>
        </w:rPr>
        <w:t>’</w:t>
      </w:r>
      <w:r w:rsidRPr="004C2A3C">
        <w:rPr>
          <w:rFonts w:eastAsia="Times New Roman"/>
          <w:color w:val="000000" w:themeColor="text1"/>
          <w:lang w:val="fr-FR"/>
        </w:rPr>
        <w:t>essai LVET est une variante de l</w:t>
      </w:r>
      <w:r>
        <w:rPr>
          <w:rFonts w:eastAsia="Times New Roman"/>
          <w:color w:val="000000" w:themeColor="text1"/>
          <w:lang w:val="fr-FR"/>
        </w:rPr>
        <w:t>’</w:t>
      </w:r>
      <w:r w:rsidRPr="004C2A3C">
        <w:rPr>
          <w:rFonts w:eastAsia="Times New Roman"/>
          <w:color w:val="000000" w:themeColor="text1"/>
          <w:lang w:val="fr-FR"/>
        </w:rPr>
        <w:t>essai 405 de l</w:t>
      </w:r>
      <w:r>
        <w:rPr>
          <w:rFonts w:eastAsia="Times New Roman"/>
          <w:color w:val="000000" w:themeColor="text1"/>
          <w:lang w:val="fr-FR"/>
        </w:rPr>
        <w:t>’</w:t>
      </w:r>
      <w:r w:rsidRPr="004C2A3C">
        <w:rPr>
          <w:rFonts w:eastAsia="Times New Roman"/>
          <w:color w:val="000000" w:themeColor="text1"/>
          <w:lang w:val="fr-FR"/>
        </w:rPr>
        <w:t>OCDE.</w:t>
      </w:r>
    </w:p>
    <w:p w14:paraId="1754B1D0" w14:textId="77777777" w:rsidR="003F1C55" w:rsidRPr="004C2A3C" w:rsidRDefault="003F1C55" w:rsidP="003F1C55">
      <w:pPr>
        <w:tabs>
          <w:tab w:val="left" w:pos="3402"/>
        </w:tabs>
        <w:spacing w:after="120"/>
        <w:ind w:left="2268" w:right="1134"/>
        <w:jc w:val="both"/>
        <w:rPr>
          <w:rFonts w:eastAsia="Times New Roman"/>
          <w:color w:val="000000" w:themeColor="text1"/>
          <w:lang w:val="fr-FR"/>
        </w:rPr>
      </w:pPr>
      <w:r w:rsidRPr="004C2A3C">
        <w:rPr>
          <w:rFonts w:eastAsia="Times New Roman"/>
          <w:color w:val="000000" w:themeColor="text1"/>
          <w:lang w:val="fr-FR"/>
        </w:rPr>
        <w:t>3.3.5.3.6.2</w:t>
      </w:r>
      <w:r w:rsidRPr="004C2A3C">
        <w:rPr>
          <w:rFonts w:eastAsia="Times New Roman"/>
          <w:color w:val="000000" w:themeColor="text1"/>
          <w:lang w:val="fr-FR"/>
        </w:rPr>
        <w:tab/>
        <w:t>Les données disponibles sur l</w:t>
      </w:r>
      <w:r>
        <w:rPr>
          <w:rFonts w:eastAsia="Times New Roman"/>
          <w:color w:val="000000" w:themeColor="text1"/>
          <w:lang w:val="fr-FR"/>
        </w:rPr>
        <w:t>’</w:t>
      </w:r>
      <w:r w:rsidRPr="004C2A3C">
        <w:rPr>
          <w:rFonts w:eastAsia="Times New Roman"/>
          <w:color w:val="000000" w:themeColor="text1"/>
          <w:lang w:val="fr-FR"/>
        </w:rPr>
        <w:t>essai LVET peuvent être prises en compte aux fins d</w:t>
      </w:r>
      <w:r>
        <w:rPr>
          <w:rFonts w:eastAsia="Times New Roman"/>
          <w:color w:val="000000" w:themeColor="text1"/>
          <w:lang w:val="fr-FR"/>
        </w:rPr>
        <w:t>’</w:t>
      </w:r>
      <w:r w:rsidRPr="004C2A3C">
        <w:rPr>
          <w:rFonts w:eastAsia="Times New Roman"/>
          <w:color w:val="000000" w:themeColor="text1"/>
          <w:lang w:val="fr-FR"/>
        </w:rPr>
        <w:t>une classification et d</w:t>
      </w:r>
      <w:r>
        <w:rPr>
          <w:rFonts w:eastAsia="Times New Roman"/>
          <w:color w:val="000000" w:themeColor="text1"/>
          <w:lang w:val="fr-FR"/>
        </w:rPr>
        <w:t>’</w:t>
      </w:r>
      <w:r w:rsidRPr="004C2A3C">
        <w:rPr>
          <w:rFonts w:eastAsia="Times New Roman"/>
          <w:color w:val="000000" w:themeColor="text1"/>
          <w:lang w:val="fr-FR"/>
        </w:rPr>
        <w:t>un étiquetage à condition d</w:t>
      </w:r>
      <w:r>
        <w:rPr>
          <w:rFonts w:eastAsia="Times New Roman"/>
          <w:color w:val="000000" w:themeColor="text1"/>
          <w:lang w:val="fr-FR"/>
        </w:rPr>
        <w:t>’</w:t>
      </w:r>
      <w:r w:rsidRPr="004C2A3C">
        <w:rPr>
          <w:rFonts w:eastAsia="Times New Roman"/>
          <w:color w:val="000000" w:themeColor="text1"/>
          <w:lang w:val="fr-FR"/>
        </w:rPr>
        <w:t>être soigneusement analysées. Les différences entre l</w:t>
      </w:r>
      <w:r>
        <w:rPr>
          <w:rFonts w:eastAsia="Times New Roman"/>
          <w:color w:val="000000" w:themeColor="text1"/>
          <w:lang w:val="fr-FR"/>
        </w:rPr>
        <w:t>’</w:t>
      </w:r>
      <w:r w:rsidRPr="004C2A3C">
        <w:rPr>
          <w:rFonts w:eastAsia="Times New Roman"/>
          <w:color w:val="000000" w:themeColor="text1"/>
          <w:lang w:val="fr-FR"/>
        </w:rPr>
        <w:t>essai LVET et l</w:t>
      </w:r>
      <w:r>
        <w:rPr>
          <w:rFonts w:eastAsia="Times New Roman"/>
          <w:color w:val="000000" w:themeColor="text1"/>
          <w:lang w:val="fr-FR"/>
        </w:rPr>
        <w:t>’</w:t>
      </w:r>
      <w:r w:rsidRPr="004C2A3C">
        <w:rPr>
          <w:rFonts w:eastAsia="Times New Roman"/>
          <w:color w:val="000000" w:themeColor="text1"/>
          <w:lang w:val="fr-FR"/>
        </w:rPr>
        <w:t>essai 405 de l</w:t>
      </w:r>
      <w:r>
        <w:rPr>
          <w:rFonts w:eastAsia="Times New Roman"/>
          <w:color w:val="000000" w:themeColor="text1"/>
          <w:lang w:val="fr-FR"/>
        </w:rPr>
        <w:t>’</w:t>
      </w:r>
      <w:r w:rsidRPr="004C2A3C">
        <w:rPr>
          <w:rFonts w:eastAsia="Times New Roman"/>
          <w:color w:val="000000" w:themeColor="text1"/>
          <w:lang w:val="fr-FR"/>
        </w:rPr>
        <w:t>OCDE peuvent aboutir à une classification dans une catégorie inférieure (ou à aucune classification) sur la base des données LVET, par rapport à ce qui aurait été obtenu à partir des données de l</w:t>
      </w:r>
      <w:r>
        <w:rPr>
          <w:rFonts w:eastAsia="Times New Roman"/>
          <w:color w:val="000000" w:themeColor="text1"/>
          <w:lang w:val="fr-FR"/>
        </w:rPr>
        <w:t>’</w:t>
      </w:r>
      <w:r w:rsidRPr="004C2A3C">
        <w:rPr>
          <w:rFonts w:eastAsia="Times New Roman"/>
          <w:color w:val="000000" w:themeColor="text1"/>
          <w:lang w:val="fr-FR"/>
        </w:rPr>
        <w:t xml:space="preserve">essai </w:t>
      </w:r>
      <w:r w:rsidRPr="004C2A3C">
        <w:rPr>
          <w:rFonts w:eastAsia="Times New Roman"/>
          <w:i/>
          <w:color w:val="000000" w:themeColor="text1"/>
          <w:lang w:val="fr-FR"/>
        </w:rPr>
        <w:t>in vivo</w:t>
      </w:r>
      <w:r w:rsidRPr="004C2A3C">
        <w:rPr>
          <w:rFonts w:eastAsia="Times New Roman"/>
          <w:color w:val="000000" w:themeColor="text1"/>
          <w:lang w:val="fr-FR"/>
        </w:rPr>
        <w:t xml:space="preserve"> standard (essai 405 de l</w:t>
      </w:r>
      <w:r>
        <w:rPr>
          <w:rFonts w:eastAsia="Times New Roman"/>
          <w:color w:val="000000" w:themeColor="text1"/>
          <w:lang w:val="fr-FR"/>
        </w:rPr>
        <w:t>’</w:t>
      </w:r>
      <w:r w:rsidRPr="004C2A3C">
        <w:rPr>
          <w:rFonts w:eastAsia="Times New Roman"/>
          <w:color w:val="000000" w:themeColor="text1"/>
          <w:lang w:val="fr-FR"/>
        </w:rPr>
        <w:t>OCDE). Ainsi, des données positives obtenues au moyen de l</w:t>
      </w:r>
      <w:r>
        <w:rPr>
          <w:rFonts w:eastAsia="Times New Roman"/>
          <w:color w:val="000000" w:themeColor="text1"/>
          <w:lang w:val="fr-FR"/>
        </w:rPr>
        <w:t>’</w:t>
      </w:r>
      <w:r w:rsidRPr="004C2A3C">
        <w:rPr>
          <w:rFonts w:eastAsia="Times New Roman"/>
          <w:color w:val="000000" w:themeColor="text1"/>
          <w:lang w:val="fr-FR"/>
        </w:rPr>
        <w:t>essai LVET peuvent inciter à envisager une classification dans la catégorie 1, mais elles ne sont pas concluantes pour une classification dans la catégorie 2 ou pour l</w:t>
      </w:r>
      <w:r>
        <w:rPr>
          <w:rFonts w:eastAsia="Times New Roman"/>
          <w:color w:val="000000" w:themeColor="text1"/>
          <w:lang w:val="fr-FR"/>
        </w:rPr>
        <w:t>’</w:t>
      </w:r>
      <w:r w:rsidRPr="004C2A3C">
        <w:rPr>
          <w:rFonts w:eastAsia="Times New Roman"/>
          <w:color w:val="000000" w:themeColor="text1"/>
          <w:lang w:val="fr-FR"/>
        </w:rPr>
        <w:t>absence de classification (ECHA, 2017). Ces données sont néanmoins utilisables dans une évaluation globale de la force probante des données. On notera que le domaine d</w:t>
      </w:r>
      <w:r>
        <w:rPr>
          <w:rFonts w:eastAsia="Times New Roman"/>
          <w:color w:val="000000" w:themeColor="text1"/>
          <w:lang w:val="fr-FR"/>
        </w:rPr>
        <w:t>’</w:t>
      </w:r>
      <w:r w:rsidRPr="004C2A3C">
        <w:rPr>
          <w:rFonts w:eastAsia="Times New Roman"/>
          <w:color w:val="000000" w:themeColor="text1"/>
          <w:lang w:val="fr-FR"/>
        </w:rPr>
        <w:t>application de l</w:t>
      </w:r>
      <w:r>
        <w:rPr>
          <w:rFonts w:eastAsia="Times New Roman"/>
          <w:color w:val="000000" w:themeColor="text1"/>
          <w:lang w:val="fr-FR"/>
        </w:rPr>
        <w:t>’</w:t>
      </w:r>
      <w:r w:rsidRPr="004C2A3C">
        <w:rPr>
          <w:rFonts w:eastAsia="Times New Roman"/>
          <w:color w:val="000000" w:themeColor="text1"/>
          <w:lang w:val="fr-FR"/>
        </w:rPr>
        <w:t>essai LVET se limite aux détergents et autres nettoyants ménagers et à leurs principaux composants (agents tensioactifs) (ESAC, 2009).</w:t>
      </w:r>
    </w:p>
    <w:p w14:paraId="273637BB" w14:textId="77777777" w:rsidR="003F1C55" w:rsidRPr="004C2A3C" w:rsidRDefault="003F1C55" w:rsidP="003F1C55">
      <w:pPr>
        <w:tabs>
          <w:tab w:val="left" w:pos="3402"/>
        </w:tabs>
        <w:spacing w:after="120"/>
        <w:ind w:left="2268" w:right="1134"/>
        <w:jc w:val="both"/>
        <w:rPr>
          <w:rFonts w:eastAsia="Times New Roman"/>
          <w:color w:val="000000" w:themeColor="text1"/>
          <w:lang w:val="fr-FR"/>
        </w:rPr>
      </w:pPr>
      <w:r w:rsidRPr="004C2A3C">
        <w:rPr>
          <w:rFonts w:eastAsia="Times New Roman"/>
          <w:color w:val="000000" w:themeColor="text1"/>
          <w:lang w:val="fr-FR"/>
        </w:rPr>
        <w:t>3.3.5.3.6.3</w:t>
      </w:r>
      <w:r w:rsidRPr="004C2A3C">
        <w:rPr>
          <w:rFonts w:eastAsia="Times New Roman"/>
          <w:color w:val="000000" w:themeColor="text1"/>
          <w:lang w:val="fr-FR"/>
        </w:rPr>
        <w:tab/>
        <w:t>Des effets sur les yeux sont observables dans des études d</w:t>
      </w:r>
      <w:r>
        <w:rPr>
          <w:rFonts w:eastAsia="Times New Roman"/>
          <w:color w:val="000000" w:themeColor="text1"/>
          <w:lang w:val="fr-FR"/>
        </w:rPr>
        <w:t>’</w:t>
      </w:r>
      <w:r w:rsidRPr="004C2A3C">
        <w:rPr>
          <w:rFonts w:eastAsia="Times New Roman"/>
          <w:color w:val="000000" w:themeColor="text1"/>
          <w:lang w:val="fr-FR"/>
        </w:rPr>
        <w:t>inhalation de doses fortes ou répétées, le corps entier étant exposé. Cependant, on ne fait généralement pas d</w:t>
      </w:r>
      <w:r>
        <w:rPr>
          <w:rFonts w:eastAsia="Times New Roman"/>
          <w:color w:val="000000" w:themeColor="text1"/>
          <w:lang w:val="fr-FR"/>
        </w:rPr>
        <w:t>’</w:t>
      </w:r>
      <w:r w:rsidRPr="004C2A3C">
        <w:rPr>
          <w:rFonts w:eastAsia="Times New Roman"/>
          <w:color w:val="000000" w:themeColor="text1"/>
          <w:lang w:val="fr-FR"/>
        </w:rPr>
        <w:t>évaluation selon les critères de Draize et la période d</w:t>
      </w:r>
      <w:r>
        <w:rPr>
          <w:rFonts w:eastAsia="Times New Roman"/>
          <w:color w:val="000000" w:themeColor="text1"/>
          <w:lang w:val="fr-FR"/>
        </w:rPr>
        <w:t>’</w:t>
      </w:r>
      <w:r w:rsidRPr="004C2A3C">
        <w:rPr>
          <w:rFonts w:eastAsia="Times New Roman"/>
          <w:color w:val="000000" w:themeColor="text1"/>
          <w:lang w:val="fr-FR"/>
        </w:rPr>
        <w:t>observation peut être inférieure à 21 jours. En outre, les effets sur les yeux dépendent souvent de la concentration de la substance ou du mélange et de la durée d</w:t>
      </w:r>
      <w:r>
        <w:rPr>
          <w:rFonts w:eastAsia="Times New Roman"/>
          <w:color w:val="000000" w:themeColor="text1"/>
          <w:lang w:val="fr-FR"/>
        </w:rPr>
        <w:t>’</w:t>
      </w:r>
      <w:r w:rsidRPr="004C2A3C">
        <w:rPr>
          <w:rFonts w:eastAsia="Times New Roman"/>
          <w:color w:val="000000" w:themeColor="text1"/>
          <w:lang w:val="fr-FR"/>
        </w:rPr>
        <w:t>exposition. Sachant qu</w:t>
      </w:r>
      <w:r>
        <w:rPr>
          <w:rFonts w:eastAsia="Times New Roman"/>
          <w:color w:val="000000" w:themeColor="text1"/>
          <w:lang w:val="fr-FR"/>
        </w:rPr>
        <w:t>’</w:t>
      </w:r>
      <w:r w:rsidRPr="004C2A3C">
        <w:rPr>
          <w:rFonts w:eastAsia="Times New Roman"/>
          <w:color w:val="000000" w:themeColor="text1"/>
          <w:lang w:val="fr-FR"/>
        </w:rPr>
        <w:t>il n</w:t>
      </w:r>
      <w:r>
        <w:rPr>
          <w:rFonts w:eastAsia="Times New Roman"/>
          <w:color w:val="000000" w:themeColor="text1"/>
          <w:lang w:val="fr-FR"/>
        </w:rPr>
        <w:t>’</w:t>
      </w:r>
      <w:r w:rsidRPr="004C2A3C">
        <w:rPr>
          <w:rFonts w:eastAsia="Times New Roman"/>
          <w:color w:val="000000" w:themeColor="text1"/>
          <w:lang w:val="fr-FR"/>
        </w:rPr>
        <w:t>existe pas de critères pour la concentration et la durée minimales, l</w:t>
      </w:r>
      <w:r>
        <w:rPr>
          <w:rFonts w:eastAsia="Times New Roman"/>
          <w:color w:val="000000" w:themeColor="text1"/>
          <w:lang w:val="fr-FR"/>
        </w:rPr>
        <w:t>’</w:t>
      </w:r>
      <w:r w:rsidRPr="004C2A3C">
        <w:rPr>
          <w:rFonts w:eastAsia="Times New Roman"/>
          <w:color w:val="000000" w:themeColor="text1"/>
          <w:lang w:val="fr-FR"/>
        </w:rPr>
        <w:t>absence d</w:t>
      </w:r>
      <w:r>
        <w:rPr>
          <w:rFonts w:eastAsia="Times New Roman"/>
          <w:color w:val="000000" w:themeColor="text1"/>
          <w:lang w:val="fr-FR"/>
        </w:rPr>
        <w:t>’</w:t>
      </w:r>
      <w:r w:rsidRPr="004C2A3C">
        <w:rPr>
          <w:rFonts w:eastAsia="Times New Roman"/>
          <w:color w:val="000000" w:themeColor="text1"/>
          <w:lang w:val="fr-FR"/>
        </w:rPr>
        <w:t>effets sur les yeux ou d</w:t>
      </w:r>
      <w:r>
        <w:rPr>
          <w:rFonts w:eastAsia="Times New Roman"/>
          <w:color w:val="000000" w:themeColor="text1"/>
          <w:lang w:val="fr-FR"/>
        </w:rPr>
        <w:t>’</w:t>
      </w:r>
      <w:r w:rsidRPr="004C2A3C">
        <w:rPr>
          <w:rFonts w:eastAsia="Times New Roman"/>
          <w:color w:val="000000" w:themeColor="text1"/>
          <w:lang w:val="fr-FR"/>
        </w:rPr>
        <w:t>irritation oculaire peut ne pas être concluante s</w:t>
      </w:r>
      <w:r>
        <w:rPr>
          <w:rFonts w:eastAsia="Times New Roman"/>
          <w:color w:val="000000" w:themeColor="text1"/>
          <w:lang w:val="fr-FR"/>
        </w:rPr>
        <w:t>’</w:t>
      </w:r>
      <w:r w:rsidRPr="004C2A3C">
        <w:rPr>
          <w:rFonts w:eastAsia="Times New Roman"/>
          <w:color w:val="000000" w:themeColor="text1"/>
          <w:lang w:val="fr-FR"/>
        </w:rPr>
        <w:t>agissant de l</w:t>
      </w:r>
      <w:r>
        <w:rPr>
          <w:rFonts w:eastAsia="Times New Roman"/>
          <w:color w:val="000000" w:themeColor="text1"/>
          <w:lang w:val="fr-FR"/>
        </w:rPr>
        <w:t>’</w:t>
      </w:r>
      <w:r w:rsidRPr="004C2A3C">
        <w:rPr>
          <w:rFonts w:eastAsia="Times New Roman"/>
          <w:color w:val="000000" w:themeColor="text1"/>
          <w:lang w:val="fr-FR"/>
        </w:rPr>
        <w:t>absence de lésions oculaires graves. La présence d</w:t>
      </w:r>
      <w:r>
        <w:rPr>
          <w:rFonts w:eastAsia="Times New Roman"/>
          <w:color w:val="000000" w:themeColor="text1"/>
          <w:lang w:val="fr-FR"/>
        </w:rPr>
        <w:t>’</w:t>
      </w:r>
      <w:r w:rsidRPr="004C2A3C">
        <w:rPr>
          <w:rFonts w:eastAsia="Times New Roman"/>
          <w:color w:val="000000" w:themeColor="text1"/>
          <w:lang w:val="fr-FR"/>
        </w:rPr>
        <w:t>effets irréversibles sur l</w:t>
      </w:r>
      <w:r>
        <w:rPr>
          <w:rFonts w:eastAsia="Times New Roman"/>
          <w:color w:val="000000" w:themeColor="text1"/>
          <w:lang w:val="fr-FR"/>
        </w:rPr>
        <w:t>’</w:t>
      </w:r>
      <w:r w:rsidRPr="004C2A3C">
        <w:rPr>
          <w:rFonts w:eastAsia="Times New Roman"/>
          <w:color w:val="000000" w:themeColor="text1"/>
          <w:lang w:val="fr-FR"/>
        </w:rPr>
        <w:t>œil doit être prise en compte dans le cadre d</w:t>
      </w:r>
      <w:r>
        <w:rPr>
          <w:rFonts w:eastAsia="Times New Roman"/>
          <w:color w:val="000000" w:themeColor="text1"/>
          <w:lang w:val="fr-FR"/>
        </w:rPr>
        <w:t>’</w:t>
      </w:r>
      <w:r w:rsidRPr="004C2A3C">
        <w:rPr>
          <w:rFonts w:eastAsia="Times New Roman"/>
          <w:color w:val="000000" w:themeColor="text1"/>
          <w:lang w:val="fr-FR"/>
        </w:rPr>
        <w:t>une évaluation de la force probante des données.</w:t>
      </w:r>
    </w:p>
    <w:p w14:paraId="6604B921" w14:textId="77777777" w:rsidR="003F1C55" w:rsidRPr="004C2A3C" w:rsidRDefault="003F1C55" w:rsidP="003F1C55">
      <w:pPr>
        <w:tabs>
          <w:tab w:val="left" w:pos="3402"/>
        </w:tabs>
        <w:spacing w:after="120"/>
        <w:ind w:left="2268" w:right="1134"/>
        <w:jc w:val="both"/>
        <w:rPr>
          <w:rFonts w:eastAsia="Times New Roman"/>
          <w:i/>
          <w:iCs/>
          <w:color w:val="000000" w:themeColor="text1"/>
          <w:lang w:val="fr-FR"/>
        </w:rPr>
      </w:pPr>
      <w:r w:rsidRPr="004C2A3C">
        <w:rPr>
          <w:rFonts w:eastAsia="Times New Roman"/>
          <w:color w:val="000000" w:themeColor="text1"/>
          <w:lang w:val="fr-FR"/>
        </w:rPr>
        <w:t>3.3.5.3.7</w:t>
      </w:r>
      <w:r w:rsidRPr="004C2A3C">
        <w:rPr>
          <w:rFonts w:eastAsia="Times New Roman"/>
          <w:color w:val="000000" w:themeColor="text1"/>
          <w:lang w:val="fr-FR"/>
        </w:rPr>
        <w:tab/>
      </w:r>
      <w:r w:rsidRPr="004C2A3C">
        <w:rPr>
          <w:rFonts w:eastAsia="Times New Roman"/>
          <w:i/>
          <w:iCs/>
          <w:color w:val="000000" w:themeColor="text1"/>
          <w:lang w:val="fr-FR"/>
        </w:rPr>
        <w:t>Instructions d</w:t>
      </w:r>
      <w:r>
        <w:rPr>
          <w:rFonts w:eastAsia="Times New Roman"/>
          <w:i/>
          <w:iCs/>
          <w:color w:val="000000" w:themeColor="text1"/>
          <w:lang w:val="fr-FR"/>
        </w:rPr>
        <w:t>’</w:t>
      </w:r>
      <w:r w:rsidRPr="004C2A3C">
        <w:rPr>
          <w:rFonts w:eastAsia="Times New Roman"/>
          <w:i/>
          <w:iCs/>
          <w:color w:val="000000" w:themeColor="text1"/>
          <w:lang w:val="fr-FR"/>
        </w:rPr>
        <w:t>utilisation du pH et de la réserve acide</w:t>
      </w:r>
      <w:r w:rsidRPr="004C2A3C">
        <w:rPr>
          <w:rFonts w:eastAsia="Times New Roman"/>
          <w:iCs/>
          <w:color w:val="000000" w:themeColor="text1"/>
          <w:lang w:val="fr-FR"/>
        </w:rPr>
        <w:t>/</w:t>
      </w:r>
      <w:r w:rsidRPr="004C2A3C">
        <w:rPr>
          <w:rFonts w:eastAsia="Times New Roman"/>
          <w:i/>
          <w:iCs/>
          <w:color w:val="000000" w:themeColor="text1"/>
          <w:lang w:val="fr-FR"/>
        </w:rPr>
        <w:t>alcaline pour la classification au titre des lésions oculaires graves</w:t>
      </w:r>
    </w:p>
    <w:p w14:paraId="5E3F09AB" w14:textId="77777777" w:rsidR="003F1C55" w:rsidRPr="004C2A3C" w:rsidRDefault="003F1C55" w:rsidP="003F1C55">
      <w:pPr>
        <w:tabs>
          <w:tab w:val="left" w:pos="3402"/>
        </w:tabs>
        <w:spacing w:after="120"/>
        <w:ind w:left="2268" w:right="1134"/>
        <w:jc w:val="both"/>
        <w:rPr>
          <w:rFonts w:eastAsia="Times New Roman"/>
          <w:color w:val="000000" w:themeColor="text1"/>
          <w:lang w:val="fr-FR"/>
        </w:rPr>
      </w:pPr>
      <w:r w:rsidRPr="004C2A3C">
        <w:rPr>
          <w:rFonts w:eastAsia="Times New Roman"/>
          <w:color w:val="000000" w:themeColor="text1"/>
          <w:lang w:val="fr-FR"/>
        </w:rPr>
        <w:t>3.3.5.3.7.1</w:t>
      </w:r>
      <w:r w:rsidRPr="004C2A3C">
        <w:rPr>
          <w:rFonts w:eastAsia="Times New Roman"/>
          <w:color w:val="000000" w:themeColor="text1"/>
          <w:lang w:val="fr-FR"/>
        </w:rPr>
        <w:tab/>
        <w:t>Les méthodes permettant de déterminer le pH, telles que la ligne directrice 122 de l</w:t>
      </w:r>
      <w:r>
        <w:rPr>
          <w:rFonts w:eastAsia="Times New Roman"/>
          <w:color w:val="000000" w:themeColor="text1"/>
          <w:lang w:val="fr-FR"/>
        </w:rPr>
        <w:t>’</w:t>
      </w:r>
      <w:r w:rsidRPr="004C2A3C">
        <w:rPr>
          <w:rFonts w:eastAsia="Times New Roman"/>
          <w:color w:val="000000" w:themeColor="text1"/>
          <w:lang w:val="fr-FR"/>
        </w:rPr>
        <w:t xml:space="preserve">OCDE et la méthode décrite par Young </w:t>
      </w:r>
      <w:r w:rsidRPr="004C2A3C">
        <w:rPr>
          <w:rFonts w:eastAsia="Times New Roman"/>
          <w:i/>
          <w:color w:val="000000" w:themeColor="text1"/>
          <w:lang w:val="fr-FR"/>
        </w:rPr>
        <w:t>et al</w:t>
      </w:r>
      <w:r w:rsidRPr="004C2A3C">
        <w:rPr>
          <w:rFonts w:eastAsia="Times New Roman"/>
          <w:color w:val="000000" w:themeColor="text1"/>
          <w:lang w:val="fr-FR"/>
        </w:rPr>
        <w:t>. (1988), divergent en ce qui concerne la concentration de la substance ou du mélange dont le pH est déterminé, avec des valeurs de 1 %, 10 % et 100 %. La réserve acide/alcaline est aussi déterminée différemment entre ces méthodes, à savoir jusqu</w:t>
      </w:r>
      <w:r>
        <w:rPr>
          <w:rFonts w:eastAsia="Times New Roman"/>
          <w:color w:val="000000" w:themeColor="text1"/>
          <w:lang w:val="fr-FR"/>
        </w:rPr>
        <w:t>’</w:t>
      </w:r>
      <w:r w:rsidRPr="004C2A3C">
        <w:rPr>
          <w:rFonts w:eastAsia="Times New Roman"/>
          <w:color w:val="000000" w:themeColor="text1"/>
          <w:lang w:val="fr-FR"/>
        </w:rPr>
        <w:t>à un pH de 7 pour les acides et les bases (ligne directrice 122 de l</w:t>
      </w:r>
      <w:r>
        <w:rPr>
          <w:rFonts w:eastAsia="Times New Roman"/>
          <w:color w:val="000000" w:themeColor="text1"/>
          <w:lang w:val="fr-FR"/>
        </w:rPr>
        <w:t>’</w:t>
      </w:r>
      <w:r w:rsidRPr="004C2A3C">
        <w:rPr>
          <w:rFonts w:eastAsia="Times New Roman"/>
          <w:color w:val="000000" w:themeColor="text1"/>
          <w:lang w:val="fr-FR"/>
        </w:rPr>
        <w:t>OCDE) ou jusqu</w:t>
      </w:r>
      <w:r>
        <w:rPr>
          <w:rFonts w:eastAsia="Times New Roman"/>
          <w:color w:val="000000" w:themeColor="text1"/>
          <w:lang w:val="fr-FR"/>
        </w:rPr>
        <w:t>’</w:t>
      </w:r>
      <w:r w:rsidRPr="004C2A3C">
        <w:rPr>
          <w:rFonts w:eastAsia="Times New Roman"/>
          <w:color w:val="000000" w:themeColor="text1"/>
          <w:lang w:val="fr-FR"/>
        </w:rPr>
        <w:t xml:space="preserve">à un pH de 4 pour les acides et de 10 pour les bases (Young </w:t>
      </w:r>
      <w:r w:rsidRPr="004C2A3C">
        <w:rPr>
          <w:rFonts w:eastAsia="Times New Roman"/>
          <w:i/>
          <w:iCs/>
          <w:color w:val="000000" w:themeColor="text1"/>
          <w:lang w:val="fr-FR"/>
        </w:rPr>
        <w:t>et al</w:t>
      </w:r>
      <w:r w:rsidRPr="004C2A3C">
        <w:rPr>
          <w:rFonts w:eastAsia="Times New Roman"/>
          <w:color w:val="000000" w:themeColor="text1"/>
          <w:lang w:val="fr-FR"/>
        </w:rPr>
        <w:t>., 1988). En outre, les unités utilisées pour exprimer la réserve acide/alcaline sont différentes entre ces deux méthodes.</w:t>
      </w:r>
    </w:p>
    <w:p w14:paraId="3362C76E" w14:textId="77777777" w:rsidR="003F1C55" w:rsidRPr="004C2A3C" w:rsidRDefault="003F1C55" w:rsidP="003F1C55">
      <w:pPr>
        <w:tabs>
          <w:tab w:val="left" w:pos="3402"/>
        </w:tabs>
        <w:spacing w:after="120"/>
        <w:ind w:left="2268" w:right="1134"/>
        <w:jc w:val="both"/>
        <w:rPr>
          <w:rFonts w:eastAsia="Times New Roman"/>
          <w:color w:val="000000" w:themeColor="text1"/>
          <w:lang w:val="fr-FR"/>
        </w:rPr>
      </w:pPr>
      <w:r w:rsidRPr="004C2A3C">
        <w:rPr>
          <w:rFonts w:eastAsia="Times New Roman"/>
          <w:color w:val="000000" w:themeColor="text1"/>
          <w:lang w:val="fr-FR"/>
        </w:rPr>
        <w:t>3.3.5.3.7.2</w:t>
      </w:r>
      <w:r w:rsidRPr="004C2A3C">
        <w:rPr>
          <w:rFonts w:eastAsia="Times New Roman"/>
          <w:color w:val="000000" w:themeColor="text1"/>
          <w:lang w:val="fr-FR"/>
        </w:rPr>
        <w:tab/>
        <w:t>Des critères permettant de mettre en évidence les substances et les mélanges devant être classés dans la catégorie 1 pour les effets cutanés en fonction du pH et de la réserve acide/alcaline ont été mis au point, à partir d</w:t>
      </w:r>
      <w:r>
        <w:rPr>
          <w:rFonts w:eastAsia="Times New Roman"/>
          <w:color w:val="000000" w:themeColor="text1"/>
          <w:lang w:val="fr-FR"/>
        </w:rPr>
        <w:t>’</w:t>
      </w:r>
      <w:r w:rsidRPr="004C2A3C">
        <w:rPr>
          <w:rFonts w:eastAsia="Times New Roman"/>
          <w:color w:val="000000" w:themeColor="text1"/>
          <w:lang w:val="fr-FR"/>
        </w:rPr>
        <w:t xml:space="preserve">une combinaison de valeurs de pH et de réserve acide/alcaline qui ont été calculées selon une méthode particulière (Young </w:t>
      </w:r>
      <w:r w:rsidRPr="004C2A3C">
        <w:rPr>
          <w:rFonts w:eastAsia="Times New Roman"/>
          <w:i/>
          <w:color w:val="000000" w:themeColor="text1"/>
          <w:lang w:val="fr-FR"/>
        </w:rPr>
        <w:t>et al</w:t>
      </w:r>
      <w:r w:rsidRPr="004C2A3C">
        <w:rPr>
          <w:rFonts w:eastAsia="Times New Roman"/>
          <w:color w:val="000000" w:themeColor="text1"/>
          <w:lang w:val="fr-FR"/>
        </w:rPr>
        <w:t>., 1988), et ces mêmes critères sont appliqués pour les effets sur les yeux. Il se peut donc que ces critères ne soient pas directement applicables lorsque d</w:t>
      </w:r>
      <w:r>
        <w:rPr>
          <w:rFonts w:eastAsia="Times New Roman"/>
          <w:color w:val="000000" w:themeColor="text1"/>
          <w:lang w:val="fr-FR"/>
        </w:rPr>
        <w:t>’</w:t>
      </w:r>
      <w:r w:rsidRPr="004C2A3C">
        <w:rPr>
          <w:rFonts w:eastAsia="Times New Roman"/>
          <w:color w:val="000000" w:themeColor="text1"/>
          <w:lang w:val="fr-FR"/>
        </w:rPr>
        <w:t>autres concentrations ou méthodes d</w:t>
      </w:r>
      <w:r>
        <w:rPr>
          <w:rFonts w:eastAsia="Times New Roman"/>
          <w:color w:val="000000" w:themeColor="text1"/>
          <w:lang w:val="fr-FR"/>
        </w:rPr>
        <w:t>’</w:t>
      </w:r>
      <w:r w:rsidRPr="004C2A3C">
        <w:rPr>
          <w:rFonts w:eastAsia="Times New Roman"/>
          <w:color w:val="000000" w:themeColor="text1"/>
          <w:lang w:val="fr-FR"/>
        </w:rPr>
        <w:t>essai sont utilisées pour mesurer le pH et la réserve acide/alcaline. Par ailleurs, l</w:t>
      </w:r>
      <w:r>
        <w:rPr>
          <w:rFonts w:eastAsia="Times New Roman"/>
          <w:color w:val="000000" w:themeColor="text1"/>
          <w:lang w:val="fr-FR"/>
        </w:rPr>
        <w:t>’</w:t>
      </w:r>
      <w:r w:rsidRPr="004C2A3C">
        <w:rPr>
          <w:rFonts w:eastAsia="Times New Roman"/>
          <w:color w:val="000000" w:themeColor="text1"/>
          <w:lang w:val="fr-FR"/>
        </w:rPr>
        <w:t xml:space="preserve">étalonnage et la validation de ces critères étaient fondés sur un ensemble de données limité concernant les effets cutanés. La valeur prédictive de la combinaison du pH et de la réserve acide/alcaline pour la classification dans la catégorie 1 au titre des effets cutanés est donc limitée, en particulier pour les substances et les mélanges présentant un pH extrême, mais une réserve acide/alcaline négligeable. Les critères élaborés par Young </w:t>
      </w:r>
      <w:r w:rsidRPr="004C2A3C">
        <w:rPr>
          <w:rFonts w:eastAsia="Times New Roman"/>
          <w:i/>
          <w:color w:val="000000" w:themeColor="text1"/>
          <w:lang w:val="fr-FR"/>
        </w:rPr>
        <w:t>et al</w:t>
      </w:r>
      <w:r w:rsidRPr="004C2A3C">
        <w:rPr>
          <w:rFonts w:eastAsia="Times New Roman"/>
          <w:color w:val="000000" w:themeColor="text1"/>
          <w:lang w:val="fr-FR"/>
        </w:rPr>
        <w:t>. (1988) pour la classification dans la catégorie 1 peuvent servir de point de départ pour déterminer si une substance ou un mélange a une réserve acide/alcaline significative ou non. Une autorité compétente peut décider des critères à appliquer pour déterminer si une réserve acide/alcaline est significative.</w:t>
      </w:r>
    </w:p>
    <w:p w14:paraId="6F89866C" w14:textId="77777777" w:rsidR="003F1C55" w:rsidRPr="004C2A3C" w:rsidRDefault="003F1C55" w:rsidP="003F1C55">
      <w:pPr>
        <w:keepNext/>
        <w:tabs>
          <w:tab w:val="left" w:pos="1560"/>
          <w:tab w:val="left" w:pos="3402"/>
        </w:tabs>
        <w:spacing w:after="120"/>
        <w:ind w:left="2268" w:right="1134"/>
        <w:jc w:val="both"/>
        <w:rPr>
          <w:rFonts w:eastAsia="Times New Roman"/>
          <w:color w:val="000000" w:themeColor="text1"/>
          <w:lang w:val="fr-FR"/>
        </w:rPr>
      </w:pPr>
      <w:r w:rsidRPr="004C2A3C">
        <w:rPr>
          <w:rFonts w:eastAsia="Times New Roman"/>
          <w:color w:val="000000" w:themeColor="text1"/>
          <w:lang w:val="fr-FR"/>
        </w:rPr>
        <w:t>________________</w:t>
      </w:r>
    </w:p>
    <w:p w14:paraId="09F6D7AC" w14:textId="77777777" w:rsidR="003F1C55" w:rsidRPr="004C2A3C" w:rsidRDefault="003F1C55" w:rsidP="003F1C55">
      <w:pPr>
        <w:tabs>
          <w:tab w:val="left" w:pos="2835"/>
        </w:tabs>
        <w:spacing w:after="120"/>
        <w:ind w:left="2268" w:right="1134"/>
        <w:jc w:val="both"/>
        <w:rPr>
          <w:rFonts w:eastAsia="Times New Roman"/>
          <w:i/>
          <w:iCs/>
          <w:lang w:val="fr-FR"/>
        </w:rPr>
      </w:pPr>
      <w:r w:rsidRPr="004C2A3C">
        <w:rPr>
          <w:rFonts w:eastAsia="Times New Roman"/>
          <w:lang w:val="fr-FR"/>
        </w:rPr>
        <w:t>*</w:t>
      </w:r>
      <w:r w:rsidRPr="004C2A3C">
        <w:rPr>
          <w:rFonts w:eastAsia="Times New Roman"/>
          <w:lang w:val="fr-FR"/>
        </w:rPr>
        <w:tab/>
      </w:r>
      <w:r w:rsidRPr="004C2A3C">
        <w:rPr>
          <w:rFonts w:eastAsia="Times New Roman"/>
          <w:i/>
          <w:iCs/>
          <w:lang w:val="fr-FR"/>
        </w:rPr>
        <w:t>Références :</w:t>
      </w:r>
    </w:p>
    <w:p w14:paraId="5DBC8D77" w14:textId="77777777" w:rsidR="003F1C55" w:rsidRPr="004C2A3C" w:rsidRDefault="003F1C55" w:rsidP="003F1C55">
      <w:pPr>
        <w:tabs>
          <w:tab w:val="left" w:pos="1560"/>
          <w:tab w:val="left" w:pos="2835"/>
        </w:tabs>
        <w:spacing w:after="240"/>
        <w:ind w:left="2268" w:right="1134"/>
        <w:jc w:val="both"/>
        <w:rPr>
          <w:rFonts w:eastAsia="Times New Roman"/>
          <w:i/>
          <w:color w:val="000000" w:themeColor="text1"/>
          <w:lang w:val="en-US"/>
        </w:rPr>
      </w:pPr>
      <w:proofErr w:type="spellStart"/>
      <w:r w:rsidRPr="004C2A3C">
        <w:rPr>
          <w:rFonts w:eastAsia="Times New Roman"/>
          <w:i/>
          <w:color w:val="000000" w:themeColor="text1"/>
          <w:lang w:val="fr-FR"/>
        </w:rPr>
        <w:t>Alépée</w:t>
      </w:r>
      <w:proofErr w:type="spellEnd"/>
      <w:r w:rsidRPr="004C2A3C">
        <w:rPr>
          <w:rFonts w:eastAsia="Times New Roman"/>
          <w:i/>
          <w:color w:val="000000" w:themeColor="text1"/>
          <w:lang w:val="fr-FR"/>
        </w:rPr>
        <w:t xml:space="preserve">, N., E. </w:t>
      </w:r>
      <w:proofErr w:type="spellStart"/>
      <w:r w:rsidRPr="004C2A3C">
        <w:rPr>
          <w:rFonts w:eastAsia="Times New Roman"/>
          <w:i/>
          <w:color w:val="000000" w:themeColor="text1"/>
          <w:lang w:val="fr-FR"/>
        </w:rPr>
        <w:t>Adriaens</w:t>
      </w:r>
      <w:proofErr w:type="spellEnd"/>
      <w:r w:rsidRPr="004C2A3C">
        <w:rPr>
          <w:rFonts w:eastAsia="Times New Roman"/>
          <w:i/>
          <w:color w:val="000000" w:themeColor="text1"/>
          <w:lang w:val="fr-FR"/>
        </w:rPr>
        <w:t xml:space="preserve">, T. Abo, D. </w:t>
      </w:r>
      <w:proofErr w:type="spellStart"/>
      <w:r w:rsidRPr="004C2A3C">
        <w:rPr>
          <w:rFonts w:eastAsia="Times New Roman"/>
          <w:i/>
          <w:color w:val="000000" w:themeColor="text1"/>
          <w:lang w:val="fr-FR"/>
        </w:rPr>
        <w:t>Bagley</w:t>
      </w:r>
      <w:proofErr w:type="spellEnd"/>
      <w:r w:rsidRPr="004C2A3C">
        <w:rPr>
          <w:rFonts w:eastAsia="Times New Roman"/>
          <w:i/>
          <w:color w:val="000000" w:themeColor="text1"/>
          <w:lang w:val="fr-FR"/>
        </w:rPr>
        <w:t xml:space="preserve">, B. Desprez, J. </w:t>
      </w:r>
      <w:proofErr w:type="spellStart"/>
      <w:r w:rsidRPr="004C2A3C">
        <w:rPr>
          <w:rFonts w:eastAsia="Times New Roman"/>
          <w:i/>
          <w:color w:val="000000" w:themeColor="text1"/>
          <w:lang w:val="fr-FR"/>
        </w:rPr>
        <w:t>Hibatallah</w:t>
      </w:r>
      <w:proofErr w:type="spellEnd"/>
      <w:r w:rsidRPr="004C2A3C">
        <w:rPr>
          <w:rFonts w:eastAsia="Times New Roman"/>
          <w:i/>
          <w:color w:val="000000" w:themeColor="text1"/>
          <w:lang w:val="fr-FR"/>
        </w:rPr>
        <w:t xml:space="preserve">, K. </w:t>
      </w:r>
      <w:proofErr w:type="spellStart"/>
      <w:r w:rsidRPr="004C2A3C">
        <w:rPr>
          <w:rFonts w:eastAsia="Times New Roman"/>
          <w:i/>
          <w:color w:val="000000" w:themeColor="text1"/>
          <w:lang w:val="fr-FR"/>
        </w:rPr>
        <w:t>Mewes</w:t>
      </w:r>
      <w:proofErr w:type="spellEnd"/>
      <w:r w:rsidRPr="004C2A3C">
        <w:rPr>
          <w:rFonts w:eastAsia="Times New Roman"/>
          <w:i/>
          <w:color w:val="000000" w:themeColor="text1"/>
          <w:lang w:val="fr-FR"/>
        </w:rPr>
        <w:t>, U. </w:t>
      </w:r>
      <w:proofErr w:type="spellStart"/>
      <w:r w:rsidRPr="004C2A3C">
        <w:rPr>
          <w:rFonts w:eastAsia="Times New Roman"/>
          <w:i/>
          <w:color w:val="000000" w:themeColor="text1"/>
          <w:lang w:val="fr-FR"/>
        </w:rPr>
        <w:t>Pfannenbecker</w:t>
      </w:r>
      <w:proofErr w:type="spellEnd"/>
      <w:r w:rsidRPr="004C2A3C">
        <w:rPr>
          <w:rFonts w:eastAsia="Times New Roman"/>
          <w:i/>
          <w:color w:val="000000" w:themeColor="text1"/>
          <w:lang w:val="fr-FR"/>
        </w:rPr>
        <w:t xml:space="preserve">, À. Sala, A.R. Van </w:t>
      </w:r>
      <w:proofErr w:type="spellStart"/>
      <w:r w:rsidRPr="004C2A3C">
        <w:rPr>
          <w:rFonts w:eastAsia="Times New Roman"/>
          <w:i/>
          <w:color w:val="000000" w:themeColor="text1"/>
          <w:lang w:val="fr-FR"/>
        </w:rPr>
        <w:t>Rompay</w:t>
      </w:r>
      <w:proofErr w:type="spellEnd"/>
      <w:r w:rsidRPr="004C2A3C">
        <w:rPr>
          <w:rFonts w:eastAsia="Times New Roman"/>
          <w:i/>
          <w:color w:val="000000" w:themeColor="text1"/>
          <w:lang w:val="fr-FR"/>
        </w:rPr>
        <w:t xml:space="preserve">, S. </w:t>
      </w:r>
      <w:proofErr w:type="spellStart"/>
      <w:r w:rsidRPr="004C2A3C">
        <w:rPr>
          <w:rFonts w:eastAsia="Times New Roman"/>
          <w:i/>
          <w:color w:val="000000" w:themeColor="text1"/>
          <w:lang w:val="fr-FR"/>
        </w:rPr>
        <w:t>Verstraelen</w:t>
      </w:r>
      <w:proofErr w:type="spellEnd"/>
      <w:r w:rsidRPr="004C2A3C">
        <w:rPr>
          <w:rFonts w:eastAsia="Times New Roman"/>
          <w:i/>
          <w:color w:val="000000" w:themeColor="text1"/>
          <w:lang w:val="fr-FR"/>
        </w:rPr>
        <w:t xml:space="preserve"> et P. </w:t>
      </w:r>
      <w:proofErr w:type="spellStart"/>
      <w:r w:rsidRPr="004C2A3C">
        <w:rPr>
          <w:rFonts w:eastAsia="Times New Roman"/>
          <w:i/>
          <w:color w:val="000000" w:themeColor="text1"/>
          <w:lang w:val="fr-FR"/>
        </w:rPr>
        <w:t>McNamee</w:t>
      </w:r>
      <w:proofErr w:type="spellEnd"/>
      <w:r w:rsidRPr="004C2A3C">
        <w:rPr>
          <w:rFonts w:eastAsia="Times New Roman"/>
          <w:i/>
          <w:color w:val="000000" w:themeColor="text1"/>
          <w:lang w:val="fr-FR"/>
        </w:rPr>
        <w:t xml:space="preserve">. </w:t>
      </w:r>
      <w:r w:rsidRPr="004C2A3C">
        <w:rPr>
          <w:rFonts w:eastAsia="Times New Roman"/>
          <w:i/>
          <w:color w:val="000000" w:themeColor="text1"/>
          <w:lang w:val="en-US"/>
        </w:rPr>
        <w:t xml:space="preserve">2019a. Development of a defined approach for eye irritation or serious eye damage for liquids, neat and in dilution, based on Cosmetics Europe analysis of in vitro STE and BCOP test methods. </w:t>
      </w:r>
      <w:proofErr w:type="spellStart"/>
      <w:r w:rsidRPr="004C2A3C">
        <w:rPr>
          <w:rFonts w:eastAsia="Times New Roman"/>
          <w:i/>
          <w:color w:val="000000" w:themeColor="text1"/>
          <w:lang w:val="en-US"/>
        </w:rPr>
        <w:t>Toxicol</w:t>
      </w:r>
      <w:proofErr w:type="spellEnd"/>
      <w:r w:rsidRPr="004C2A3C">
        <w:rPr>
          <w:rFonts w:eastAsia="Times New Roman"/>
          <w:i/>
          <w:color w:val="000000" w:themeColor="text1"/>
          <w:lang w:val="en-US"/>
        </w:rPr>
        <w:t xml:space="preserve">. In vitro, 57: 154-163. </w:t>
      </w:r>
      <w:proofErr w:type="spellStart"/>
      <w:r w:rsidRPr="004C2A3C">
        <w:rPr>
          <w:rFonts w:eastAsia="Times New Roman"/>
          <w:i/>
          <w:color w:val="000000" w:themeColor="text1"/>
          <w:lang w:val="en-US"/>
        </w:rPr>
        <w:t>doi</w:t>
      </w:r>
      <w:proofErr w:type="spellEnd"/>
      <w:r w:rsidRPr="004C2A3C">
        <w:rPr>
          <w:rFonts w:eastAsia="Times New Roman"/>
          <w:i/>
          <w:color w:val="000000" w:themeColor="text1"/>
          <w:lang w:val="en-US"/>
        </w:rPr>
        <w:t>: 10.1016</w:t>
      </w:r>
      <w:r w:rsidRPr="004C2A3C">
        <w:rPr>
          <w:rFonts w:eastAsia="Times New Roman"/>
          <w:color w:val="000000" w:themeColor="text1"/>
          <w:lang w:val="en-US"/>
        </w:rPr>
        <w:t>/</w:t>
      </w:r>
      <w:r w:rsidRPr="004C2A3C">
        <w:rPr>
          <w:rFonts w:eastAsia="Times New Roman"/>
          <w:i/>
          <w:color w:val="000000" w:themeColor="text1"/>
          <w:lang w:val="en-US"/>
        </w:rPr>
        <w:t>j.tiv.2019.02.019.</w:t>
      </w:r>
    </w:p>
    <w:p w14:paraId="258BFFF9" w14:textId="77777777" w:rsidR="003F1C55" w:rsidRPr="004C2A3C" w:rsidRDefault="003F1C55" w:rsidP="003F1C55">
      <w:pPr>
        <w:tabs>
          <w:tab w:val="left" w:pos="1560"/>
          <w:tab w:val="left" w:pos="2835"/>
        </w:tabs>
        <w:spacing w:after="240"/>
        <w:ind w:left="2268" w:right="1134"/>
        <w:jc w:val="both"/>
        <w:rPr>
          <w:rFonts w:eastAsia="Times New Roman"/>
          <w:i/>
          <w:color w:val="000000" w:themeColor="text1"/>
          <w:lang w:val="fr-FR"/>
        </w:rPr>
      </w:pPr>
      <w:proofErr w:type="spellStart"/>
      <w:r w:rsidRPr="004C2A3C">
        <w:rPr>
          <w:rFonts w:eastAsia="Times New Roman"/>
          <w:i/>
          <w:color w:val="000000" w:themeColor="text1"/>
          <w:lang w:val="en-US"/>
        </w:rPr>
        <w:t>Alépée</w:t>
      </w:r>
      <w:proofErr w:type="spellEnd"/>
      <w:r w:rsidRPr="004C2A3C">
        <w:rPr>
          <w:rFonts w:eastAsia="Times New Roman"/>
          <w:i/>
          <w:color w:val="000000" w:themeColor="text1"/>
          <w:lang w:val="en-US"/>
        </w:rPr>
        <w:t xml:space="preserve">, N., E. </w:t>
      </w:r>
      <w:proofErr w:type="spellStart"/>
      <w:r w:rsidRPr="004C2A3C">
        <w:rPr>
          <w:rFonts w:eastAsia="Times New Roman"/>
          <w:i/>
          <w:color w:val="000000" w:themeColor="text1"/>
          <w:lang w:val="en-US"/>
        </w:rPr>
        <w:t>Adriaens</w:t>
      </w:r>
      <w:proofErr w:type="spellEnd"/>
      <w:r w:rsidRPr="004C2A3C">
        <w:rPr>
          <w:rFonts w:eastAsia="Times New Roman"/>
          <w:i/>
          <w:color w:val="000000" w:themeColor="text1"/>
          <w:lang w:val="en-US"/>
        </w:rPr>
        <w:t xml:space="preserve">, T. Abo, D. Bagley, B. </w:t>
      </w:r>
      <w:proofErr w:type="spellStart"/>
      <w:r w:rsidRPr="004C2A3C">
        <w:rPr>
          <w:rFonts w:eastAsia="Times New Roman"/>
          <w:i/>
          <w:color w:val="000000" w:themeColor="text1"/>
          <w:lang w:val="en-US"/>
        </w:rPr>
        <w:t>Desprez</w:t>
      </w:r>
      <w:proofErr w:type="spellEnd"/>
      <w:r w:rsidRPr="004C2A3C">
        <w:rPr>
          <w:rFonts w:eastAsia="Times New Roman"/>
          <w:i/>
          <w:color w:val="000000" w:themeColor="text1"/>
          <w:lang w:val="en-US"/>
        </w:rPr>
        <w:t xml:space="preserve">, J. </w:t>
      </w:r>
      <w:proofErr w:type="spellStart"/>
      <w:r w:rsidRPr="004C2A3C">
        <w:rPr>
          <w:rFonts w:eastAsia="Times New Roman"/>
          <w:i/>
          <w:color w:val="000000" w:themeColor="text1"/>
          <w:lang w:val="en-US"/>
        </w:rPr>
        <w:t>Hibatallah</w:t>
      </w:r>
      <w:proofErr w:type="spellEnd"/>
      <w:r w:rsidRPr="004C2A3C">
        <w:rPr>
          <w:rFonts w:eastAsia="Times New Roman"/>
          <w:i/>
          <w:color w:val="000000" w:themeColor="text1"/>
          <w:lang w:val="en-US"/>
        </w:rPr>
        <w:t xml:space="preserve">, K. </w:t>
      </w:r>
      <w:proofErr w:type="spellStart"/>
      <w:r w:rsidRPr="004C2A3C">
        <w:rPr>
          <w:rFonts w:eastAsia="Times New Roman"/>
          <w:i/>
          <w:color w:val="000000" w:themeColor="text1"/>
          <w:lang w:val="en-US"/>
        </w:rPr>
        <w:t>Mewes</w:t>
      </w:r>
      <w:proofErr w:type="spellEnd"/>
      <w:r w:rsidRPr="004C2A3C">
        <w:rPr>
          <w:rFonts w:eastAsia="Times New Roman"/>
          <w:i/>
          <w:color w:val="000000" w:themeColor="text1"/>
          <w:lang w:val="en-US"/>
        </w:rPr>
        <w:t>, U. </w:t>
      </w:r>
      <w:proofErr w:type="spellStart"/>
      <w:r w:rsidRPr="004C2A3C">
        <w:rPr>
          <w:rFonts w:eastAsia="Times New Roman"/>
          <w:i/>
          <w:color w:val="000000" w:themeColor="text1"/>
          <w:lang w:val="en-US"/>
        </w:rPr>
        <w:t>Pfannenbecker</w:t>
      </w:r>
      <w:proofErr w:type="spellEnd"/>
      <w:r w:rsidRPr="004C2A3C">
        <w:rPr>
          <w:rFonts w:eastAsia="Times New Roman"/>
          <w:i/>
          <w:color w:val="000000" w:themeColor="text1"/>
          <w:lang w:val="en-US"/>
        </w:rPr>
        <w:t xml:space="preserve">, À. Sala, A.R. Van </w:t>
      </w:r>
      <w:proofErr w:type="spellStart"/>
      <w:r w:rsidRPr="004C2A3C">
        <w:rPr>
          <w:rFonts w:eastAsia="Times New Roman"/>
          <w:i/>
          <w:color w:val="000000" w:themeColor="text1"/>
          <w:lang w:val="en-US"/>
        </w:rPr>
        <w:t>Rompay</w:t>
      </w:r>
      <w:proofErr w:type="spellEnd"/>
      <w:r w:rsidRPr="004C2A3C">
        <w:rPr>
          <w:rFonts w:eastAsia="Times New Roman"/>
          <w:i/>
          <w:color w:val="000000" w:themeColor="text1"/>
          <w:lang w:val="en-US"/>
        </w:rPr>
        <w:t xml:space="preserve">, S. </w:t>
      </w:r>
      <w:proofErr w:type="spellStart"/>
      <w:r w:rsidRPr="004C2A3C">
        <w:rPr>
          <w:rFonts w:eastAsia="Times New Roman"/>
          <w:i/>
          <w:color w:val="000000" w:themeColor="text1"/>
          <w:lang w:val="en-US"/>
        </w:rPr>
        <w:t>Verstraelen</w:t>
      </w:r>
      <w:proofErr w:type="spellEnd"/>
      <w:r w:rsidRPr="004C2A3C">
        <w:rPr>
          <w:rFonts w:eastAsia="Times New Roman"/>
          <w:i/>
          <w:color w:val="000000" w:themeColor="text1"/>
          <w:lang w:val="en-US"/>
        </w:rPr>
        <w:t xml:space="preserve"> et P. McNamee. 2019b. Development of a defined approach for eye irritation or serious eye damage for neat liquids based on Cosmetics Europe analysis of in vitro </w:t>
      </w:r>
      <w:proofErr w:type="spellStart"/>
      <w:r w:rsidRPr="004C2A3C">
        <w:rPr>
          <w:rFonts w:eastAsia="Times New Roman"/>
          <w:i/>
          <w:color w:val="000000" w:themeColor="text1"/>
          <w:lang w:val="en-US"/>
        </w:rPr>
        <w:t>RhCE</w:t>
      </w:r>
      <w:proofErr w:type="spellEnd"/>
      <w:r w:rsidRPr="004C2A3C">
        <w:rPr>
          <w:rFonts w:eastAsia="Times New Roman"/>
          <w:i/>
          <w:color w:val="000000" w:themeColor="text1"/>
          <w:lang w:val="en-US"/>
        </w:rPr>
        <w:t xml:space="preserve"> and BCOP test methods. </w:t>
      </w:r>
      <w:proofErr w:type="spellStart"/>
      <w:r w:rsidRPr="004C2A3C">
        <w:rPr>
          <w:rFonts w:eastAsia="Times New Roman"/>
          <w:i/>
          <w:color w:val="000000" w:themeColor="text1"/>
          <w:lang w:val="fr-FR"/>
        </w:rPr>
        <w:t>Toxicol</w:t>
      </w:r>
      <w:proofErr w:type="spellEnd"/>
      <w:r w:rsidRPr="004C2A3C">
        <w:rPr>
          <w:rFonts w:eastAsia="Times New Roman"/>
          <w:i/>
          <w:color w:val="000000" w:themeColor="text1"/>
          <w:lang w:val="fr-FR"/>
        </w:rPr>
        <w:t xml:space="preserve">. In vitro, </w:t>
      </w:r>
      <w:proofErr w:type="gramStart"/>
      <w:r w:rsidRPr="004C2A3C">
        <w:rPr>
          <w:rFonts w:eastAsia="Times New Roman"/>
          <w:i/>
          <w:color w:val="000000" w:themeColor="text1"/>
          <w:lang w:val="fr-FR"/>
        </w:rPr>
        <w:t>59:</w:t>
      </w:r>
      <w:proofErr w:type="gramEnd"/>
      <w:r w:rsidRPr="004C2A3C">
        <w:rPr>
          <w:rFonts w:eastAsia="Times New Roman"/>
          <w:i/>
          <w:color w:val="000000" w:themeColor="text1"/>
          <w:lang w:val="fr-FR"/>
        </w:rPr>
        <w:t xml:space="preserve"> 100-114. </w:t>
      </w:r>
      <w:proofErr w:type="spellStart"/>
      <w:proofErr w:type="gramStart"/>
      <w:r w:rsidRPr="004C2A3C">
        <w:rPr>
          <w:rFonts w:eastAsia="Times New Roman"/>
          <w:i/>
          <w:color w:val="000000" w:themeColor="text1"/>
          <w:lang w:val="fr-FR"/>
        </w:rPr>
        <w:t>doi</w:t>
      </w:r>
      <w:proofErr w:type="spellEnd"/>
      <w:r w:rsidRPr="004C2A3C">
        <w:rPr>
          <w:rFonts w:eastAsia="Times New Roman"/>
          <w:i/>
          <w:color w:val="000000" w:themeColor="text1"/>
          <w:lang w:val="fr-FR"/>
        </w:rPr>
        <w:t>:</w:t>
      </w:r>
      <w:proofErr w:type="gramEnd"/>
      <w:r w:rsidRPr="004C2A3C">
        <w:rPr>
          <w:rFonts w:eastAsia="Times New Roman"/>
          <w:i/>
          <w:color w:val="000000" w:themeColor="text1"/>
          <w:lang w:val="fr-FR"/>
        </w:rPr>
        <w:t xml:space="preserve"> 10.1016</w:t>
      </w:r>
      <w:r w:rsidRPr="004C2A3C">
        <w:rPr>
          <w:rFonts w:eastAsia="Times New Roman"/>
          <w:color w:val="000000" w:themeColor="text1"/>
          <w:lang w:val="fr-FR"/>
        </w:rPr>
        <w:t>/</w:t>
      </w:r>
      <w:r w:rsidRPr="004C2A3C">
        <w:rPr>
          <w:rFonts w:eastAsia="Times New Roman"/>
          <w:i/>
          <w:color w:val="000000" w:themeColor="text1"/>
          <w:lang w:val="fr-FR"/>
        </w:rPr>
        <w:t>j.tiv.2019.04.011.</w:t>
      </w:r>
    </w:p>
    <w:p w14:paraId="06E7C2F6" w14:textId="77777777" w:rsidR="003F1C55" w:rsidRPr="004C2A3C" w:rsidRDefault="003F1C55" w:rsidP="003F1C55">
      <w:pPr>
        <w:tabs>
          <w:tab w:val="left" w:pos="1560"/>
          <w:tab w:val="left" w:pos="2835"/>
        </w:tabs>
        <w:spacing w:after="240"/>
        <w:ind w:left="2268" w:right="1134"/>
        <w:jc w:val="both"/>
        <w:rPr>
          <w:rFonts w:eastAsia="Times New Roman"/>
          <w:i/>
          <w:color w:val="000000" w:themeColor="text1"/>
          <w:lang w:val="en-US"/>
        </w:rPr>
      </w:pPr>
      <w:proofErr w:type="spellStart"/>
      <w:r w:rsidRPr="004C2A3C">
        <w:rPr>
          <w:rFonts w:eastAsia="Times New Roman"/>
          <w:i/>
          <w:color w:val="000000" w:themeColor="text1"/>
          <w:lang w:val="fr-FR"/>
        </w:rPr>
        <w:t>Alépée</w:t>
      </w:r>
      <w:proofErr w:type="spellEnd"/>
      <w:r w:rsidRPr="004C2A3C">
        <w:rPr>
          <w:rFonts w:eastAsia="Times New Roman"/>
          <w:i/>
          <w:color w:val="000000" w:themeColor="text1"/>
          <w:lang w:val="fr-FR"/>
        </w:rPr>
        <w:t xml:space="preserve">, N., V. Leblanc, M.H. Grandidier, S. </w:t>
      </w:r>
      <w:proofErr w:type="spellStart"/>
      <w:r w:rsidRPr="004C2A3C">
        <w:rPr>
          <w:rFonts w:eastAsia="Times New Roman"/>
          <w:i/>
          <w:color w:val="000000" w:themeColor="text1"/>
          <w:lang w:val="fr-FR"/>
        </w:rPr>
        <w:t>Teluob</w:t>
      </w:r>
      <w:proofErr w:type="spellEnd"/>
      <w:r w:rsidRPr="004C2A3C">
        <w:rPr>
          <w:rFonts w:eastAsia="Times New Roman"/>
          <w:i/>
          <w:color w:val="000000" w:themeColor="text1"/>
          <w:lang w:val="fr-FR"/>
        </w:rPr>
        <w:t xml:space="preserve">, V. </w:t>
      </w:r>
      <w:proofErr w:type="spellStart"/>
      <w:r w:rsidRPr="004C2A3C">
        <w:rPr>
          <w:rFonts w:eastAsia="Times New Roman"/>
          <w:i/>
          <w:color w:val="000000" w:themeColor="text1"/>
          <w:lang w:val="fr-FR"/>
        </w:rPr>
        <w:t>Tagliati</w:t>
      </w:r>
      <w:proofErr w:type="spellEnd"/>
      <w:r w:rsidRPr="004C2A3C">
        <w:rPr>
          <w:rFonts w:eastAsia="Times New Roman"/>
          <w:i/>
          <w:color w:val="000000" w:themeColor="text1"/>
          <w:lang w:val="fr-FR"/>
        </w:rPr>
        <w:t xml:space="preserve">, E. </w:t>
      </w:r>
      <w:proofErr w:type="spellStart"/>
      <w:r w:rsidRPr="004C2A3C">
        <w:rPr>
          <w:rFonts w:eastAsia="Times New Roman"/>
          <w:i/>
          <w:color w:val="000000" w:themeColor="text1"/>
          <w:lang w:val="fr-FR"/>
        </w:rPr>
        <w:t>Adriaens</w:t>
      </w:r>
      <w:proofErr w:type="spellEnd"/>
      <w:r w:rsidRPr="004C2A3C">
        <w:rPr>
          <w:rFonts w:eastAsia="Times New Roman"/>
          <w:i/>
          <w:color w:val="000000" w:themeColor="text1"/>
          <w:lang w:val="fr-FR"/>
        </w:rPr>
        <w:t xml:space="preserve"> et V. </w:t>
      </w:r>
      <w:proofErr w:type="spellStart"/>
      <w:r w:rsidRPr="004C2A3C">
        <w:rPr>
          <w:rFonts w:eastAsia="Times New Roman"/>
          <w:i/>
          <w:color w:val="000000" w:themeColor="text1"/>
          <w:lang w:val="fr-FR"/>
        </w:rPr>
        <w:t>Michaut</w:t>
      </w:r>
      <w:proofErr w:type="spellEnd"/>
      <w:r w:rsidRPr="004C2A3C">
        <w:rPr>
          <w:rFonts w:eastAsia="Times New Roman"/>
          <w:i/>
          <w:color w:val="000000" w:themeColor="text1"/>
          <w:lang w:val="fr-FR"/>
        </w:rPr>
        <w:t xml:space="preserve">. </w:t>
      </w:r>
      <w:r w:rsidRPr="004C2A3C">
        <w:rPr>
          <w:rFonts w:eastAsia="Times New Roman"/>
          <w:i/>
          <w:color w:val="000000" w:themeColor="text1"/>
          <w:lang w:val="en-US"/>
        </w:rPr>
        <w:t xml:space="preserve">2020. Development of the </w:t>
      </w:r>
      <w:proofErr w:type="spellStart"/>
      <w:r w:rsidRPr="004C2A3C">
        <w:rPr>
          <w:rFonts w:eastAsia="Times New Roman"/>
          <w:i/>
          <w:color w:val="000000" w:themeColor="text1"/>
          <w:lang w:val="en-US"/>
        </w:rPr>
        <w:t>SkinEthic</w:t>
      </w:r>
      <w:proofErr w:type="spellEnd"/>
      <w:r w:rsidRPr="004C2A3C">
        <w:rPr>
          <w:rFonts w:eastAsia="Times New Roman"/>
          <w:i/>
          <w:color w:val="000000" w:themeColor="text1"/>
          <w:lang w:val="en-US"/>
        </w:rPr>
        <w:t xml:space="preserve"> HCE Time-to-Toxicity test method for identifying liquid chemicals not requiring classification and labelling and liquids inducing serious eye damage and eye irritation. </w:t>
      </w:r>
      <w:proofErr w:type="spellStart"/>
      <w:r w:rsidRPr="004C2A3C">
        <w:rPr>
          <w:rFonts w:eastAsia="Times New Roman"/>
          <w:i/>
          <w:color w:val="000000" w:themeColor="text1"/>
          <w:lang w:val="en-US"/>
        </w:rPr>
        <w:t>Toxicol</w:t>
      </w:r>
      <w:proofErr w:type="spellEnd"/>
      <w:r w:rsidRPr="004C2A3C">
        <w:rPr>
          <w:rFonts w:eastAsia="Times New Roman"/>
          <w:i/>
          <w:color w:val="000000" w:themeColor="text1"/>
          <w:lang w:val="en-US"/>
        </w:rPr>
        <w:t xml:space="preserve">. In vitro, 69: 104960. </w:t>
      </w:r>
      <w:proofErr w:type="spellStart"/>
      <w:r w:rsidRPr="004C2A3C">
        <w:rPr>
          <w:rFonts w:eastAsia="Times New Roman"/>
          <w:i/>
          <w:color w:val="000000" w:themeColor="text1"/>
          <w:lang w:val="en-US"/>
        </w:rPr>
        <w:t>doi</w:t>
      </w:r>
      <w:proofErr w:type="spellEnd"/>
      <w:r w:rsidRPr="004C2A3C">
        <w:rPr>
          <w:rFonts w:eastAsia="Times New Roman"/>
          <w:i/>
          <w:color w:val="000000" w:themeColor="text1"/>
          <w:lang w:val="en-US"/>
        </w:rPr>
        <w:t>: 10.1016</w:t>
      </w:r>
      <w:r w:rsidRPr="004C2A3C">
        <w:rPr>
          <w:rFonts w:eastAsia="Times New Roman"/>
          <w:color w:val="000000" w:themeColor="text1"/>
          <w:lang w:val="en-US"/>
        </w:rPr>
        <w:t>/</w:t>
      </w:r>
      <w:r w:rsidRPr="004C2A3C">
        <w:rPr>
          <w:rFonts w:eastAsia="Times New Roman"/>
          <w:i/>
          <w:color w:val="000000" w:themeColor="text1"/>
          <w:lang w:val="en-US"/>
        </w:rPr>
        <w:t>j.tiv.2020.104960.</w:t>
      </w:r>
    </w:p>
    <w:p w14:paraId="042F0022" w14:textId="77777777" w:rsidR="003F1C55" w:rsidRPr="004C2A3C" w:rsidRDefault="003F1C55" w:rsidP="003F1C55">
      <w:pPr>
        <w:tabs>
          <w:tab w:val="left" w:pos="1560"/>
          <w:tab w:val="left" w:pos="2835"/>
        </w:tabs>
        <w:spacing w:after="240"/>
        <w:ind w:left="2268" w:right="1134"/>
        <w:jc w:val="both"/>
        <w:rPr>
          <w:rFonts w:eastAsia="Times New Roman"/>
          <w:i/>
          <w:color w:val="000000" w:themeColor="text1"/>
          <w:lang w:val="en-US"/>
        </w:rPr>
      </w:pPr>
      <w:r w:rsidRPr="004C2A3C">
        <w:rPr>
          <w:rFonts w:eastAsia="Times New Roman"/>
          <w:i/>
          <w:color w:val="000000" w:themeColor="text1"/>
          <w:lang w:val="en-US"/>
        </w:rPr>
        <w:t xml:space="preserve">Bagley, D.M., D. Waters et B.M. Kong. 1994. Development of a 10-day </w:t>
      </w:r>
      <w:proofErr w:type="spellStart"/>
      <w:r w:rsidRPr="004C2A3C">
        <w:rPr>
          <w:rFonts w:eastAsia="Times New Roman"/>
          <w:i/>
          <w:color w:val="000000" w:themeColor="text1"/>
          <w:lang w:val="en-US"/>
        </w:rPr>
        <w:t>chorioallantoic</w:t>
      </w:r>
      <w:proofErr w:type="spellEnd"/>
      <w:r w:rsidRPr="004C2A3C">
        <w:rPr>
          <w:rFonts w:eastAsia="Times New Roman"/>
          <w:i/>
          <w:color w:val="000000" w:themeColor="text1"/>
          <w:lang w:val="en-US"/>
        </w:rPr>
        <w:t xml:space="preserve"> membrane vascular assay as an alternative to the Draize rabbit eye irritation test. Food Chem. </w:t>
      </w:r>
      <w:proofErr w:type="spellStart"/>
      <w:r w:rsidRPr="004C2A3C">
        <w:rPr>
          <w:rFonts w:eastAsia="Times New Roman"/>
          <w:i/>
          <w:color w:val="000000" w:themeColor="text1"/>
          <w:lang w:val="en-US"/>
        </w:rPr>
        <w:t>Toxicol</w:t>
      </w:r>
      <w:proofErr w:type="spellEnd"/>
      <w:r w:rsidRPr="004C2A3C">
        <w:rPr>
          <w:rFonts w:eastAsia="Times New Roman"/>
          <w:i/>
          <w:color w:val="000000" w:themeColor="text1"/>
          <w:lang w:val="en-US"/>
        </w:rPr>
        <w:t xml:space="preserve">., 32(12): 1155-1160. </w:t>
      </w:r>
      <w:proofErr w:type="spellStart"/>
      <w:r w:rsidRPr="004C2A3C">
        <w:rPr>
          <w:rFonts w:eastAsia="Times New Roman"/>
          <w:i/>
          <w:color w:val="000000" w:themeColor="text1"/>
          <w:lang w:val="en-US"/>
        </w:rPr>
        <w:t>doi</w:t>
      </w:r>
      <w:proofErr w:type="spellEnd"/>
      <w:r w:rsidRPr="004C2A3C">
        <w:rPr>
          <w:rFonts w:eastAsia="Times New Roman"/>
          <w:i/>
          <w:color w:val="000000" w:themeColor="text1"/>
          <w:lang w:val="en-US"/>
        </w:rPr>
        <w:t>: 10.1016</w:t>
      </w:r>
      <w:r w:rsidRPr="004C2A3C">
        <w:rPr>
          <w:rFonts w:eastAsia="Times New Roman"/>
          <w:color w:val="000000" w:themeColor="text1"/>
          <w:lang w:val="en-US"/>
        </w:rPr>
        <w:t>/</w:t>
      </w:r>
      <w:r w:rsidRPr="004C2A3C">
        <w:rPr>
          <w:rFonts w:eastAsia="Times New Roman"/>
          <w:i/>
          <w:color w:val="000000" w:themeColor="text1"/>
          <w:lang w:val="en-US"/>
        </w:rPr>
        <w:t>0278-6915(94)90131-7.</w:t>
      </w:r>
    </w:p>
    <w:p w14:paraId="1A24C4A3" w14:textId="77777777" w:rsidR="003F1C55" w:rsidRPr="004C2A3C" w:rsidRDefault="003F1C55" w:rsidP="003F1C55">
      <w:pPr>
        <w:tabs>
          <w:tab w:val="left" w:pos="1560"/>
          <w:tab w:val="left" w:pos="2835"/>
        </w:tabs>
        <w:spacing w:after="240"/>
        <w:ind w:left="2268" w:right="1134"/>
        <w:jc w:val="both"/>
        <w:rPr>
          <w:rFonts w:eastAsia="Times New Roman"/>
          <w:i/>
          <w:color w:val="000000" w:themeColor="text1"/>
          <w:lang w:val="en-US"/>
        </w:rPr>
      </w:pPr>
      <w:r w:rsidRPr="004C2A3C">
        <w:rPr>
          <w:rFonts w:eastAsia="Times New Roman"/>
          <w:i/>
          <w:color w:val="000000" w:themeColor="text1"/>
          <w:lang w:val="en-US"/>
        </w:rPr>
        <w:t xml:space="preserve">Bagley, D.M., D. </w:t>
      </w:r>
      <w:proofErr w:type="spellStart"/>
      <w:r w:rsidRPr="004C2A3C">
        <w:rPr>
          <w:rFonts w:eastAsia="Times New Roman"/>
          <w:i/>
          <w:color w:val="000000" w:themeColor="text1"/>
          <w:lang w:val="en-US"/>
        </w:rPr>
        <w:t>Cerven</w:t>
      </w:r>
      <w:proofErr w:type="spellEnd"/>
      <w:r w:rsidRPr="004C2A3C">
        <w:rPr>
          <w:rFonts w:eastAsia="Times New Roman"/>
          <w:i/>
          <w:color w:val="000000" w:themeColor="text1"/>
          <w:lang w:val="en-US"/>
        </w:rPr>
        <w:t xml:space="preserve"> et J. </w:t>
      </w:r>
      <w:proofErr w:type="spellStart"/>
      <w:r w:rsidRPr="004C2A3C">
        <w:rPr>
          <w:rFonts w:eastAsia="Times New Roman"/>
          <w:i/>
          <w:color w:val="000000" w:themeColor="text1"/>
          <w:lang w:val="en-US"/>
        </w:rPr>
        <w:t>Harbell</w:t>
      </w:r>
      <w:proofErr w:type="spellEnd"/>
      <w:r w:rsidRPr="004C2A3C">
        <w:rPr>
          <w:rFonts w:eastAsia="Times New Roman"/>
          <w:i/>
          <w:color w:val="000000" w:themeColor="text1"/>
          <w:lang w:val="en-US"/>
        </w:rPr>
        <w:t xml:space="preserve">. 1999. Assessment of the </w:t>
      </w:r>
      <w:proofErr w:type="spellStart"/>
      <w:r w:rsidRPr="004C2A3C">
        <w:rPr>
          <w:rFonts w:eastAsia="Times New Roman"/>
          <w:i/>
          <w:color w:val="000000" w:themeColor="text1"/>
          <w:lang w:val="en-US"/>
        </w:rPr>
        <w:t>chorioallantoic</w:t>
      </w:r>
      <w:proofErr w:type="spellEnd"/>
      <w:r w:rsidRPr="004C2A3C">
        <w:rPr>
          <w:rFonts w:eastAsia="Times New Roman"/>
          <w:i/>
          <w:color w:val="000000" w:themeColor="text1"/>
          <w:lang w:val="en-US"/>
        </w:rPr>
        <w:t xml:space="preserve"> membrane vascular assay (CAMVA) in the COLIPA in vitro eye irritation validation study. </w:t>
      </w:r>
      <w:proofErr w:type="spellStart"/>
      <w:r w:rsidRPr="004C2A3C">
        <w:rPr>
          <w:rFonts w:eastAsia="Times New Roman"/>
          <w:i/>
          <w:color w:val="000000" w:themeColor="text1"/>
          <w:lang w:val="en-US"/>
        </w:rPr>
        <w:t>Toxicol</w:t>
      </w:r>
      <w:proofErr w:type="spellEnd"/>
      <w:r w:rsidRPr="004C2A3C">
        <w:rPr>
          <w:rFonts w:eastAsia="Times New Roman"/>
          <w:i/>
          <w:color w:val="000000" w:themeColor="text1"/>
          <w:lang w:val="en-US"/>
        </w:rPr>
        <w:t xml:space="preserve">. In vitro, 13(2): 285-293. </w:t>
      </w:r>
      <w:proofErr w:type="spellStart"/>
      <w:r w:rsidRPr="004C2A3C">
        <w:rPr>
          <w:rFonts w:eastAsia="Times New Roman"/>
          <w:i/>
          <w:color w:val="000000" w:themeColor="text1"/>
          <w:lang w:val="en-US"/>
        </w:rPr>
        <w:t>doi</w:t>
      </w:r>
      <w:proofErr w:type="spellEnd"/>
      <w:r w:rsidRPr="004C2A3C">
        <w:rPr>
          <w:rFonts w:eastAsia="Times New Roman"/>
          <w:i/>
          <w:color w:val="000000" w:themeColor="text1"/>
          <w:lang w:val="en-US"/>
        </w:rPr>
        <w:t>: 10.1016</w:t>
      </w:r>
      <w:r w:rsidRPr="004C2A3C">
        <w:rPr>
          <w:rFonts w:eastAsia="Times New Roman"/>
          <w:color w:val="000000" w:themeColor="text1"/>
          <w:lang w:val="en-US"/>
        </w:rPr>
        <w:t>/</w:t>
      </w:r>
      <w:r w:rsidRPr="004C2A3C">
        <w:rPr>
          <w:rFonts w:eastAsia="Times New Roman"/>
          <w:i/>
          <w:color w:val="000000" w:themeColor="text1"/>
          <w:lang w:val="en-US"/>
        </w:rPr>
        <w:t>s0887-2333(98)00089-7.</w:t>
      </w:r>
    </w:p>
    <w:p w14:paraId="0F98621B" w14:textId="77777777" w:rsidR="003F1C55" w:rsidRPr="004C2A3C" w:rsidRDefault="003F1C55" w:rsidP="003F1C55">
      <w:pPr>
        <w:tabs>
          <w:tab w:val="left" w:pos="1560"/>
          <w:tab w:val="left" w:pos="2835"/>
        </w:tabs>
        <w:spacing w:after="240"/>
        <w:ind w:left="2268" w:right="1134"/>
        <w:jc w:val="both"/>
        <w:rPr>
          <w:rFonts w:eastAsia="Times New Roman"/>
          <w:i/>
          <w:color w:val="000000" w:themeColor="text1"/>
          <w:lang w:val="en-US"/>
        </w:rPr>
      </w:pPr>
      <w:r w:rsidRPr="004C2A3C">
        <w:rPr>
          <w:rFonts w:eastAsia="Times New Roman"/>
          <w:i/>
          <w:color w:val="000000" w:themeColor="text1"/>
          <w:lang w:val="en-US"/>
        </w:rPr>
        <w:t xml:space="preserve">Balls, M., P.A. Botham, L.H. Bruner et H. </w:t>
      </w:r>
      <w:proofErr w:type="spellStart"/>
      <w:r w:rsidRPr="004C2A3C">
        <w:rPr>
          <w:rFonts w:eastAsia="Times New Roman"/>
          <w:i/>
          <w:color w:val="000000" w:themeColor="text1"/>
          <w:lang w:val="en-US"/>
        </w:rPr>
        <w:t>Spielmann</w:t>
      </w:r>
      <w:proofErr w:type="spellEnd"/>
      <w:r w:rsidRPr="004C2A3C">
        <w:rPr>
          <w:rFonts w:eastAsia="Times New Roman"/>
          <w:i/>
          <w:color w:val="000000" w:themeColor="text1"/>
          <w:lang w:val="en-US"/>
        </w:rPr>
        <w:t>. 1995. The EC</w:t>
      </w:r>
      <w:r w:rsidRPr="004C2A3C">
        <w:rPr>
          <w:rFonts w:eastAsia="Times New Roman"/>
          <w:color w:val="000000" w:themeColor="text1"/>
          <w:lang w:val="en-US"/>
        </w:rPr>
        <w:t>/</w:t>
      </w:r>
      <w:r w:rsidRPr="004C2A3C">
        <w:rPr>
          <w:rFonts w:eastAsia="Times New Roman"/>
          <w:i/>
          <w:color w:val="000000" w:themeColor="text1"/>
          <w:lang w:val="en-US"/>
        </w:rPr>
        <w:t xml:space="preserve">HO international validation study on alternatives to the </w:t>
      </w:r>
      <w:proofErr w:type="spellStart"/>
      <w:r w:rsidRPr="004C2A3C">
        <w:rPr>
          <w:rFonts w:eastAsia="Times New Roman"/>
          <w:i/>
          <w:color w:val="000000" w:themeColor="text1"/>
          <w:lang w:val="en-US"/>
        </w:rPr>
        <w:t>draize</w:t>
      </w:r>
      <w:proofErr w:type="spellEnd"/>
      <w:r w:rsidRPr="004C2A3C">
        <w:rPr>
          <w:rFonts w:eastAsia="Times New Roman"/>
          <w:i/>
          <w:color w:val="000000" w:themeColor="text1"/>
          <w:lang w:val="en-US"/>
        </w:rPr>
        <w:t xml:space="preserve"> eye irritation test. </w:t>
      </w:r>
      <w:proofErr w:type="spellStart"/>
      <w:r w:rsidRPr="004C2A3C">
        <w:rPr>
          <w:rFonts w:eastAsia="Times New Roman"/>
          <w:i/>
          <w:color w:val="000000" w:themeColor="text1"/>
          <w:lang w:val="en-US"/>
        </w:rPr>
        <w:t>Toxicol</w:t>
      </w:r>
      <w:proofErr w:type="spellEnd"/>
      <w:r w:rsidRPr="004C2A3C">
        <w:rPr>
          <w:rFonts w:eastAsia="Times New Roman"/>
          <w:i/>
          <w:color w:val="000000" w:themeColor="text1"/>
          <w:lang w:val="en-US"/>
        </w:rPr>
        <w:t xml:space="preserve">. In vitro, 9(6): 871-929. </w:t>
      </w:r>
      <w:proofErr w:type="spellStart"/>
      <w:r w:rsidRPr="004C2A3C">
        <w:rPr>
          <w:rFonts w:eastAsia="Times New Roman"/>
          <w:i/>
          <w:color w:val="000000" w:themeColor="text1"/>
          <w:lang w:val="en-US"/>
        </w:rPr>
        <w:t>doi</w:t>
      </w:r>
      <w:proofErr w:type="spellEnd"/>
      <w:r w:rsidRPr="004C2A3C">
        <w:rPr>
          <w:rFonts w:eastAsia="Times New Roman"/>
          <w:i/>
          <w:color w:val="000000" w:themeColor="text1"/>
          <w:lang w:val="en-US"/>
        </w:rPr>
        <w:t>: 10.1016</w:t>
      </w:r>
      <w:r w:rsidRPr="004C2A3C">
        <w:rPr>
          <w:rFonts w:eastAsia="Times New Roman"/>
          <w:color w:val="000000" w:themeColor="text1"/>
          <w:lang w:val="en-US"/>
        </w:rPr>
        <w:t>/</w:t>
      </w:r>
      <w:r w:rsidRPr="004C2A3C">
        <w:rPr>
          <w:rFonts w:eastAsia="Times New Roman"/>
          <w:i/>
          <w:color w:val="000000" w:themeColor="text1"/>
          <w:lang w:val="en-US"/>
        </w:rPr>
        <w:t>0887-2333(95)00092-5.</w:t>
      </w:r>
    </w:p>
    <w:p w14:paraId="63F864D2" w14:textId="77777777" w:rsidR="003F1C55" w:rsidRPr="004C2A3C" w:rsidRDefault="003F1C55" w:rsidP="003F1C55">
      <w:pPr>
        <w:tabs>
          <w:tab w:val="left" w:pos="1560"/>
          <w:tab w:val="left" w:pos="2835"/>
        </w:tabs>
        <w:spacing w:after="240"/>
        <w:ind w:left="2268" w:right="1134"/>
        <w:jc w:val="both"/>
        <w:rPr>
          <w:rFonts w:eastAsia="Times New Roman"/>
          <w:i/>
          <w:color w:val="000000" w:themeColor="text1"/>
          <w:lang w:val="en-US"/>
        </w:rPr>
      </w:pPr>
      <w:proofErr w:type="spellStart"/>
      <w:r w:rsidRPr="004C2A3C">
        <w:rPr>
          <w:rFonts w:eastAsia="Times New Roman"/>
          <w:i/>
          <w:color w:val="000000" w:themeColor="text1"/>
          <w:lang w:val="en-US"/>
        </w:rPr>
        <w:t>Brantom</w:t>
      </w:r>
      <w:proofErr w:type="spellEnd"/>
      <w:r w:rsidRPr="004C2A3C">
        <w:rPr>
          <w:rFonts w:eastAsia="Times New Roman"/>
          <w:i/>
          <w:color w:val="000000" w:themeColor="text1"/>
          <w:lang w:val="en-US"/>
        </w:rPr>
        <w:t xml:space="preserve">, P.G., L.H. Bruner, M. Chamberlain, O. De Silva, J. Dupuis, L.K. Earl, D.P. Lovell, W.J. Pape, M. </w:t>
      </w:r>
      <w:proofErr w:type="spellStart"/>
      <w:r w:rsidRPr="004C2A3C">
        <w:rPr>
          <w:rFonts w:eastAsia="Times New Roman"/>
          <w:i/>
          <w:color w:val="000000" w:themeColor="text1"/>
          <w:lang w:val="en-US"/>
        </w:rPr>
        <w:t>Uttley</w:t>
      </w:r>
      <w:proofErr w:type="spellEnd"/>
      <w:r w:rsidRPr="004C2A3C">
        <w:rPr>
          <w:rFonts w:eastAsia="Times New Roman"/>
          <w:i/>
          <w:color w:val="000000" w:themeColor="text1"/>
          <w:lang w:val="en-US"/>
        </w:rPr>
        <w:t xml:space="preserve">, D.M. Bagley, F.W. Baker, M. </w:t>
      </w:r>
      <w:proofErr w:type="spellStart"/>
      <w:r w:rsidRPr="004C2A3C">
        <w:rPr>
          <w:rFonts w:eastAsia="Times New Roman"/>
          <w:i/>
          <w:color w:val="000000" w:themeColor="text1"/>
          <w:lang w:val="en-US"/>
        </w:rPr>
        <w:t>Bracher</w:t>
      </w:r>
      <w:proofErr w:type="spellEnd"/>
      <w:r w:rsidRPr="004C2A3C">
        <w:rPr>
          <w:rFonts w:eastAsia="Times New Roman"/>
          <w:i/>
          <w:color w:val="000000" w:themeColor="text1"/>
          <w:lang w:val="en-US"/>
        </w:rPr>
        <w:t xml:space="preserve">, P. </w:t>
      </w:r>
      <w:proofErr w:type="spellStart"/>
      <w:r w:rsidRPr="004C2A3C">
        <w:rPr>
          <w:rFonts w:eastAsia="Times New Roman"/>
          <w:i/>
          <w:color w:val="000000" w:themeColor="text1"/>
          <w:lang w:val="en-US"/>
        </w:rPr>
        <w:t>Courtellemont</w:t>
      </w:r>
      <w:proofErr w:type="spellEnd"/>
      <w:r w:rsidRPr="004C2A3C">
        <w:rPr>
          <w:rFonts w:eastAsia="Times New Roman"/>
          <w:i/>
          <w:color w:val="000000" w:themeColor="text1"/>
          <w:lang w:val="en-US"/>
        </w:rPr>
        <w:t xml:space="preserve">, L. </w:t>
      </w:r>
      <w:proofErr w:type="spellStart"/>
      <w:r w:rsidRPr="004C2A3C">
        <w:rPr>
          <w:rFonts w:eastAsia="Times New Roman"/>
          <w:i/>
          <w:color w:val="000000" w:themeColor="text1"/>
          <w:lang w:val="en-US"/>
        </w:rPr>
        <w:t>Declercq</w:t>
      </w:r>
      <w:proofErr w:type="spellEnd"/>
      <w:r w:rsidRPr="004C2A3C">
        <w:rPr>
          <w:rFonts w:eastAsia="Times New Roman"/>
          <w:i/>
          <w:color w:val="000000" w:themeColor="text1"/>
          <w:lang w:val="en-US"/>
        </w:rPr>
        <w:t xml:space="preserve">, S. Freeman, W. </w:t>
      </w:r>
      <w:proofErr w:type="spellStart"/>
      <w:r w:rsidRPr="004C2A3C">
        <w:rPr>
          <w:rFonts w:eastAsia="Times New Roman"/>
          <w:i/>
          <w:color w:val="000000" w:themeColor="text1"/>
          <w:lang w:val="en-US"/>
        </w:rPr>
        <w:t>Steiling</w:t>
      </w:r>
      <w:proofErr w:type="spellEnd"/>
      <w:r w:rsidRPr="004C2A3C">
        <w:rPr>
          <w:rFonts w:eastAsia="Times New Roman"/>
          <w:i/>
          <w:color w:val="000000" w:themeColor="text1"/>
          <w:lang w:val="en-US"/>
        </w:rPr>
        <w:t xml:space="preserve">, A.P. Walker, G.J. </w:t>
      </w:r>
      <w:proofErr w:type="spellStart"/>
      <w:r w:rsidRPr="004C2A3C">
        <w:rPr>
          <w:rFonts w:eastAsia="Times New Roman"/>
          <w:i/>
          <w:color w:val="000000" w:themeColor="text1"/>
          <w:lang w:val="en-US"/>
        </w:rPr>
        <w:t>Carr</w:t>
      </w:r>
      <w:proofErr w:type="spellEnd"/>
      <w:r w:rsidRPr="004C2A3C">
        <w:rPr>
          <w:rFonts w:eastAsia="Times New Roman"/>
          <w:i/>
          <w:color w:val="000000" w:themeColor="text1"/>
          <w:lang w:val="en-US"/>
        </w:rPr>
        <w:t xml:space="preserve">, N. </w:t>
      </w:r>
      <w:proofErr w:type="spellStart"/>
      <w:r w:rsidRPr="004C2A3C">
        <w:rPr>
          <w:rFonts w:eastAsia="Times New Roman"/>
          <w:i/>
          <w:color w:val="000000" w:themeColor="text1"/>
          <w:lang w:val="en-US"/>
        </w:rPr>
        <w:t>Dami</w:t>
      </w:r>
      <w:proofErr w:type="spellEnd"/>
      <w:r w:rsidRPr="004C2A3C">
        <w:rPr>
          <w:rFonts w:eastAsia="Times New Roman"/>
          <w:i/>
          <w:color w:val="000000" w:themeColor="text1"/>
          <w:lang w:val="en-US"/>
        </w:rPr>
        <w:t xml:space="preserve">, G. Thomas, J. </w:t>
      </w:r>
      <w:proofErr w:type="spellStart"/>
      <w:r w:rsidRPr="004C2A3C">
        <w:rPr>
          <w:rFonts w:eastAsia="Times New Roman"/>
          <w:i/>
          <w:color w:val="000000" w:themeColor="text1"/>
          <w:lang w:val="en-US"/>
        </w:rPr>
        <w:t>Harbell</w:t>
      </w:r>
      <w:proofErr w:type="spellEnd"/>
      <w:r w:rsidRPr="004C2A3C">
        <w:rPr>
          <w:rFonts w:eastAsia="Times New Roman"/>
          <w:i/>
          <w:color w:val="000000" w:themeColor="text1"/>
          <w:lang w:val="en-US"/>
        </w:rPr>
        <w:t xml:space="preserve">, P.A. Jones, U. </w:t>
      </w:r>
      <w:proofErr w:type="spellStart"/>
      <w:r w:rsidRPr="004C2A3C">
        <w:rPr>
          <w:rFonts w:eastAsia="Times New Roman"/>
          <w:i/>
          <w:color w:val="000000" w:themeColor="text1"/>
          <w:lang w:val="en-US"/>
        </w:rPr>
        <w:t>Pfannenbecker</w:t>
      </w:r>
      <w:proofErr w:type="spellEnd"/>
      <w:r w:rsidRPr="004C2A3C">
        <w:rPr>
          <w:rFonts w:eastAsia="Times New Roman"/>
          <w:i/>
          <w:color w:val="000000" w:themeColor="text1"/>
          <w:lang w:val="en-US"/>
        </w:rPr>
        <w:t xml:space="preserve">, J.A. Southee, M. </w:t>
      </w:r>
      <w:proofErr w:type="spellStart"/>
      <w:r w:rsidRPr="004C2A3C">
        <w:rPr>
          <w:rFonts w:eastAsia="Times New Roman"/>
          <w:i/>
          <w:color w:val="000000" w:themeColor="text1"/>
          <w:lang w:val="en-US"/>
        </w:rPr>
        <w:t>Tcheng</w:t>
      </w:r>
      <w:proofErr w:type="spellEnd"/>
      <w:r w:rsidRPr="004C2A3C">
        <w:rPr>
          <w:rFonts w:eastAsia="Times New Roman"/>
          <w:i/>
          <w:color w:val="000000" w:themeColor="text1"/>
          <w:lang w:val="en-US"/>
        </w:rPr>
        <w:t xml:space="preserve">, H. </w:t>
      </w:r>
      <w:proofErr w:type="spellStart"/>
      <w:r w:rsidRPr="004C2A3C">
        <w:rPr>
          <w:rFonts w:eastAsia="Times New Roman"/>
          <w:i/>
          <w:color w:val="000000" w:themeColor="text1"/>
          <w:lang w:val="en-US"/>
        </w:rPr>
        <w:t>Argembeaux</w:t>
      </w:r>
      <w:proofErr w:type="spellEnd"/>
      <w:r w:rsidRPr="004C2A3C">
        <w:rPr>
          <w:rFonts w:eastAsia="Times New Roman"/>
          <w:i/>
          <w:color w:val="000000" w:themeColor="text1"/>
          <w:lang w:val="en-US"/>
        </w:rPr>
        <w:t xml:space="preserve">, D. Castelli, R. Clothier, D.J. Esdaile, H. </w:t>
      </w:r>
      <w:proofErr w:type="spellStart"/>
      <w:r w:rsidRPr="004C2A3C">
        <w:rPr>
          <w:rFonts w:eastAsia="Times New Roman"/>
          <w:i/>
          <w:color w:val="000000" w:themeColor="text1"/>
          <w:lang w:val="en-US"/>
        </w:rPr>
        <w:t>Itigaki</w:t>
      </w:r>
      <w:proofErr w:type="spellEnd"/>
      <w:r w:rsidRPr="004C2A3C">
        <w:rPr>
          <w:rFonts w:eastAsia="Times New Roman"/>
          <w:i/>
          <w:color w:val="000000" w:themeColor="text1"/>
          <w:lang w:val="en-US"/>
        </w:rPr>
        <w:t xml:space="preserve">, K. Jung, Y. Kasai, H. Kojima, U. Kristen, M. </w:t>
      </w:r>
      <w:proofErr w:type="spellStart"/>
      <w:r w:rsidRPr="004C2A3C">
        <w:rPr>
          <w:rFonts w:eastAsia="Times New Roman"/>
          <w:i/>
          <w:color w:val="000000" w:themeColor="text1"/>
          <w:lang w:val="en-US"/>
        </w:rPr>
        <w:t>Larnicol</w:t>
      </w:r>
      <w:proofErr w:type="spellEnd"/>
      <w:r w:rsidRPr="004C2A3C">
        <w:rPr>
          <w:rFonts w:eastAsia="Times New Roman"/>
          <w:i/>
          <w:color w:val="000000" w:themeColor="text1"/>
          <w:lang w:val="en-US"/>
        </w:rPr>
        <w:t xml:space="preserve">, R.W. Lewis, K. </w:t>
      </w:r>
      <w:proofErr w:type="spellStart"/>
      <w:r w:rsidRPr="004C2A3C">
        <w:rPr>
          <w:rFonts w:eastAsia="Times New Roman"/>
          <w:i/>
          <w:color w:val="000000" w:themeColor="text1"/>
          <w:lang w:val="en-US"/>
        </w:rPr>
        <w:t>Marenus</w:t>
      </w:r>
      <w:proofErr w:type="spellEnd"/>
      <w:r w:rsidRPr="004C2A3C">
        <w:rPr>
          <w:rFonts w:eastAsia="Times New Roman"/>
          <w:i/>
          <w:color w:val="000000" w:themeColor="text1"/>
          <w:lang w:val="en-US"/>
        </w:rPr>
        <w:t xml:space="preserve">, O. Moreno, A. Peterson, E.S. Rasmussen, C. Robles et M. Stern. 1997. A summary report of the COLIPA international </w:t>
      </w:r>
      <w:proofErr w:type="spellStart"/>
      <w:proofErr w:type="gramStart"/>
      <w:r w:rsidRPr="004C2A3C">
        <w:rPr>
          <w:rFonts w:eastAsia="Times New Roman"/>
          <w:i/>
          <w:color w:val="000000" w:themeColor="text1"/>
          <w:lang w:val="en-US"/>
        </w:rPr>
        <w:t>validation.study</w:t>
      </w:r>
      <w:proofErr w:type="spellEnd"/>
      <w:proofErr w:type="gramEnd"/>
      <w:r w:rsidRPr="004C2A3C">
        <w:rPr>
          <w:rFonts w:eastAsia="Times New Roman"/>
          <w:i/>
          <w:color w:val="000000" w:themeColor="text1"/>
          <w:lang w:val="en-US"/>
        </w:rPr>
        <w:t xml:space="preserve"> on alternatives to the </w:t>
      </w:r>
      <w:proofErr w:type="spellStart"/>
      <w:r w:rsidRPr="004C2A3C">
        <w:rPr>
          <w:rFonts w:eastAsia="Times New Roman"/>
          <w:i/>
          <w:color w:val="000000" w:themeColor="text1"/>
          <w:lang w:val="en-US"/>
        </w:rPr>
        <w:t>draize</w:t>
      </w:r>
      <w:proofErr w:type="spellEnd"/>
      <w:r w:rsidRPr="004C2A3C">
        <w:rPr>
          <w:rFonts w:eastAsia="Times New Roman"/>
          <w:i/>
          <w:color w:val="000000" w:themeColor="text1"/>
          <w:lang w:val="en-US"/>
        </w:rPr>
        <w:t xml:space="preserve"> rabbit eye irritation test. </w:t>
      </w:r>
      <w:proofErr w:type="spellStart"/>
      <w:r w:rsidRPr="004C2A3C">
        <w:rPr>
          <w:rFonts w:eastAsia="Times New Roman"/>
          <w:i/>
          <w:color w:val="000000" w:themeColor="text1"/>
          <w:lang w:val="en-US"/>
        </w:rPr>
        <w:t>Toxicol</w:t>
      </w:r>
      <w:proofErr w:type="spellEnd"/>
      <w:r w:rsidRPr="004C2A3C">
        <w:rPr>
          <w:rFonts w:eastAsia="Times New Roman"/>
          <w:i/>
          <w:color w:val="000000" w:themeColor="text1"/>
          <w:lang w:val="en-US"/>
        </w:rPr>
        <w:t>. In vitro, 11: 141-179. doi:10.1016</w:t>
      </w:r>
      <w:r w:rsidRPr="004C2A3C">
        <w:rPr>
          <w:rFonts w:eastAsia="Times New Roman"/>
          <w:color w:val="000000" w:themeColor="text1"/>
          <w:lang w:val="en-US"/>
        </w:rPr>
        <w:t>/</w:t>
      </w:r>
      <w:r w:rsidRPr="004C2A3C">
        <w:rPr>
          <w:rFonts w:eastAsia="Times New Roman"/>
          <w:i/>
          <w:color w:val="000000" w:themeColor="text1"/>
          <w:lang w:val="en-US"/>
        </w:rPr>
        <w:t>S0887-2333(96)00069-0.</w:t>
      </w:r>
    </w:p>
    <w:p w14:paraId="4B40C346" w14:textId="77777777" w:rsidR="003F1C55" w:rsidRPr="004C2A3C" w:rsidRDefault="003F1C55" w:rsidP="003F1C55">
      <w:pPr>
        <w:tabs>
          <w:tab w:val="left" w:pos="1560"/>
          <w:tab w:val="left" w:pos="2835"/>
        </w:tabs>
        <w:spacing w:after="240"/>
        <w:ind w:left="2268" w:right="1134"/>
        <w:jc w:val="both"/>
        <w:rPr>
          <w:rFonts w:eastAsia="Times New Roman"/>
          <w:i/>
          <w:color w:val="000000" w:themeColor="text1"/>
          <w:lang w:val="en-US"/>
        </w:rPr>
      </w:pPr>
      <w:r w:rsidRPr="004C2A3C">
        <w:rPr>
          <w:rFonts w:eastAsia="Times New Roman"/>
          <w:i/>
          <w:color w:val="000000" w:themeColor="text1"/>
          <w:lang w:val="en-US"/>
        </w:rPr>
        <w:t xml:space="preserve">Burton, A.B., M. York et R.S. Lawrence. 1981. The in vitro assessment of severe eye irritants. Food </w:t>
      </w:r>
      <w:proofErr w:type="spellStart"/>
      <w:r w:rsidRPr="004C2A3C">
        <w:rPr>
          <w:rFonts w:eastAsia="Times New Roman"/>
          <w:i/>
          <w:color w:val="000000" w:themeColor="text1"/>
          <w:lang w:val="en-US"/>
        </w:rPr>
        <w:t>Cosmet</w:t>
      </w:r>
      <w:proofErr w:type="spellEnd"/>
      <w:r w:rsidRPr="004C2A3C">
        <w:rPr>
          <w:rFonts w:eastAsia="Times New Roman"/>
          <w:i/>
          <w:color w:val="000000" w:themeColor="text1"/>
          <w:lang w:val="en-US"/>
        </w:rPr>
        <w:t xml:space="preserve">. </w:t>
      </w:r>
      <w:proofErr w:type="spellStart"/>
      <w:r w:rsidRPr="004C2A3C">
        <w:rPr>
          <w:rFonts w:eastAsia="Times New Roman"/>
          <w:i/>
          <w:color w:val="000000" w:themeColor="text1"/>
          <w:lang w:val="en-US"/>
        </w:rPr>
        <w:t>Toxicol</w:t>
      </w:r>
      <w:proofErr w:type="spellEnd"/>
      <w:r w:rsidRPr="004C2A3C">
        <w:rPr>
          <w:rFonts w:eastAsia="Times New Roman"/>
          <w:i/>
          <w:color w:val="000000" w:themeColor="text1"/>
          <w:lang w:val="en-US"/>
        </w:rPr>
        <w:t xml:space="preserve">., 19(4): 471-480. </w:t>
      </w:r>
      <w:proofErr w:type="spellStart"/>
      <w:r w:rsidRPr="004C2A3C">
        <w:rPr>
          <w:rFonts w:eastAsia="Times New Roman"/>
          <w:i/>
          <w:color w:val="000000" w:themeColor="text1"/>
          <w:lang w:val="en-US"/>
        </w:rPr>
        <w:t>doi</w:t>
      </w:r>
      <w:proofErr w:type="spellEnd"/>
      <w:r w:rsidRPr="004C2A3C">
        <w:rPr>
          <w:rFonts w:eastAsia="Times New Roman"/>
          <w:i/>
          <w:color w:val="000000" w:themeColor="text1"/>
          <w:lang w:val="en-US"/>
        </w:rPr>
        <w:t>: 10.1016</w:t>
      </w:r>
      <w:r w:rsidRPr="004C2A3C">
        <w:rPr>
          <w:rFonts w:eastAsia="Times New Roman"/>
          <w:color w:val="000000" w:themeColor="text1"/>
          <w:lang w:val="en-US"/>
        </w:rPr>
        <w:t>/</w:t>
      </w:r>
      <w:r w:rsidRPr="004C2A3C">
        <w:rPr>
          <w:rFonts w:eastAsia="Times New Roman"/>
          <w:i/>
          <w:color w:val="000000" w:themeColor="text1"/>
          <w:lang w:val="en-US"/>
        </w:rPr>
        <w:t>0015-6264(81)90452-1.</w:t>
      </w:r>
    </w:p>
    <w:p w14:paraId="0E903F5B" w14:textId="77777777" w:rsidR="003F1C55" w:rsidRPr="004C2A3C" w:rsidRDefault="003F1C55" w:rsidP="003F1C55">
      <w:pPr>
        <w:tabs>
          <w:tab w:val="left" w:pos="1560"/>
          <w:tab w:val="left" w:pos="2835"/>
        </w:tabs>
        <w:spacing w:after="240"/>
        <w:ind w:left="2268" w:right="1134"/>
        <w:jc w:val="both"/>
        <w:rPr>
          <w:rFonts w:eastAsia="Times New Roman"/>
          <w:i/>
          <w:color w:val="000000" w:themeColor="text1"/>
          <w:lang w:val="en-US"/>
        </w:rPr>
      </w:pPr>
      <w:r w:rsidRPr="004C2A3C">
        <w:rPr>
          <w:rFonts w:eastAsia="Times New Roman"/>
          <w:i/>
          <w:color w:val="000000" w:themeColor="text1"/>
          <w:lang w:val="en-US"/>
        </w:rPr>
        <w:t xml:space="preserve">Choksi, N., S. Lebrun, M. Nguyen, A. Daniel, G. </w:t>
      </w:r>
      <w:proofErr w:type="spellStart"/>
      <w:r w:rsidRPr="004C2A3C">
        <w:rPr>
          <w:rFonts w:eastAsia="Times New Roman"/>
          <w:i/>
          <w:color w:val="000000" w:themeColor="text1"/>
          <w:lang w:val="en-US"/>
        </w:rPr>
        <w:t>DeGeorge</w:t>
      </w:r>
      <w:proofErr w:type="spellEnd"/>
      <w:r w:rsidRPr="004C2A3C">
        <w:rPr>
          <w:rFonts w:eastAsia="Times New Roman"/>
          <w:i/>
          <w:color w:val="000000" w:themeColor="text1"/>
          <w:lang w:val="en-US"/>
        </w:rPr>
        <w:t>, J. Willoughby, A.</w:t>
      </w:r>
      <w:r w:rsidRPr="004C2A3C">
        <w:rPr>
          <w:rFonts w:eastAsia="Times New Roman"/>
          <w:color w:val="000000" w:themeColor="text1"/>
          <w:lang w:val="en-US"/>
        </w:rPr>
        <w:t xml:space="preserve"> </w:t>
      </w:r>
      <w:r w:rsidRPr="004C2A3C">
        <w:rPr>
          <w:rFonts w:eastAsia="Times New Roman"/>
          <w:i/>
          <w:color w:val="000000" w:themeColor="text1"/>
          <w:lang w:val="en-US"/>
        </w:rPr>
        <w:t xml:space="preserve">Layton, D. Lowther, J. Merrill, J. Matheson, J. Barroso, K. </w:t>
      </w:r>
      <w:proofErr w:type="spellStart"/>
      <w:r w:rsidRPr="004C2A3C">
        <w:rPr>
          <w:rFonts w:eastAsia="Times New Roman"/>
          <w:i/>
          <w:color w:val="000000" w:themeColor="text1"/>
          <w:lang w:val="en-US"/>
        </w:rPr>
        <w:t>Yozzo</w:t>
      </w:r>
      <w:proofErr w:type="spellEnd"/>
      <w:r w:rsidRPr="004C2A3C">
        <w:rPr>
          <w:rFonts w:eastAsia="Times New Roman"/>
          <w:i/>
          <w:color w:val="000000" w:themeColor="text1"/>
          <w:lang w:val="en-US"/>
        </w:rPr>
        <w:t xml:space="preserve">, W. Casey et D. Allen. 2020. Validation of the </w:t>
      </w:r>
      <w:proofErr w:type="spellStart"/>
      <w:r w:rsidRPr="004C2A3C">
        <w:rPr>
          <w:rFonts w:eastAsia="Times New Roman"/>
          <w:i/>
          <w:color w:val="000000" w:themeColor="text1"/>
          <w:lang w:val="en-US"/>
        </w:rPr>
        <w:t>OptiSafe</w:t>
      </w:r>
      <w:proofErr w:type="spellEnd"/>
      <w:r w:rsidRPr="004C2A3C">
        <w:rPr>
          <w:rFonts w:eastAsia="Times New Roman"/>
          <w:i/>
          <w:color w:val="000000" w:themeColor="text1"/>
          <w:lang w:val="en-US"/>
        </w:rPr>
        <w:t xml:space="preserve">™ eye irritation test. </w:t>
      </w:r>
      <w:proofErr w:type="spellStart"/>
      <w:r w:rsidRPr="004C2A3C">
        <w:rPr>
          <w:rFonts w:eastAsia="Times New Roman"/>
          <w:i/>
          <w:color w:val="000000" w:themeColor="text1"/>
          <w:lang w:val="en-US"/>
        </w:rPr>
        <w:t>Cutan</w:t>
      </w:r>
      <w:proofErr w:type="spellEnd"/>
      <w:r w:rsidRPr="004C2A3C">
        <w:rPr>
          <w:rFonts w:eastAsia="Times New Roman"/>
          <w:i/>
          <w:color w:val="000000" w:themeColor="text1"/>
          <w:lang w:val="en-US"/>
        </w:rPr>
        <w:t xml:space="preserve">. </w:t>
      </w:r>
      <w:proofErr w:type="spellStart"/>
      <w:r w:rsidRPr="004C2A3C">
        <w:rPr>
          <w:rFonts w:eastAsia="Times New Roman"/>
          <w:i/>
          <w:color w:val="000000" w:themeColor="text1"/>
          <w:lang w:val="en-US"/>
        </w:rPr>
        <w:t>Ocul</w:t>
      </w:r>
      <w:proofErr w:type="spellEnd"/>
      <w:r w:rsidRPr="004C2A3C">
        <w:rPr>
          <w:rFonts w:eastAsia="Times New Roman"/>
          <w:i/>
          <w:color w:val="000000" w:themeColor="text1"/>
          <w:lang w:val="en-US"/>
        </w:rPr>
        <w:t xml:space="preserve">. </w:t>
      </w:r>
      <w:proofErr w:type="spellStart"/>
      <w:r w:rsidRPr="004C2A3C">
        <w:rPr>
          <w:rFonts w:eastAsia="Times New Roman"/>
          <w:i/>
          <w:color w:val="000000" w:themeColor="text1"/>
          <w:lang w:val="en-US"/>
        </w:rPr>
        <w:t>Toxicol</w:t>
      </w:r>
      <w:proofErr w:type="spellEnd"/>
      <w:r w:rsidRPr="004C2A3C">
        <w:rPr>
          <w:rFonts w:eastAsia="Times New Roman"/>
          <w:i/>
          <w:color w:val="000000" w:themeColor="text1"/>
          <w:lang w:val="en-US"/>
        </w:rPr>
        <w:t xml:space="preserve">., 39(3): 180-192. </w:t>
      </w:r>
      <w:proofErr w:type="spellStart"/>
      <w:r w:rsidRPr="004C2A3C">
        <w:rPr>
          <w:rFonts w:eastAsia="Times New Roman"/>
          <w:i/>
          <w:color w:val="000000" w:themeColor="text1"/>
          <w:lang w:val="en-US"/>
        </w:rPr>
        <w:t>doi</w:t>
      </w:r>
      <w:proofErr w:type="spellEnd"/>
      <w:r w:rsidRPr="004C2A3C">
        <w:rPr>
          <w:rFonts w:eastAsia="Times New Roman"/>
          <w:i/>
          <w:color w:val="000000" w:themeColor="text1"/>
          <w:lang w:val="en-US"/>
        </w:rPr>
        <w:t>: 10.1080</w:t>
      </w:r>
      <w:r w:rsidRPr="004C2A3C">
        <w:rPr>
          <w:rFonts w:eastAsia="Times New Roman"/>
          <w:color w:val="000000" w:themeColor="text1"/>
          <w:lang w:val="en-US"/>
        </w:rPr>
        <w:t>/</w:t>
      </w:r>
      <w:r w:rsidRPr="004C2A3C">
        <w:rPr>
          <w:rFonts w:eastAsia="Times New Roman"/>
          <w:i/>
          <w:color w:val="000000" w:themeColor="text1"/>
          <w:lang w:val="en-US"/>
        </w:rPr>
        <w:t>15569527.2020.1787431.</w:t>
      </w:r>
    </w:p>
    <w:p w14:paraId="4EDB4140" w14:textId="77777777" w:rsidR="003F1C55" w:rsidRPr="004C2A3C" w:rsidRDefault="003F1C55" w:rsidP="003F1C55">
      <w:pPr>
        <w:tabs>
          <w:tab w:val="left" w:pos="1560"/>
          <w:tab w:val="left" w:pos="2835"/>
        </w:tabs>
        <w:spacing w:after="240"/>
        <w:ind w:left="2268" w:right="1134"/>
        <w:jc w:val="both"/>
        <w:rPr>
          <w:rFonts w:eastAsia="Times New Roman"/>
          <w:i/>
          <w:color w:val="000000" w:themeColor="text1"/>
          <w:lang w:val="en-US"/>
        </w:rPr>
      </w:pPr>
      <w:proofErr w:type="spellStart"/>
      <w:r w:rsidRPr="004C2A3C">
        <w:rPr>
          <w:rFonts w:eastAsia="Times New Roman"/>
          <w:i/>
          <w:color w:val="000000" w:themeColor="text1"/>
          <w:lang w:val="fr-FR"/>
        </w:rPr>
        <w:t>Cottrez</w:t>
      </w:r>
      <w:proofErr w:type="spellEnd"/>
      <w:r w:rsidRPr="004C2A3C">
        <w:rPr>
          <w:rFonts w:eastAsia="Times New Roman"/>
          <w:i/>
          <w:color w:val="000000" w:themeColor="text1"/>
          <w:lang w:val="fr-FR"/>
        </w:rPr>
        <w:t xml:space="preserve">, F., V. Leblanc, E. </w:t>
      </w:r>
      <w:proofErr w:type="spellStart"/>
      <w:r w:rsidRPr="004C2A3C">
        <w:rPr>
          <w:rFonts w:eastAsia="Times New Roman"/>
          <w:i/>
          <w:color w:val="000000" w:themeColor="text1"/>
          <w:lang w:val="fr-FR"/>
        </w:rPr>
        <w:t>Boitel</w:t>
      </w:r>
      <w:proofErr w:type="spellEnd"/>
      <w:r w:rsidRPr="004C2A3C">
        <w:rPr>
          <w:rFonts w:eastAsia="Times New Roman"/>
          <w:i/>
          <w:color w:val="000000" w:themeColor="text1"/>
          <w:lang w:val="fr-FR"/>
        </w:rPr>
        <w:t xml:space="preserve">, H. Groux et N. </w:t>
      </w:r>
      <w:proofErr w:type="spellStart"/>
      <w:r w:rsidRPr="004C2A3C">
        <w:rPr>
          <w:rFonts w:eastAsia="Times New Roman"/>
          <w:i/>
          <w:color w:val="000000" w:themeColor="text1"/>
          <w:lang w:val="fr-FR"/>
        </w:rPr>
        <w:t>Alépée</w:t>
      </w:r>
      <w:proofErr w:type="spellEnd"/>
      <w:r w:rsidRPr="004C2A3C">
        <w:rPr>
          <w:rFonts w:eastAsia="Times New Roman"/>
          <w:i/>
          <w:color w:val="000000" w:themeColor="text1"/>
          <w:lang w:val="fr-FR"/>
        </w:rPr>
        <w:t xml:space="preserve">. </w:t>
      </w:r>
      <w:r w:rsidRPr="004C2A3C">
        <w:rPr>
          <w:rFonts w:eastAsia="Times New Roman"/>
          <w:i/>
          <w:color w:val="000000" w:themeColor="text1"/>
          <w:lang w:val="en-US"/>
        </w:rPr>
        <w:t xml:space="preserve">2021. The </w:t>
      </w:r>
      <w:proofErr w:type="spellStart"/>
      <w:r w:rsidRPr="004C2A3C">
        <w:rPr>
          <w:rFonts w:eastAsia="Times New Roman"/>
          <w:i/>
          <w:color w:val="000000" w:themeColor="text1"/>
          <w:lang w:val="en-US"/>
        </w:rPr>
        <w:t>EyeIRR</w:t>
      </w:r>
      <w:proofErr w:type="spellEnd"/>
      <w:r w:rsidRPr="004C2A3C">
        <w:rPr>
          <w:rFonts w:eastAsia="Times New Roman"/>
          <w:i/>
          <w:color w:val="000000" w:themeColor="text1"/>
          <w:lang w:val="en-US"/>
        </w:rPr>
        <w:t xml:space="preserve">-IS assay: Development and evaluation of an in vitro assay to measure the eye irritation sub-categorization of liquid chemicals. </w:t>
      </w:r>
      <w:proofErr w:type="spellStart"/>
      <w:r w:rsidRPr="004C2A3C">
        <w:rPr>
          <w:rFonts w:eastAsia="Times New Roman"/>
          <w:i/>
          <w:color w:val="000000" w:themeColor="text1"/>
          <w:lang w:val="en-US"/>
        </w:rPr>
        <w:t>Toxicol</w:t>
      </w:r>
      <w:proofErr w:type="spellEnd"/>
      <w:r w:rsidRPr="004C2A3C">
        <w:rPr>
          <w:rFonts w:eastAsia="Times New Roman"/>
          <w:i/>
          <w:color w:val="000000" w:themeColor="text1"/>
          <w:lang w:val="en-US"/>
        </w:rPr>
        <w:t xml:space="preserve">. In vitro, 71: 105072. </w:t>
      </w:r>
      <w:proofErr w:type="spellStart"/>
      <w:r w:rsidRPr="004C2A3C">
        <w:rPr>
          <w:rFonts w:eastAsia="Times New Roman"/>
          <w:i/>
          <w:color w:val="000000" w:themeColor="text1"/>
          <w:lang w:val="en-US"/>
        </w:rPr>
        <w:t>doi</w:t>
      </w:r>
      <w:proofErr w:type="spellEnd"/>
      <w:r w:rsidRPr="004C2A3C">
        <w:rPr>
          <w:rFonts w:eastAsia="Times New Roman"/>
          <w:i/>
          <w:color w:val="000000" w:themeColor="text1"/>
          <w:lang w:val="en-US"/>
        </w:rPr>
        <w:t>: 10.1016</w:t>
      </w:r>
      <w:r w:rsidRPr="004C2A3C">
        <w:rPr>
          <w:rFonts w:eastAsia="Times New Roman"/>
          <w:color w:val="000000" w:themeColor="text1"/>
          <w:lang w:val="en-US"/>
        </w:rPr>
        <w:t>/</w:t>
      </w:r>
      <w:r w:rsidRPr="004C2A3C">
        <w:rPr>
          <w:rFonts w:eastAsia="Times New Roman"/>
          <w:i/>
          <w:color w:val="000000" w:themeColor="text1"/>
          <w:lang w:val="en-US"/>
        </w:rPr>
        <w:t>j.tiv.2020.105072.</w:t>
      </w:r>
    </w:p>
    <w:p w14:paraId="4C63211F" w14:textId="77777777" w:rsidR="003F1C55" w:rsidRPr="004C2A3C" w:rsidRDefault="003F1C55" w:rsidP="003F1C55">
      <w:pPr>
        <w:tabs>
          <w:tab w:val="left" w:pos="1560"/>
          <w:tab w:val="left" w:pos="2835"/>
        </w:tabs>
        <w:spacing w:after="240"/>
        <w:ind w:left="2268" w:right="1134"/>
        <w:jc w:val="both"/>
        <w:rPr>
          <w:rFonts w:eastAsia="Times New Roman"/>
          <w:i/>
          <w:color w:val="000000" w:themeColor="text1"/>
          <w:lang w:val="en-US"/>
        </w:rPr>
      </w:pPr>
      <w:r w:rsidRPr="004C2A3C">
        <w:rPr>
          <w:rFonts w:eastAsia="Times New Roman"/>
          <w:i/>
          <w:color w:val="000000" w:themeColor="text1"/>
          <w:lang w:val="en-US"/>
        </w:rPr>
        <w:t xml:space="preserve">Donahue, D.A., L.E. Kaufman, J. Avalos, F.A. </w:t>
      </w:r>
      <w:proofErr w:type="spellStart"/>
      <w:r w:rsidRPr="004C2A3C">
        <w:rPr>
          <w:rFonts w:eastAsia="Times New Roman"/>
          <w:i/>
          <w:color w:val="000000" w:themeColor="text1"/>
          <w:lang w:val="en-US"/>
        </w:rPr>
        <w:t>Simion</w:t>
      </w:r>
      <w:proofErr w:type="spellEnd"/>
      <w:r w:rsidRPr="004C2A3C">
        <w:rPr>
          <w:rFonts w:eastAsia="Times New Roman"/>
          <w:i/>
          <w:color w:val="000000" w:themeColor="text1"/>
          <w:lang w:val="en-US"/>
        </w:rPr>
        <w:t xml:space="preserve"> et D.R </w:t>
      </w:r>
      <w:proofErr w:type="spellStart"/>
      <w:r w:rsidRPr="004C2A3C">
        <w:rPr>
          <w:rFonts w:eastAsia="Times New Roman"/>
          <w:i/>
          <w:color w:val="000000" w:themeColor="text1"/>
          <w:lang w:val="en-US"/>
        </w:rPr>
        <w:t>Cerven</w:t>
      </w:r>
      <w:proofErr w:type="spellEnd"/>
      <w:r w:rsidRPr="004C2A3C">
        <w:rPr>
          <w:rFonts w:eastAsia="Times New Roman"/>
          <w:i/>
          <w:color w:val="000000" w:themeColor="text1"/>
          <w:lang w:val="en-US"/>
        </w:rPr>
        <w:t xml:space="preserve">. 2011. Survey of ocular irritation predictive capacity using </w:t>
      </w:r>
      <w:proofErr w:type="spellStart"/>
      <w:r w:rsidRPr="004C2A3C">
        <w:rPr>
          <w:rFonts w:eastAsia="Times New Roman"/>
          <w:i/>
          <w:color w:val="000000" w:themeColor="text1"/>
          <w:lang w:val="en-US"/>
        </w:rPr>
        <w:t>Chorioallantoic</w:t>
      </w:r>
      <w:proofErr w:type="spellEnd"/>
      <w:r w:rsidRPr="004C2A3C">
        <w:rPr>
          <w:rFonts w:eastAsia="Times New Roman"/>
          <w:i/>
          <w:color w:val="000000" w:themeColor="text1"/>
          <w:lang w:val="en-US"/>
        </w:rPr>
        <w:t xml:space="preserve"> Membrane Vascular Assay (CAMVA) and Bovine Corneal Opacity and Permeability (BCOP) test historical data for 319 personal care products over fourteen years. </w:t>
      </w:r>
      <w:proofErr w:type="spellStart"/>
      <w:r w:rsidRPr="004C2A3C">
        <w:rPr>
          <w:rFonts w:eastAsia="Times New Roman"/>
          <w:i/>
          <w:color w:val="000000" w:themeColor="text1"/>
          <w:lang w:val="en-US"/>
        </w:rPr>
        <w:t>Toxicol</w:t>
      </w:r>
      <w:proofErr w:type="spellEnd"/>
      <w:r w:rsidRPr="004C2A3C">
        <w:rPr>
          <w:rFonts w:eastAsia="Times New Roman"/>
          <w:i/>
          <w:color w:val="000000" w:themeColor="text1"/>
          <w:lang w:val="en-US"/>
        </w:rPr>
        <w:t xml:space="preserve">. In vitro, 25(2): 563-572. </w:t>
      </w:r>
      <w:proofErr w:type="spellStart"/>
      <w:r w:rsidRPr="004C2A3C">
        <w:rPr>
          <w:rFonts w:eastAsia="Times New Roman"/>
          <w:i/>
          <w:color w:val="000000" w:themeColor="text1"/>
          <w:lang w:val="en-US"/>
        </w:rPr>
        <w:t>doi</w:t>
      </w:r>
      <w:proofErr w:type="spellEnd"/>
      <w:r w:rsidRPr="004C2A3C">
        <w:rPr>
          <w:rFonts w:eastAsia="Times New Roman"/>
          <w:i/>
          <w:color w:val="000000" w:themeColor="text1"/>
          <w:lang w:val="en-US"/>
        </w:rPr>
        <w:t>: 10.1016</w:t>
      </w:r>
      <w:r w:rsidRPr="004C2A3C">
        <w:rPr>
          <w:rFonts w:eastAsia="Times New Roman"/>
          <w:color w:val="000000" w:themeColor="text1"/>
          <w:lang w:val="en-US"/>
        </w:rPr>
        <w:t>/</w:t>
      </w:r>
      <w:r w:rsidRPr="004C2A3C">
        <w:rPr>
          <w:rFonts w:eastAsia="Times New Roman"/>
          <w:i/>
          <w:color w:val="000000" w:themeColor="text1"/>
          <w:lang w:val="en-US"/>
        </w:rPr>
        <w:t>j.tiv.2010.12.003.</w:t>
      </w:r>
    </w:p>
    <w:p w14:paraId="11FA792F" w14:textId="77777777" w:rsidR="003F1C55" w:rsidRPr="004C2A3C" w:rsidRDefault="003F1C55" w:rsidP="003F1C55">
      <w:pPr>
        <w:tabs>
          <w:tab w:val="left" w:pos="1560"/>
          <w:tab w:val="left" w:pos="2835"/>
        </w:tabs>
        <w:spacing w:after="240"/>
        <w:ind w:left="2268" w:right="1134"/>
        <w:jc w:val="both"/>
        <w:rPr>
          <w:rFonts w:eastAsia="Times New Roman"/>
          <w:i/>
          <w:color w:val="000000" w:themeColor="text1"/>
          <w:lang w:val="fr-FR"/>
        </w:rPr>
      </w:pPr>
      <w:r w:rsidRPr="004C2A3C">
        <w:rPr>
          <w:rFonts w:eastAsia="Times New Roman"/>
          <w:i/>
          <w:color w:val="000000" w:themeColor="text1"/>
          <w:spacing w:val="-2"/>
          <w:lang w:val="en-US"/>
        </w:rPr>
        <w:t xml:space="preserve">ECHA. 2017. Guidance on the Application of the CLP Criteria. </w:t>
      </w:r>
      <w:proofErr w:type="spellStart"/>
      <w:r w:rsidRPr="00A27E5D">
        <w:rPr>
          <w:rFonts w:eastAsia="Times New Roman"/>
          <w:i/>
          <w:color w:val="000000" w:themeColor="text1"/>
          <w:spacing w:val="-2"/>
          <w:lang w:val="es-ES"/>
        </w:rPr>
        <w:t>Version</w:t>
      </w:r>
      <w:proofErr w:type="spellEnd"/>
      <w:r w:rsidRPr="00A27E5D">
        <w:rPr>
          <w:rFonts w:eastAsia="Times New Roman"/>
          <w:i/>
          <w:color w:val="000000" w:themeColor="text1"/>
          <w:spacing w:val="-2"/>
          <w:lang w:val="es-ES"/>
        </w:rPr>
        <w:t xml:space="preserve"> 5.0. Reference ECHA-17-G-21-EN. </w:t>
      </w:r>
      <w:proofErr w:type="spellStart"/>
      <w:r w:rsidRPr="00A27E5D">
        <w:rPr>
          <w:rFonts w:eastAsia="Times New Roman"/>
          <w:i/>
          <w:color w:val="000000" w:themeColor="text1"/>
          <w:spacing w:val="-2"/>
          <w:lang w:val="es-ES"/>
        </w:rPr>
        <w:t>doi</w:t>
      </w:r>
      <w:proofErr w:type="spellEnd"/>
      <w:r w:rsidRPr="00A27E5D">
        <w:rPr>
          <w:rFonts w:eastAsia="Times New Roman"/>
          <w:i/>
          <w:color w:val="000000" w:themeColor="text1"/>
          <w:spacing w:val="-2"/>
          <w:lang w:val="es-ES"/>
        </w:rPr>
        <w:t>: 10.2823</w:t>
      </w:r>
      <w:r w:rsidRPr="00A27E5D">
        <w:rPr>
          <w:rFonts w:eastAsia="Times New Roman"/>
          <w:color w:val="000000" w:themeColor="text1"/>
          <w:spacing w:val="-2"/>
          <w:lang w:val="es-ES"/>
        </w:rPr>
        <w:t>/</w:t>
      </w:r>
      <w:r w:rsidRPr="00A27E5D">
        <w:rPr>
          <w:rFonts w:eastAsia="Times New Roman"/>
          <w:i/>
          <w:color w:val="000000" w:themeColor="text1"/>
          <w:spacing w:val="-2"/>
          <w:lang w:val="es-ES"/>
        </w:rPr>
        <w:t xml:space="preserve">124801. </w:t>
      </w:r>
      <w:r w:rsidRPr="004C2A3C">
        <w:rPr>
          <w:rFonts w:eastAsia="Times New Roman"/>
          <w:i/>
          <w:color w:val="000000" w:themeColor="text1"/>
          <w:spacing w:val="-2"/>
        </w:rPr>
        <w:t>Disponible à l</w:t>
      </w:r>
      <w:r>
        <w:rPr>
          <w:rFonts w:eastAsia="Times New Roman"/>
          <w:i/>
          <w:color w:val="000000" w:themeColor="text1"/>
          <w:spacing w:val="-2"/>
        </w:rPr>
        <w:t>’</w:t>
      </w:r>
      <w:r w:rsidRPr="004C2A3C">
        <w:rPr>
          <w:rFonts w:eastAsia="Times New Roman"/>
          <w:i/>
          <w:color w:val="000000" w:themeColor="text1"/>
          <w:spacing w:val="-2"/>
        </w:rPr>
        <w:t>adresse suivante :</w:t>
      </w:r>
      <w:r w:rsidRPr="004C2A3C">
        <w:rPr>
          <w:rFonts w:eastAsia="Times New Roman"/>
          <w:i/>
          <w:color w:val="000000" w:themeColor="text1"/>
          <w:spacing w:val="-2"/>
          <w:lang w:val="fr-FR"/>
        </w:rPr>
        <w:t xml:space="preserve"> </w:t>
      </w:r>
      <w:hyperlink r:id="rId31" w:history="1">
        <w:r w:rsidRPr="004C2A3C">
          <w:rPr>
            <w:rFonts w:eastAsia="Times New Roman"/>
            <w:i/>
            <w:color w:val="000000" w:themeColor="text1"/>
            <w:lang w:val="fr-FR"/>
          </w:rPr>
          <w:t>https:</w:t>
        </w:r>
        <w:r w:rsidRPr="004C2A3C">
          <w:rPr>
            <w:rFonts w:eastAsia="Times New Roman"/>
            <w:color w:val="000000" w:themeColor="text1"/>
            <w:lang w:val="fr-FR"/>
          </w:rPr>
          <w:t>//</w:t>
        </w:r>
        <w:r w:rsidRPr="004C2A3C">
          <w:rPr>
            <w:rFonts w:eastAsia="Times New Roman"/>
            <w:i/>
            <w:color w:val="000000" w:themeColor="text1"/>
            <w:lang w:val="fr-FR"/>
          </w:rPr>
          <w:t>echa.europa.eu</w:t>
        </w:r>
        <w:r w:rsidRPr="004C2A3C">
          <w:rPr>
            <w:rFonts w:eastAsia="Times New Roman"/>
            <w:color w:val="000000" w:themeColor="text1"/>
            <w:lang w:val="fr-FR"/>
          </w:rPr>
          <w:t xml:space="preserve">/ </w:t>
        </w:r>
        <w:r w:rsidRPr="004C2A3C">
          <w:rPr>
            <w:rFonts w:eastAsia="Times New Roman"/>
            <w:i/>
            <w:color w:val="000000" w:themeColor="text1"/>
            <w:lang w:val="fr-FR"/>
          </w:rPr>
          <w:t>guidance-documents</w:t>
        </w:r>
        <w:r w:rsidRPr="004C2A3C">
          <w:rPr>
            <w:rFonts w:eastAsia="Times New Roman"/>
            <w:color w:val="000000" w:themeColor="text1"/>
            <w:lang w:val="fr-FR"/>
          </w:rPr>
          <w:t>/</w:t>
        </w:r>
        <w:r w:rsidRPr="004C2A3C">
          <w:rPr>
            <w:rFonts w:eastAsia="Times New Roman"/>
            <w:i/>
            <w:color w:val="000000" w:themeColor="text1"/>
            <w:lang w:val="fr-FR"/>
          </w:rPr>
          <w:t>guidance-on-</w:t>
        </w:r>
        <w:proofErr w:type="spellStart"/>
        <w:r w:rsidRPr="004C2A3C">
          <w:rPr>
            <w:rFonts w:eastAsia="Times New Roman"/>
            <w:i/>
            <w:color w:val="000000" w:themeColor="text1"/>
            <w:lang w:val="fr-FR"/>
          </w:rPr>
          <w:t>clp</w:t>
        </w:r>
        <w:proofErr w:type="spellEnd"/>
      </w:hyperlink>
      <w:r w:rsidRPr="004C2A3C">
        <w:rPr>
          <w:rFonts w:eastAsia="Times New Roman"/>
          <w:i/>
          <w:color w:val="000000" w:themeColor="text1"/>
          <w:lang w:val="fr-FR"/>
        </w:rPr>
        <w:t>.</w:t>
      </w:r>
    </w:p>
    <w:p w14:paraId="5107A829" w14:textId="77777777" w:rsidR="003F1C55" w:rsidRPr="004C2A3C" w:rsidRDefault="003F1C55" w:rsidP="003F1C55">
      <w:pPr>
        <w:tabs>
          <w:tab w:val="left" w:pos="1560"/>
          <w:tab w:val="left" w:pos="2835"/>
        </w:tabs>
        <w:spacing w:after="240"/>
        <w:ind w:left="2268" w:right="1134"/>
        <w:jc w:val="both"/>
        <w:rPr>
          <w:rFonts w:eastAsia="Times New Roman"/>
          <w:i/>
          <w:iCs/>
          <w:color w:val="000000" w:themeColor="text1"/>
          <w:lang w:val="fr-FR"/>
        </w:rPr>
      </w:pPr>
      <w:r w:rsidRPr="004C2A3C">
        <w:rPr>
          <w:rFonts w:eastAsia="Times New Roman"/>
          <w:i/>
          <w:iCs/>
          <w:color w:val="000000" w:themeColor="text1"/>
          <w:lang w:val="en-US"/>
        </w:rPr>
        <w:t>ESAC.</w:t>
      </w:r>
      <w:r w:rsidRPr="004C2A3C">
        <w:rPr>
          <w:rFonts w:eastAsia="Times New Roman"/>
          <w:i/>
          <w:color w:val="000000" w:themeColor="text1"/>
          <w:lang w:val="en-US"/>
        </w:rPr>
        <w:t xml:space="preserve"> 2019. Statement on </w:t>
      </w:r>
      <w:r w:rsidRPr="004C2A3C">
        <w:rPr>
          <w:rFonts w:eastAsia="Times New Roman"/>
          <w:i/>
          <w:iCs/>
          <w:color w:val="000000" w:themeColor="text1"/>
          <w:lang w:val="en-US"/>
        </w:rPr>
        <w:t>the</w:t>
      </w:r>
      <w:r w:rsidRPr="004C2A3C">
        <w:rPr>
          <w:rFonts w:eastAsia="Times New Roman"/>
          <w:color w:val="000000" w:themeColor="text1"/>
          <w:lang w:val="en-US"/>
        </w:rPr>
        <w:t xml:space="preserve"> </w:t>
      </w:r>
      <w:r w:rsidRPr="004C2A3C">
        <w:rPr>
          <w:rFonts w:eastAsia="Times New Roman"/>
          <w:i/>
          <w:iCs/>
          <w:color w:val="000000" w:themeColor="text1"/>
          <w:lang w:val="en-US"/>
        </w:rPr>
        <w:t xml:space="preserve">use of existing low volume eye test (LVET) data for weight of evidence decisions on classification and labelling of cleaning products and their main ingredients. </w:t>
      </w:r>
      <w:r w:rsidRPr="004C2A3C">
        <w:rPr>
          <w:rFonts w:eastAsia="Times New Roman"/>
          <w:i/>
          <w:iCs/>
          <w:color w:val="000000" w:themeColor="text1"/>
        </w:rPr>
        <w:t>Déclaration du Comité consultatif scientifique de l</w:t>
      </w:r>
      <w:r>
        <w:rPr>
          <w:rFonts w:eastAsia="Times New Roman"/>
          <w:i/>
          <w:iCs/>
          <w:color w:val="000000" w:themeColor="text1"/>
        </w:rPr>
        <w:t>’</w:t>
      </w:r>
      <w:r w:rsidRPr="004C2A3C">
        <w:rPr>
          <w:rFonts w:eastAsia="Times New Roman"/>
          <w:i/>
          <w:iCs/>
          <w:color w:val="000000" w:themeColor="text1"/>
        </w:rPr>
        <w:t xml:space="preserve">ECVAM (ESAC) du 9 juillet 2009. </w:t>
      </w:r>
      <w:r w:rsidRPr="004C2A3C">
        <w:rPr>
          <w:rFonts w:eastAsia="Times New Roman"/>
          <w:i/>
          <w:color w:val="000000" w:themeColor="text1"/>
        </w:rPr>
        <w:t>Disponible à l</w:t>
      </w:r>
      <w:r>
        <w:rPr>
          <w:rFonts w:eastAsia="Times New Roman"/>
          <w:i/>
          <w:color w:val="000000" w:themeColor="text1"/>
        </w:rPr>
        <w:t>’</w:t>
      </w:r>
      <w:r w:rsidRPr="004C2A3C">
        <w:rPr>
          <w:rFonts w:eastAsia="Times New Roman"/>
          <w:i/>
          <w:color w:val="000000" w:themeColor="text1"/>
        </w:rPr>
        <w:t>adresse suivante </w:t>
      </w:r>
      <w:r w:rsidRPr="004C2A3C">
        <w:rPr>
          <w:rFonts w:eastAsia="Times New Roman"/>
          <w:i/>
          <w:iCs/>
          <w:color w:val="000000" w:themeColor="text1"/>
        </w:rPr>
        <w:t>:</w:t>
      </w:r>
      <w:r w:rsidRPr="004C2A3C">
        <w:rPr>
          <w:rFonts w:eastAsia="Times New Roman"/>
          <w:color w:val="000000" w:themeColor="text1"/>
          <w:lang w:val="fr-FR"/>
        </w:rPr>
        <w:t xml:space="preserve"> </w:t>
      </w:r>
      <w:hyperlink r:id="rId32" w:history="1">
        <w:r w:rsidRPr="004C2A3C">
          <w:rPr>
            <w:rFonts w:eastAsia="Times New Roman"/>
            <w:i/>
            <w:iCs/>
            <w:color w:val="000000" w:themeColor="text1"/>
            <w:lang w:val="fr-FR"/>
          </w:rPr>
          <w:t>https:</w:t>
        </w:r>
        <w:r w:rsidRPr="004C2A3C">
          <w:rPr>
            <w:rFonts w:eastAsia="Times New Roman"/>
            <w:iCs/>
            <w:color w:val="000000" w:themeColor="text1"/>
            <w:lang w:val="fr-FR"/>
          </w:rPr>
          <w:t>//</w:t>
        </w:r>
        <w:r w:rsidRPr="004C2A3C">
          <w:rPr>
            <w:rFonts w:eastAsia="Times New Roman"/>
            <w:i/>
            <w:iCs/>
            <w:color w:val="000000" w:themeColor="text1"/>
            <w:lang w:val="fr-FR"/>
          </w:rPr>
          <w:t>ec.europa.eu</w:t>
        </w:r>
        <w:r w:rsidRPr="004C2A3C">
          <w:rPr>
            <w:rFonts w:eastAsia="Times New Roman"/>
            <w:iCs/>
            <w:color w:val="000000" w:themeColor="text1"/>
            <w:lang w:val="fr-FR"/>
          </w:rPr>
          <w:t>/</w:t>
        </w:r>
        <w:r w:rsidRPr="004C2A3C">
          <w:rPr>
            <w:rFonts w:eastAsia="Times New Roman"/>
            <w:i/>
            <w:iCs/>
            <w:color w:val="000000" w:themeColor="text1"/>
            <w:lang w:val="fr-FR"/>
          </w:rPr>
          <w:t>jrc</w:t>
        </w:r>
        <w:r w:rsidRPr="004C2A3C">
          <w:rPr>
            <w:rFonts w:eastAsia="Times New Roman"/>
            <w:iCs/>
            <w:color w:val="000000" w:themeColor="text1"/>
            <w:lang w:val="fr-FR"/>
          </w:rPr>
          <w:t>/</w:t>
        </w:r>
        <w:r w:rsidRPr="004C2A3C">
          <w:rPr>
            <w:rFonts w:eastAsia="Times New Roman"/>
            <w:i/>
            <w:iCs/>
            <w:color w:val="000000" w:themeColor="text1"/>
            <w:lang w:val="fr-FR"/>
          </w:rPr>
          <w:t>sites</w:t>
        </w:r>
        <w:r w:rsidRPr="004C2A3C">
          <w:rPr>
            <w:rFonts w:eastAsia="Times New Roman"/>
            <w:iCs/>
            <w:color w:val="000000" w:themeColor="text1"/>
            <w:lang w:val="fr-FR"/>
          </w:rPr>
          <w:t>/</w:t>
        </w:r>
        <w:r w:rsidRPr="004C2A3C">
          <w:rPr>
            <w:rFonts w:eastAsia="Times New Roman"/>
            <w:i/>
            <w:iCs/>
            <w:color w:val="000000" w:themeColor="text1"/>
            <w:lang w:val="fr-FR"/>
          </w:rPr>
          <w:t>jrcsh</w:t>
        </w:r>
        <w:r w:rsidRPr="004C2A3C">
          <w:rPr>
            <w:rFonts w:eastAsia="Times New Roman"/>
            <w:iCs/>
            <w:color w:val="000000" w:themeColor="text1"/>
            <w:lang w:val="fr-FR"/>
          </w:rPr>
          <w:t>/</w:t>
        </w:r>
        <w:r w:rsidRPr="004C2A3C">
          <w:rPr>
            <w:rFonts w:eastAsia="Times New Roman"/>
            <w:i/>
            <w:iCs/>
            <w:color w:val="000000" w:themeColor="text1"/>
            <w:lang w:val="fr-FR"/>
          </w:rPr>
          <w:t>files</w:t>
        </w:r>
        <w:r w:rsidRPr="004C2A3C">
          <w:rPr>
            <w:rFonts w:eastAsia="Times New Roman"/>
            <w:iCs/>
            <w:color w:val="000000" w:themeColor="text1"/>
            <w:lang w:val="fr-FR"/>
          </w:rPr>
          <w:t xml:space="preserve">/ </w:t>
        </w:r>
        <w:r w:rsidRPr="004C2A3C">
          <w:rPr>
            <w:rFonts w:eastAsia="Times New Roman"/>
            <w:i/>
            <w:iCs/>
            <w:color w:val="000000" w:themeColor="text1"/>
            <w:lang w:val="fr-FR"/>
          </w:rPr>
          <w:t>esac31_lvet_20090922.pdf</w:t>
        </w:r>
      </w:hyperlink>
      <w:r w:rsidRPr="004C2A3C">
        <w:rPr>
          <w:rFonts w:eastAsia="Times New Roman"/>
          <w:i/>
          <w:iCs/>
          <w:color w:val="000000" w:themeColor="text1"/>
          <w:lang w:val="fr-FR"/>
        </w:rPr>
        <w:t>.</w:t>
      </w:r>
    </w:p>
    <w:p w14:paraId="2DCB0D8E" w14:textId="77777777" w:rsidR="003F1C55" w:rsidRPr="00B305FF" w:rsidRDefault="003F1C55" w:rsidP="003F1C55">
      <w:pPr>
        <w:tabs>
          <w:tab w:val="left" w:pos="1560"/>
          <w:tab w:val="left" w:pos="2835"/>
        </w:tabs>
        <w:spacing w:after="240"/>
        <w:ind w:left="2268" w:right="1134"/>
        <w:jc w:val="both"/>
        <w:rPr>
          <w:rFonts w:eastAsia="Times New Roman"/>
          <w:i/>
          <w:color w:val="000000" w:themeColor="text1"/>
          <w:lang w:val="en-US"/>
        </w:rPr>
      </w:pPr>
      <w:r w:rsidRPr="004C2A3C">
        <w:rPr>
          <w:rFonts w:eastAsia="Times New Roman"/>
          <w:i/>
          <w:color w:val="000000" w:themeColor="text1"/>
          <w:lang w:val="en-US"/>
        </w:rPr>
        <w:t xml:space="preserve">EURL ECAM. 2004a. Tracking System for Alternative Methods Towards Regulatory Acceptance (TSAR). Method TM2004-01. The </w:t>
      </w:r>
      <w:proofErr w:type="spellStart"/>
      <w:r w:rsidRPr="004C2A3C">
        <w:rPr>
          <w:rFonts w:eastAsia="Times New Roman"/>
          <w:i/>
          <w:color w:val="000000" w:themeColor="text1"/>
          <w:lang w:val="en-US"/>
        </w:rPr>
        <w:t>cytosensor</w:t>
      </w:r>
      <w:proofErr w:type="spellEnd"/>
      <w:r w:rsidRPr="004C2A3C">
        <w:rPr>
          <w:rFonts w:eastAsia="Times New Roman"/>
          <w:i/>
          <w:color w:val="000000" w:themeColor="text1"/>
          <w:lang w:val="en-US"/>
        </w:rPr>
        <w:t xml:space="preserve"> </w:t>
      </w:r>
      <w:proofErr w:type="spellStart"/>
      <w:r w:rsidRPr="004C2A3C">
        <w:rPr>
          <w:rFonts w:eastAsia="Times New Roman"/>
          <w:i/>
          <w:color w:val="000000" w:themeColor="text1"/>
          <w:lang w:val="en-US"/>
        </w:rPr>
        <w:t>microphysiometer</w:t>
      </w:r>
      <w:proofErr w:type="spellEnd"/>
      <w:r w:rsidRPr="004C2A3C">
        <w:rPr>
          <w:rFonts w:eastAsia="Times New Roman"/>
          <w:i/>
          <w:color w:val="000000" w:themeColor="text1"/>
          <w:lang w:val="en-US"/>
        </w:rPr>
        <w:t xml:space="preserve"> toxicity test. </w:t>
      </w:r>
      <w:r w:rsidRPr="00B305FF">
        <w:rPr>
          <w:rFonts w:eastAsia="Times New Roman"/>
          <w:i/>
          <w:color w:val="000000" w:themeColor="text1"/>
          <w:lang w:val="en-US"/>
        </w:rPr>
        <w:t xml:space="preserve">Disponible à </w:t>
      </w:r>
      <w:proofErr w:type="spellStart"/>
      <w:r w:rsidRPr="00B305FF">
        <w:rPr>
          <w:rFonts w:eastAsia="Times New Roman"/>
          <w:i/>
          <w:color w:val="000000" w:themeColor="text1"/>
          <w:lang w:val="en-US"/>
        </w:rPr>
        <w:t>l</w:t>
      </w:r>
      <w:r>
        <w:rPr>
          <w:rFonts w:eastAsia="Times New Roman"/>
          <w:i/>
          <w:color w:val="000000" w:themeColor="text1"/>
          <w:lang w:val="en-US"/>
        </w:rPr>
        <w:t>’</w:t>
      </w:r>
      <w:r w:rsidRPr="00B305FF">
        <w:rPr>
          <w:rFonts w:eastAsia="Times New Roman"/>
          <w:i/>
          <w:color w:val="000000" w:themeColor="text1"/>
          <w:lang w:val="en-US"/>
        </w:rPr>
        <w:t>adresse</w:t>
      </w:r>
      <w:proofErr w:type="spellEnd"/>
      <w:r w:rsidRPr="00B305FF">
        <w:rPr>
          <w:rFonts w:eastAsia="Times New Roman"/>
          <w:i/>
          <w:color w:val="000000" w:themeColor="text1"/>
          <w:lang w:val="en-US"/>
        </w:rPr>
        <w:t xml:space="preserve"> </w:t>
      </w:r>
      <w:proofErr w:type="spellStart"/>
      <w:proofErr w:type="gramStart"/>
      <w:r w:rsidRPr="00B305FF">
        <w:rPr>
          <w:rFonts w:eastAsia="Times New Roman"/>
          <w:i/>
          <w:color w:val="000000" w:themeColor="text1"/>
          <w:lang w:val="en-US"/>
        </w:rPr>
        <w:t>suivante</w:t>
      </w:r>
      <w:proofErr w:type="spellEnd"/>
      <w:r w:rsidRPr="00B305FF">
        <w:rPr>
          <w:rFonts w:eastAsia="Times New Roman"/>
          <w:i/>
          <w:color w:val="000000" w:themeColor="text1"/>
          <w:lang w:val="en-US"/>
        </w:rPr>
        <w:t> :</w:t>
      </w:r>
      <w:proofErr w:type="gramEnd"/>
      <w:r w:rsidRPr="00B305FF">
        <w:rPr>
          <w:rFonts w:eastAsia="Times New Roman"/>
          <w:i/>
          <w:color w:val="000000" w:themeColor="text1"/>
          <w:lang w:val="en-US"/>
        </w:rPr>
        <w:t xml:space="preserve"> </w:t>
      </w:r>
      <w:hyperlink r:id="rId33" w:history="1">
        <w:r w:rsidRPr="00B305FF">
          <w:rPr>
            <w:rFonts w:eastAsia="Times New Roman"/>
            <w:i/>
            <w:color w:val="000000" w:themeColor="text1"/>
            <w:lang w:val="en-US"/>
          </w:rPr>
          <w:t>https:</w:t>
        </w:r>
        <w:r w:rsidRPr="00B305FF">
          <w:rPr>
            <w:rFonts w:eastAsia="Times New Roman"/>
            <w:color w:val="000000" w:themeColor="text1"/>
            <w:lang w:val="en-US"/>
          </w:rPr>
          <w:t>//</w:t>
        </w:r>
        <w:r w:rsidRPr="00B305FF">
          <w:rPr>
            <w:rFonts w:eastAsia="Times New Roman"/>
            <w:i/>
            <w:color w:val="000000" w:themeColor="text1"/>
            <w:lang w:val="en-US"/>
          </w:rPr>
          <w:t>tsar.jrc.ec.europa.eu</w:t>
        </w:r>
        <w:r w:rsidRPr="00B305FF">
          <w:rPr>
            <w:rFonts w:eastAsia="Times New Roman"/>
            <w:color w:val="000000" w:themeColor="text1"/>
            <w:lang w:val="en-US"/>
          </w:rPr>
          <w:t>/</w:t>
        </w:r>
        <w:r w:rsidRPr="00B305FF">
          <w:rPr>
            <w:rFonts w:eastAsia="Times New Roman"/>
            <w:i/>
            <w:color w:val="000000" w:themeColor="text1"/>
            <w:lang w:val="en-US"/>
          </w:rPr>
          <w:t>test-method</w:t>
        </w:r>
        <w:r w:rsidRPr="00B305FF">
          <w:rPr>
            <w:rFonts w:eastAsia="Times New Roman"/>
            <w:color w:val="000000" w:themeColor="text1"/>
            <w:lang w:val="en-US"/>
          </w:rPr>
          <w:t>/</w:t>
        </w:r>
        <w:r w:rsidRPr="00B305FF">
          <w:rPr>
            <w:rFonts w:eastAsia="Times New Roman"/>
            <w:i/>
            <w:color w:val="000000" w:themeColor="text1"/>
            <w:lang w:val="en-US"/>
          </w:rPr>
          <w:t>tm2004-01</w:t>
        </w:r>
      </w:hyperlink>
      <w:r w:rsidRPr="00B305FF">
        <w:rPr>
          <w:rFonts w:eastAsia="Times New Roman"/>
          <w:i/>
          <w:color w:val="000000" w:themeColor="text1"/>
          <w:lang w:val="en-US"/>
        </w:rPr>
        <w:t>.</w:t>
      </w:r>
    </w:p>
    <w:p w14:paraId="61D3C033" w14:textId="77777777" w:rsidR="003F1C55" w:rsidRPr="00B305FF" w:rsidRDefault="003F1C55" w:rsidP="003F1C55">
      <w:pPr>
        <w:tabs>
          <w:tab w:val="left" w:pos="1560"/>
          <w:tab w:val="left" w:pos="2835"/>
        </w:tabs>
        <w:spacing w:after="240"/>
        <w:ind w:left="2268" w:right="1134"/>
        <w:jc w:val="both"/>
        <w:rPr>
          <w:rFonts w:eastAsia="Times New Roman"/>
          <w:i/>
          <w:color w:val="000000" w:themeColor="text1"/>
          <w:lang w:val="en-US"/>
        </w:rPr>
      </w:pPr>
      <w:r w:rsidRPr="004C2A3C">
        <w:rPr>
          <w:rFonts w:eastAsia="Times New Roman"/>
          <w:i/>
          <w:color w:val="000000" w:themeColor="text1"/>
          <w:lang w:val="en-US"/>
        </w:rPr>
        <w:t xml:space="preserve">EURL ECAM. 2004b. Tracking System for Alternative Methods Towards Regulatory Acceptance (TSAR). Method TM2004-03. Neutral Red Release Assay. </w:t>
      </w:r>
      <w:r w:rsidRPr="00B305FF">
        <w:rPr>
          <w:rFonts w:eastAsia="Times New Roman"/>
          <w:i/>
          <w:color w:val="000000" w:themeColor="text1"/>
          <w:lang w:val="en-US"/>
        </w:rPr>
        <w:t xml:space="preserve">Disponible à </w:t>
      </w:r>
      <w:proofErr w:type="spellStart"/>
      <w:r w:rsidRPr="00B305FF">
        <w:rPr>
          <w:rFonts w:eastAsia="Times New Roman"/>
          <w:i/>
          <w:color w:val="000000" w:themeColor="text1"/>
          <w:lang w:val="en-US"/>
        </w:rPr>
        <w:t>l</w:t>
      </w:r>
      <w:r>
        <w:rPr>
          <w:rFonts w:eastAsia="Times New Roman"/>
          <w:i/>
          <w:color w:val="000000" w:themeColor="text1"/>
          <w:lang w:val="en-US"/>
        </w:rPr>
        <w:t>’</w:t>
      </w:r>
      <w:r w:rsidRPr="00B305FF">
        <w:rPr>
          <w:rFonts w:eastAsia="Times New Roman"/>
          <w:i/>
          <w:color w:val="000000" w:themeColor="text1"/>
          <w:lang w:val="en-US"/>
        </w:rPr>
        <w:t>adresse</w:t>
      </w:r>
      <w:proofErr w:type="spellEnd"/>
      <w:r w:rsidRPr="00B305FF">
        <w:rPr>
          <w:rFonts w:eastAsia="Times New Roman"/>
          <w:i/>
          <w:color w:val="000000" w:themeColor="text1"/>
          <w:lang w:val="en-US"/>
        </w:rPr>
        <w:t xml:space="preserve"> </w:t>
      </w:r>
      <w:proofErr w:type="spellStart"/>
      <w:proofErr w:type="gramStart"/>
      <w:r w:rsidRPr="00B305FF">
        <w:rPr>
          <w:rFonts w:eastAsia="Times New Roman"/>
          <w:i/>
          <w:color w:val="000000" w:themeColor="text1"/>
          <w:lang w:val="en-US"/>
        </w:rPr>
        <w:t>suivante</w:t>
      </w:r>
      <w:proofErr w:type="spellEnd"/>
      <w:r w:rsidRPr="00B305FF">
        <w:rPr>
          <w:rFonts w:eastAsia="Times New Roman"/>
          <w:i/>
          <w:color w:val="000000" w:themeColor="text1"/>
          <w:lang w:val="en-US"/>
        </w:rPr>
        <w:t> :</w:t>
      </w:r>
      <w:proofErr w:type="gramEnd"/>
      <w:r w:rsidRPr="00B305FF">
        <w:rPr>
          <w:rFonts w:eastAsia="Times New Roman"/>
          <w:i/>
          <w:color w:val="000000" w:themeColor="text1"/>
          <w:lang w:val="en-US"/>
        </w:rPr>
        <w:t xml:space="preserve"> </w:t>
      </w:r>
      <w:hyperlink r:id="rId34" w:history="1">
        <w:r w:rsidRPr="00B305FF">
          <w:rPr>
            <w:rFonts w:eastAsia="Times New Roman"/>
            <w:i/>
            <w:color w:val="000000" w:themeColor="text1"/>
            <w:lang w:val="en-US"/>
          </w:rPr>
          <w:t>https:</w:t>
        </w:r>
        <w:r w:rsidRPr="00B305FF">
          <w:rPr>
            <w:rFonts w:eastAsia="Times New Roman"/>
            <w:color w:val="000000" w:themeColor="text1"/>
            <w:lang w:val="en-US"/>
          </w:rPr>
          <w:t>//</w:t>
        </w:r>
        <w:r w:rsidRPr="00B305FF">
          <w:rPr>
            <w:rFonts w:eastAsia="Times New Roman"/>
            <w:i/>
            <w:color w:val="000000" w:themeColor="text1"/>
            <w:lang w:val="en-US"/>
          </w:rPr>
          <w:t>tsar.jrc.ec.europa.eu</w:t>
        </w:r>
        <w:r w:rsidRPr="00B305FF">
          <w:rPr>
            <w:rFonts w:eastAsia="Times New Roman"/>
            <w:color w:val="000000" w:themeColor="text1"/>
            <w:lang w:val="en-US"/>
          </w:rPr>
          <w:t>/</w:t>
        </w:r>
        <w:r w:rsidRPr="00B305FF">
          <w:rPr>
            <w:rFonts w:eastAsia="Times New Roman"/>
            <w:i/>
            <w:color w:val="000000" w:themeColor="text1"/>
            <w:lang w:val="en-US"/>
          </w:rPr>
          <w:t>test-method</w:t>
        </w:r>
        <w:r w:rsidRPr="00B305FF">
          <w:rPr>
            <w:rFonts w:eastAsia="Times New Roman"/>
            <w:color w:val="000000" w:themeColor="text1"/>
            <w:lang w:val="en-US"/>
          </w:rPr>
          <w:t>/</w:t>
        </w:r>
        <w:r w:rsidRPr="00B305FF">
          <w:rPr>
            <w:rFonts w:eastAsia="Times New Roman"/>
            <w:i/>
            <w:color w:val="000000" w:themeColor="text1"/>
            <w:lang w:val="en-US"/>
          </w:rPr>
          <w:t>tm2004-03</w:t>
        </w:r>
      </w:hyperlink>
      <w:r w:rsidRPr="00B305FF">
        <w:rPr>
          <w:rFonts w:eastAsia="Times New Roman"/>
          <w:i/>
          <w:color w:val="000000" w:themeColor="text1"/>
          <w:lang w:val="en-US"/>
        </w:rPr>
        <w:t>.</w:t>
      </w:r>
    </w:p>
    <w:p w14:paraId="13814689" w14:textId="77777777" w:rsidR="003F1C55" w:rsidRPr="004C2A3C" w:rsidRDefault="003F1C55" w:rsidP="003F1C55">
      <w:pPr>
        <w:tabs>
          <w:tab w:val="left" w:pos="1560"/>
          <w:tab w:val="left" w:pos="2835"/>
        </w:tabs>
        <w:spacing w:after="240"/>
        <w:ind w:left="2268" w:right="1134"/>
        <w:jc w:val="both"/>
        <w:rPr>
          <w:rFonts w:eastAsia="Times New Roman"/>
          <w:i/>
          <w:color w:val="000000" w:themeColor="text1"/>
          <w:lang w:val="en-US"/>
        </w:rPr>
      </w:pPr>
      <w:proofErr w:type="spellStart"/>
      <w:r w:rsidRPr="004C2A3C">
        <w:rPr>
          <w:rFonts w:eastAsia="Times New Roman"/>
          <w:i/>
          <w:color w:val="000000" w:themeColor="text1"/>
          <w:lang w:val="en-US"/>
        </w:rPr>
        <w:t>Frentz</w:t>
      </w:r>
      <w:proofErr w:type="spellEnd"/>
      <w:r w:rsidRPr="004C2A3C">
        <w:rPr>
          <w:rFonts w:eastAsia="Times New Roman"/>
          <w:i/>
          <w:color w:val="000000" w:themeColor="text1"/>
          <w:lang w:val="en-US"/>
        </w:rPr>
        <w:t xml:space="preserve">, M., M. Goss, M. </w:t>
      </w:r>
      <w:proofErr w:type="spellStart"/>
      <w:r w:rsidRPr="004C2A3C">
        <w:rPr>
          <w:rFonts w:eastAsia="Times New Roman"/>
          <w:i/>
          <w:color w:val="000000" w:themeColor="text1"/>
          <w:lang w:val="en-US"/>
        </w:rPr>
        <w:t>Reim</w:t>
      </w:r>
      <w:proofErr w:type="spellEnd"/>
      <w:r w:rsidRPr="004C2A3C">
        <w:rPr>
          <w:rFonts w:eastAsia="Times New Roman"/>
          <w:i/>
          <w:color w:val="000000" w:themeColor="text1"/>
          <w:lang w:val="en-US"/>
        </w:rPr>
        <w:t xml:space="preserve"> et N.F. Schrage. 2008. Repeated exposure to benzalkonium chloride in the Ex vivo Eye Irritation Test (EVEIT): observation of isolated corneal damage and healing. Altern. Lab. Anim., 36(1): 25-32. </w:t>
      </w:r>
      <w:proofErr w:type="spellStart"/>
      <w:r w:rsidRPr="004C2A3C">
        <w:rPr>
          <w:rFonts w:eastAsia="Times New Roman"/>
          <w:i/>
          <w:color w:val="000000" w:themeColor="text1"/>
          <w:lang w:val="en-US"/>
        </w:rPr>
        <w:t>doi</w:t>
      </w:r>
      <w:proofErr w:type="spellEnd"/>
      <w:r w:rsidRPr="004C2A3C">
        <w:rPr>
          <w:rFonts w:eastAsia="Times New Roman"/>
          <w:i/>
          <w:color w:val="000000" w:themeColor="text1"/>
          <w:lang w:val="en-US"/>
        </w:rPr>
        <w:t>: 10.1177</w:t>
      </w:r>
      <w:r w:rsidRPr="004C2A3C">
        <w:rPr>
          <w:rFonts w:eastAsia="Times New Roman"/>
          <w:color w:val="000000" w:themeColor="text1"/>
          <w:lang w:val="en-US"/>
        </w:rPr>
        <w:t>/</w:t>
      </w:r>
      <w:r w:rsidRPr="004C2A3C">
        <w:rPr>
          <w:rFonts w:eastAsia="Times New Roman"/>
          <w:i/>
          <w:color w:val="000000" w:themeColor="text1"/>
          <w:lang w:val="en-US"/>
        </w:rPr>
        <w:t>026119290803600105.</w:t>
      </w:r>
    </w:p>
    <w:p w14:paraId="617BBFB9" w14:textId="77777777" w:rsidR="003F1C55" w:rsidRPr="004C2A3C" w:rsidRDefault="003F1C55" w:rsidP="003F1C55">
      <w:pPr>
        <w:tabs>
          <w:tab w:val="left" w:pos="1560"/>
          <w:tab w:val="left" w:pos="2835"/>
        </w:tabs>
        <w:spacing w:after="240"/>
        <w:ind w:left="2268" w:right="1134"/>
        <w:jc w:val="both"/>
        <w:rPr>
          <w:rFonts w:eastAsia="Times New Roman"/>
          <w:i/>
          <w:color w:val="000000" w:themeColor="text1"/>
          <w:lang w:val="en-US"/>
        </w:rPr>
      </w:pPr>
      <w:proofErr w:type="spellStart"/>
      <w:r w:rsidRPr="004C2A3C">
        <w:rPr>
          <w:rFonts w:eastAsia="Times New Roman"/>
          <w:i/>
          <w:color w:val="000000" w:themeColor="text1"/>
          <w:lang w:val="en-US"/>
        </w:rPr>
        <w:t>Harbell</w:t>
      </w:r>
      <w:proofErr w:type="spellEnd"/>
      <w:r w:rsidRPr="004C2A3C">
        <w:rPr>
          <w:rFonts w:eastAsia="Times New Roman"/>
          <w:i/>
          <w:color w:val="000000" w:themeColor="text1"/>
          <w:lang w:val="en-US"/>
        </w:rPr>
        <w:t xml:space="preserve">, J.W., R. Osborne, G.J. </w:t>
      </w:r>
      <w:proofErr w:type="spellStart"/>
      <w:r w:rsidRPr="004C2A3C">
        <w:rPr>
          <w:rFonts w:eastAsia="Times New Roman"/>
          <w:i/>
          <w:color w:val="000000" w:themeColor="text1"/>
          <w:lang w:val="en-US"/>
        </w:rPr>
        <w:t>Carr</w:t>
      </w:r>
      <w:proofErr w:type="spellEnd"/>
      <w:r w:rsidRPr="004C2A3C">
        <w:rPr>
          <w:rFonts w:eastAsia="Times New Roman"/>
          <w:i/>
          <w:color w:val="000000" w:themeColor="text1"/>
          <w:lang w:val="en-US"/>
        </w:rPr>
        <w:t xml:space="preserve"> et A. Peterson. 1999. Assessment of the </w:t>
      </w:r>
      <w:proofErr w:type="spellStart"/>
      <w:r w:rsidRPr="004C2A3C">
        <w:rPr>
          <w:rFonts w:eastAsia="Times New Roman"/>
          <w:i/>
          <w:color w:val="000000" w:themeColor="text1"/>
          <w:lang w:val="en-US"/>
        </w:rPr>
        <w:t>Cytosensor</w:t>
      </w:r>
      <w:proofErr w:type="spellEnd"/>
      <w:r w:rsidRPr="004C2A3C">
        <w:rPr>
          <w:rFonts w:eastAsia="Times New Roman"/>
          <w:i/>
          <w:color w:val="000000" w:themeColor="text1"/>
          <w:lang w:val="en-US"/>
        </w:rPr>
        <w:t xml:space="preserve"> </w:t>
      </w:r>
      <w:proofErr w:type="spellStart"/>
      <w:r w:rsidRPr="004C2A3C">
        <w:rPr>
          <w:rFonts w:eastAsia="Times New Roman"/>
          <w:i/>
          <w:color w:val="000000" w:themeColor="text1"/>
          <w:lang w:val="en-US"/>
        </w:rPr>
        <w:t>Microphysiometer</w:t>
      </w:r>
      <w:proofErr w:type="spellEnd"/>
      <w:r w:rsidRPr="004C2A3C">
        <w:rPr>
          <w:rFonts w:eastAsia="Times New Roman"/>
          <w:i/>
          <w:color w:val="000000" w:themeColor="text1"/>
          <w:lang w:val="en-US"/>
        </w:rPr>
        <w:t xml:space="preserve"> Assay in the COLIPA In vitro Eye Irritation Validation Study. </w:t>
      </w:r>
      <w:proofErr w:type="spellStart"/>
      <w:r w:rsidRPr="004C2A3C">
        <w:rPr>
          <w:rFonts w:eastAsia="Times New Roman"/>
          <w:i/>
          <w:color w:val="000000" w:themeColor="text1"/>
          <w:lang w:val="en-US"/>
        </w:rPr>
        <w:t>Toxicol</w:t>
      </w:r>
      <w:proofErr w:type="spellEnd"/>
      <w:r w:rsidRPr="004C2A3C">
        <w:rPr>
          <w:rFonts w:eastAsia="Times New Roman"/>
          <w:i/>
          <w:color w:val="000000" w:themeColor="text1"/>
          <w:lang w:val="en-US"/>
        </w:rPr>
        <w:t xml:space="preserve">. In vitro, 13(2): 313-323. </w:t>
      </w:r>
      <w:proofErr w:type="spellStart"/>
      <w:r w:rsidRPr="004C2A3C">
        <w:rPr>
          <w:rFonts w:eastAsia="Times New Roman"/>
          <w:i/>
          <w:color w:val="000000" w:themeColor="text1"/>
          <w:lang w:val="en-US"/>
        </w:rPr>
        <w:t>doi</w:t>
      </w:r>
      <w:proofErr w:type="spellEnd"/>
      <w:r w:rsidRPr="004C2A3C">
        <w:rPr>
          <w:rFonts w:eastAsia="Times New Roman"/>
          <w:i/>
          <w:color w:val="000000" w:themeColor="text1"/>
          <w:lang w:val="en-US"/>
        </w:rPr>
        <w:t>: 10.1016</w:t>
      </w:r>
      <w:r w:rsidRPr="004C2A3C">
        <w:rPr>
          <w:rFonts w:eastAsia="Times New Roman"/>
          <w:color w:val="000000" w:themeColor="text1"/>
          <w:lang w:val="en-US"/>
        </w:rPr>
        <w:t>/</w:t>
      </w:r>
      <w:r w:rsidRPr="004C2A3C">
        <w:rPr>
          <w:rFonts w:eastAsia="Times New Roman"/>
          <w:i/>
          <w:color w:val="000000" w:themeColor="text1"/>
          <w:lang w:val="en-US"/>
        </w:rPr>
        <w:t>s0887-2333(98)00090-3.</w:t>
      </w:r>
    </w:p>
    <w:p w14:paraId="637700C2" w14:textId="77777777" w:rsidR="003F1C55" w:rsidRPr="004C2A3C" w:rsidRDefault="003F1C55" w:rsidP="003F1C55">
      <w:pPr>
        <w:tabs>
          <w:tab w:val="left" w:pos="1560"/>
          <w:tab w:val="left" w:pos="2835"/>
        </w:tabs>
        <w:spacing w:after="240"/>
        <w:ind w:left="2268" w:right="1134"/>
        <w:jc w:val="both"/>
        <w:rPr>
          <w:rFonts w:eastAsia="Times New Roman"/>
          <w:i/>
          <w:color w:val="000000" w:themeColor="text1"/>
          <w:lang w:val="en-US"/>
        </w:rPr>
      </w:pPr>
      <w:r w:rsidRPr="004C2A3C">
        <w:rPr>
          <w:rFonts w:eastAsia="Times New Roman"/>
          <w:i/>
          <w:color w:val="000000" w:themeColor="text1"/>
          <w:lang w:val="en-US"/>
        </w:rPr>
        <w:t xml:space="preserve">Hartung, T., L. Bruner, R. </w:t>
      </w:r>
      <w:proofErr w:type="spellStart"/>
      <w:r w:rsidRPr="004C2A3C">
        <w:rPr>
          <w:rFonts w:eastAsia="Times New Roman"/>
          <w:i/>
          <w:color w:val="000000" w:themeColor="text1"/>
          <w:lang w:val="en-US"/>
        </w:rPr>
        <w:t>Curren</w:t>
      </w:r>
      <w:proofErr w:type="spellEnd"/>
      <w:r w:rsidRPr="004C2A3C">
        <w:rPr>
          <w:rFonts w:eastAsia="Times New Roman"/>
          <w:i/>
          <w:color w:val="000000" w:themeColor="text1"/>
          <w:lang w:val="en-US"/>
        </w:rPr>
        <w:t xml:space="preserve">, C. </w:t>
      </w:r>
      <w:proofErr w:type="spellStart"/>
      <w:r w:rsidRPr="004C2A3C">
        <w:rPr>
          <w:rFonts w:eastAsia="Times New Roman"/>
          <w:i/>
          <w:color w:val="000000" w:themeColor="text1"/>
          <w:lang w:val="en-US"/>
        </w:rPr>
        <w:t>Eskes</w:t>
      </w:r>
      <w:proofErr w:type="spellEnd"/>
      <w:r w:rsidRPr="004C2A3C">
        <w:rPr>
          <w:rFonts w:eastAsia="Times New Roman"/>
          <w:i/>
          <w:color w:val="000000" w:themeColor="text1"/>
          <w:lang w:val="en-US"/>
        </w:rPr>
        <w:t xml:space="preserve">, A. Goldberg, P. McNamee, L. Scott et V. </w:t>
      </w:r>
      <w:proofErr w:type="spellStart"/>
      <w:r w:rsidRPr="004C2A3C">
        <w:rPr>
          <w:rFonts w:eastAsia="Times New Roman"/>
          <w:i/>
          <w:color w:val="000000" w:themeColor="text1"/>
          <w:lang w:val="en-US"/>
        </w:rPr>
        <w:t>Zuang</w:t>
      </w:r>
      <w:proofErr w:type="spellEnd"/>
      <w:r w:rsidRPr="004C2A3C">
        <w:rPr>
          <w:rFonts w:eastAsia="Times New Roman"/>
          <w:i/>
          <w:color w:val="000000" w:themeColor="text1"/>
          <w:lang w:val="en-US"/>
        </w:rPr>
        <w:t xml:space="preserve">. 2010. First alternative method validated by a retrospective weight-of-evidence approach to replace the Draize eye test for the identification of non-irritant substances for a defined applicability domain. ALTEX, 27(1): 43-51. </w:t>
      </w:r>
      <w:proofErr w:type="spellStart"/>
      <w:r w:rsidRPr="004C2A3C">
        <w:rPr>
          <w:rFonts w:eastAsia="Times New Roman"/>
          <w:i/>
          <w:color w:val="000000" w:themeColor="text1"/>
          <w:lang w:val="en-US"/>
        </w:rPr>
        <w:t>doi</w:t>
      </w:r>
      <w:proofErr w:type="spellEnd"/>
      <w:r w:rsidRPr="004C2A3C">
        <w:rPr>
          <w:rFonts w:eastAsia="Times New Roman"/>
          <w:i/>
          <w:color w:val="000000" w:themeColor="text1"/>
          <w:lang w:val="en-US"/>
        </w:rPr>
        <w:t>: 10.14573</w:t>
      </w:r>
      <w:r w:rsidRPr="004C2A3C">
        <w:rPr>
          <w:rFonts w:eastAsia="Times New Roman"/>
          <w:color w:val="000000" w:themeColor="text1"/>
          <w:lang w:val="en-US"/>
        </w:rPr>
        <w:t>/</w:t>
      </w:r>
      <w:r w:rsidRPr="004C2A3C">
        <w:rPr>
          <w:rFonts w:eastAsia="Times New Roman"/>
          <w:i/>
          <w:color w:val="000000" w:themeColor="text1"/>
          <w:lang w:val="en-US"/>
        </w:rPr>
        <w:t>altex.2010.1.43.</w:t>
      </w:r>
    </w:p>
    <w:p w14:paraId="67650989" w14:textId="77777777" w:rsidR="003F1C55" w:rsidRPr="004C2A3C" w:rsidRDefault="003F1C55" w:rsidP="003F1C55">
      <w:pPr>
        <w:tabs>
          <w:tab w:val="left" w:pos="1560"/>
          <w:tab w:val="left" w:pos="2835"/>
        </w:tabs>
        <w:spacing w:after="240"/>
        <w:ind w:left="2268" w:right="1134"/>
        <w:jc w:val="both"/>
        <w:rPr>
          <w:rFonts w:eastAsia="Times New Roman"/>
          <w:i/>
          <w:color w:val="000000" w:themeColor="text1"/>
          <w:lang w:val="en-US"/>
        </w:rPr>
      </w:pPr>
      <w:r w:rsidRPr="004C2A3C">
        <w:rPr>
          <w:rFonts w:eastAsia="Times New Roman"/>
          <w:i/>
          <w:color w:val="000000" w:themeColor="text1"/>
          <w:lang w:val="en-US"/>
        </w:rPr>
        <w:t xml:space="preserve">ICCVAM. 2007. ICCVAM test method evaluation report: in vitro ocular toxicity test methods for identifying ocular severe irritants and corrosives. NIH Publication No. 07–4517. National Institute of Environmental Health Sciences, Research Triangle Park, Caroline du Nord, </w:t>
      </w:r>
      <w:proofErr w:type="spellStart"/>
      <w:r w:rsidRPr="004C2A3C">
        <w:rPr>
          <w:rFonts w:eastAsia="Times New Roman"/>
          <w:i/>
          <w:color w:val="000000" w:themeColor="text1"/>
          <w:lang w:val="en-US"/>
        </w:rPr>
        <w:t>États</w:t>
      </w:r>
      <w:proofErr w:type="spellEnd"/>
      <w:r w:rsidRPr="004C2A3C">
        <w:rPr>
          <w:rFonts w:eastAsia="Times New Roman"/>
          <w:i/>
          <w:color w:val="000000" w:themeColor="text1"/>
          <w:lang w:val="en-US"/>
        </w:rPr>
        <w:t xml:space="preserve">-Unis </w:t>
      </w:r>
      <w:proofErr w:type="spellStart"/>
      <w:r w:rsidRPr="004C2A3C">
        <w:rPr>
          <w:rFonts w:eastAsia="Times New Roman"/>
          <w:i/>
          <w:color w:val="000000" w:themeColor="text1"/>
          <w:lang w:val="en-US"/>
        </w:rPr>
        <w:t>d</w:t>
      </w:r>
      <w:r>
        <w:rPr>
          <w:rFonts w:eastAsia="Times New Roman"/>
          <w:i/>
          <w:color w:val="000000" w:themeColor="text1"/>
          <w:lang w:val="en-US"/>
        </w:rPr>
        <w:t>’</w:t>
      </w:r>
      <w:r w:rsidRPr="004C2A3C">
        <w:rPr>
          <w:rFonts w:eastAsia="Times New Roman"/>
          <w:i/>
          <w:color w:val="000000" w:themeColor="text1"/>
          <w:lang w:val="en-US"/>
        </w:rPr>
        <w:t>Amérique</w:t>
      </w:r>
      <w:proofErr w:type="spellEnd"/>
      <w:r w:rsidRPr="004C2A3C">
        <w:rPr>
          <w:rFonts w:eastAsia="Times New Roman"/>
          <w:i/>
          <w:color w:val="000000" w:themeColor="text1"/>
          <w:lang w:val="en-US"/>
        </w:rPr>
        <w:t>.</w:t>
      </w:r>
    </w:p>
    <w:p w14:paraId="2A2BBEAA" w14:textId="77777777" w:rsidR="003F1C55" w:rsidRPr="004C2A3C" w:rsidRDefault="003F1C55" w:rsidP="003F1C55">
      <w:pPr>
        <w:tabs>
          <w:tab w:val="left" w:pos="1560"/>
          <w:tab w:val="left" w:pos="2835"/>
        </w:tabs>
        <w:spacing w:after="240"/>
        <w:ind w:left="2268" w:right="1134"/>
        <w:jc w:val="both"/>
        <w:rPr>
          <w:rFonts w:eastAsia="Times New Roman"/>
          <w:i/>
          <w:color w:val="000000" w:themeColor="text1"/>
          <w:lang w:val="en-US"/>
        </w:rPr>
      </w:pPr>
      <w:r w:rsidRPr="004C2A3C">
        <w:rPr>
          <w:rFonts w:eastAsia="Times New Roman"/>
          <w:i/>
          <w:color w:val="000000" w:themeColor="text1"/>
          <w:lang w:val="en-US"/>
        </w:rPr>
        <w:t xml:space="preserve">ICCVAM. 2010. ICCVAM test method evaluation report: current validation status of in vitro test methods proposed for identifying eye injury hazard potential of chemicals and products. NIH Publication No. 10-7553. National Institute of Environmental Health Sciences, Research Triangle Park, Caroline du Nord, </w:t>
      </w:r>
      <w:proofErr w:type="spellStart"/>
      <w:r w:rsidRPr="004C2A3C">
        <w:rPr>
          <w:rFonts w:eastAsia="Times New Roman"/>
          <w:i/>
          <w:color w:val="000000" w:themeColor="text1"/>
          <w:lang w:val="en-US"/>
        </w:rPr>
        <w:t>États</w:t>
      </w:r>
      <w:proofErr w:type="spellEnd"/>
      <w:r w:rsidRPr="004C2A3C">
        <w:rPr>
          <w:rFonts w:eastAsia="Times New Roman"/>
          <w:i/>
          <w:color w:val="000000" w:themeColor="text1"/>
          <w:lang w:val="en-US"/>
        </w:rPr>
        <w:t xml:space="preserve">-Unis </w:t>
      </w:r>
      <w:proofErr w:type="spellStart"/>
      <w:r w:rsidRPr="004C2A3C">
        <w:rPr>
          <w:rFonts w:eastAsia="Times New Roman"/>
          <w:i/>
          <w:color w:val="000000" w:themeColor="text1"/>
          <w:lang w:val="en-US"/>
        </w:rPr>
        <w:t>d</w:t>
      </w:r>
      <w:r>
        <w:rPr>
          <w:rFonts w:eastAsia="Times New Roman"/>
          <w:i/>
          <w:color w:val="000000" w:themeColor="text1"/>
          <w:lang w:val="en-US"/>
        </w:rPr>
        <w:t>’</w:t>
      </w:r>
      <w:r w:rsidRPr="004C2A3C">
        <w:rPr>
          <w:rFonts w:eastAsia="Times New Roman"/>
          <w:i/>
          <w:color w:val="000000" w:themeColor="text1"/>
          <w:lang w:val="en-US"/>
        </w:rPr>
        <w:t>Amérique</w:t>
      </w:r>
      <w:proofErr w:type="spellEnd"/>
      <w:r w:rsidRPr="004C2A3C">
        <w:rPr>
          <w:rFonts w:eastAsia="Times New Roman"/>
          <w:i/>
          <w:color w:val="000000" w:themeColor="text1"/>
          <w:lang w:val="en-US"/>
        </w:rPr>
        <w:t>.</w:t>
      </w:r>
    </w:p>
    <w:p w14:paraId="6B3E36D4" w14:textId="77777777" w:rsidR="003F1C55" w:rsidRPr="004C2A3C" w:rsidRDefault="003F1C55" w:rsidP="003F1C55">
      <w:pPr>
        <w:tabs>
          <w:tab w:val="left" w:pos="1560"/>
          <w:tab w:val="left" w:pos="2835"/>
        </w:tabs>
        <w:spacing w:after="240"/>
        <w:ind w:left="2268" w:right="1134"/>
        <w:jc w:val="both"/>
        <w:rPr>
          <w:rFonts w:eastAsia="Times New Roman"/>
          <w:i/>
          <w:color w:val="000000" w:themeColor="text1"/>
          <w:lang w:val="en-US"/>
        </w:rPr>
      </w:pPr>
      <w:proofErr w:type="spellStart"/>
      <w:r w:rsidRPr="004C2A3C">
        <w:rPr>
          <w:rFonts w:eastAsia="Times New Roman"/>
          <w:i/>
          <w:color w:val="000000" w:themeColor="text1"/>
          <w:lang w:val="en-US"/>
        </w:rPr>
        <w:t>Kandarova</w:t>
      </w:r>
      <w:proofErr w:type="spellEnd"/>
      <w:r w:rsidRPr="004C2A3C">
        <w:rPr>
          <w:rFonts w:eastAsia="Times New Roman"/>
          <w:i/>
          <w:color w:val="000000" w:themeColor="text1"/>
          <w:lang w:val="en-US"/>
        </w:rPr>
        <w:t xml:space="preserve">, H., S. </w:t>
      </w:r>
      <w:proofErr w:type="spellStart"/>
      <w:r w:rsidRPr="004C2A3C">
        <w:rPr>
          <w:rFonts w:eastAsia="Times New Roman"/>
          <w:i/>
          <w:color w:val="000000" w:themeColor="text1"/>
          <w:lang w:val="en-US"/>
        </w:rPr>
        <w:t>Letasiova</w:t>
      </w:r>
      <w:proofErr w:type="spellEnd"/>
      <w:r w:rsidRPr="004C2A3C">
        <w:rPr>
          <w:rFonts w:eastAsia="Times New Roman"/>
          <w:i/>
          <w:color w:val="000000" w:themeColor="text1"/>
          <w:lang w:val="en-US"/>
        </w:rPr>
        <w:t xml:space="preserve">, E. </w:t>
      </w:r>
      <w:proofErr w:type="spellStart"/>
      <w:r w:rsidRPr="004C2A3C">
        <w:rPr>
          <w:rFonts w:eastAsia="Times New Roman"/>
          <w:i/>
          <w:color w:val="000000" w:themeColor="text1"/>
          <w:lang w:val="en-US"/>
        </w:rPr>
        <w:t>Adriaens</w:t>
      </w:r>
      <w:proofErr w:type="spellEnd"/>
      <w:r w:rsidRPr="004C2A3C">
        <w:rPr>
          <w:rFonts w:eastAsia="Times New Roman"/>
          <w:i/>
          <w:color w:val="000000" w:themeColor="text1"/>
          <w:lang w:val="en-US"/>
        </w:rPr>
        <w:t xml:space="preserve">, R. Guest, J.A. Willoughby Sr., A. </w:t>
      </w:r>
      <w:proofErr w:type="spellStart"/>
      <w:r w:rsidRPr="004C2A3C">
        <w:rPr>
          <w:rFonts w:eastAsia="Times New Roman"/>
          <w:i/>
          <w:color w:val="000000" w:themeColor="text1"/>
          <w:lang w:val="en-US"/>
        </w:rPr>
        <w:t>Drzewiecka</w:t>
      </w:r>
      <w:proofErr w:type="spellEnd"/>
      <w:r w:rsidRPr="004C2A3C">
        <w:rPr>
          <w:rFonts w:eastAsia="Times New Roman"/>
          <w:i/>
          <w:color w:val="000000" w:themeColor="text1"/>
          <w:lang w:val="en-US"/>
        </w:rPr>
        <w:t xml:space="preserve">, K. </w:t>
      </w:r>
      <w:proofErr w:type="spellStart"/>
      <w:r w:rsidRPr="004C2A3C">
        <w:rPr>
          <w:rFonts w:eastAsia="Times New Roman"/>
          <w:i/>
          <w:color w:val="000000" w:themeColor="text1"/>
          <w:lang w:val="en-US"/>
        </w:rPr>
        <w:t>Gruszka</w:t>
      </w:r>
      <w:proofErr w:type="spellEnd"/>
      <w:r w:rsidRPr="004C2A3C">
        <w:rPr>
          <w:rFonts w:eastAsia="Times New Roman"/>
          <w:i/>
          <w:color w:val="000000" w:themeColor="text1"/>
          <w:lang w:val="en-US"/>
        </w:rPr>
        <w:t xml:space="preserve">, N. </w:t>
      </w:r>
      <w:proofErr w:type="spellStart"/>
      <w:r w:rsidRPr="004C2A3C">
        <w:rPr>
          <w:rFonts w:eastAsia="Times New Roman"/>
          <w:i/>
          <w:color w:val="000000" w:themeColor="text1"/>
          <w:lang w:val="en-US"/>
        </w:rPr>
        <w:t>Alépée</w:t>
      </w:r>
      <w:proofErr w:type="spellEnd"/>
      <w:r w:rsidRPr="004C2A3C">
        <w:rPr>
          <w:rFonts w:eastAsia="Times New Roman"/>
          <w:i/>
          <w:color w:val="000000" w:themeColor="text1"/>
          <w:lang w:val="en-US"/>
        </w:rPr>
        <w:t xml:space="preserve">, S. </w:t>
      </w:r>
      <w:proofErr w:type="spellStart"/>
      <w:r w:rsidRPr="004C2A3C">
        <w:rPr>
          <w:rFonts w:eastAsia="Times New Roman"/>
          <w:i/>
          <w:color w:val="000000" w:themeColor="text1"/>
          <w:lang w:val="en-US"/>
        </w:rPr>
        <w:t>Verstraelen</w:t>
      </w:r>
      <w:proofErr w:type="spellEnd"/>
      <w:r w:rsidRPr="004C2A3C">
        <w:rPr>
          <w:rFonts w:eastAsia="Times New Roman"/>
          <w:i/>
          <w:color w:val="000000" w:themeColor="text1"/>
          <w:lang w:val="en-US"/>
        </w:rPr>
        <w:t xml:space="preserve"> et A.R. Van </w:t>
      </w:r>
      <w:proofErr w:type="spellStart"/>
      <w:r w:rsidRPr="004C2A3C">
        <w:rPr>
          <w:rFonts w:eastAsia="Times New Roman"/>
          <w:i/>
          <w:color w:val="000000" w:themeColor="text1"/>
          <w:lang w:val="en-US"/>
        </w:rPr>
        <w:t>Rompay</w:t>
      </w:r>
      <w:proofErr w:type="spellEnd"/>
      <w:r w:rsidRPr="004C2A3C">
        <w:rPr>
          <w:rFonts w:eastAsia="Times New Roman"/>
          <w:i/>
          <w:color w:val="000000" w:themeColor="text1"/>
          <w:lang w:val="en-US"/>
        </w:rPr>
        <w:t xml:space="preserve">. 2018. CON4EI: </w:t>
      </w:r>
      <w:proofErr w:type="spellStart"/>
      <w:r w:rsidRPr="004C2A3C">
        <w:rPr>
          <w:rFonts w:eastAsia="Times New Roman"/>
          <w:i/>
          <w:color w:val="000000" w:themeColor="text1"/>
          <w:lang w:val="en-US"/>
        </w:rPr>
        <w:t>CONsortium</w:t>
      </w:r>
      <w:proofErr w:type="spellEnd"/>
      <w:r w:rsidRPr="004C2A3C">
        <w:rPr>
          <w:rFonts w:eastAsia="Times New Roman"/>
          <w:i/>
          <w:color w:val="000000" w:themeColor="text1"/>
          <w:lang w:val="en-US"/>
        </w:rPr>
        <w:t xml:space="preserve"> for in vitro Eye Irritation testing strategy − </w:t>
      </w:r>
      <w:proofErr w:type="spellStart"/>
      <w:r w:rsidRPr="004C2A3C">
        <w:rPr>
          <w:rFonts w:eastAsia="Times New Roman"/>
          <w:i/>
          <w:color w:val="000000" w:themeColor="text1"/>
          <w:lang w:val="en-US"/>
        </w:rPr>
        <w:t>EpiOcular</w:t>
      </w:r>
      <w:proofErr w:type="spellEnd"/>
      <w:r w:rsidRPr="004C2A3C">
        <w:rPr>
          <w:rFonts w:eastAsia="Times New Roman"/>
          <w:i/>
          <w:color w:val="000000" w:themeColor="text1"/>
          <w:lang w:val="en-US"/>
        </w:rPr>
        <w:t>™ time-to-toxicity (</w:t>
      </w:r>
      <w:proofErr w:type="spellStart"/>
      <w:r w:rsidRPr="004C2A3C">
        <w:rPr>
          <w:rFonts w:eastAsia="Times New Roman"/>
          <w:i/>
          <w:color w:val="000000" w:themeColor="text1"/>
          <w:lang w:val="en-US"/>
        </w:rPr>
        <w:t>EpiOcular</w:t>
      </w:r>
      <w:proofErr w:type="spellEnd"/>
      <w:r w:rsidRPr="004C2A3C">
        <w:rPr>
          <w:rFonts w:eastAsia="Times New Roman"/>
          <w:i/>
          <w:color w:val="000000" w:themeColor="text1"/>
          <w:lang w:val="en-US"/>
        </w:rPr>
        <w:t xml:space="preserve"> ET-50) protocols for hazard identification and labelling of eye irritating chemicals. </w:t>
      </w:r>
      <w:proofErr w:type="spellStart"/>
      <w:r w:rsidRPr="004C2A3C">
        <w:rPr>
          <w:rFonts w:eastAsia="Times New Roman"/>
          <w:i/>
          <w:color w:val="000000" w:themeColor="text1"/>
          <w:lang w:val="en-US"/>
        </w:rPr>
        <w:t>Toxicol</w:t>
      </w:r>
      <w:proofErr w:type="spellEnd"/>
      <w:r w:rsidRPr="004C2A3C">
        <w:rPr>
          <w:rFonts w:eastAsia="Times New Roman"/>
          <w:i/>
          <w:color w:val="000000" w:themeColor="text1"/>
          <w:lang w:val="en-US"/>
        </w:rPr>
        <w:t xml:space="preserve">. In vitro, 49: 34-52. </w:t>
      </w:r>
      <w:proofErr w:type="spellStart"/>
      <w:r w:rsidRPr="004C2A3C">
        <w:rPr>
          <w:rFonts w:eastAsia="Times New Roman"/>
          <w:i/>
          <w:color w:val="000000" w:themeColor="text1"/>
          <w:lang w:val="en-US"/>
        </w:rPr>
        <w:t>doi</w:t>
      </w:r>
      <w:proofErr w:type="spellEnd"/>
      <w:r w:rsidRPr="004C2A3C">
        <w:rPr>
          <w:rFonts w:eastAsia="Times New Roman"/>
          <w:i/>
          <w:color w:val="000000" w:themeColor="text1"/>
          <w:lang w:val="en-US"/>
        </w:rPr>
        <w:t>: 10.1016</w:t>
      </w:r>
      <w:r w:rsidRPr="004C2A3C">
        <w:rPr>
          <w:rFonts w:eastAsia="Times New Roman"/>
          <w:color w:val="000000" w:themeColor="text1"/>
          <w:lang w:val="en-US"/>
        </w:rPr>
        <w:t>/</w:t>
      </w:r>
      <w:r w:rsidRPr="004C2A3C">
        <w:rPr>
          <w:rFonts w:eastAsia="Times New Roman"/>
          <w:i/>
          <w:color w:val="000000" w:themeColor="text1"/>
          <w:lang w:val="en-US"/>
        </w:rPr>
        <w:t>j.tiv.2017.08.019.</w:t>
      </w:r>
    </w:p>
    <w:p w14:paraId="4CCA5043" w14:textId="77777777" w:rsidR="003F1C55" w:rsidRPr="004C2A3C" w:rsidRDefault="003F1C55" w:rsidP="003F1C55">
      <w:pPr>
        <w:tabs>
          <w:tab w:val="left" w:pos="1560"/>
          <w:tab w:val="left" w:pos="2835"/>
        </w:tabs>
        <w:spacing w:after="240"/>
        <w:ind w:left="2268" w:right="1134"/>
        <w:jc w:val="both"/>
        <w:rPr>
          <w:rFonts w:eastAsia="Times New Roman"/>
          <w:i/>
          <w:color w:val="000000" w:themeColor="text1"/>
          <w:lang w:val="en-US"/>
        </w:rPr>
      </w:pPr>
      <w:r w:rsidRPr="004C2A3C">
        <w:rPr>
          <w:rFonts w:eastAsia="Times New Roman"/>
          <w:i/>
          <w:color w:val="000000" w:themeColor="text1"/>
          <w:lang w:val="en-US"/>
        </w:rPr>
        <w:t xml:space="preserve">Nash, J.R., G. Mun, H.A. Raabe et R. </w:t>
      </w:r>
      <w:proofErr w:type="spellStart"/>
      <w:r w:rsidRPr="004C2A3C">
        <w:rPr>
          <w:rFonts w:eastAsia="Times New Roman"/>
          <w:i/>
          <w:color w:val="000000" w:themeColor="text1"/>
          <w:lang w:val="en-US"/>
        </w:rPr>
        <w:t>Curren</w:t>
      </w:r>
      <w:proofErr w:type="spellEnd"/>
      <w:r w:rsidRPr="004C2A3C">
        <w:rPr>
          <w:rFonts w:eastAsia="Times New Roman"/>
          <w:i/>
          <w:color w:val="000000" w:themeColor="text1"/>
          <w:lang w:val="en-US"/>
        </w:rPr>
        <w:t xml:space="preserve">. 2014. Using the </w:t>
      </w:r>
      <w:proofErr w:type="spellStart"/>
      <w:r w:rsidRPr="004C2A3C">
        <w:rPr>
          <w:rFonts w:eastAsia="Times New Roman"/>
          <w:i/>
          <w:color w:val="000000" w:themeColor="text1"/>
          <w:lang w:val="en-US"/>
        </w:rPr>
        <w:t>cytosensor</w:t>
      </w:r>
      <w:proofErr w:type="spellEnd"/>
      <w:r w:rsidRPr="004C2A3C">
        <w:rPr>
          <w:rFonts w:eastAsia="Times New Roman"/>
          <w:i/>
          <w:color w:val="000000" w:themeColor="text1"/>
          <w:lang w:val="en-US"/>
        </w:rPr>
        <w:t xml:space="preserve"> </w:t>
      </w:r>
      <w:proofErr w:type="spellStart"/>
      <w:r w:rsidRPr="004C2A3C">
        <w:rPr>
          <w:rFonts w:eastAsia="Times New Roman"/>
          <w:i/>
          <w:color w:val="000000" w:themeColor="text1"/>
          <w:lang w:val="en-US"/>
        </w:rPr>
        <w:t>microphysiometer</w:t>
      </w:r>
      <w:proofErr w:type="spellEnd"/>
      <w:r w:rsidRPr="004C2A3C">
        <w:rPr>
          <w:rFonts w:eastAsia="Times New Roman"/>
          <w:i/>
          <w:color w:val="000000" w:themeColor="text1"/>
          <w:lang w:val="en-US"/>
        </w:rPr>
        <w:t xml:space="preserve"> to assess ocular toxicity. </w:t>
      </w:r>
      <w:proofErr w:type="spellStart"/>
      <w:r w:rsidRPr="004C2A3C">
        <w:rPr>
          <w:rFonts w:eastAsia="Times New Roman"/>
          <w:i/>
          <w:color w:val="000000" w:themeColor="text1"/>
          <w:lang w:val="en-US"/>
        </w:rPr>
        <w:t>Curr</w:t>
      </w:r>
      <w:proofErr w:type="spellEnd"/>
      <w:r w:rsidRPr="004C2A3C">
        <w:rPr>
          <w:rFonts w:eastAsia="Times New Roman"/>
          <w:i/>
          <w:color w:val="000000" w:themeColor="text1"/>
          <w:lang w:val="en-US"/>
        </w:rPr>
        <w:t xml:space="preserve">. </w:t>
      </w:r>
      <w:proofErr w:type="spellStart"/>
      <w:r w:rsidRPr="004C2A3C">
        <w:rPr>
          <w:rFonts w:eastAsia="Times New Roman"/>
          <w:i/>
          <w:color w:val="000000" w:themeColor="text1"/>
          <w:lang w:val="en-US"/>
        </w:rPr>
        <w:t>Protoc</w:t>
      </w:r>
      <w:proofErr w:type="spellEnd"/>
      <w:r w:rsidRPr="004C2A3C">
        <w:rPr>
          <w:rFonts w:eastAsia="Times New Roman"/>
          <w:i/>
          <w:color w:val="000000" w:themeColor="text1"/>
          <w:lang w:val="en-US"/>
        </w:rPr>
        <w:t xml:space="preserve">. </w:t>
      </w:r>
      <w:proofErr w:type="spellStart"/>
      <w:r w:rsidRPr="004C2A3C">
        <w:rPr>
          <w:rFonts w:eastAsia="Times New Roman"/>
          <w:i/>
          <w:color w:val="000000" w:themeColor="text1"/>
          <w:lang w:val="en-US"/>
        </w:rPr>
        <w:t>Toxicol</w:t>
      </w:r>
      <w:proofErr w:type="spellEnd"/>
      <w:r w:rsidRPr="004C2A3C">
        <w:rPr>
          <w:rFonts w:eastAsia="Times New Roman"/>
          <w:i/>
          <w:color w:val="000000" w:themeColor="text1"/>
          <w:lang w:val="en-US"/>
        </w:rPr>
        <w:t xml:space="preserve">. 61: 1.13.1-11. </w:t>
      </w:r>
      <w:proofErr w:type="spellStart"/>
      <w:r w:rsidRPr="004C2A3C">
        <w:rPr>
          <w:rFonts w:eastAsia="Times New Roman"/>
          <w:i/>
          <w:color w:val="000000" w:themeColor="text1"/>
          <w:lang w:val="en-US"/>
        </w:rPr>
        <w:t>doi</w:t>
      </w:r>
      <w:proofErr w:type="spellEnd"/>
      <w:r w:rsidRPr="004C2A3C">
        <w:rPr>
          <w:rFonts w:eastAsia="Times New Roman"/>
          <w:i/>
          <w:color w:val="000000" w:themeColor="text1"/>
          <w:lang w:val="en-US"/>
        </w:rPr>
        <w:t>: 10.1002</w:t>
      </w:r>
      <w:r w:rsidRPr="004C2A3C">
        <w:rPr>
          <w:rFonts w:eastAsia="Times New Roman"/>
          <w:color w:val="000000" w:themeColor="text1"/>
          <w:lang w:val="en-US"/>
        </w:rPr>
        <w:t xml:space="preserve">/ </w:t>
      </w:r>
      <w:r w:rsidRPr="004C2A3C">
        <w:rPr>
          <w:rFonts w:eastAsia="Times New Roman"/>
          <w:i/>
          <w:color w:val="000000" w:themeColor="text1"/>
          <w:lang w:val="en-US"/>
        </w:rPr>
        <w:t>0471140856.tx0113s61.</w:t>
      </w:r>
    </w:p>
    <w:p w14:paraId="0875EDE3" w14:textId="77777777" w:rsidR="003F1C55" w:rsidRPr="004C2A3C" w:rsidRDefault="003F1C55" w:rsidP="003F1C55">
      <w:pPr>
        <w:tabs>
          <w:tab w:val="left" w:pos="1560"/>
          <w:tab w:val="left" w:pos="2835"/>
        </w:tabs>
        <w:spacing w:after="240"/>
        <w:ind w:left="2268" w:right="1134"/>
        <w:jc w:val="both"/>
        <w:rPr>
          <w:rFonts w:eastAsia="Times New Roman"/>
          <w:i/>
          <w:color w:val="000000" w:themeColor="text1"/>
          <w:lang w:val="en-US"/>
        </w:rPr>
      </w:pPr>
      <w:proofErr w:type="spellStart"/>
      <w:r w:rsidRPr="004C2A3C">
        <w:rPr>
          <w:rFonts w:eastAsia="Times New Roman"/>
          <w:i/>
          <w:color w:val="000000" w:themeColor="text1"/>
          <w:lang w:val="en-US"/>
        </w:rPr>
        <w:t>Piehl</w:t>
      </w:r>
      <w:proofErr w:type="spellEnd"/>
      <w:r w:rsidRPr="004C2A3C">
        <w:rPr>
          <w:rFonts w:eastAsia="Times New Roman"/>
          <w:i/>
          <w:color w:val="000000" w:themeColor="text1"/>
          <w:lang w:val="en-US"/>
        </w:rPr>
        <w:t xml:space="preserve">, M., A. </w:t>
      </w:r>
      <w:proofErr w:type="spellStart"/>
      <w:r w:rsidRPr="004C2A3C">
        <w:rPr>
          <w:rFonts w:eastAsia="Times New Roman"/>
          <w:i/>
          <w:color w:val="000000" w:themeColor="text1"/>
          <w:lang w:val="en-US"/>
        </w:rPr>
        <w:t>Gilotti</w:t>
      </w:r>
      <w:proofErr w:type="spellEnd"/>
      <w:r w:rsidRPr="004C2A3C">
        <w:rPr>
          <w:rFonts w:eastAsia="Times New Roman"/>
          <w:i/>
          <w:color w:val="000000" w:themeColor="text1"/>
          <w:lang w:val="en-US"/>
        </w:rPr>
        <w:t xml:space="preserve">, A. Donovan, G. </w:t>
      </w:r>
      <w:proofErr w:type="spellStart"/>
      <w:r w:rsidRPr="004C2A3C">
        <w:rPr>
          <w:rFonts w:eastAsia="Times New Roman"/>
          <w:i/>
          <w:color w:val="000000" w:themeColor="text1"/>
          <w:lang w:val="en-US"/>
        </w:rPr>
        <w:t>DeGeorge</w:t>
      </w:r>
      <w:proofErr w:type="spellEnd"/>
      <w:r w:rsidRPr="004C2A3C">
        <w:rPr>
          <w:rFonts w:eastAsia="Times New Roman"/>
          <w:i/>
          <w:color w:val="000000" w:themeColor="text1"/>
          <w:lang w:val="en-US"/>
        </w:rPr>
        <w:t xml:space="preserve"> et D. </w:t>
      </w:r>
      <w:proofErr w:type="spellStart"/>
      <w:r w:rsidRPr="004C2A3C">
        <w:rPr>
          <w:rFonts w:eastAsia="Times New Roman"/>
          <w:i/>
          <w:color w:val="000000" w:themeColor="text1"/>
          <w:lang w:val="en-US"/>
        </w:rPr>
        <w:t>Cerven</w:t>
      </w:r>
      <w:proofErr w:type="spellEnd"/>
      <w:r w:rsidRPr="004C2A3C">
        <w:rPr>
          <w:rFonts w:eastAsia="Times New Roman"/>
          <w:i/>
          <w:color w:val="000000" w:themeColor="text1"/>
          <w:lang w:val="en-US"/>
        </w:rPr>
        <w:t xml:space="preserve">. 2010. Novel cultured porcine corneal irritancy assay with reversibility endpoint. </w:t>
      </w:r>
      <w:proofErr w:type="spellStart"/>
      <w:r w:rsidRPr="004C2A3C">
        <w:rPr>
          <w:rFonts w:eastAsia="Times New Roman"/>
          <w:i/>
          <w:color w:val="000000" w:themeColor="text1"/>
          <w:lang w:val="en-US"/>
        </w:rPr>
        <w:t>Toxicol</w:t>
      </w:r>
      <w:proofErr w:type="spellEnd"/>
      <w:r w:rsidRPr="004C2A3C">
        <w:rPr>
          <w:rFonts w:eastAsia="Times New Roman"/>
          <w:i/>
          <w:color w:val="000000" w:themeColor="text1"/>
          <w:lang w:val="en-US"/>
        </w:rPr>
        <w:t xml:space="preserve">. In vitro 24: 231-239. </w:t>
      </w:r>
      <w:proofErr w:type="gramStart"/>
      <w:r w:rsidRPr="004C2A3C">
        <w:rPr>
          <w:rFonts w:eastAsia="Times New Roman"/>
          <w:i/>
          <w:color w:val="000000" w:themeColor="text1"/>
          <w:lang w:val="en-US"/>
        </w:rPr>
        <w:t>doi:10.1016</w:t>
      </w:r>
      <w:r w:rsidRPr="004C2A3C">
        <w:rPr>
          <w:rFonts w:eastAsia="Times New Roman"/>
          <w:color w:val="000000" w:themeColor="text1"/>
          <w:lang w:val="en-US"/>
        </w:rPr>
        <w:t>/</w:t>
      </w:r>
      <w:r w:rsidRPr="004C2A3C">
        <w:rPr>
          <w:rFonts w:eastAsia="Times New Roman"/>
          <w:i/>
          <w:color w:val="000000" w:themeColor="text1"/>
          <w:lang w:val="en-US"/>
        </w:rPr>
        <w:t>j.tiv</w:t>
      </w:r>
      <w:proofErr w:type="gramEnd"/>
      <w:r w:rsidRPr="004C2A3C">
        <w:rPr>
          <w:rFonts w:eastAsia="Times New Roman"/>
          <w:i/>
          <w:color w:val="000000" w:themeColor="text1"/>
          <w:lang w:val="en-US"/>
        </w:rPr>
        <w:t>.2009.08.033.</w:t>
      </w:r>
    </w:p>
    <w:p w14:paraId="2F33E53F" w14:textId="77777777" w:rsidR="003F1C55" w:rsidRPr="004C2A3C" w:rsidRDefault="003F1C55" w:rsidP="003F1C55">
      <w:pPr>
        <w:tabs>
          <w:tab w:val="left" w:pos="1560"/>
          <w:tab w:val="left" w:pos="2835"/>
        </w:tabs>
        <w:spacing w:after="240"/>
        <w:ind w:left="2268" w:right="1134"/>
        <w:jc w:val="both"/>
        <w:rPr>
          <w:rFonts w:eastAsia="Times New Roman"/>
          <w:i/>
          <w:color w:val="000000" w:themeColor="text1"/>
          <w:lang w:val="en-US"/>
        </w:rPr>
      </w:pPr>
      <w:proofErr w:type="spellStart"/>
      <w:r w:rsidRPr="004C2A3C">
        <w:rPr>
          <w:rFonts w:eastAsia="Times New Roman"/>
          <w:i/>
          <w:color w:val="000000" w:themeColor="text1"/>
          <w:lang w:val="en-US"/>
        </w:rPr>
        <w:t>Piehl</w:t>
      </w:r>
      <w:proofErr w:type="spellEnd"/>
      <w:r w:rsidRPr="004C2A3C">
        <w:rPr>
          <w:rFonts w:eastAsia="Times New Roman"/>
          <w:i/>
          <w:color w:val="000000" w:themeColor="text1"/>
          <w:lang w:val="en-US"/>
        </w:rPr>
        <w:t xml:space="preserve">, M., M. </w:t>
      </w:r>
      <w:proofErr w:type="spellStart"/>
      <w:r w:rsidRPr="004C2A3C">
        <w:rPr>
          <w:rFonts w:eastAsia="Times New Roman"/>
          <w:i/>
          <w:color w:val="000000" w:themeColor="text1"/>
          <w:lang w:val="en-US"/>
        </w:rPr>
        <w:t>Carathers</w:t>
      </w:r>
      <w:proofErr w:type="spellEnd"/>
      <w:r w:rsidRPr="004C2A3C">
        <w:rPr>
          <w:rFonts w:eastAsia="Times New Roman"/>
          <w:i/>
          <w:color w:val="000000" w:themeColor="text1"/>
          <w:lang w:val="en-US"/>
        </w:rPr>
        <w:t xml:space="preserve">, R. Soda, D. </w:t>
      </w:r>
      <w:proofErr w:type="spellStart"/>
      <w:r w:rsidRPr="004C2A3C">
        <w:rPr>
          <w:rFonts w:eastAsia="Times New Roman"/>
          <w:i/>
          <w:color w:val="000000" w:themeColor="text1"/>
          <w:lang w:val="en-US"/>
        </w:rPr>
        <w:t>Cerven</w:t>
      </w:r>
      <w:proofErr w:type="spellEnd"/>
      <w:r w:rsidRPr="004C2A3C">
        <w:rPr>
          <w:rFonts w:eastAsia="Times New Roman"/>
          <w:i/>
          <w:color w:val="000000" w:themeColor="text1"/>
          <w:lang w:val="en-US"/>
        </w:rPr>
        <w:t xml:space="preserve"> et G. </w:t>
      </w:r>
      <w:proofErr w:type="spellStart"/>
      <w:r w:rsidRPr="004C2A3C">
        <w:rPr>
          <w:rFonts w:eastAsia="Times New Roman"/>
          <w:i/>
          <w:color w:val="000000" w:themeColor="text1"/>
          <w:lang w:val="en-US"/>
        </w:rPr>
        <w:t>DeGeorge</w:t>
      </w:r>
      <w:proofErr w:type="spellEnd"/>
      <w:r w:rsidRPr="004C2A3C">
        <w:rPr>
          <w:rFonts w:eastAsia="Times New Roman"/>
          <w:i/>
          <w:color w:val="000000" w:themeColor="text1"/>
          <w:lang w:val="en-US"/>
        </w:rPr>
        <w:t>. 2011. Porcine corneal ocular reversibility assay (</w:t>
      </w:r>
      <w:proofErr w:type="spellStart"/>
      <w:r w:rsidRPr="004C2A3C">
        <w:rPr>
          <w:rFonts w:eastAsia="Times New Roman"/>
          <w:i/>
          <w:color w:val="000000" w:themeColor="text1"/>
          <w:lang w:val="en-US"/>
        </w:rPr>
        <w:t>PorCORA</w:t>
      </w:r>
      <w:proofErr w:type="spellEnd"/>
      <w:r w:rsidRPr="004C2A3C">
        <w:rPr>
          <w:rFonts w:eastAsia="Times New Roman"/>
          <w:i/>
          <w:color w:val="000000" w:themeColor="text1"/>
          <w:lang w:val="en-US"/>
        </w:rPr>
        <w:t xml:space="preserve">) predicts ocular damage and recovery for global regulatory agency hazard categories. </w:t>
      </w:r>
      <w:proofErr w:type="spellStart"/>
      <w:r w:rsidRPr="004C2A3C">
        <w:rPr>
          <w:rFonts w:eastAsia="Times New Roman"/>
          <w:i/>
          <w:color w:val="000000" w:themeColor="text1"/>
          <w:lang w:val="en-US"/>
        </w:rPr>
        <w:t>Toxicol</w:t>
      </w:r>
      <w:proofErr w:type="spellEnd"/>
      <w:r w:rsidRPr="004C2A3C">
        <w:rPr>
          <w:rFonts w:eastAsia="Times New Roman"/>
          <w:i/>
          <w:color w:val="000000" w:themeColor="text1"/>
          <w:lang w:val="en-US"/>
        </w:rPr>
        <w:t xml:space="preserve">. In vitro, 25: 1912-1918. </w:t>
      </w:r>
      <w:proofErr w:type="gramStart"/>
      <w:r w:rsidRPr="004C2A3C">
        <w:rPr>
          <w:rFonts w:eastAsia="Times New Roman"/>
          <w:i/>
          <w:color w:val="000000" w:themeColor="text1"/>
          <w:lang w:val="en-US"/>
        </w:rPr>
        <w:t>doi:10.1016</w:t>
      </w:r>
      <w:r w:rsidRPr="004C2A3C">
        <w:rPr>
          <w:rFonts w:eastAsia="Times New Roman"/>
          <w:color w:val="000000" w:themeColor="text1"/>
          <w:lang w:val="en-US"/>
        </w:rPr>
        <w:t>/</w:t>
      </w:r>
      <w:r w:rsidRPr="004C2A3C">
        <w:rPr>
          <w:rFonts w:eastAsia="Times New Roman"/>
          <w:i/>
          <w:color w:val="000000" w:themeColor="text1"/>
          <w:lang w:val="en-US"/>
        </w:rPr>
        <w:t>j.tiv</w:t>
      </w:r>
      <w:proofErr w:type="gramEnd"/>
      <w:r w:rsidRPr="004C2A3C">
        <w:rPr>
          <w:rFonts w:eastAsia="Times New Roman"/>
          <w:i/>
          <w:color w:val="000000" w:themeColor="text1"/>
          <w:lang w:val="en-US"/>
        </w:rPr>
        <w:t>.2011.06.008.</w:t>
      </w:r>
    </w:p>
    <w:p w14:paraId="74EE7C2C" w14:textId="77777777" w:rsidR="003F1C55" w:rsidRPr="004C2A3C" w:rsidRDefault="003F1C55" w:rsidP="003F1C55">
      <w:pPr>
        <w:tabs>
          <w:tab w:val="left" w:pos="1560"/>
          <w:tab w:val="left" w:pos="2835"/>
        </w:tabs>
        <w:spacing w:after="240"/>
        <w:ind w:left="2268" w:right="1134"/>
        <w:jc w:val="both"/>
        <w:rPr>
          <w:rFonts w:eastAsia="Times New Roman"/>
          <w:i/>
          <w:color w:val="000000" w:themeColor="text1"/>
          <w:lang w:val="en-US"/>
        </w:rPr>
      </w:pPr>
      <w:r w:rsidRPr="004C2A3C">
        <w:rPr>
          <w:rFonts w:eastAsia="Times New Roman"/>
          <w:i/>
          <w:color w:val="000000" w:themeColor="text1"/>
          <w:lang w:val="en-US"/>
        </w:rPr>
        <w:t>Reader, S.J., V. Blackwell, R. O</w:t>
      </w:r>
      <w:r>
        <w:rPr>
          <w:rFonts w:eastAsia="Times New Roman"/>
          <w:i/>
          <w:color w:val="000000" w:themeColor="text1"/>
          <w:lang w:val="en-US"/>
        </w:rPr>
        <w:t>’</w:t>
      </w:r>
      <w:r w:rsidRPr="004C2A3C">
        <w:rPr>
          <w:rFonts w:eastAsia="Times New Roman"/>
          <w:i/>
          <w:color w:val="000000" w:themeColor="text1"/>
          <w:lang w:val="en-US"/>
        </w:rPr>
        <w:t xml:space="preserve">Hara, R.H. Clothier, G. Griffin et M. Balls. 1989. A vital dye release method for assessing the short-term cytotoxic effects of chemicals and formulations. Altern. Lab. Anim., 17: 28-33. </w:t>
      </w:r>
      <w:proofErr w:type="spellStart"/>
      <w:r w:rsidRPr="004C2A3C">
        <w:rPr>
          <w:rFonts w:eastAsia="Times New Roman"/>
          <w:i/>
          <w:color w:val="000000" w:themeColor="text1"/>
          <w:lang w:val="en-US"/>
        </w:rPr>
        <w:t>doi</w:t>
      </w:r>
      <w:proofErr w:type="spellEnd"/>
      <w:r w:rsidRPr="004C2A3C">
        <w:rPr>
          <w:rFonts w:eastAsia="Times New Roman"/>
          <w:i/>
          <w:color w:val="000000" w:themeColor="text1"/>
          <w:lang w:val="en-US"/>
        </w:rPr>
        <w:t>: 10.1177</w:t>
      </w:r>
      <w:r w:rsidRPr="004C2A3C">
        <w:rPr>
          <w:rFonts w:eastAsia="Times New Roman"/>
          <w:color w:val="000000" w:themeColor="text1"/>
          <w:lang w:val="en-US"/>
        </w:rPr>
        <w:t>/</w:t>
      </w:r>
      <w:r w:rsidRPr="004C2A3C">
        <w:rPr>
          <w:rFonts w:eastAsia="Times New Roman"/>
          <w:i/>
          <w:color w:val="000000" w:themeColor="text1"/>
          <w:lang w:val="en-US"/>
        </w:rPr>
        <w:t>026119298901700106.</w:t>
      </w:r>
    </w:p>
    <w:p w14:paraId="7C1E9F76" w14:textId="77777777" w:rsidR="003F1C55" w:rsidRPr="004C2A3C" w:rsidRDefault="003F1C55" w:rsidP="003F1C55">
      <w:pPr>
        <w:tabs>
          <w:tab w:val="left" w:pos="1560"/>
          <w:tab w:val="left" w:pos="2835"/>
        </w:tabs>
        <w:spacing w:after="240"/>
        <w:ind w:left="2268" w:right="1134"/>
        <w:jc w:val="both"/>
        <w:rPr>
          <w:rFonts w:eastAsia="Times New Roman"/>
          <w:i/>
          <w:color w:val="000000" w:themeColor="text1"/>
          <w:lang w:val="en-US"/>
        </w:rPr>
      </w:pPr>
      <w:r w:rsidRPr="004C2A3C">
        <w:rPr>
          <w:rFonts w:eastAsia="Times New Roman"/>
          <w:i/>
          <w:color w:val="000000" w:themeColor="text1"/>
          <w:lang w:val="en-US"/>
        </w:rPr>
        <w:t>Reader, S.J., V. Blackwell, R. O</w:t>
      </w:r>
      <w:r>
        <w:rPr>
          <w:rFonts w:eastAsia="Times New Roman"/>
          <w:i/>
          <w:color w:val="000000" w:themeColor="text1"/>
          <w:lang w:val="en-US"/>
        </w:rPr>
        <w:t>’</w:t>
      </w:r>
      <w:r w:rsidRPr="004C2A3C">
        <w:rPr>
          <w:rFonts w:eastAsia="Times New Roman"/>
          <w:i/>
          <w:color w:val="000000" w:themeColor="text1"/>
          <w:lang w:val="en-US"/>
        </w:rPr>
        <w:t xml:space="preserve">Hara, R.H. Clothier, G. Griffin et M. Balls. 1990. Neutral red release from pre-loaded cells as an in vitro approach to testing for eye irritancy potential. </w:t>
      </w:r>
      <w:proofErr w:type="spellStart"/>
      <w:r w:rsidRPr="004C2A3C">
        <w:rPr>
          <w:rFonts w:eastAsia="Times New Roman"/>
          <w:i/>
          <w:color w:val="000000" w:themeColor="text1"/>
          <w:lang w:val="en-US"/>
        </w:rPr>
        <w:t>Toxicol</w:t>
      </w:r>
      <w:proofErr w:type="spellEnd"/>
      <w:r w:rsidRPr="004C2A3C">
        <w:rPr>
          <w:rFonts w:eastAsia="Times New Roman"/>
          <w:i/>
          <w:color w:val="000000" w:themeColor="text1"/>
          <w:lang w:val="en-US"/>
        </w:rPr>
        <w:t xml:space="preserve">. In vitro, 4(4-5): 264-266. </w:t>
      </w:r>
      <w:proofErr w:type="spellStart"/>
      <w:r w:rsidRPr="004C2A3C">
        <w:rPr>
          <w:rFonts w:eastAsia="Times New Roman"/>
          <w:i/>
          <w:color w:val="000000" w:themeColor="text1"/>
          <w:lang w:val="en-US"/>
        </w:rPr>
        <w:t>doi</w:t>
      </w:r>
      <w:proofErr w:type="spellEnd"/>
      <w:r w:rsidRPr="004C2A3C">
        <w:rPr>
          <w:rFonts w:eastAsia="Times New Roman"/>
          <w:i/>
          <w:color w:val="000000" w:themeColor="text1"/>
          <w:lang w:val="en-US"/>
        </w:rPr>
        <w:t>: 10.1016</w:t>
      </w:r>
      <w:r w:rsidRPr="004C2A3C">
        <w:rPr>
          <w:rFonts w:eastAsia="Times New Roman"/>
          <w:color w:val="000000" w:themeColor="text1"/>
          <w:lang w:val="en-US"/>
        </w:rPr>
        <w:t>/</w:t>
      </w:r>
      <w:r w:rsidRPr="004C2A3C">
        <w:rPr>
          <w:rFonts w:eastAsia="Times New Roman"/>
          <w:i/>
          <w:color w:val="000000" w:themeColor="text1"/>
          <w:lang w:val="en-US"/>
        </w:rPr>
        <w:t>0887-2333(90)90060-7.</w:t>
      </w:r>
    </w:p>
    <w:p w14:paraId="3DD87F42" w14:textId="77777777" w:rsidR="003F1C55" w:rsidRPr="004C2A3C" w:rsidRDefault="003F1C55" w:rsidP="003F1C55">
      <w:pPr>
        <w:tabs>
          <w:tab w:val="left" w:pos="1560"/>
          <w:tab w:val="left" w:pos="2835"/>
        </w:tabs>
        <w:spacing w:after="240"/>
        <w:ind w:left="2268" w:right="1134"/>
        <w:jc w:val="both"/>
        <w:rPr>
          <w:rFonts w:eastAsia="Times New Roman"/>
          <w:i/>
          <w:color w:val="000000" w:themeColor="text1"/>
          <w:lang w:val="en-US"/>
        </w:rPr>
      </w:pPr>
      <w:proofErr w:type="spellStart"/>
      <w:r w:rsidRPr="004C2A3C">
        <w:rPr>
          <w:rFonts w:eastAsia="Times New Roman"/>
          <w:i/>
          <w:color w:val="000000" w:themeColor="text1"/>
          <w:lang w:val="en-US"/>
        </w:rPr>
        <w:t>Settivari</w:t>
      </w:r>
      <w:proofErr w:type="spellEnd"/>
      <w:r w:rsidRPr="004C2A3C">
        <w:rPr>
          <w:rFonts w:eastAsia="Times New Roman"/>
          <w:i/>
          <w:color w:val="000000" w:themeColor="text1"/>
          <w:lang w:val="en-US"/>
        </w:rPr>
        <w:t xml:space="preserve">, R.S., R.A. Amado, M. </w:t>
      </w:r>
      <w:proofErr w:type="spellStart"/>
      <w:r w:rsidRPr="004C2A3C">
        <w:rPr>
          <w:rFonts w:eastAsia="Times New Roman"/>
          <w:i/>
          <w:color w:val="000000" w:themeColor="text1"/>
          <w:lang w:val="en-US"/>
        </w:rPr>
        <w:t>Corvaro</w:t>
      </w:r>
      <w:proofErr w:type="spellEnd"/>
      <w:r w:rsidRPr="004C2A3C">
        <w:rPr>
          <w:rFonts w:eastAsia="Times New Roman"/>
          <w:i/>
          <w:color w:val="000000" w:themeColor="text1"/>
          <w:lang w:val="en-US"/>
        </w:rPr>
        <w:t xml:space="preserve">, N.R. Visconti, L. Kan, E.W. Carney, D.R. </w:t>
      </w:r>
      <w:proofErr w:type="spellStart"/>
      <w:r w:rsidRPr="004C2A3C">
        <w:rPr>
          <w:rFonts w:eastAsia="Times New Roman"/>
          <w:i/>
          <w:color w:val="000000" w:themeColor="text1"/>
          <w:lang w:val="en-US"/>
        </w:rPr>
        <w:t>Boverhof</w:t>
      </w:r>
      <w:proofErr w:type="spellEnd"/>
      <w:r w:rsidRPr="004C2A3C">
        <w:rPr>
          <w:rFonts w:eastAsia="Times New Roman"/>
          <w:i/>
          <w:color w:val="000000" w:themeColor="text1"/>
          <w:lang w:val="en-US"/>
        </w:rPr>
        <w:t xml:space="preserve"> et S.C. </w:t>
      </w:r>
      <w:proofErr w:type="spellStart"/>
      <w:r w:rsidRPr="004C2A3C">
        <w:rPr>
          <w:rFonts w:eastAsia="Times New Roman"/>
          <w:i/>
          <w:color w:val="000000" w:themeColor="text1"/>
          <w:lang w:val="en-US"/>
        </w:rPr>
        <w:t>Gehen</w:t>
      </w:r>
      <w:proofErr w:type="spellEnd"/>
      <w:r w:rsidRPr="004C2A3C">
        <w:rPr>
          <w:rFonts w:eastAsia="Times New Roman"/>
          <w:i/>
          <w:color w:val="000000" w:themeColor="text1"/>
          <w:lang w:val="en-US"/>
        </w:rPr>
        <w:t xml:space="preserve">. 2016. Tiered application of the neutral red release and </w:t>
      </w:r>
      <w:proofErr w:type="spellStart"/>
      <w:r w:rsidRPr="004C2A3C">
        <w:rPr>
          <w:rFonts w:eastAsia="Times New Roman"/>
          <w:i/>
          <w:color w:val="000000" w:themeColor="text1"/>
          <w:lang w:val="en-US"/>
        </w:rPr>
        <w:t>EpiOcular</w:t>
      </w:r>
      <w:proofErr w:type="spellEnd"/>
      <w:r w:rsidRPr="004C2A3C">
        <w:rPr>
          <w:rFonts w:eastAsia="Times New Roman"/>
          <w:i/>
          <w:color w:val="000000" w:themeColor="text1"/>
          <w:lang w:val="en-US"/>
        </w:rPr>
        <w:t xml:space="preserve">™ assays for evaluating the eye irritation potential of agrochemical formulations. </w:t>
      </w:r>
      <w:proofErr w:type="spellStart"/>
      <w:r w:rsidRPr="004C2A3C">
        <w:rPr>
          <w:rFonts w:eastAsia="Times New Roman"/>
          <w:i/>
          <w:color w:val="000000" w:themeColor="text1"/>
          <w:lang w:val="en-US"/>
        </w:rPr>
        <w:t>Regul</w:t>
      </w:r>
      <w:proofErr w:type="spellEnd"/>
      <w:r w:rsidRPr="004C2A3C">
        <w:rPr>
          <w:rFonts w:eastAsia="Times New Roman"/>
          <w:i/>
          <w:color w:val="000000" w:themeColor="text1"/>
          <w:lang w:val="en-US"/>
        </w:rPr>
        <w:t xml:space="preserve">. </w:t>
      </w:r>
      <w:proofErr w:type="spellStart"/>
      <w:r w:rsidRPr="004C2A3C">
        <w:rPr>
          <w:rFonts w:eastAsia="Times New Roman"/>
          <w:i/>
          <w:color w:val="000000" w:themeColor="text1"/>
          <w:lang w:val="en-US"/>
        </w:rPr>
        <w:t>Toxicol</w:t>
      </w:r>
      <w:proofErr w:type="spellEnd"/>
      <w:r w:rsidRPr="004C2A3C">
        <w:rPr>
          <w:rFonts w:eastAsia="Times New Roman"/>
          <w:i/>
          <w:color w:val="000000" w:themeColor="text1"/>
          <w:lang w:val="en-US"/>
        </w:rPr>
        <w:t xml:space="preserve">. </w:t>
      </w:r>
      <w:proofErr w:type="spellStart"/>
      <w:r w:rsidRPr="004C2A3C">
        <w:rPr>
          <w:rFonts w:eastAsia="Times New Roman"/>
          <w:i/>
          <w:color w:val="000000" w:themeColor="text1"/>
          <w:lang w:val="en-US"/>
        </w:rPr>
        <w:t>Pharmacol</w:t>
      </w:r>
      <w:proofErr w:type="spellEnd"/>
      <w:r w:rsidRPr="004C2A3C">
        <w:rPr>
          <w:rFonts w:eastAsia="Times New Roman"/>
          <w:i/>
          <w:color w:val="000000" w:themeColor="text1"/>
          <w:lang w:val="en-US"/>
        </w:rPr>
        <w:t xml:space="preserve">., 81: 407-420. </w:t>
      </w:r>
      <w:proofErr w:type="spellStart"/>
      <w:r w:rsidRPr="004C2A3C">
        <w:rPr>
          <w:rFonts w:eastAsia="Times New Roman"/>
          <w:i/>
          <w:color w:val="000000" w:themeColor="text1"/>
          <w:lang w:val="en-US"/>
        </w:rPr>
        <w:t>doi</w:t>
      </w:r>
      <w:proofErr w:type="spellEnd"/>
      <w:r w:rsidRPr="004C2A3C">
        <w:rPr>
          <w:rFonts w:eastAsia="Times New Roman"/>
          <w:i/>
          <w:color w:val="000000" w:themeColor="text1"/>
          <w:lang w:val="en-US"/>
        </w:rPr>
        <w:t>: 10.1016</w:t>
      </w:r>
      <w:r w:rsidRPr="004C2A3C">
        <w:rPr>
          <w:rFonts w:eastAsia="Times New Roman"/>
          <w:color w:val="000000" w:themeColor="text1"/>
          <w:lang w:val="en-US"/>
        </w:rPr>
        <w:t>/</w:t>
      </w:r>
      <w:r w:rsidRPr="004C2A3C">
        <w:rPr>
          <w:rFonts w:eastAsia="Times New Roman"/>
          <w:i/>
          <w:color w:val="000000" w:themeColor="text1"/>
          <w:lang w:val="en-US"/>
        </w:rPr>
        <w:t>j.yrtph.2016.09.028.</w:t>
      </w:r>
    </w:p>
    <w:p w14:paraId="3596D787" w14:textId="77777777" w:rsidR="003F1C55" w:rsidRPr="004C2A3C" w:rsidRDefault="003F1C55" w:rsidP="003F1C55">
      <w:pPr>
        <w:tabs>
          <w:tab w:val="left" w:pos="1560"/>
          <w:tab w:val="left" w:pos="2835"/>
        </w:tabs>
        <w:spacing w:after="240"/>
        <w:ind w:left="2268" w:right="1134"/>
        <w:jc w:val="both"/>
        <w:rPr>
          <w:rFonts w:eastAsia="Times New Roman"/>
          <w:i/>
          <w:color w:val="000000" w:themeColor="text1"/>
          <w:lang w:val="en-US"/>
        </w:rPr>
      </w:pPr>
      <w:proofErr w:type="spellStart"/>
      <w:r w:rsidRPr="004C2A3C">
        <w:rPr>
          <w:rFonts w:eastAsia="Times New Roman"/>
          <w:i/>
          <w:color w:val="000000" w:themeColor="text1"/>
          <w:lang w:val="en-US"/>
        </w:rPr>
        <w:t>Spielmann</w:t>
      </w:r>
      <w:proofErr w:type="spellEnd"/>
      <w:r w:rsidRPr="004C2A3C">
        <w:rPr>
          <w:rFonts w:eastAsia="Times New Roman"/>
          <w:i/>
          <w:color w:val="000000" w:themeColor="text1"/>
          <w:lang w:val="en-US"/>
        </w:rPr>
        <w:t xml:space="preserve">, H., S. </w:t>
      </w:r>
      <w:proofErr w:type="spellStart"/>
      <w:r w:rsidRPr="004C2A3C">
        <w:rPr>
          <w:rFonts w:eastAsia="Times New Roman"/>
          <w:i/>
          <w:color w:val="000000" w:themeColor="text1"/>
          <w:lang w:val="en-US"/>
        </w:rPr>
        <w:t>Kalweit</w:t>
      </w:r>
      <w:proofErr w:type="spellEnd"/>
      <w:r w:rsidRPr="004C2A3C">
        <w:rPr>
          <w:rFonts w:eastAsia="Times New Roman"/>
          <w:i/>
          <w:color w:val="000000" w:themeColor="text1"/>
          <w:lang w:val="en-US"/>
        </w:rPr>
        <w:t xml:space="preserve">, M. </w:t>
      </w:r>
      <w:proofErr w:type="spellStart"/>
      <w:r w:rsidRPr="004C2A3C">
        <w:rPr>
          <w:rFonts w:eastAsia="Times New Roman"/>
          <w:i/>
          <w:color w:val="000000" w:themeColor="text1"/>
          <w:lang w:val="en-US"/>
        </w:rPr>
        <w:t>Liebsch</w:t>
      </w:r>
      <w:proofErr w:type="spellEnd"/>
      <w:r w:rsidRPr="004C2A3C">
        <w:rPr>
          <w:rFonts w:eastAsia="Times New Roman"/>
          <w:i/>
          <w:color w:val="000000" w:themeColor="text1"/>
          <w:lang w:val="en-US"/>
        </w:rPr>
        <w:t xml:space="preserve">, T. </w:t>
      </w:r>
      <w:proofErr w:type="spellStart"/>
      <w:r w:rsidRPr="004C2A3C">
        <w:rPr>
          <w:rFonts w:eastAsia="Times New Roman"/>
          <w:i/>
          <w:color w:val="000000" w:themeColor="text1"/>
          <w:lang w:val="en-US"/>
        </w:rPr>
        <w:t>Wirnsberger</w:t>
      </w:r>
      <w:proofErr w:type="spellEnd"/>
      <w:r w:rsidRPr="004C2A3C">
        <w:rPr>
          <w:rFonts w:eastAsia="Times New Roman"/>
          <w:i/>
          <w:color w:val="000000" w:themeColor="text1"/>
          <w:lang w:val="en-US"/>
        </w:rPr>
        <w:t xml:space="preserve">, I. </w:t>
      </w:r>
      <w:proofErr w:type="spellStart"/>
      <w:r w:rsidRPr="004C2A3C">
        <w:rPr>
          <w:rFonts w:eastAsia="Times New Roman"/>
          <w:i/>
          <w:color w:val="000000" w:themeColor="text1"/>
          <w:lang w:val="en-US"/>
        </w:rPr>
        <w:t>Gerner</w:t>
      </w:r>
      <w:proofErr w:type="spellEnd"/>
      <w:r w:rsidRPr="004C2A3C">
        <w:rPr>
          <w:rFonts w:eastAsia="Times New Roman"/>
          <w:i/>
          <w:color w:val="000000" w:themeColor="text1"/>
          <w:lang w:val="en-US"/>
        </w:rPr>
        <w:t>, E. Bertram-</w:t>
      </w:r>
      <w:proofErr w:type="spellStart"/>
      <w:r w:rsidRPr="004C2A3C">
        <w:rPr>
          <w:rFonts w:eastAsia="Times New Roman"/>
          <w:i/>
          <w:color w:val="000000" w:themeColor="text1"/>
          <w:lang w:val="en-US"/>
        </w:rPr>
        <w:t>Neis</w:t>
      </w:r>
      <w:proofErr w:type="spellEnd"/>
      <w:r w:rsidRPr="004C2A3C">
        <w:rPr>
          <w:rFonts w:eastAsia="Times New Roman"/>
          <w:i/>
          <w:color w:val="000000" w:themeColor="text1"/>
          <w:lang w:val="en-US"/>
        </w:rPr>
        <w:t xml:space="preserve">, K. </w:t>
      </w:r>
      <w:proofErr w:type="spellStart"/>
      <w:r w:rsidRPr="004C2A3C">
        <w:rPr>
          <w:rFonts w:eastAsia="Times New Roman"/>
          <w:i/>
          <w:color w:val="000000" w:themeColor="text1"/>
          <w:lang w:val="en-US"/>
        </w:rPr>
        <w:t>Krauser</w:t>
      </w:r>
      <w:proofErr w:type="spellEnd"/>
      <w:r w:rsidRPr="004C2A3C">
        <w:rPr>
          <w:rFonts w:eastAsia="Times New Roman"/>
          <w:i/>
          <w:color w:val="000000" w:themeColor="text1"/>
          <w:lang w:val="en-US"/>
        </w:rPr>
        <w:t xml:space="preserve">, R. </w:t>
      </w:r>
      <w:proofErr w:type="spellStart"/>
      <w:r w:rsidRPr="004C2A3C">
        <w:rPr>
          <w:rFonts w:eastAsia="Times New Roman"/>
          <w:i/>
          <w:color w:val="000000" w:themeColor="text1"/>
          <w:lang w:val="en-US"/>
        </w:rPr>
        <w:t>Kreiling</w:t>
      </w:r>
      <w:proofErr w:type="spellEnd"/>
      <w:r w:rsidRPr="004C2A3C">
        <w:rPr>
          <w:rFonts w:eastAsia="Times New Roman"/>
          <w:i/>
          <w:color w:val="000000" w:themeColor="text1"/>
          <w:lang w:val="en-US"/>
        </w:rPr>
        <w:t xml:space="preserve">, H.G. </w:t>
      </w:r>
      <w:proofErr w:type="spellStart"/>
      <w:r w:rsidRPr="004C2A3C">
        <w:rPr>
          <w:rFonts w:eastAsia="Times New Roman"/>
          <w:i/>
          <w:color w:val="000000" w:themeColor="text1"/>
          <w:lang w:val="en-US"/>
        </w:rPr>
        <w:t>Miltenburger</w:t>
      </w:r>
      <w:proofErr w:type="spellEnd"/>
      <w:r w:rsidRPr="004C2A3C">
        <w:rPr>
          <w:rFonts w:eastAsia="Times New Roman"/>
          <w:i/>
          <w:color w:val="000000" w:themeColor="text1"/>
          <w:lang w:val="en-US"/>
        </w:rPr>
        <w:t xml:space="preserve">, W. Pape et W. </w:t>
      </w:r>
      <w:proofErr w:type="spellStart"/>
      <w:r w:rsidRPr="004C2A3C">
        <w:rPr>
          <w:rFonts w:eastAsia="Times New Roman"/>
          <w:i/>
          <w:color w:val="000000" w:themeColor="text1"/>
          <w:lang w:val="en-US"/>
        </w:rPr>
        <w:t>Steiling</w:t>
      </w:r>
      <w:proofErr w:type="spellEnd"/>
      <w:r w:rsidRPr="004C2A3C">
        <w:rPr>
          <w:rFonts w:eastAsia="Times New Roman"/>
          <w:i/>
          <w:color w:val="000000" w:themeColor="text1"/>
          <w:lang w:val="en-US"/>
        </w:rPr>
        <w:t xml:space="preserve">. 1993. Validation study of alternatives to the Draize eye irritation test in Germany: Cytotoxicity testing and HET-CAM test with 136 industrial chemicals. </w:t>
      </w:r>
      <w:proofErr w:type="spellStart"/>
      <w:r w:rsidRPr="004C2A3C">
        <w:rPr>
          <w:rFonts w:eastAsia="Times New Roman"/>
          <w:i/>
          <w:color w:val="000000" w:themeColor="text1"/>
          <w:lang w:val="en-US"/>
        </w:rPr>
        <w:t>Toxicol</w:t>
      </w:r>
      <w:proofErr w:type="spellEnd"/>
      <w:r w:rsidRPr="004C2A3C">
        <w:rPr>
          <w:rFonts w:eastAsia="Times New Roman"/>
          <w:i/>
          <w:color w:val="000000" w:themeColor="text1"/>
          <w:lang w:val="en-US"/>
        </w:rPr>
        <w:t xml:space="preserve">. In vitro, 7(4): 505-510. </w:t>
      </w:r>
      <w:proofErr w:type="spellStart"/>
      <w:r w:rsidRPr="004C2A3C">
        <w:rPr>
          <w:rFonts w:eastAsia="Times New Roman"/>
          <w:i/>
          <w:color w:val="000000" w:themeColor="text1"/>
          <w:lang w:val="en-US"/>
        </w:rPr>
        <w:t>doi</w:t>
      </w:r>
      <w:proofErr w:type="spellEnd"/>
      <w:r w:rsidRPr="004C2A3C">
        <w:rPr>
          <w:rFonts w:eastAsia="Times New Roman"/>
          <w:i/>
          <w:color w:val="000000" w:themeColor="text1"/>
          <w:lang w:val="en-US"/>
        </w:rPr>
        <w:t>: 10.1016</w:t>
      </w:r>
      <w:r w:rsidRPr="004C2A3C">
        <w:rPr>
          <w:rFonts w:eastAsia="Times New Roman"/>
          <w:color w:val="000000" w:themeColor="text1"/>
          <w:lang w:val="en-US"/>
        </w:rPr>
        <w:t>/</w:t>
      </w:r>
      <w:r w:rsidRPr="004C2A3C">
        <w:rPr>
          <w:rFonts w:eastAsia="Times New Roman"/>
          <w:i/>
          <w:color w:val="000000" w:themeColor="text1"/>
          <w:lang w:val="en-US"/>
        </w:rPr>
        <w:t>0887-2333(93)90055-a.</w:t>
      </w:r>
    </w:p>
    <w:p w14:paraId="76D713A2" w14:textId="77777777" w:rsidR="003F1C55" w:rsidRPr="004C2A3C" w:rsidRDefault="003F1C55" w:rsidP="003F1C55">
      <w:pPr>
        <w:tabs>
          <w:tab w:val="left" w:pos="1560"/>
          <w:tab w:val="left" w:pos="2835"/>
        </w:tabs>
        <w:spacing w:after="240"/>
        <w:ind w:left="2268" w:right="1134"/>
        <w:jc w:val="both"/>
        <w:rPr>
          <w:rFonts w:eastAsia="Times New Roman"/>
          <w:i/>
          <w:color w:val="000000" w:themeColor="text1"/>
          <w:lang w:val="en-US"/>
        </w:rPr>
      </w:pPr>
      <w:proofErr w:type="spellStart"/>
      <w:r w:rsidRPr="004C2A3C">
        <w:rPr>
          <w:rFonts w:eastAsia="Times New Roman"/>
          <w:i/>
          <w:color w:val="000000" w:themeColor="text1"/>
          <w:lang w:val="en-US"/>
        </w:rPr>
        <w:t>Spielmann</w:t>
      </w:r>
      <w:proofErr w:type="spellEnd"/>
      <w:r w:rsidRPr="004C2A3C">
        <w:rPr>
          <w:rFonts w:eastAsia="Times New Roman"/>
          <w:i/>
          <w:color w:val="000000" w:themeColor="text1"/>
          <w:lang w:val="en-US"/>
        </w:rPr>
        <w:t xml:space="preserve">, H., M. </w:t>
      </w:r>
      <w:proofErr w:type="spellStart"/>
      <w:r w:rsidRPr="004C2A3C">
        <w:rPr>
          <w:rFonts w:eastAsia="Times New Roman"/>
          <w:i/>
          <w:color w:val="000000" w:themeColor="text1"/>
          <w:lang w:val="en-US"/>
        </w:rPr>
        <w:t>Liebsch</w:t>
      </w:r>
      <w:proofErr w:type="spellEnd"/>
      <w:r w:rsidRPr="004C2A3C">
        <w:rPr>
          <w:rFonts w:eastAsia="Times New Roman"/>
          <w:i/>
          <w:color w:val="000000" w:themeColor="text1"/>
          <w:lang w:val="en-US"/>
        </w:rPr>
        <w:t xml:space="preserve">, S. </w:t>
      </w:r>
      <w:proofErr w:type="spellStart"/>
      <w:r w:rsidRPr="004C2A3C">
        <w:rPr>
          <w:rFonts w:eastAsia="Times New Roman"/>
          <w:i/>
          <w:color w:val="000000" w:themeColor="text1"/>
          <w:lang w:val="en-US"/>
        </w:rPr>
        <w:t>Kalweit</w:t>
      </w:r>
      <w:proofErr w:type="spellEnd"/>
      <w:r w:rsidRPr="004C2A3C">
        <w:rPr>
          <w:rFonts w:eastAsia="Times New Roman"/>
          <w:i/>
          <w:color w:val="000000" w:themeColor="text1"/>
          <w:lang w:val="en-US"/>
        </w:rPr>
        <w:t xml:space="preserve">, F. Moldenhauer, T. </w:t>
      </w:r>
      <w:proofErr w:type="spellStart"/>
      <w:r w:rsidRPr="004C2A3C">
        <w:rPr>
          <w:rFonts w:eastAsia="Times New Roman"/>
          <w:i/>
          <w:color w:val="000000" w:themeColor="text1"/>
          <w:lang w:val="en-US"/>
        </w:rPr>
        <w:t>Wirnsberger</w:t>
      </w:r>
      <w:proofErr w:type="spellEnd"/>
      <w:r w:rsidRPr="004C2A3C">
        <w:rPr>
          <w:rFonts w:eastAsia="Times New Roman"/>
          <w:i/>
          <w:color w:val="000000" w:themeColor="text1"/>
          <w:lang w:val="en-US"/>
        </w:rPr>
        <w:t xml:space="preserve">, H.-G. </w:t>
      </w:r>
      <w:proofErr w:type="spellStart"/>
      <w:r w:rsidRPr="004C2A3C">
        <w:rPr>
          <w:rFonts w:eastAsia="Times New Roman"/>
          <w:i/>
          <w:color w:val="000000" w:themeColor="text1"/>
          <w:lang w:val="en-US"/>
        </w:rPr>
        <w:t>Holzhütter</w:t>
      </w:r>
      <w:proofErr w:type="spellEnd"/>
      <w:r w:rsidRPr="004C2A3C">
        <w:rPr>
          <w:rFonts w:eastAsia="Times New Roman"/>
          <w:i/>
          <w:color w:val="000000" w:themeColor="text1"/>
          <w:lang w:val="en-US"/>
        </w:rPr>
        <w:t xml:space="preserve">, B. Schneider, S. Glaser, I. </w:t>
      </w:r>
      <w:proofErr w:type="spellStart"/>
      <w:r w:rsidRPr="004C2A3C">
        <w:rPr>
          <w:rFonts w:eastAsia="Times New Roman"/>
          <w:i/>
          <w:color w:val="000000" w:themeColor="text1"/>
          <w:lang w:val="en-US"/>
        </w:rPr>
        <w:t>Gerner</w:t>
      </w:r>
      <w:proofErr w:type="spellEnd"/>
      <w:r w:rsidRPr="004C2A3C">
        <w:rPr>
          <w:rFonts w:eastAsia="Times New Roman"/>
          <w:i/>
          <w:color w:val="000000" w:themeColor="text1"/>
          <w:lang w:val="en-US"/>
        </w:rPr>
        <w:t xml:space="preserve">, W.J.W. Pape, R. </w:t>
      </w:r>
      <w:proofErr w:type="spellStart"/>
      <w:r w:rsidRPr="004C2A3C">
        <w:rPr>
          <w:rFonts w:eastAsia="Times New Roman"/>
          <w:i/>
          <w:color w:val="000000" w:themeColor="text1"/>
          <w:lang w:val="en-US"/>
        </w:rPr>
        <w:t>Kreiling</w:t>
      </w:r>
      <w:proofErr w:type="spellEnd"/>
      <w:r w:rsidRPr="004C2A3C">
        <w:rPr>
          <w:rFonts w:eastAsia="Times New Roman"/>
          <w:i/>
          <w:color w:val="000000" w:themeColor="text1"/>
          <w:lang w:val="en-US"/>
        </w:rPr>
        <w:t xml:space="preserve">, K. </w:t>
      </w:r>
      <w:proofErr w:type="spellStart"/>
      <w:r w:rsidRPr="004C2A3C">
        <w:rPr>
          <w:rFonts w:eastAsia="Times New Roman"/>
          <w:i/>
          <w:color w:val="000000" w:themeColor="text1"/>
          <w:lang w:val="en-US"/>
        </w:rPr>
        <w:t>Krauser</w:t>
      </w:r>
      <w:proofErr w:type="spellEnd"/>
      <w:r w:rsidRPr="004C2A3C">
        <w:rPr>
          <w:rFonts w:eastAsia="Times New Roman"/>
          <w:i/>
          <w:color w:val="000000" w:themeColor="text1"/>
          <w:lang w:val="en-US"/>
        </w:rPr>
        <w:t xml:space="preserve">, H.G. </w:t>
      </w:r>
      <w:proofErr w:type="spellStart"/>
      <w:r w:rsidRPr="004C2A3C">
        <w:rPr>
          <w:rFonts w:eastAsia="Times New Roman"/>
          <w:i/>
          <w:color w:val="000000" w:themeColor="text1"/>
          <w:lang w:val="en-US"/>
        </w:rPr>
        <w:t>Miltenburger</w:t>
      </w:r>
      <w:proofErr w:type="spellEnd"/>
      <w:r w:rsidRPr="004C2A3C">
        <w:rPr>
          <w:rFonts w:eastAsia="Times New Roman"/>
          <w:i/>
          <w:color w:val="000000" w:themeColor="text1"/>
          <w:lang w:val="en-US"/>
        </w:rPr>
        <w:t xml:space="preserve">, W. </w:t>
      </w:r>
      <w:proofErr w:type="spellStart"/>
      <w:r w:rsidRPr="004C2A3C">
        <w:rPr>
          <w:rFonts w:eastAsia="Times New Roman"/>
          <w:i/>
          <w:color w:val="000000" w:themeColor="text1"/>
          <w:lang w:val="en-US"/>
        </w:rPr>
        <w:t>Steiling</w:t>
      </w:r>
      <w:proofErr w:type="spellEnd"/>
      <w:r w:rsidRPr="004C2A3C">
        <w:rPr>
          <w:rFonts w:eastAsia="Times New Roman"/>
          <w:i/>
          <w:color w:val="000000" w:themeColor="text1"/>
          <w:lang w:val="en-US"/>
        </w:rPr>
        <w:t xml:space="preserve">, N.P. Luepke, N. Müller, H. Kreuzer, P. </w:t>
      </w:r>
      <w:proofErr w:type="spellStart"/>
      <w:r w:rsidRPr="004C2A3C">
        <w:rPr>
          <w:rFonts w:eastAsia="Times New Roman"/>
          <w:i/>
          <w:color w:val="000000" w:themeColor="text1"/>
          <w:lang w:val="en-US"/>
        </w:rPr>
        <w:t>Mürmann</w:t>
      </w:r>
      <w:proofErr w:type="spellEnd"/>
      <w:r w:rsidRPr="004C2A3C">
        <w:rPr>
          <w:rFonts w:eastAsia="Times New Roman"/>
          <w:i/>
          <w:color w:val="000000" w:themeColor="text1"/>
          <w:lang w:val="en-US"/>
        </w:rPr>
        <w:t>, J. Spengler, E. Bertram-</w:t>
      </w:r>
      <w:proofErr w:type="spellStart"/>
      <w:r w:rsidRPr="004C2A3C">
        <w:rPr>
          <w:rFonts w:eastAsia="Times New Roman"/>
          <w:i/>
          <w:color w:val="000000" w:themeColor="text1"/>
          <w:lang w:val="en-US"/>
        </w:rPr>
        <w:t>Neis</w:t>
      </w:r>
      <w:proofErr w:type="spellEnd"/>
      <w:r w:rsidRPr="004C2A3C">
        <w:rPr>
          <w:rFonts w:eastAsia="Times New Roman"/>
          <w:i/>
          <w:color w:val="000000" w:themeColor="text1"/>
          <w:lang w:val="en-US"/>
        </w:rPr>
        <w:t xml:space="preserve">, B. </w:t>
      </w:r>
      <w:proofErr w:type="spellStart"/>
      <w:r w:rsidRPr="004C2A3C">
        <w:rPr>
          <w:rFonts w:eastAsia="Times New Roman"/>
          <w:i/>
          <w:color w:val="000000" w:themeColor="text1"/>
          <w:lang w:val="en-US"/>
        </w:rPr>
        <w:t>Siegemund</w:t>
      </w:r>
      <w:proofErr w:type="spellEnd"/>
      <w:r w:rsidRPr="004C2A3C">
        <w:rPr>
          <w:rFonts w:eastAsia="Times New Roman"/>
          <w:i/>
          <w:color w:val="000000" w:themeColor="text1"/>
          <w:lang w:val="en-US"/>
        </w:rPr>
        <w:t xml:space="preserve"> et F.J. </w:t>
      </w:r>
      <w:proofErr w:type="spellStart"/>
      <w:r w:rsidRPr="004C2A3C">
        <w:rPr>
          <w:rFonts w:eastAsia="Times New Roman"/>
          <w:i/>
          <w:color w:val="000000" w:themeColor="text1"/>
          <w:lang w:val="en-US"/>
        </w:rPr>
        <w:t>Wiebel</w:t>
      </w:r>
      <w:proofErr w:type="spellEnd"/>
      <w:r w:rsidRPr="004C2A3C">
        <w:rPr>
          <w:rFonts w:eastAsia="Times New Roman"/>
          <w:i/>
          <w:color w:val="000000" w:themeColor="text1"/>
          <w:lang w:val="en-US"/>
        </w:rPr>
        <w:t>. 1996. Results of a validation study in Germany on two in vitro alternatives to the Draize eye irritation test, HET-CAM test and the 3T3 NRU cytotoxicity test. Altern. Lab. Anim., 24: 741-858.</w:t>
      </w:r>
    </w:p>
    <w:p w14:paraId="34191388" w14:textId="77777777" w:rsidR="003F1C55" w:rsidRPr="004C2A3C" w:rsidRDefault="003F1C55" w:rsidP="003F1C55">
      <w:pPr>
        <w:tabs>
          <w:tab w:val="left" w:pos="1560"/>
          <w:tab w:val="left" w:pos="2835"/>
        </w:tabs>
        <w:spacing w:after="240"/>
        <w:ind w:left="2268" w:right="1134"/>
        <w:jc w:val="both"/>
        <w:rPr>
          <w:rFonts w:eastAsia="Times New Roman"/>
          <w:i/>
          <w:color w:val="000000" w:themeColor="text1"/>
          <w:lang w:val="en-US"/>
        </w:rPr>
      </w:pPr>
      <w:proofErr w:type="spellStart"/>
      <w:r w:rsidRPr="004C2A3C">
        <w:rPr>
          <w:rFonts w:eastAsia="Times New Roman"/>
          <w:i/>
          <w:color w:val="000000" w:themeColor="text1"/>
          <w:lang w:val="en-US"/>
        </w:rPr>
        <w:t>Spöler</w:t>
      </w:r>
      <w:proofErr w:type="spellEnd"/>
      <w:r w:rsidRPr="004C2A3C">
        <w:rPr>
          <w:rFonts w:eastAsia="Times New Roman"/>
          <w:i/>
          <w:color w:val="000000" w:themeColor="text1"/>
          <w:lang w:val="en-US"/>
        </w:rPr>
        <w:t xml:space="preserve">, F., M. </w:t>
      </w:r>
      <w:proofErr w:type="spellStart"/>
      <w:r w:rsidRPr="004C2A3C">
        <w:rPr>
          <w:rFonts w:eastAsia="Times New Roman"/>
          <w:i/>
          <w:color w:val="000000" w:themeColor="text1"/>
          <w:lang w:val="en-US"/>
        </w:rPr>
        <w:t>Först</w:t>
      </w:r>
      <w:proofErr w:type="spellEnd"/>
      <w:r w:rsidRPr="004C2A3C">
        <w:rPr>
          <w:rFonts w:eastAsia="Times New Roman"/>
          <w:i/>
          <w:color w:val="000000" w:themeColor="text1"/>
          <w:lang w:val="en-US"/>
        </w:rPr>
        <w:t xml:space="preserve">, H. Kurz, M. </w:t>
      </w:r>
      <w:proofErr w:type="spellStart"/>
      <w:r w:rsidRPr="004C2A3C">
        <w:rPr>
          <w:rFonts w:eastAsia="Times New Roman"/>
          <w:i/>
          <w:color w:val="000000" w:themeColor="text1"/>
          <w:lang w:val="en-US"/>
        </w:rPr>
        <w:t>Frentz</w:t>
      </w:r>
      <w:proofErr w:type="spellEnd"/>
      <w:r w:rsidRPr="004C2A3C">
        <w:rPr>
          <w:rFonts w:eastAsia="Times New Roman"/>
          <w:i/>
          <w:color w:val="000000" w:themeColor="text1"/>
          <w:lang w:val="en-US"/>
        </w:rPr>
        <w:t xml:space="preserve"> et N.F. Schrage. 2007. Dynamic analysis of chemical eye burns using high-resolution optical coherence tomography. J. Biomed. Opt., 12: 041203. doi:10.1117</w:t>
      </w:r>
      <w:r w:rsidRPr="004C2A3C">
        <w:rPr>
          <w:rFonts w:eastAsia="Times New Roman"/>
          <w:color w:val="000000" w:themeColor="text1"/>
          <w:lang w:val="en-US"/>
        </w:rPr>
        <w:t>/</w:t>
      </w:r>
      <w:r w:rsidRPr="004C2A3C">
        <w:rPr>
          <w:rFonts w:eastAsia="Times New Roman"/>
          <w:i/>
          <w:color w:val="000000" w:themeColor="text1"/>
          <w:lang w:val="en-US"/>
        </w:rPr>
        <w:t>1.2768018.</w:t>
      </w:r>
    </w:p>
    <w:p w14:paraId="410F0E9D" w14:textId="77777777" w:rsidR="003F1C55" w:rsidRPr="004C2A3C" w:rsidRDefault="003F1C55" w:rsidP="003F1C55">
      <w:pPr>
        <w:tabs>
          <w:tab w:val="left" w:pos="1560"/>
          <w:tab w:val="left" w:pos="2835"/>
        </w:tabs>
        <w:spacing w:after="240"/>
        <w:ind w:left="2268" w:right="1134"/>
        <w:jc w:val="both"/>
        <w:rPr>
          <w:rFonts w:eastAsia="Times New Roman"/>
          <w:i/>
          <w:color w:val="000000" w:themeColor="text1"/>
          <w:lang w:val="en-US"/>
        </w:rPr>
      </w:pPr>
      <w:proofErr w:type="spellStart"/>
      <w:r w:rsidRPr="004C2A3C">
        <w:rPr>
          <w:rFonts w:eastAsia="Times New Roman"/>
          <w:i/>
          <w:color w:val="000000" w:themeColor="text1"/>
          <w:lang w:val="en-US"/>
        </w:rPr>
        <w:t>Spöler</w:t>
      </w:r>
      <w:proofErr w:type="spellEnd"/>
      <w:r w:rsidRPr="004C2A3C">
        <w:rPr>
          <w:rFonts w:eastAsia="Times New Roman"/>
          <w:i/>
          <w:color w:val="000000" w:themeColor="text1"/>
          <w:lang w:val="en-US"/>
        </w:rPr>
        <w:t>, F., O. Kray, S. Kray, C. Panfil et N.F. Schrage. 2015. The Ex vivo Eye Irritation Test as an alternative test method for serious eye damage</w:t>
      </w:r>
      <w:r w:rsidRPr="004C2A3C">
        <w:rPr>
          <w:rFonts w:eastAsia="Times New Roman"/>
          <w:color w:val="000000" w:themeColor="text1"/>
          <w:lang w:val="en-US"/>
        </w:rPr>
        <w:t>/</w:t>
      </w:r>
      <w:r w:rsidRPr="004C2A3C">
        <w:rPr>
          <w:rFonts w:eastAsia="Times New Roman"/>
          <w:i/>
          <w:color w:val="000000" w:themeColor="text1"/>
          <w:lang w:val="en-US"/>
        </w:rPr>
        <w:t xml:space="preserve">eye irritation. Altern. Lab. Anim., 43(3): 163-179. </w:t>
      </w:r>
      <w:proofErr w:type="spellStart"/>
      <w:r w:rsidRPr="004C2A3C">
        <w:rPr>
          <w:rFonts w:eastAsia="Times New Roman"/>
          <w:i/>
          <w:color w:val="000000" w:themeColor="text1"/>
          <w:lang w:val="en-US"/>
        </w:rPr>
        <w:t>doi</w:t>
      </w:r>
      <w:proofErr w:type="spellEnd"/>
      <w:r w:rsidRPr="004C2A3C">
        <w:rPr>
          <w:rFonts w:eastAsia="Times New Roman"/>
          <w:i/>
          <w:color w:val="000000" w:themeColor="text1"/>
          <w:lang w:val="en-US"/>
        </w:rPr>
        <w:t>: 10.1177</w:t>
      </w:r>
      <w:r w:rsidRPr="004C2A3C">
        <w:rPr>
          <w:rFonts w:eastAsia="Times New Roman"/>
          <w:color w:val="000000" w:themeColor="text1"/>
          <w:lang w:val="en-US"/>
        </w:rPr>
        <w:t>/</w:t>
      </w:r>
      <w:r w:rsidRPr="004C2A3C">
        <w:rPr>
          <w:rFonts w:eastAsia="Times New Roman"/>
          <w:i/>
          <w:color w:val="000000" w:themeColor="text1"/>
          <w:lang w:val="en-US"/>
        </w:rPr>
        <w:t>026119291504300306.</w:t>
      </w:r>
    </w:p>
    <w:p w14:paraId="79B07E70" w14:textId="77777777" w:rsidR="003F1C55" w:rsidRPr="004C2A3C" w:rsidRDefault="003F1C55" w:rsidP="003F1C55">
      <w:pPr>
        <w:tabs>
          <w:tab w:val="left" w:pos="1560"/>
          <w:tab w:val="left" w:pos="2835"/>
        </w:tabs>
        <w:spacing w:after="240"/>
        <w:ind w:left="2268" w:right="1134"/>
        <w:jc w:val="both"/>
        <w:rPr>
          <w:rFonts w:eastAsia="Times New Roman"/>
          <w:i/>
          <w:color w:val="000000" w:themeColor="text1"/>
          <w:lang w:val="en-US"/>
        </w:rPr>
      </w:pPr>
      <w:r w:rsidRPr="004C2A3C">
        <w:rPr>
          <w:rFonts w:eastAsia="Times New Roman"/>
          <w:i/>
          <w:color w:val="000000" w:themeColor="text1"/>
          <w:lang w:val="en-US"/>
        </w:rPr>
        <w:t xml:space="preserve">Whittle, E., D. </w:t>
      </w:r>
      <w:proofErr w:type="spellStart"/>
      <w:r w:rsidRPr="004C2A3C">
        <w:rPr>
          <w:rFonts w:eastAsia="Times New Roman"/>
          <w:i/>
          <w:color w:val="000000" w:themeColor="text1"/>
          <w:lang w:val="en-US"/>
        </w:rPr>
        <w:t>Basketter</w:t>
      </w:r>
      <w:proofErr w:type="spellEnd"/>
      <w:r w:rsidRPr="004C2A3C">
        <w:rPr>
          <w:rFonts w:eastAsia="Times New Roman"/>
          <w:i/>
          <w:color w:val="000000" w:themeColor="text1"/>
          <w:lang w:val="en-US"/>
        </w:rPr>
        <w:t xml:space="preserve">, M. York, L. Kelly, T. Hall, J. McCall, P. Botham, D. Esdaile et J. Gardner. 1992. Findings of an interlaboratory trial of the enucleated eye method as an alternative eye irritation test. </w:t>
      </w:r>
      <w:proofErr w:type="spellStart"/>
      <w:r w:rsidRPr="004C2A3C">
        <w:rPr>
          <w:rFonts w:eastAsia="Times New Roman"/>
          <w:i/>
          <w:color w:val="000000" w:themeColor="text1"/>
          <w:lang w:val="en-US"/>
        </w:rPr>
        <w:t>Toxicol</w:t>
      </w:r>
      <w:proofErr w:type="spellEnd"/>
      <w:r w:rsidRPr="004C2A3C">
        <w:rPr>
          <w:rFonts w:eastAsia="Times New Roman"/>
          <w:i/>
          <w:color w:val="000000" w:themeColor="text1"/>
          <w:lang w:val="en-US"/>
        </w:rPr>
        <w:t>. Mech. Methods., 2: 30-41.</w:t>
      </w:r>
    </w:p>
    <w:p w14:paraId="02EF93FD" w14:textId="77777777" w:rsidR="003F1C55" w:rsidRPr="004C2A3C" w:rsidRDefault="003F1C55" w:rsidP="003F1C55">
      <w:pPr>
        <w:tabs>
          <w:tab w:val="left" w:pos="1560"/>
          <w:tab w:val="left" w:pos="2835"/>
        </w:tabs>
        <w:spacing w:after="240"/>
        <w:ind w:left="2268" w:right="1134"/>
        <w:jc w:val="both"/>
        <w:rPr>
          <w:rFonts w:eastAsia="Times New Roman"/>
          <w:i/>
          <w:color w:val="000000" w:themeColor="text1"/>
          <w:lang w:val="en-US"/>
        </w:rPr>
      </w:pPr>
      <w:r w:rsidRPr="004C2A3C">
        <w:rPr>
          <w:rFonts w:eastAsia="Times New Roman"/>
          <w:i/>
          <w:color w:val="000000" w:themeColor="text1"/>
          <w:lang w:val="en-US"/>
        </w:rPr>
        <w:t xml:space="preserve">Young, J.R., M.J. How, A.P. Walker et W.M. Worth. 1988. Classification as corrosive or irritant to skin of preparations containing acidic or alkaline substances, without testing on animals. </w:t>
      </w:r>
      <w:proofErr w:type="spellStart"/>
      <w:r w:rsidRPr="004C2A3C">
        <w:rPr>
          <w:rFonts w:eastAsia="Times New Roman"/>
          <w:i/>
          <w:color w:val="000000" w:themeColor="text1"/>
          <w:lang w:val="en-US"/>
        </w:rPr>
        <w:t>Toxicol</w:t>
      </w:r>
      <w:proofErr w:type="spellEnd"/>
      <w:r w:rsidRPr="004C2A3C">
        <w:rPr>
          <w:rFonts w:eastAsia="Times New Roman"/>
          <w:i/>
          <w:color w:val="000000" w:themeColor="text1"/>
          <w:lang w:val="en-US"/>
        </w:rPr>
        <w:t xml:space="preserve">. In vitro, 2(1): 19-26. </w:t>
      </w:r>
      <w:proofErr w:type="spellStart"/>
      <w:r w:rsidRPr="004C2A3C">
        <w:rPr>
          <w:rFonts w:eastAsia="Times New Roman"/>
          <w:i/>
          <w:color w:val="000000" w:themeColor="text1"/>
          <w:lang w:val="en-US"/>
        </w:rPr>
        <w:t>doi</w:t>
      </w:r>
      <w:proofErr w:type="spellEnd"/>
      <w:r w:rsidRPr="004C2A3C">
        <w:rPr>
          <w:rFonts w:eastAsia="Times New Roman"/>
          <w:i/>
          <w:color w:val="000000" w:themeColor="text1"/>
          <w:lang w:val="en-US"/>
        </w:rPr>
        <w:t>: 10.1016</w:t>
      </w:r>
      <w:r w:rsidRPr="004C2A3C">
        <w:rPr>
          <w:rFonts w:eastAsia="Times New Roman"/>
          <w:color w:val="000000" w:themeColor="text1"/>
          <w:lang w:val="en-US"/>
        </w:rPr>
        <w:t>/</w:t>
      </w:r>
      <w:r w:rsidRPr="004C2A3C">
        <w:rPr>
          <w:rFonts w:eastAsia="Times New Roman"/>
          <w:i/>
          <w:color w:val="000000" w:themeColor="text1"/>
          <w:lang w:val="en-US"/>
        </w:rPr>
        <w:t>0887-2333(88)90032-x.</w:t>
      </w:r>
    </w:p>
    <w:p w14:paraId="3C0D09C8" w14:textId="77777777" w:rsidR="003F1C55" w:rsidRPr="004C2A3C" w:rsidRDefault="003F1C55" w:rsidP="003F1C55">
      <w:pPr>
        <w:tabs>
          <w:tab w:val="left" w:pos="1560"/>
          <w:tab w:val="left" w:pos="2835"/>
        </w:tabs>
        <w:spacing w:after="240"/>
        <w:ind w:left="2268" w:right="1134"/>
        <w:jc w:val="both"/>
        <w:rPr>
          <w:rFonts w:eastAsia="Times New Roman"/>
          <w:iCs/>
          <w:color w:val="000000" w:themeColor="text1"/>
          <w:lang w:val="fr-FR"/>
        </w:rPr>
      </w:pPr>
      <w:proofErr w:type="spellStart"/>
      <w:r w:rsidRPr="004C2A3C">
        <w:rPr>
          <w:rFonts w:eastAsia="Times New Roman"/>
          <w:i/>
          <w:color w:val="000000" w:themeColor="text1"/>
          <w:lang w:val="en-US"/>
        </w:rPr>
        <w:t>Zuang</w:t>
      </w:r>
      <w:proofErr w:type="spellEnd"/>
      <w:r w:rsidRPr="004C2A3C">
        <w:rPr>
          <w:rFonts w:eastAsia="Times New Roman"/>
          <w:i/>
          <w:color w:val="000000" w:themeColor="text1"/>
          <w:lang w:val="en-US"/>
        </w:rPr>
        <w:t xml:space="preserve">, V. 2001. The neutral red release assay: a review. </w:t>
      </w:r>
      <w:proofErr w:type="spellStart"/>
      <w:r w:rsidRPr="004C2A3C">
        <w:rPr>
          <w:rFonts w:eastAsia="Times New Roman"/>
          <w:i/>
          <w:color w:val="000000" w:themeColor="text1"/>
          <w:lang w:val="fr-FR"/>
        </w:rPr>
        <w:t>Altern</w:t>
      </w:r>
      <w:proofErr w:type="spellEnd"/>
      <w:r w:rsidRPr="004C2A3C">
        <w:rPr>
          <w:rFonts w:eastAsia="Times New Roman"/>
          <w:i/>
          <w:color w:val="000000" w:themeColor="text1"/>
          <w:lang w:val="fr-FR"/>
        </w:rPr>
        <w:t>. Lab. Anim., 29(5</w:t>
      </w:r>
      <w:proofErr w:type="gramStart"/>
      <w:r w:rsidRPr="004C2A3C">
        <w:rPr>
          <w:rFonts w:eastAsia="Times New Roman"/>
          <w:i/>
          <w:color w:val="000000" w:themeColor="text1"/>
          <w:lang w:val="fr-FR"/>
        </w:rPr>
        <w:t>):</w:t>
      </w:r>
      <w:proofErr w:type="gramEnd"/>
      <w:r w:rsidRPr="004C2A3C">
        <w:rPr>
          <w:rFonts w:eastAsia="Times New Roman"/>
          <w:i/>
          <w:color w:val="000000" w:themeColor="text1"/>
          <w:lang w:val="fr-FR"/>
        </w:rPr>
        <w:t xml:space="preserve"> 575-599. </w:t>
      </w:r>
      <w:proofErr w:type="spellStart"/>
      <w:proofErr w:type="gramStart"/>
      <w:r w:rsidRPr="004C2A3C">
        <w:rPr>
          <w:rFonts w:eastAsia="Times New Roman"/>
          <w:i/>
          <w:color w:val="000000" w:themeColor="text1"/>
          <w:lang w:val="fr-FR"/>
        </w:rPr>
        <w:t>doi</w:t>
      </w:r>
      <w:proofErr w:type="spellEnd"/>
      <w:r w:rsidRPr="004C2A3C">
        <w:rPr>
          <w:rFonts w:eastAsia="Times New Roman"/>
          <w:i/>
          <w:color w:val="000000" w:themeColor="text1"/>
          <w:lang w:val="fr-FR"/>
        </w:rPr>
        <w:t>:</w:t>
      </w:r>
      <w:proofErr w:type="gramEnd"/>
      <w:r w:rsidRPr="004C2A3C">
        <w:rPr>
          <w:rFonts w:eastAsia="Times New Roman"/>
          <w:i/>
          <w:color w:val="000000" w:themeColor="text1"/>
          <w:lang w:val="fr-FR"/>
        </w:rPr>
        <w:t xml:space="preserve"> 10.1177</w:t>
      </w:r>
      <w:r w:rsidRPr="004C2A3C">
        <w:rPr>
          <w:rFonts w:eastAsia="Times New Roman"/>
          <w:color w:val="000000" w:themeColor="text1"/>
          <w:lang w:val="fr-FR"/>
        </w:rPr>
        <w:t>/</w:t>
      </w:r>
      <w:r w:rsidRPr="004C2A3C">
        <w:rPr>
          <w:rFonts w:eastAsia="Times New Roman"/>
          <w:i/>
          <w:color w:val="000000" w:themeColor="text1"/>
          <w:lang w:val="fr-FR"/>
        </w:rPr>
        <w:t>026119290102900513. </w:t>
      </w:r>
      <w:r w:rsidRPr="004C2A3C">
        <w:rPr>
          <w:rFonts w:eastAsia="Times New Roman"/>
          <w:iCs/>
          <w:color w:val="000000" w:themeColor="text1"/>
          <w:lang w:val="fr-FR"/>
        </w:rPr>
        <w:t>».</w:t>
      </w:r>
    </w:p>
    <w:p w14:paraId="5B3D1254" w14:textId="77777777" w:rsidR="003F1C55" w:rsidRPr="004C2A3C" w:rsidRDefault="003F1C55" w:rsidP="003F1C55">
      <w:pPr>
        <w:spacing w:after="120"/>
        <w:ind w:left="1134" w:right="1134"/>
        <w:jc w:val="both"/>
        <w:rPr>
          <w:rFonts w:eastAsia="Times New Roman"/>
          <w:i/>
          <w:iCs/>
        </w:rPr>
      </w:pPr>
      <w:r w:rsidRPr="004C2A3C">
        <w:rPr>
          <w:rFonts w:eastAsia="Times New Roman"/>
          <w:i/>
          <w:iCs/>
          <w:lang w:val="fr-FR"/>
        </w:rPr>
        <w:t xml:space="preserve">(Document de référence : </w:t>
      </w:r>
      <w:r w:rsidRPr="004C2A3C">
        <w:rPr>
          <w:rFonts w:eastAsia="Times New Roman"/>
          <w:i/>
          <w:iCs/>
        </w:rPr>
        <w:t>ST/SG/AC.10/C.4/2021/4)</w:t>
      </w:r>
    </w:p>
    <w:p w14:paraId="50F4F4BC" w14:textId="77777777" w:rsidR="003F1C55" w:rsidRDefault="003F1C55" w:rsidP="003F1C55">
      <w:pPr>
        <w:suppressAutoHyphens w:val="0"/>
        <w:kinsoku/>
        <w:overflowPunct/>
        <w:autoSpaceDE/>
        <w:autoSpaceDN/>
        <w:adjustRightInd/>
        <w:snapToGrid/>
        <w:spacing w:after="200" w:line="276" w:lineRule="auto"/>
        <w:rPr>
          <w:rFonts w:eastAsia="Times New Roman"/>
          <w:b/>
          <w:sz w:val="28"/>
          <w:lang w:val="fr-FR"/>
        </w:rPr>
      </w:pPr>
      <w:r>
        <w:rPr>
          <w:rFonts w:eastAsia="Times New Roman"/>
          <w:b/>
          <w:sz w:val="28"/>
          <w:lang w:val="fr-FR"/>
        </w:rPr>
        <w:br w:type="page"/>
      </w:r>
    </w:p>
    <w:p w14:paraId="605DB06E" w14:textId="77777777" w:rsidR="003F1C55" w:rsidRPr="004C2A3C" w:rsidRDefault="003F1C55" w:rsidP="003F1C55">
      <w:pPr>
        <w:keepNext/>
        <w:keepLines/>
        <w:tabs>
          <w:tab w:val="right" w:pos="851"/>
        </w:tabs>
        <w:spacing w:before="360" w:after="240" w:line="300" w:lineRule="exact"/>
        <w:ind w:left="1134" w:right="1134" w:hanging="1134"/>
        <w:rPr>
          <w:rFonts w:eastAsia="Times New Roman"/>
          <w:b/>
          <w:sz w:val="28"/>
          <w:lang w:val="fr-FR"/>
        </w:rPr>
      </w:pPr>
      <w:r w:rsidRPr="004C2A3C">
        <w:rPr>
          <w:rFonts w:eastAsia="Times New Roman"/>
          <w:b/>
          <w:sz w:val="28"/>
          <w:lang w:val="fr-FR"/>
        </w:rPr>
        <w:tab/>
      </w:r>
      <w:r w:rsidRPr="004C2A3C">
        <w:rPr>
          <w:rFonts w:eastAsia="Times New Roman"/>
          <w:b/>
          <w:sz w:val="28"/>
          <w:lang w:val="fr-FR"/>
        </w:rPr>
        <w:tab/>
        <w:t>Annexe 3</w:t>
      </w:r>
    </w:p>
    <w:p w14:paraId="05464787" w14:textId="77777777" w:rsidR="003F1C55" w:rsidRPr="004C2A3C" w:rsidRDefault="003F1C55" w:rsidP="003F1C55">
      <w:pPr>
        <w:keepNext/>
        <w:keepLines/>
        <w:tabs>
          <w:tab w:val="right" w:pos="851"/>
        </w:tabs>
        <w:spacing w:before="360" w:after="240" w:line="270" w:lineRule="exact"/>
        <w:ind w:left="1134" w:right="1134" w:hanging="1134"/>
        <w:rPr>
          <w:rFonts w:eastAsia="Times New Roman"/>
          <w:b/>
          <w:sz w:val="24"/>
        </w:rPr>
      </w:pPr>
      <w:r w:rsidRPr="004C2A3C">
        <w:rPr>
          <w:rFonts w:eastAsia="Times New Roman"/>
          <w:b/>
          <w:sz w:val="24"/>
        </w:rPr>
        <w:tab/>
      </w:r>
      <w:r w:rsidRPr="004C2A3C">
        <w:rPr>
          <w:rFonts w:eastAsia="Times New Roman"/>
          <w:b/>
          <w:sz w:val="24"/>
        </w:rPr>
        <w:tab/>
        <w:t>Section 1, Tableau A3.1.2</w:t>
      </w:r>
    </w:p>
    <w:p w14:paraId="7432B82B" w14:textId="77777777" w:rsidR="003F1C55" w:rsidRPr="004C2A3C" w:rsidRDefault="003F1C55" w:rsidP="003F1C55">
      <w:pPr>
        <w:keepNext/>
        <w:keepLines/>
        <w:tabs>
          <w:tab w:val="right" w:pos="851"/>
        </w:tabs>
        <w:spacing w:before="240" w:after="120" w:line="240" w:lineRule="exact"/>
        <w:ind w:left="1134" w:right="1134" w:hanging="1134"/>
        <w:rPr>
          <w:rFonts w:eastAsia="Times New Roman"/>
          <w:b/>
          <w:lang w:val="fr-FR"/>
        </w:rPr>
      </w:pPr>
      <w:r w:rsidRPr="004C2A3C">
        <w:rPr>
          <w:rFonts w:eastAsia="Times New Roman"/>
          <w:b/>
          <w:lang w:val="fr-FR"/>
        </w:rPr>
        <w:tab/>
      </w:r>
      <w:r w:rsidRPr="004C2A3C">
        <w:rPr>
          <w:rFonts w:eastAsia="Times New Roman"/>
          <w:b/>
          <w:lang w:val="fr-FR"/>
        </w:rPr>
        <w:tab/>
        <w:t>Code H317, colonne (3)</w:t>
      </w:r>
    </w:p>
    <w:p w14:paraId="58D03751" w14:textId="77777777" w:rsidR="003F1C55" w:rsidRPr="004C2A3C" w:rsidRDefault="003F1C55" w:rsidP="003F1C55">
      <w:pPr>
        <w:spacing w:after="120"/>
        <w:ind w:left="1134" w:right="1134"/>
        <w:jc w:val="both"/>
        <w:rPr>
          <w:rFonts w:eastAsia="Times New Roman"/>
          <w:lang w:val="fr-FR"/>
        </w:rPr>
      </w:pPr>
      <w:r w:rsidRPr="004C2A3C">
        <w:rPr>
          <w:rFonts w:eastAsia="Times New Roman"/>
          <w:lang w:val="fr-FR"/>
        </w:rPr>
        <w:t>Modification sans objet en français.</w:t>
      </w:r>
    </w:p>
    <w:p w14:paraId="46E6F544" w14:textId="77777777" w:rsidR="003F1C55" w:rsidRPr="004C2A3C" w:rsidRDefault="003F1C55" w:rsidP="003F1C55">
      <w:pPr>
        <w:spacing w:after="120"/>
        <w:ind w:left="1134" w:right="1134"/>
        <w:jc w:val="both"/>
        <w:rPr>
          <w:rFonts w:eastAsia="Times New Roman"/>
          <w:lang w:val="fr-FR"/>
        </w:rPr>
      </w:pPr>
      <w:r w:rsidRPr="004C2A3C">
        <w:rPr>
          <w:rFonts w:eastAsia="Times New Roman"/>
          <w:i/>
          <w:iCs/>
          <w:lang w:val="fr-FR"/>
        </w:rPr>
        <w:t xml:space="preserve">(Document de référence : </w:t>
      </w:r>
      <w:r w:rsidRPr="004C2A3C">
        <w:rPr>
          <w:rFonts w:eastAsia="Times New Roman"/>
          <w:i/>
          <w:iCs/>
        </w:rPr>
        <w:t>ST/SG/AC.10/C.4/2021/2, paragraphes 31 à 34)</w:t>
      </w:r>
    </w:p>
    <w:p w14:paraId="255C1F8D" w14:textId="77777777" w:rsidR="003F1C55" w:rsidRPr="004C2A3C" w:rsidRDefault="003F1C55" w:rsidP="003F1C55">
      <w:pPr>
        <w:keepNext/>
        <w:keepLines/>
        <w:tabs>
          <w:tab w:val="right" w:pos="851"/>
        </w:tabs>
        <w:spacing w:before="240" w:after="120" w:line="240" w:lineRule="exact"/>
        <w:ind w:left="1134" w:right="1134" w:hanging="1134"/>
        <w:rPr>
          <w:rFonts w:eastAsia="Times New Roman"/>
          <w:b/>
          <w:lang w:val="fr-FR"/>
        </w:rPr>
      </w:pPr>
      <w:r w:rsidRPr="004C2A3C">
        <w:rPr>
          <w:rFonts w:eastAsia="Times New Roman"/>
          <w:b/>
          <w:lang w:val="fr-FR"/>
        </w:rPr>
        <w:tab/>
      </w:r>
      <w:r w:rsidRPr="004C2A3C">
        <w:rPr>
          <w:rFonts w:eastAsia="Times New Roman"/>
          <w:b/>
          <w:lang w:val="fr-FR"/>
        </w:rPr>
        <w:tab/>
        <w:t>Code H334, colonne (3) </w:t>
      </w:r>
    </w:p>
    <w:p w14:paraId="5A3322A3" w14:textId="77777777" w:rsidR="003F1C55" w:rsidRPr="004C2A3C" w:rsidRDefault="003F1C55" w:rsidP="003F1C55">
      <w:pPr>
        <w:spacing w:after="120" w:line="240" w:lineRule="auto"/>
        <w:ind w:left="1134" w:right="992"/>
        <w:jc w:val="both"/>
        <w:rPr>
          <w:rFonts w:eastAsia="Times New Roman"/>
          <w:lang w:val="fr-FR"/>
        </w:rPr>
      </w:pPr>
      <w:r w:rsidRPr="004C2A3C">
        <w:rPr>
          <w:rFonts w:eastAsia="Times New Roman"/>
          <w:lang w:val="fr-FR"/>
        </w:rPr>
        <w:t>Modification sans objet en français.</w:t>
      </w:r>
    </w:p>
    <w:p w14:paraId="76C4ACD1" w14:textId="77777777" w:rsidR="003F1C55" w:rsidRPr="004C2A3C" w:rsidRDefault="003F1C55" w:rsidP="003F1C55">
      <w:pPr>
        <w:spacing w:after="120"/>
        <w:ind w:left="1134" w:right="1134"/>
        <w:jc w:val="both"/>
        <w:rPr>
          <w:rFonts w:eastAsia="Times New Roman"/>
          <w:lang w:val="fr-FR"/>
        </w:rPr>
      </w:pPr>
      <w:r w:rsidRPr="004C2A3C">
        <w:rPr>
          <w:rFonts w:eastAsia="Times New Roman"/>
          <w:i/>
          <w:iCs/>
          <w:lang w:val="fr-FR"/>
        </w:rPr>
        <w:t xml:space="preserve">(Document de référence : </w:t>
      </w:r>
      <w:r w:rsidRPr="004C2A3C">
        <w:rPr>
          <w:rFonts w:eastAsia="Times New Roman"/>
          <w:i/>
          <w:iCs/>
        </w:rPr>
        <w:t>ST/SG/AC.10/C.4/2021/2, paragraphes 31 à 34)</w:t>
      </w:r>
    </w:p>
    <w:p w14:paraId="7226B373" w14:textId="77777777" w:rsidR="003F1C55" w:rsidRPr="004C2A3C" w:rsidRDefault="003F1C55" w:rsidP="003F1C55">
      <w:pPr>
        <w:keepNext/>
        <w:keepLines/>
        <w:tabs>
          <w:tab w:val="right" w:pos="851"/>
        </w:tabs>
        <w:spacing w:before="360" w:after="240" w:line="270" w:lineRule="exact"/>
        <w:ind w:left="1134" w:right="1134" w:hanging="1134"/>
        <w:rPr>
          <w:rFonts w:eastAsia="Times New Roman"/>
          <w:b/>
          <w:sz w:val="24"/>
        </w:rPr>
      </w:pPr>
      <w:r w:rsidRPr="004C2A3C">
        <w:rPr>
          <w:rFonts w:eastAsia="Times New Roman"/>
          <w:b/>
          <w:sz w:val="24"/>
        </w:rPr>
        <w:tab/>
      </w:r>
      <w:r w:rsidRPr="004C2A3C">
        <w:rPr>
          <w:rFonts w:eastAsia="Times New Roman"/>
          <w:b/>
          <w:sz w:val="24"/>
        </w:rPr>
        <w:tab/>
        <w:t>Section 2, Tableau A3.2.2</w:t>
      </w:r>
    </w:p>
    <w:p w14:paraId="51BF47C6" w14:textId="77777777" w:rsidR="003F1C55" w:rsidRPr="004C2A3C" w:rsidRDefault="003F1C55" w:rsidP="003F1C55">
      <w:pPr>
        <w:keepNext/>
        <w:keepLines/>
        <w:tabs>
          <w:tab w:val="right" w:pos="851"/>
        </w:tabs>
        <w:spacing w:before="240" w:after="120" w:line="240" w:lineRule="exact"/>
        <w:ind w:left="1134" w:right="1134" w:hanging="1134"/>
        <w:rPr>
          <w:rFonts w:eastAsia="Times New Roman"/>
          <w:b/>
          <w:lang w:val="fr-FR"/>
        </w:rPr>
      </w:pPr>
      <w:r w:rsidRPr="004C2A3C">
        <w:rPr>
          <w:rFonts w:eastAsia="Times New Roman"/>
          <w:b/>
          <w:lang w:val="fr-FR"/>
        </w:rPr>
        <w:tab/>
      </w:r>
      <w:r w:rsidRPr="004C2A3C">
        <w:rPr>
          <w:rFonts w:eastAsia="Times New Roman"/>
          <w:b/>
          <w:lang w:val="fr-FR"/>
        </w:rPr>
        <w:tab/>
        <w:t xml:space="preserve">P262, colonne (4) </w:t>
      </w:r>
    </w:p>
    <w:p w14:paraId="323160A8" w14:textId="77777777" w:rsidR="003F1C55" w:rsidRPr="004C2A3C" w:rsidRDefault="003F1C55" w:rsidP="003F1C55">
      <w:pPr>
        <w:spacing w:after="120"/>
        <w:ind w:left="1134" w:right="1134"/>
        <w:jc w:val="both"/>
        <w:rPr>
          <w:rFonts w:eastAsia="Times New Roman"/>
          <w:lang w:val="fr-FR"/>
        </w:rPr>
      </w:pPr>
      <w:r w:rsidRPr="004C2A3C">
        <w:rPr>
          <w:rFonts w:eastAsia="Times New Roman"/>
          <w:lang w:val="fr-FR"/>
        </w:rPr>
        <w:t xml:space="preserve">Ajouter « 3 » après « 1, 2 » </w:t>
      </w:r>
    </w:p>
    <w:p w14:paraId="2B55CBD3" w14:textId="77777777" w:rsidR="003F1C55" w:rsidRPr="004C2A3C" w:rsidRDefault="003F1C55" w:rsidP="003F1C55">
      <w:pPr>
        <w:spacing w:after="120"/>
        <w:ind w:left="1134" w:right="1134"/>
        <w:jc w:val="both"/>
        <w:rPr>
          <w:rFonts w:eastAsia="Times New Roman"/>
          <w:lang w:val="fr-FR"/>
        </w:rPr>
      </w:pPr>
      <w:r w:rsidRPr="004C2A3C">
        <w:rPr>
          <w:rFonts w:eastAsia="Times New Roman"/>
          <w:i/>
          <w:iCs/>
          <w:lang w:val="fr-FR"/>
        </w:rPr>
        <w:t xml:space="preserve">(Document de référence : </w:t>
      </w:r>
      <w:r w:rsidRPr="004C2A3C">
        <w:rPr>
          <w:rFonts w:eastAsia="Times New Roman"/>
          <w:i/>
          <w:iCs/>
        </w:rPr>
        <w:t>ST/SG/AC.10/C.4/2021/2, paragraphes 6 à 9)</w:t>
      </w:r>
    </w:p>
    <w:p w14:paraId="15791960" w14:textId="77777777" w:rsidR="003F1C55" w:rsidRPr="004C2A3C" w:rsidRDefault="003F1C55" w:rsidP="003F1C55">
      <w:pPr>
        <w:keepNext/>
        <w:keepLines/>
        <w:tabs>
          <w:tab w:val="right" w:pos="851"/>
        </w:tabs>
        <w:spacing w:before="240" w:after="120" w:line="240" w:lineRule="exact"/>
        <w:ind w:left="1134" w:right="1134" w:hanging="1134"/>
        <w:rPr>
          <w:rFonts w:eastAsia="Times New Roman"/>
          <w:b/>
          <w:lang w:val="fr-FR"/>
        </w:rPr>
      </w:pPr>
      <w:r w:rsidRPr="004C2A3C">
        <w:rPr>
          <w:rFonts w:eastAsia="Times New Roman"/>
          <w:b/>
          <w:lang w:val="fr-FR"/>
        </w:rPr>
        <w:tab/>
      </w:r>
      <w:r w:rsidRPr="004C2A3C">
        <w:rPr>
          <w:rFonts w:eastAsia="Times New Roman"/>
          <w:b/>
          <w:lang w:val="fr-FR"/>
        </w:rPr>
        <w:tab/>
        <w:t xml:space="preserve">P264 et P270, colonne (4) </w:t>
      </w:r>
    </w:p>
    <w:p w14:paraId="61CF226F" w14:textId="77777777" w:rsidR="003F1C55" w:rsidRPr="004C2A3C" w:rsidRDefault="003F1C55" w:rsidP="003F1C55">
      <w:pPr>
        <w:spacing w:after="120"/>
        <w:ind w:left="1134" w:right="1134"/>
        <w:jc w:val="both"/>
        <w:rPr>
          <w:rFonts w:eastAsia="Times New Roman"/>
          <w:lang w:val="fr-FR"/>
        </w:rPr>
      </w:pPr>
      <w:r w:rsidRPr="004C2A3C">
        <w:rPr>
          <w:rFonts w:eastAsia="Times New Roman"/>
          <w:lang w:val="fr-FR"/>
        </w:rPr>
        <w:t xml:space="preserve">Pour la classe de danger « Toxicité aiguë, cutanée » ajouter « 3 » après « 1, 2 » </w:t>
      </w:r>
    </w:p>
    <w:p w14:paraId="6268DCC1" w14:textId="77777777" w:rsidR="003F1C55" w:rsidRPr="004C2A3C" w:rsidRDefault="003F1C55" w:rsidP="003F1C55">
      <w:pPr>
        <w:spacing w:after="120"/>
        <w:ind w:left="1134" w:right="1134"/>
        <w:jc w:val="both"/>
        <w:rPr>
          <w:rFonts w:eastAsia="Times New Roman"/>
          <w:i/>
          <w:iCs/>
        </w:rPr>
      </w:pPr>
      <w:r w:rsidRPr="004C2A3C">
        <w:rPr>
          <w:rFonts w:eastAsia="Times New Roman"/>
          <w:i/>
          <w:iCs/>
          <w:lang w:val="fr-FR"/>
        </w:rPr>
        <w:t xml:space="preserve">(Document de référence : </w:t>
      </w:r>
      <w:r w:rsidRPr="004C2A3C">
        <w:rPr>
          <w:rFonts w:eastAsia="Times New Roman"/>
          <w:i/>
          <w:iCs/>
        </w:rPr>
        <w:t>ST/SG/AC.10/C.4/2021/2, paragraphes 6 à 9)</w:t>
      </w:r>
    </w:p>
    <w:p w14:paraId="6BE9CF8C" w14:textId="77777777" w:rsidR="003F1C55" w:rsidRPr="004C2A3C" w:rsidRDefault="003F1C55" w:rsidP="003F1C55">
      <w:pPr>
        <w:keepNext/>
        <w:keepLines/>
        <w:tabs>
          <w:tab w:val="right" w:pos="851"/>
        </w:tabs>
        <w:spacing w:before="360" w:after="240" w:line="270" w:lineRule="exact"/>
        <w:ind w:left="1134" w:right="1134" w:hanging="1134"/>
        <w:rPr>
          <w:rFonts w:eastAsia="Times New Roman"/>
          <w:b/>
          <w:sz w:val="24"/>
        </w:rPr>
      </w:pPr>
      <w:r w:rsidRPr="004C2A3C">
        <w:rPr>
          <w:rFonts w:eastAsia="Times New Roman"/>
          <w:b/>
          <w:sz w:val="24"/>
        </w:rPr>
        <w:tab/>
      </w:r>
      <w:r w:rsidRPr="004C2A3C">
        <w:rPr>
          <w:rFonts w:eastAsia="Times New Roman"/>
          <w:b/>
          <w:sz w:val="24"/>
        </w:rPr>
        <w:tab/>
      </w:r>
      <w:r w:rsidRPr="004C2A3C">
        <w:rPr>
          <w:rFonts w:eastAsia="Times New Roman"/>
          <w:b/>
          <w:sz w:val="24"/>
        </w:rPr>
        <w:tab/>
        <w:t>Section 3</w:t>
      </w:r>
    </w:p>
    <w:p w14:paraId="03CC1C3C" w14:textId="77777777" w:rsidR="003F1C55" w:rsidRPr="004C2A3C" w:rsidRDefault="003F1C55" w:rsidP="003F1C55">
      <w:pPr>
        <w:keepNext/>
        <w:keepLines/>
        <w:tabs>
          <w:tab w:val="right" w:pos="851"/>
        </w:tabs>
        <w:spacing w:before="240" w:after="120" w:line="240" w:lineRule="exact"/>
        <w:ind w:left="1134" w:right="1134" w:hanging="1134"/>
        <w:rPr>
          <w:rFonts w:eastAsia="Times New Roman"/>
          <w:b/>
        </w:rPr>
      </w:pPr>
      <w:r w:rsidRPr="004C2A3C">
        <w:rPr>
          <w:rFonts w:eastAsia="Times New Roman"/>
          <w:b/>
        </w:rPr>
        <w:tab/>
      </w:r>
      <w:r w:rsidRPr="004C2A3C">
        <w:rPr>
          <w:rFonts w:eastAsia="Times New Roman"/>
          <w:b/>
        </w:rPr>
        <w:tab/>
        <w:t xml:space="preserve">Tableaux relatifs aux gaz inflammables (Chapitre 2.2) </w:t>
      </w:r>
    </w:p>
    <w:p w14:paraId="4863CC57" w14:textId="77777777" w:rsidR="003F1C55" w:rsidRPr="004C2A3C" w:rsidRDefault="003F1C55" w:rsidP="003F1C55">
      <w:pPr>
        <w:spacing w:after="120"/>
        <w:ind w:left="1134" w:right="1134"/>
        <w:jc w:val="both"/>
        <w:rPr>
          <w:rFonts w:eastAsia="Times New Roman"/>
        </w:rPr>
      </w:pPr>
      <w:r w:rsidRPr="004C2A3C">
        <w:rPr>
          <w:rFonts w:eastAsia="Times New Roman"/>
        </w:rPr>
        <w:t>Supprimer les notes sous les tableaux pour les gaz pyrophoriques et gaz chimiquement instables</w:t>
      </w:r>
    </w:p>
    <w:p w14:paraId="37A2F554" w14:textId="77777777" w:rsidR="003F1C55" w:rsidRPr="004C2A3C" w:rsidRDefault="003F1C55" w:rsidP="003F1C55">
      <w:pPr>
        <w:spacing w:after="120"/>
        <w:ind w:left="1134" w:right="1134"/>
        <w:jc w:val="both"/>
        <w:rPr>
          <w:rFonts w:eastAsia="Times New Roman"/>
        </w:rPr>
      </w:pPr>
      <w:r w:rsidRPr="004C2A3C">
        <w:rPr>
          <w:rFonts w:eastAsia="Times New Roman"/>
          <w:i/>
          <w:iCs/>
          <w:lang w:val="fr-FR"/>
        </w:rPr>
        <w:t xml:space="preserve">(Document de référence : </w:t>
      </w:r>
      <w:r w:rsidRPr="004C2A3C">
        <w:rPr>
          <w:rFonts w:eastAsia="Times New Roman"/>
          <w:i/>
          <w:iCs/>
        </w:rPr>
        <w:t>ST/SG/AC.10/C.4/2021/2 tel que modifié par le document informel INF.19)</w:t>
      </w:r>
    </w:p>
    <w:p w14:paraId="01AA7B8D" w14:textId="77777777" w:rsidR="003F1C55" w:rsidRPr="004C2A3C" w:rsidRDefault="003F1C55" w:rsidP="003F1C55">
      <w:pPr>
        <w:keepNext/>
        <w:keepLines/>
        <w:tabs>
          <w:tab w:val="right" w:pos="851"/>
        </w:tabs>
        <w:spacing w:before="240" w:after="120" w:line="240" w:lineRule="exact"/>
        <w:ind w:left="1134" w:right="1134" w:hanging="1134"/>
        <w:rPr>
          <w:rFonts w:eastAsia="Times New Roman"/>
          <w:b/>
          <w:lang w:val="fr-FR"/>
        </w:rPr>
      </w:pPr>
      <w:r w:rsidRPr="004C2A3C">
        <w:rPr>
          <w:rFonts w:eastAsia="Times New Roman"/>
          <w:b/>
          <w:lang w:val="fr-FR"/>
        </w:rPr>
        <w:tab/>
      </w:r>
      <w:r w:rsidRPr="004C2A3C">
        <w:rPr>
          <w:rFonts w:eastAsia="Times New Roman"/>
          <w:b/>
          <w:lang w:val="fr-FR"/>
        </w:rPr>
        <w:tab/>
        <w:t>Tableau relatif à la « Toxicité aiguë − par contact cutané (chapitre 3.1) », catégorie de danger 3, colonne « Prévention »</w:t>
      </w:r>
    </w:p>
    <w:p w14:paraId="04527025" w14:textId="77777777" w:rsidR="003F1C55" w:rsidRPr="004C2A3C" w:rsidRDefault="003F1C55" w:rsidP="003F1C55">
      <w:pPr>
        <w:spacing w:after="120"/>
        <w:ind w:left="1134" w:right="1134"/>
        <w:jc w:val="both"/>
        <w:rPr>
          <w:rFonts w:eastAsia="Times New Roman"/>
          <w:lang w:val="fr-FR"/>
        </w:rPr>
      </w:pPr>
      <w:r w:rsidRPr="004C2A3C">
        <w:rPr>
          <w:rFonts w:eastAsia="Times New Roman"/>
          <w:lang w:val="fr-FR"/>
        </w:rPr>
        <w:t>Ajouter les rubriques suivantes :</w:t>
      </w:r>
    </w:p>
    <w:p w14:paraId="69A4FD74" w14:textId="77777777" w:rsidR="003F1C55" w:rsidRPr="004C2A3C" w:rsidRDefault="003F1C55" w:rsidP="003F1C55">
      <w:pPr>
        <w:spacing w:line="240" w:lineRule="auto"/>
        <w:ind w:left="1985" w:hanging="284"/>
        <w:jc w:val="both"/>
        <w:rPr>
          <w:rFonts w:eastAsia="Times New Roman"/>
          <w:b/>
          <w:bCs/>
          <w:lang w:val="fr-FR"/>
        </w:rPr>
      </w:pPr>
      <w:r w:rsidRPr="004C2A3C">
        <w:rPr>
          <w:rFonts w:eastAsia="Times New Roman"/>
          <w:lang w:val="fr-FR"/>
        </w:rPr>
        <w:t>« P262</w:t>
      </w:r>
    </w:p>
    <w:p w14:paraId="799C3CF2" w14:textId="77777777" w:rsidR="003F1C55" w:rsidRPr="004C2A3C" w:rsidRDefault="003F1C55" w:rsidP="003F1C55">
      <w:pPr>
        <w:spacing w:after="120"/>
        <w:ind w:left="1985" w:hanging="284"/>
        <w:jc w:val="both"/>
        <w:rPr>
          <w:rFonts w:eastAsia="Times New Roman"/>
          <w:b/>
          <w:bCs/>
          <w:lang w:val="fr-FR"/>
        </w:rPr>
      </w:pPr>
      <w:r w:rsidRPr="004C2A3C">
        <w:rPr>
          <w:rFonts w:eastAsia="Times New Roman"/>
          <w:b/>
          <w:bCs/>
          <w:lang w:val="fr-FR"/>
        </w:rPr>
        <w:t>Éviter tout contact avec les yeux, la peau ou les vêtements.</w:t>
      </w:r>
    </w:p>
    <w:p w14:paraId="79DAFD75" w14:textId="77777777" w:rsidR="003F1C55" w:rsidRPr="004C2A3C" w:rsidRDefault="003F1C55" w:rsidP="003F1C55">
      <w:pPr>
        <w:spacing w:line="240" w:lineRule="auto"/>
        <w:ind w:left="1985" w:hanging="284"/>
        <w:jc w:val="both"/>
        <w:rPr>
          <w:rFonts w:eastAsia="Times New Roman"/>
          <w:lang w:val="fr-FR"/>
        </w:rPr>
      </w:pPr>
      <w:r w:rsidRPr="004C2A3C">
        <w:rPr>
          <w:rFonts w:eastAsia="Times New Roman"/>
          <w:lang w:val="fr-FR"/>
        </w:rPr>
        <w:t>P264</w:t>
      </w:r>
    </w:p>
    <w:p w14:paraId="613A60EC" w14:textId="77777777" w:rsidR="003F1C55" w:rsidRPr="004C2A3C" w:rsidRDefault="003F1C55" w:rsidP="003F1C55">
      <w:pPr>
        <w:suppressAutoHyphens w:val="0"/>
        <w:kinsoku/>
        <w:overflowPunct/>
        <w:autoSpaceDE/>
        <w:autoSpaceDN/>
        <w:adjustRightInd/>
        <w:snapToGrid/>
        <w:spacing w:line="240" w:lineRule="auto"/>
        <w:ind w:left="1701"/>
        <w:jc w:val="both"/>
        <w:rPr>
          <w:b/>
          <w:bCs/>
          <w:lang w:val="fr-FR"/>
        </w:rPr>
      </w:pPr>
      <w:r w:rsidRPr="004C2A3C">
        <w:rPr>
          <w:b/>
          <w:bCs/>
          <w:lang w:val="fr-FR"/>
        </w:rPr>
        <w:t>Se laver les mains [et...] soigneusement après manipulation.</w:t>
      </w:r>
    </w:p>
    <w:p w14:paraId="17A51B79" w14:textId="77777777" w:rsidR="003F1C55" w:rsidRPr="004C2A3C" w:rsidRDefault="003F1C55" w:rsidP="003F1C55">
      <w:pPr>
        <w:spacing w:after="120"/>
        <w:ind w:left="1701" w:right="1134"/>
        <w:jc w:val="both"/>
        <w:rPr>
          <w:rFonts w:eastAsia="Times New Roman"/>
          <w:lang w:val="fr-FR"/>
        </w:rPr>
      </w:pPr>
      <w:r w:rsidRPr="004C2A3C">
        <w:rPr>
          <w:rFonts w:eastAsia="Times New Roman"/>
          <w:lang w:val="fr-FR"/>
        </w:rPr>
        <w:t>− Le texte entre crochets doit être utilisé lorsque le fabriquant/fournisseur ou l</w:t>
      </w:r>
      <w:r>
        <w:rPr>
          <w:rFonts w:eastAsia="Times New Roman"/>
          <w:lang w:val="fr-FR"/>
        </w:rPr>
        <w:t>’</w:t>
      </w:r>
      <w:r w:rsidRPr="004C2A3C">
        <w:rPr>
          <w:rFonts w:eastAsia="Times New Roman"/>
          <w:lang w:val="fr-FR"/>
        </w:rPr>
        <w:t>autorité compétente précise que d</w:t>
      </w:r>
      <w:r>
        <w:rPr>
          <w:rFonts w:eastAsia="Times New Roman"/>
          <w:lang w:val="fr-FR"/>
        </w:rPr>
        <w:t>’</w:t>
      </w:r>
      <w:r w:rsidRPr="004C2A3C">
        <w:rPr>
          <w:rFonts w:eastAsia="Times New Roman"/>
          <w:lang w:val="fr-FR"/>
        </w:rPr>
        <w:t>autres parties du corps doivent être lavées après manipulation.</w:t>
      </w:r>
    </w:p>
    <w:p w14:paraId="341BAD5A" w14:textId="77777777" w:rsidR="003F1C55" w:rsidRPr="004C2A3C" w:rsidRDefault="003F1C55" w:rsidP="003F1C55">
      <w:pPr>
        <w:spacing w:line="240" w:lineRule="auto"/>
        <w:ind w:left="1701"/>
        <w:jc w:val="both"/>
        <w:rPr>
          <w:rFonts w:eastAsia="Times New Roman"/>
          <w:lang w:val="fr-FR"/>
        </w:rPr>
      </w:pPr>
      <w:r w:rsidRPr="004C2A3C">
        <w:rPr>
          <w:rFonts w:eastAsia="Times New Roman"/>
          <w:lang w:val="fr-FR"/>
        </w:rPr>
        <w:t>P270</w:t>
      </w:r>
    </w:p>
    <w:p w14:paraId="24D6189C" w14:textId="77777777" w:rsidR="003F1C55" w:rsidRPr="004C2A3C" w:rsidRDefault="003F1C55" w:rsidP="003F1C55">
      <w:pPr>
        <w:spacing w:after="120"/>
        <w:ind w:left="1701"/>
        <w:jc w:val="both"/>
        <w:rPr>
          <w:rFonts w:eastAsia="Times New Roman"/>
          <w:lang w:val="fr-FR"/>
        </w:rPr>
      </w:pPr>
      <w:r w:rsidRPr="004C2A3C">
        <w:rPr>
          <w:rFonts w:eastAsia="Times New Roman"/>
          <w:b/>
          <w:bCs/>
          <w:lang w:val="fr-FR"/>
        </w:rPr>
        <w:t>Ne pas manger, boire ou fumer en manipulant ce produit.</w:t>
      </w:r>
      <w:r w:rsidRPr="004C2A3C">
        <w:rPr>
          <w:rFonts w:eastAsia="Times New Roman"/>
          <w:lang w:val="fr-FR"/>
        </w:rPr>
        <w:t> ».</w:t>
      </w:r>
    </w:p>
    <w:p w14:paraId="447AD404" w14:textId="77777777" w:rsidR="003F1C55" w:rsidRPr="004C2A3C" w:rsidRDefault="003F1C55" w:rsidP="003F1C55">
      <w:pPr>
        <w:spacing w:after="120"/>
        <w:ind w:left="1134" w:right="1134"/>
        <w:jc w:val="both"/>
        <w:rPr>
          <w:rFonts w:eastAsia="Times New Roman"/>
        </w:rPr>
      </w:pPr>
      <w:r w:rsidRPr="004C2A3C">
        <w:rPr>
          <w:rFonts w:eastAsia="Times New Roman"/>
          <w:i/>
          <w:iCs/>
          <w:lang w:val="fr-FR"/>
        </w:rPr>
        <w:t xml:space="preserve">(Document de référence : </w:t>
      </w:r>
      <w:r w:rsidRPr="004C2A3C">
        <w:rPr>
          <w:rFonts w:eastAsia="Times New Roman"/>
          <w:i/>
          <w:iCs/>
        </w:rPr>
        <w:t>ST/SG/AC.10/C.4/2021/2, paragraphes 6 à 9)</w:t>
      </w:r>
    </w:p>
    <w:p w14:paraId="372471E6" w14:textId="77777777" w:rsidR="003F1C55" w:rsidRPr="004C2A3C" w:rsidRDefault="003F1C55" w:rsidP="003F1C55">
      <w:pPr>
        <w:keepNext/>
        <w:keepLines/>
        <w:tabs>
          <w:tab w:val="right" w:pos="851"/>
        </w:tabs>
        <w:spacing w:before="240" w:after="120" w:line="240" w:lineRule="exact"/>
        <w:ind w:left="1134" w:right="1134" w:hanging="1134"/>
        <w:rPr>
          <w:rFonts w:eastAsia="Times New Roman"/>
          <w:b/>
          <w:lang w:val="fr-FR"/>
        </w:rPr>
      </w:pPr>
      <w:r w:rsidRPr="004C2A3C">
        <w:rPr>
          <w:rFonts w:eastAsia="Times New Roman"/>
          <w:b/>
          <w:lang w:val="fr-FR"/>
        </w:rPr>
        <w:tab/>
      </w:r>
      <w:r w:rsidRPr="004C2A3C">
        <w:rPr>
          <w:rFonts w:eastAsia="Times New Roman"/>
          <w:b/>
          <w:lang w:val="fr-FR"/>
        </w:rPr>
        <w:tab/>
        <w:t xml:space="preserve">Tableaux relatifs à la sensibilisation respiratoire et à la sensibilisation cutanée (Chapitre 3.4) </w:t>
      </w:r>
    </w:p>
    <w:p w14:paraId="0C32533C" w14:textId="77777777" w:rsidR="003F1C55" w:rsidRPr="004C2A3C" w:rsidRDefault="003F1C55" w:rsidP="003F1C55">
      <w:pPr>
        <w:spacing w:after="120"/>
        <w:ind w:left="1134" w:right="1134"/>
        <w:jc w:val="both"/>
        <w:rPr>
          <w:rFonts w:eastAsia="Times New Roman"/>
          <w:lang w:val="fr-FR"/>
        </w:rPr>
      </w:pPr>
      <w:r w:rsidRPr="004C2A3C">
        <w:rPr>
          <w:rFonts w:eastAsia="Times New Roman"/>
          <w:lang w:val="fr-FR"/>
        </w:rPr>
        <w:t>Modification sans objet en français.</w:t>
      </w:r>
    </w:p>
    <w:p w14:paraId="01AFCDA3" w14:textId="77777777" w:rsidR="003F1C55" w:rsidRPr="004C2A3C" w:rsidRDefault="003F1C55" w:rsidP="003F1C55">
      <w:pPr>
        <w:spacing w:after="120"/>
        <w:ind w:left="1134" w:right="1134"/>
        <w:jc w:val="both"/>
        <w:rPr>
          <w:rFonts w:eastAsia="Times New Roman"/>
          <w:lang w:val="fr-FR"/>
        </w:rPr>
      </w:pPr>
      <w:r w:rsidRPr="004C2A3C">
        <w:rPr>
          <w:rFonts w:eastAsia="Times New Roman"/>
          <w:i/>
          <w:iCs/>
          <w:lang w:val="fr-FR"/>
        </w:rPr>
        <w:t xml:space="preserve">(Document de référence : </w:t>
      </w:r>
      <w:r w:rsidRPr="004C2A3C">
        <w:rPr>
          <w:rFonts w:eastAsia="Times New Roman"/>
          <w:i/>
          <w:iCs/>
        </w:rPr>
        <w:t>ST/SG/AC.10/C.4/2021/2, paragraphes 31 à 34)</w:t>
      </w:r>
    </w:p>
    <w:p w14:paraId="50709977" w14:textId="77777777" w:rsidR="003F1C55" w:rsidRPr="004C2A3C" w:rsidRDefault="003F1C55" w:rsidP="003F1C55">
      <w:pPr>
        <w:tabs>
          <w:tab w:val="left" w:pos="1560"/>
        </w:tabs>
        <w:spacing w:after="240"/>
        <w:ind w:left="1134" w:right="1134"/>
        <w:jc w:val="both"/>
        <w:rPr>
          <w:rFonts w:eastAsia="Times New Roman"/>
          <w:i/>
          <w:color w:val="000000" w:themeColor="text1"/>
          <w:lang w:val="fr-FR"/>
        </w:rPr>
      </w:pPr>
      <w:r w:rsidRPr="004C2A3C">
        <w:rPr>
          <w:rFonts w:eastAsia="Times New Roman"/>
          <w:i/>
          <w:color w:val="000000" w:themeColor="text1"/>
          <w:lang w:val="fr-FR"/>
        </w:rPr>
        <w:br w:type="page"/>
      </w:r>
    </w:p>
    <w:p w14:paraId="0ABC4D5E" w14:textId="77777777" w:rsidR="003F1C55" w:rsidRPr="004C2A3C" w:rsidRDefault="003F1C55" w:rsidP="003F1C55">
      <w:pPr>
        <w:keepNext/>
        <w:keepLines/>
        <w:tabs>
          <w:tab w:val="right" w:pos="851"/>
          <w:tab w:val="left" w:pos="1134"/>
          <w:tab w:val="left" w:pos="1701"/>
          <w:tab w:val="left" w:pos="2268"/>
          <w:tab w:val="left" w:pos="2988"/>
          <w:tab w:val="left" w:pos="5670"/>
        </w:tabs>
        <w:spacing w:before="360" w:after="240" w:line="300" w:lineRule="exact"/>
        <w:ind w:left="1134" w:right="1134" w:hanging="1134"/>
        <w:rPr>
          <w:rFonts w:eastAsia="Times New Roman"/>
          <w:bCs/>
          <w:sz w:val="28"/>
          <w:lang w:val="fr-FR"/>
        </w:rPr>
      </w:pPr>
      <w:r w:rsidRPr="004C2A3C">
        <w:rPr>
          <w:rFonts w:eastAsia="Times New Roman"/>
          <w:b/>
          <w:sz w:val="28"/>
          <w:lang w:val="fr-FR"/>
        </w:rPr>
        <w:tab/>
      </w:r>
      <w:r w:rsidRPr="004C2A3C">
        <w:rPr>
          <w:rFonts w:eastAsia="Times New Roman"/>
          <w:b/>
          <w:sz w:val="28"/>
          <w:lang w:val="fr-FR"/>
        </w:rPr>
        <w:tab/>
        <w:t>Annexe II</w:t>
      </w:r>
      <w:r w:rsidRPr="004C2A3C">
        <w:rPr>
          <w:rFonts w:eastAsia="Times New Roman"/>
          <w:b/>
          <w:sz w:val="28"/>
          <w:lang w:val="fr-FR"/>
        </w:rPr>
        <w:tab/>
      </w:r>
      <w:r w:rsidRPr="004C2A3C">
        <w:rPr>
          <w:rFonts w:eastAsia="Times New Roman"/>
          <w:b/>
          <w:sz w:val="28"/>
          <w:lang w:val="fr-FR"/>
        </w:rPr>
        <w:tab/>
      </w:r>
      <w:r w:rsidRPr="004C2A3C">
        <w:rPr>
          <w:rFonts w:eastAsia="Times New Roman"/>
          <w:b/>
          <w:lang w:val="fr-FR"/>
        </w:rPr>
        <w:tab/>
      </w:r>
      <w:r w:rsidRPr="004C2A3C">
        <w:rPr>
          <w:rFonts w:eastAsia="Times New Roman"/>
          <w:bCs/>
          <w:lang w:val="fr-FR"/>
        </w:rPr>
        <w:t>[</w:t>
      </w:r>
      <w:proofErr w:type="gramStart"/>
      <w:r w:rsidRPr="004C2A3C">
        <w:rPr>
          <w:rFonts w:eastAsia="Times New Roman"/>
          <w:bCs/>
          <w:lang w:val="fr-FR"/>
        </w:rPr>
        <w:t>Original:</w:t>
      </w:r>
      <w:proofErr w:type="gramEnd"/>
      <w:r w:rsidRPr="004C2A3C">
        <w:rPr>
          <w:rFonts w:eastAsia="Times New Roman"/>
          <w:bCs/>
          <w:lang w:val="fr-FR"/>
        </w:rPr>
        <w:t xml:space="preserve"> anglais et français]</w:t>
      </w:r>
    </w:p>
    <w:p w14:paraId="74F0BF2D" w14:textId="77777777" w:rsidR="003F1C55" w:rsidRPr="004C2A3C" w:rsidRDefault="003F1C55" w:rsidP="003F1C55">
      <w:pPr>
        <w:keepNext/>
        <w:keepLines/>
        <w:tabs>
          <w:tab w:val="right" w:pos="851"/>
        </w:tabs>
        <w:spacing w:before="360" w:after="240" w:line="300" w:lineRule="exact"/>
        <w:ind w:left="1134" w:right="1134" w:hanging="1134"/>
        <w:rPr>
          <w:rFonts w:eastAsia="Times New Roman"/>
          <w:b/>
          <w:sz w:val="28"/>
          <w:lang w:val="fr-FR"/>
        </w:rPr>
      </w:pPr>
      <w:r w:rsidRPr="004C2A3C">
        <w:rPr>
          <w:rFonts w:eastAsia="Times New Roman"/>
          <w:b/>
          <w:sz w:val="28"/>
          <w:lang w:val="fr-FR"/>
        </w:rPr>
        <w:tab/>
      </w:r>
      <w:r w:rsidRPr="004C2A3C">
        <w:rPr>
          <w:rFonts w:eastAsia="Times New Roman"/>
          <w:b/>
          <w:sz w:val="28"/>
          <w:lang w:val="fr-FR"/>
        </w:rPr>
        <w:tab/>
        <w:t>Corrections à la neuvième édition révisée du Système général harmonisé de classification et d</w:t>
      </w:r>
      <w:r>
        <w:rPr>
          <w:rFonts w:eastAsia="Times New Roman"/>
          <w:b/>
          <w:sz w:val="28"/>
          <w:lang w:val="fr-FR"/>
        </w:rPr>
        <w:t>’</w:t>
      </w:r>
      <w:r w:rsidRPr="004C2A3C">
        <w:rPr>
          <w:rFonts w:eastAsia="Times New Roman"/>
          <w:b/>
          <w:sz w:val="28"/>
          <w:lang w:val="fr-FR"/>
        </w:rPr>
        <w:t>étiquetage des produits chimiques (ST/SG/AC.10/30/Rev.9)</w:t>
      </w:r>
    </w:p>
    <w:p w14:paraId="52E30BBF" w14:textId="77777777" w:rsidR="003F1C55" w:rsidRPr="004C2A3C" w:rsidRDefault="003F1C55" w:rsidP="003F1C55">
      <w:pPr>
        <w:keepNext/>
        <w:keepLines/>
        <w:tabs>
          <w:tab w:val="right" w:pos="851"/>
        </w:tabs>
        <w:spacing w:before="360" w:after="240" w:line="270" w:lineRule="exact"/>
        <w:ind w:left="1134" w:right="1134" w:hanging="1134"/>
        <w:rPr>
          <w:rFonts w:eastAsia="Times New Roman"/>
          <w:b/>
          <w:sz w:val="24"/>
          <w:lang w:val="fr-FR"/>
        </w:rPr>
      </w:pPr>
      <w:r w:rsidRPr="004C2A3C">
        <w:rPr>
          <w:rFonts w:eastAsia="Times New Roman"/>
          <w:b/>
          <w:sz w:val="24"/>
          <w:lang w:val="fr-FR"/>
        </w:rPr>
        <w:tab/>
      </w:r>
      <w:r w:rsidRPr="004C2A3C">
        <w:rPr>
          <w:rFonts w:eastAsia="Times New Roman"/>
          <w:b/>
          <w:sz w:val="24"/>
          <w:lang w:val="fr-FR"/>
        </w:rPr>
        <w:tab/>
        <w:t>Chapitre 2.17</w:t>
      </w:r>
    </w:p>
    <w:p w14:paraId="6B467587" w14:textId="77777777" w:rsidR="003F1C55" w:rsidRPr="004C2A3C" w:rsidRDefault="003F1C55" w:rsidP="003F1C55">
      <w:pPr>
        <w:spacing w:after="120"/>
        <w:ind w:left="1134" w:right="1134"/>
        <w:jc w:val="both"/>
        <w:rPr>
          <w:rFonts w:eastAsia="Times New Roman"/>
          <w:b/>
          <w:bCs/>
          <w:lang w:val="fr-FR"/>
        </w:rPr>
      </w:pPr>
      <w:r w:rsidRPr="004C2A3C">
        <w:rPr>
          <w:rFonts w:eastAsia="Times New Roman"/>
          <w:b/>
          <w:bCs/>
          <w:lang w:val="fr-FR"/>
        </w:rPr>
        <w:t>1.</w:t>
      </w:r>
      <w:r w:rsidRPr="004C2A3C">
        <w:rPr>
          <w:rFonts w:eastAsia="Times New Roman"/>
          <w:b/>
          <w:bCs/>
          <w:lang w:val="fr-FR"/>
        </w:rPr>
        <w:tab/>
        <w:t>Paragraphe 2.17.1.1, dernière phrase, texte entre parenthèses</w:t>
      </w:r>
    </w:p>
    <w:p w14:paraId="09179F67" w14:textId="77777777" w:rsidR="003F1C55" w:rsidRPr="004C2A3C" w:rsidRDefault="003F1C55" w:rsidP="003F1C55">
      <w:pPr>
        <w:spacing w:after="120"/>
        <w:ind w:left="1134" w:right="1134"/>
        <w:jc w:val="both"/>
        <w:rPr>
          <w:rFonts w:eastAsia="Times New Roman"/>
          <w:lang w:val="fr-FR"/>
        </w:rPr>
      </w:pPr>
      <w:r w:rsidRPr="004C2A3C">
        <w:rPr>
          <w:rFonts w:eastAsia="Times New Roman"/>
          <w:i/>
          <w:iCs/>
          <w:lang w:val="fr-FR"/>
        </w:rPr>
        <w:t xml:space="preserve">Au lieu de </w:t>
      </w:r>
      <w:r w:rsidRPr="004C2A3C">
        <w:rPr>
          <w:rFonts w:eastAsia="Times New Roman"/>
          <w:lang w:val="fr-FR"/>
        </w:rPr>
        <w:t xml:space="preserve">voir aussi le NOTA 2 du paragraphe 2.1.2.2 </w:t>
      </w:r>
      <w:r w:rsidRPr="004C2A3C">
        <w:rPr>
          <w:rFonts w:eastAsia="Times New Roman"/>
          <w:i/>
          <w:iCs/>
          <w:lang w:val="fr-FR"/>
        </w:rPr>
        <w:t xml:space="preserve">lire </w:t>
      </w:r>
      <w:r w:rsidRPr="004C2A3C">
        <w:rPr>
          <w:rFonts w:eastAsia="Times New Roman"/>
          <w:lang w:val="fr-FR"/>
        </w:rPr>
        <w:t>voir le paragraphe 2.1.1.2.2</w:t>
      </w:r>
    </w:p>
    <w:p w14:paraId="6A4AE07F" w14:textId="77777777" w:rsidR="003F1C55" w:rsidRPr="004C2A3C" w:rsidRDefault="003F1C55" w:rsidP="003F1C55">
      <w:pPr>
        <w:spacing w:after="120"/>
        <w:ind w:left="1134" w:right="1134"/>
        <w:jc w:val="both"/>
        <w:rPr>
          <w:rFonts w:eastAsia="Times New Roman"/>
          <w:lang w:val="fr-FR"/>
        </w:rPr>
      </w:pPr>
      <w:r w:rsidRPr="004C2A3C">
        <w:rPr>
          <w:rFonts w:eastAsia="Times New Roman"/>
          <w:i/>
          <w:iCs/>
          <w:lang w:val="fr-FR"/>
        </w:rPr>
        <w:t xml:space="preserve">(Document de référence : </w:t>
      </w:r>
      <w:r w:rsidRPr="004C2A3C">
        <w:rPr>
          <w:rFonts w:eastAsia="Times New Roman"/>
          <w:i/>
          <w:iCs/>
        </w:rPr>
        <w:t>ST/SG/AC.10/C.4/2021/6)</w:t>
      </w:r>
    </w:p>
    <w:p w14:paraId="55935D2C" w14:textId="77777777" w:rsidR="003F1C55" w:rsidRPr="004C2A3C" w:rsidRDefault="003F1C55" w:rsidP="003F1C55">
      <w:pPr>
        <w:spacing w:after="120"/>
        <w:ind w:left="1134" w:right="1134"/>
        <w:jc w:val="both"/>
        <w:rPr>
          <w:rFonts w:eastAsia="Times New Roman"/>
          <w:b/>
          <w:bCs/>
          <w:lang w:val="fr-FR"/>
        </w:rPr>
      </w:pPr>
      <w:r w:rsidRPr="004C2A3C">
        <w:rPr>
          <w:rFonts w:eastAsia="Times New Roman"/>
          <w:b/>
          <w:bCs/>
          <w:lang w:val="fr-FR"/>
        </w:rPr>
        <w:t>2.</w:t>
      </w:r>
      <w:r w:rsidRPr="004C2A3C">
        <w:rPr>
          <w:rFonts w:eastAsia="Times New Roman"/>
          <w:b/>
          <w:bCs/>
          <w:lang w:val="fr-FR"/>
        </w:rPr>
        <w:tab/>
        <w:t>Note de bas de page 1 au paragraphe 2.17.1.1</w:t>
      </w:r>
    </w:p>
    <w:p w14:paraId="116A568D" w14:textId="77777777" w:rsidR="003F1C55" w:rsidRPr="004C2A3C" w:rsidRDefault="003F1C55" w:rsidP="003F1C55">
      <w:pPr>
        <w:spacing w:after="120"/>
        <w:ind w:left="1134" w:right="1134"/>
        <w:jc w:val="both"/>
        <w:rPr>
          <w:rFonts w:eastAsia="Times New Roman"/>
        </w:rPr>
      </w:pPr>
      <w:r w:rsidRPr="004C2A3C">
        <w:rPr>
          <w:rFonts w:eastAsia="Times New Roman"/>
        </w:rPr>
        <w:t>Remplacer la première phrase par ce qui suit :</w:t>
      </w:r>
    </w:p>
    <w:p w14:paraId="37871279" w14:textId="77777777" w:rsidR="003F1C55" w:rsidRPr="004C2A3C" w:rsidRDefault="003F1C55" w:rsidP="003F1C55">
      <w:pPr>
        <w:spacing w:after="120"/>
        <w:ind w:left="1134" w:right="1134"/>
        <w:jc w:val="both"/>
        <w:rPr>
          <w:rFonts w:eastAsia="Times New Roman"/>
        </w:rPr>
      </w:pPr>
      <w:r w:rsidRPr="004C2A3C">
        <w:rPr>
          <w:rFonts w:eastAsia="Times New Roman"/>
        </w:rPr>
        <w:t>Il est possible qu</w:t>
      </w:r>
      <w:r>
        <w:rPr>
          <w:rFonts w:eastAsia="Times New Roman"/>
        </w:rPr>
        <w:t>’</w:t>
      </w:r>
      <w:r w:rsidRPr="004C2A3C">
        <w:rPr>
          <w:rFonts w:eastAsia="Times New Roman"/>
        </w:rPr>
        <w:t>une matière explosible trop sensible pour être affectée à la catégorie 2 du chapitre 2.1 soit désensibilisée et puisse alors être classée comme matière explosible désensibilisée, à condition qu</w:t>
      </w:r>
      <w:r>
        <w:rPr>
          <w:rFonts w:eastAsia="Times New Roman"/>
        </w:rPr>
        <w:t>’</w:t>
      </w:r>
      <w:r w:rsidRPr="004C2A3C">
        <w:rPr>
          <w:rFonts w:eastAsia="Times New Roman"/>
        </w:rPr>
        <w:t xml:space="preserve">elle satisfasse à tous les critères énoncés au chapitre 2.17. </w:t>
      </w:r>
    </w:p>
    <w:p w14:paraId="53DC8F16" w14:textId="77777777" w:rsidR="003F1C55" w:rsidRPr="004C2A3C" w:rsidRDefault="003F1C55" w:rsidP="003F1C55">
      <w:pPr>
        <w:spacing w:after="120"/>
        <w:ind w:left="1134" w:right="1134"/>
        <w:jc w:val="both"/>
        <w:rPr>
          <w:rFonts w:eastAsia="Times New Roman"/>
          <w:lang w:val="fr-FR"/>
        </w:rPr>
      </w:pPr>
      <w:r w:rsidRPr="004C2A3C">
        <w:rPr>
          <w:rFonts w:eastAsia="Times New Roman"/>
          <w:i/>
          <w:iCs/>
          <w:lang w:val="fr-FR"/>
        </w:rPr>
        <w:t xml:space="preserve">(Document de référence : </w:t>
      </w:r>
      <w:r w:rsidRPr="004C2A3C">
        <w:rPr>
          <w:rFonts w:eastAsia="Times New Roman"/>
          <w:i/>
          <w:iCs/>
        </w:rPr>
        <w:t>ST/SG/AC.10/C.4/2021/6)</w:t>
      </w:r>
    </w:p>
    <w:p w14:paraId="4F6A24BF" w14:textId="77777777" w:rsidR="003F1C55" w:rsidRPr="004C2A3C" w:rsidRDefault="003F1C55" w:rsidP="003F1C55">
      <w:pPr>
        <w:spacing w:after="120"/>
        <w:ind w:left="1134" w:right="1134"/>
        <w:jc w:val="both"/>
        <w:rPr>
          <w:rFonts w:eastAsia="Times New Roman"/>
          <w:b/>
          <w:bCs/>
          <w:lang w:val="fr-FR"/>
        </w:rPr>
      </w:pPr>
      <w:r w:rsidRPr="004C2A3C">
        <w:rPr>
          <w:rFonts w:eastAsia="Times New Roman"/>
          <w:b/>
          <w:bCs/>
          <w:lang w:val="fr-FR"/>
        </w:rPr>
        <w:t>3.</w:t>
      </w:r>
      <w:r w:rsidRPr="004C2A3C">
        <w:rPr>
          <w:rFonts w:eastAsia="Times New Roman"/>
          <w:b/>
          <w:bCs/>
          <w:lang w:val="fr-FR"/>
        </w:rPr>
        <w:tab/>
        <w:t xml:space="preserve">Paragraphe 2.17.4.1, diagramme de décision 2.17.1, encadrés de texte à droite, contenant le symbole « bombe explosant » </w:t>
      </w:r>
    </w:p>
    <w:p w14:paraId="3610807D" w14:textId="77777777" w:rsidR="003F1C55" w:rsidRPr="004C2A3C" w:rsidRDefault="003F1C55" w:rsidP="003F1C55">
      <w:pPr>
        <w:spacing w:after="120"/>
        <w:ind w:left="1134" w:right="1134"/>
        <w:jc w:val="both"/>
        <w:rPr>
          <w:rFonts w:eastAsia="Times New Roman"/>
        </w:rPr>
      </w:pPr>
      <w:r w:rsidRPr="004C2A3C">
        <w:rPr>
          <w:rFonts w:eastAsia="Times New Roman"/>
          <w:i/>
          <w:iCs/>
        </w:rPr>
        <w:t>Au lieu de</w:t>
      </w:r>
      <w:r w:rsidRPr="004C2A3C">
        <w:rPr>
          <w:rFonts w:eastAsia="Times New Roman"/>
        </w:rPr>
        <w:t xml:space="preserve"> Division 1.1 </w:t>
      </w:r>
      <w:r w:rsidRPr="004C2A3C">
        <w:rPr>
          <w:rFonts w:eastAsia="Times New Roman"/>
          <w:i/>
          <w:iCs/>
        </w:rPr>
        <w:t>lire</w:t>
      </w:r>
      <w:r w:rsidRPr="004C2A3C">
        <w:rPr>
          <w:rFonts w:eastAsia="Times New Roman"/>
        </w:rPr>
        <w:t xml:space="preserve"> Sous-catégorie 2A </w:t>
      </w:r>
    </w:p>
    <w:p w14:paraId="321E11BB" w14:textId="77777777" w:rsidR="003F1C55" w:rsidRPr="004C2A3C" w:rsidRDefault="003F1C55" w:rsidP="003F1C55">
      <w:pPr>
        <w:spacing w:after="120"/>
        <w:ind w:left="1134" w:right="1134"/>
        <w:jc w:val="both"/>
        <w:rPr>
          <w:rFonts w:eastAsia="Times New Roman"/>
        </w:rPr>
      </w:pPr>
      <w:r w:rsidRPr="004C2A3C">
        <w:rPr>
          <w:rFonts w:eastAsia="Times New Roman"/>
          <w:i/>
          <w:iCs/>
          <w:lang w:val="fr-FR"/>
        </w:rPr>
        <w:t xml:space="preserve">(Document de référence : </w:t>
      </w:r>
      <w:r w:rsidRPr="004C2A3C">
        <w:rPr>
          <w:rFonts w:eastAsia="Times New Roman"/>
          <w:i/>
          <w:iCs/>
        </w:rPr>
        <w:t>ST/SG/AC.10/C.4/2021/6)</w:t>
      </w:r>
    </w:p>
    <w:p w14:paraId="299053F8" w14:textId="5EC4DEC0" w:rsidR="003D06F0" w:rsidRPr="00B80EA1" w:rsidRDefault="003D06F0" w:rsidP="003D06F0">
      <w:pPr>
        <w:pStyle w:val="SingleTxtG"/>
        <w:spacing w:before="240" w:after="0"/>
        <w:jc w:val="center"/>
        <w:rPr>
          <w:color w:val="000000" w:themeColor="text1"/>
          <w:u w:val="single"/>
        </w:rPr>
      </w:pPr>
      <w:r w:rsidRPr="00B80EA1">
        <w:rPr>
          <w:color w:val="000000" w:themeColor="text1"/>
          <w:u w:val="single"/>
        </w:rPr>
        <w:tab/>
      </w:r>
      <w:r w:rsidRPr="00B80EA1">
        <w:rPr>
          <w:color w:val="000000" w:themeColor="text1"/>
          <w:u w:val="single"/>
        </w:rPr>
        <w:tab/>
      </w:r>
      <w:r w:rsidRPr="00B80EA1">
        <w:rPr>
          <w:color w:val="000000" w:themeColor="text1"/>
          <w:u w:val="single"/>
        </w:rPr>
        <w:tab/>
      </w:r>
    </w:p>
    <w:sectPr w:rsidR="003D06F0" w:rsidRPr="00B80EA1" w:rsidSect="003D06F0">
      <w:headerReference w:type="even" r:id="rId35"/>
      <w:headerReference w:type="default" r:id="rId36"/>
      <w:footerReference w:type="even" r:id="rId37"/>
      <w:footerReference w:type="default" r:id="rId38"/>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6DABD" w14:textId="77777777" w:rsidR="00DA17F4" w:rsidRDefault="00DA17F4" w:rsidP="00F95C08">
      <w:pPr>
        <w:spacing w:line="240" w:lineRule="auto"/>
      </w:pPr>
    </w:p>
  </w:endnote>
  <w:endnote w:type="continuationSeparator" w:id="0">
    <w:p w14:paraId="4A469234" w14:textId="77777777" w:rsidR="00DA17F4" w:rsidRPr="00AC3823" w:rsidRDefault="00DA17F4" w:rsidP="00AC3823">
      <w:pPr>
        <w:pStyle w:val="Footer"/>
      </w:pPr>
    </w:p>
  </w:endnote>
  <w:endnote w:type="continuationNotice" w:id="1">
    <w:p w14:paraId="5B8F0977" w14:textId="77777777" w:rsidR="00DA17F4" w:rsidRDefault="00DA17F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E1F8F" w14:textId="6980F478" w:rsidR="00DA17F4" w:rsidRPr="003D16B5" w:rsidRDefault="00DA17F4" w:rsidP="003D16B5">
    <w:pPr>
      <w:pStyle w:val="Footer"/>
      <w:tabs>
        <w:tab w:val="right" w:pos="9638"/>
      </w:tabs>
    </w:pPr>
    <w:r w:rsidRPr="003D16B5">
      <w:rPr>
        <w:b/>
        <w:sz w:val="18"/>
      </w:rPr>
      <w:fldChar w:fldCharType="begin"/>
    </w:r>
    <w:r w:rsidRPr="003D16B5">
      <w:rPr>
        <w:b/>
        <w:sz w:val="18"/>
      </w:rPr>
      <w:instrText xml:space="preserve"> PAGE  \* MERGEFORMAT </w:instrText>
    </w:r>
    <w:r w:rsidRPr="003D16B5">
      <w:rPr>
        <w:b/>
        <w:sz w:val="18"/>
      </w:rPr>
      <w:fldChar w:fldCharType="separate"/>
    </w:r>
    <w:r w:rsidRPr="003D16B5">
      <w:rPr>
        <w:b/>
        <w:noProof/>
        <w:sz w:val="18"/>
      </w:rPr>
      <w:t>2</w:t>
    </w:r>
    <w:r w:rsidRPr="003D16B5">
      <w:rPr>
        <w:b/>
        <w:sz w:val="18"/>
      </w:rPr>
      <w:fldChar w:fldCharType="end"/>
    </w:r>
    <w:r>
      <w:rPr>
        <w:b/>
        <w:sz w:val="18"/>
      </w:rPr>
      <w:tab/>
    </w:r>
    <w:r>
      <w:t>GE.21-10056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837A4" w14:textId="685415A7" w:rsidR="00DA17F4" w:rsidRPr="003D16B5" w:rsidRDefault="00DA17F4" w:rsidP="003D16B5">
    <w:pPr>
      <w:pStyle w:val="Footer"/>
      <w:tabs>
        <w:tab w:val="right" w:pos="9638"/>
      </w:tabs>
      <w:rPr>
        <w:b/>
        <w:sz w:val="18"/>
      </w:rPr>
    </w:pPr>
    <w:r>
      <w:t>GE.21-10056</w:t>
    </w:r>
    <w:r>
      <w:tab/>
    </w:r>
    <w:r w:rsidRPr="003D16B5">
      <w:rPr>
        <w:b/>
        <w:sz w:val="18"/>
      </w:rPr>
      <w:fldChar w:fldCharType="begin"/>
    </w:r>
    <w:r w:rsidRPr="003D16B5">
      <w:rPr>
        <w:b/>
        <w:sz w:val="18"/>
      </w:rPr>
      <w:instrText xml:space="preserve"> PAGE  \* MERGEFORMAT </w:instrText>
    </w:r>
    <w:r w:rsidRPr="003D16B5">
      <w:rPr>
        <w:b/>
        <w:sz w:val="18"/>
      </w:rPr>
      <w:fldChar w:fldCharType="separate"/>
    </w:r>
    <w:r w:rsidRPr="003D16B5">
      <w:rPr>
        <w:b/>
        <w:noProof/>
        <w:sz w:val="18"/>
      </w:rPr>
      <w:t>3</w:t>
    </w:r>
    <w:r w:rsidRPr="003D16B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CC3BE" w14:textId="109EBBE5" w:rsidR="00DA17F4" w:rsidRPr="003D16B5" w:rsidRDefault="00DA17F4" w:rsidP="003D16B5">
    <w:pPr>
      <w:pStyle w:val="Footer"/>
      <w:spacing w:before="120"/>
      <w:rPr>
        <w:sz w:val="20"/>
      </w:rPr>
    </w:pPr>
    <w:r>
      <w:rPr>
        <w:sz w:val="20"/>
      </w:rPr>
      <w:t>GE.</w:t>
    </w:r>
    <w:r>
      <w:rPr>
        <w:noProof/>
        <w:lang w:eastAsia="fr-CH"/>
      </w:rPr>
      <w:drawing>
        <wp:anchor distT="0" distB="0" distL="114300" distR="114300" simplePos="0" relativeHeight="251659264" behindDoc="0" locked="0" layoutInCell="1" allowOverlap="0" wp14:anchorId="71460D72" wp14:editId="09A6025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w:t>
    </w:r>
    <w:proofErr w:type="gramStart"/>
    <w:r>
      <w:rPr>
        <w:sz w:val="20"/>
      </w:rPr>
      <w:t>10056  (</w:t>
    </w:r>
    <w:proofErr w:type="gramEnd"/>
    <w:r>
      <w:rPr>
        <w:sz w:val="20"/>
      </w:rPr>
      <w:t>F)</w:t>
    </w:r>
    <w:r>
      <w:rPr>
        <w:noProof/>
        <w:sz w:val="20"/>
      </w:rPr>
      <w:drawing>
        <wp:anchor distT="0" distB="0" distL="114300" distR="114300" simplePos="0" relativeHeight="251660288" behindDoc="0" locked="0" layoutInCell="1" allowOverlap="1" wp14:anchorId="120F4987" wp14:editId="04327A47">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091221    101221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6C677" w14:textId="29795DFA" w:rsidR="00DA17F4" w:rsidRPr="00116EA2" w:rsidRDefault="00DA17F4" w:rsidP="00116EA2">
    <w:pPr>
      <w:pStyle w:val="Footer"/>
    </w:pPr>
    <w:r>
      <w:rPr>
        <w:noProof/>
      </w:rPr>
      <mc:AlternateContent>
        <mc:Choice Requires="wps">
          <w:drawing>
            <wp:anchor distT="0" distB="0" distL="114300" distR="114300" simplePos="0" relativeHeight="251662336" behindDoc="0" locked="0" layoutInCell="1" allowOverlap="1" wp14:anchorId="301703EE" wp14:editId="3C30F508">
              <wp:simplePos x="0" y="0"/>
              <wp:positionH relativeFrom="margin">
                <wp:posOffset>-431800</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11F62F0" w14:textId="77777777" w:rsidR="00DA17F4" w:rsidRPr="003D16B5" w:rsidRDefault="00DA17F4" w:rsidP="00116EA2">
                          <w:pPr>
                            <w:pStyle w:val="Footer"/>
                            <w:tabs>
                              <w:tab w:val="right" w:pos="9638"/>
                            </w:tabs>
                          </w:pPr>
                          <w:r w:rsidRPr="003D16B5">
                            <w:rPr>
                              <w:b/>
                              <w:sz w:val="18"/>
                            </w:rPr>
                            <w:fldChar w:fldCharType="begin"/>
                          </w:r>
                          <w:r w:rsidRPr="003D16B5">
                            <w:rPr>
                              <w:b/>
                              <w:sz w:val="18"/>
                            </w:rPr>
                            <w:instrText xml:space="preserve"> PAGE  \* MERGEFORMAT </w:instrText>
                          </w:r>
                          <w:r w:rsidRPr="003D16B5">
                            <w:rPr>
                              <w:b/>
                              <w:sz w:val="18"/>
                            </w:rPr>
                            <w:fldChar w:fldCharType="separate"/>
                          </w:r>
                          <w:r>
                            <w:rPr>
                              <w:b/>
                              <w:sz w:val="18"/>
                            </w:rPr>
                            <w:t>38</w:t>
                          </w:r>
                          <w:r w:rsidRPr="003D16B5">
                            <w:rPr>
                              <w:b/>
                              <w:sz w:val="18"/>
                            </w:rPr>
                            <w:fldChar w:fldCharType="end"/>
                          </w:r>
                          <w:r>
                            <w:rPr>
                              <w:b/>
                              <w:sz w:val="18"/>
                            </w:rPr>
                            <w:tab/>
                          </w:r>
                          <w:r>
                            <w:t>GE.21-10056</w:t>
                          </w:r>
                        </w:p>
                        <w:p w14:paraId="2884E92D" w14:textId="77777777" w:rsidR="00DA17F4" w:rsidRDefault="00DA17F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01703EE" id="_x0000_t202" coordsize="21600,21600" o:spt="202" path="m,l,21600r21600,l21600,xe">
              <v:stroke joinstyle="miter"/>
              <v:path gradientshapeok="t" o:connecttype="rect"/>
            </v:shapetype>
            <v:shape id="Zone de texte 5" o:spid="_x0000_s1028"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" fillcolor="#4f81bd [3204]" stroked="f" strokeweight=".5pt">
              <v:fill opacity="0"/>
              <v:stroke joinstyle="round"/>
              <v:textbox style="layout-flow:vertical" inset="0,0,0,0">
                <w:txbxContent>
                  <w:p w14:paraId="511F62F0" w14:textId="77777777" w:rsidR="00DA17F4" w:rsidRPr="003D16B5" w:rsidRDefault="00DA17F4" w:rsidP="00116EA2">
                    <w:pPr>
                      <w:pStyle w:val="Pieddepage"/>
                      <w:tabs>
                        <w:tab w:val="right" w:pos="9638"/>
                      </w:tabs>
                    </w:pPr>
                    <w:r w:rsidRPr="003D16B5">
                      <w:rPr>
                        <w:b/>
                        <w:sz w:val="18"/>
                      </w:rPr>
                      <w:fldChar w:fldCharType="begin"/>
                    </w:r>
                    <w:r w:rsidRPr="003D16B5">
                      <w:rPr>
                        <w:b/>
                        <w:sz w:val="18"/>
                      </w:rPr>
                      <w:instrText xml:space="preserve"> PAGE  \* MERGEFORMAT </w:instrText>
                    </w:r>
                    <w:r w:rsidRPr="003D16B5">
                      <w:rPr>
                        <w:b/>
                        <w:sz w:val="18"/>
                      </w:rPr>
                      <w:fldChar w:fldCharType="separate"/>
                    </w:r>
                    <w:r>
                      <w:rPr>
                        <w:b/>
                        <w:sz w:val="18"/>
                      </w:rPr>
                      <w:t>38</w:t>
                    </w:r>
                    <w:r w:rsidRPr="003D16B5">
                      <w:rPr>
                        <w:b/>
                        <w:sz w:val="18"/>
                      </w:rPr>
                      <w:fldChar w:fldCharType="end"/>
                    </w:r>
                    <w:r>
                      <w:rPr>
                        <w:b/>
                        <w:sz w:val="18"/>
                      </w:rPr>
                      <w:tab/>
                    </w:r>
                    <w:r>
                      <w:t>GE.21-10056</w:t>
                    </w:r>
                  </w:p>
                  <w:p w14:paraId="2884E92D" w14:textId="77777777" w:rsidR="00DA17F4" w:rsidRDefault="00DA17F4"/>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19984" w14:textId="2871E8C7" w:rsidR="00DA17F4" w:rsidRPr="00116EA2" w:rsidRDefault="00DA17F4" w:rsidP="00116EA2">
    <w:pPr>
      <w:pStyle w:val="Footer"/>
    </w:pPr>
    <w:r>
      <w:rPr>
        <w:noProof/>
      </w:rPr>
      <mc:AlternateContent>
        <mc:Choice Requires="wps">
          <w:drawing>
            <wp:anchor distT="0" distB="0" distL="114300" distR="114300" simplePos="0" relativeHeight="251664384" behindDoc="0" locked="0" layoutInCell="1" allowOverlap="1" wp14:anchorId="34FBEAFE" wp14:editId="30EC1F39">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EBFB379" w14:textId="77777777" w:rsidR="00DA17F4" w:rsidRPr="003D16B5" w:rsidRDefault="00DA17F4" w:rsidP="00116EA2">
                          <w:pPr>
                            <w:pStyle w:val="Footer"/>
                            <w:tabs>
                              <w:tab w:val="right" w:pos="9638"/>
                            </w:tabs>
                            <w:rPr>
                              <w:b/>
                              <w:sz w:val="18"/>
                            </w:rPr>
                          </w:pPr>
                          <w:r>
                            <w:t>GE.21-10056</w:t>
                          </w:r>
                          <w:r>
                            <w:tab/>
                          </w:r>
                          <w:r w:rsidRPr="003D16B5">
                            <w:rPr>
                              <w:b/>
                              <w:sz w:val="18"/>
                            </w:rPr>
                            <w:fldChar w:fldCharType="begin"/>
                          </w:r>
                          <w:r w:rsidRPr="003D16B5">
                            <w:rPr>
                              <w:b/>
                              <w:sz w:val="18"/>
                            </w:rPr>
                            <w:instrText xml:space="preserve"> PAGE  \* MERGEFORMAT </w:instrText>
                          </w:r>
                          <w:r w:rsidRPr="003D16B5">
                            <w:rPr>
                              <w:b/>
                              <w:sz w:val="18"/>
                            </w:rPr>
                            <w:fldChar w:fldCharType="separate"/>
                          </w:r>
                          <w:r>
                            <w:rPr>
                              <w:b/>
                              <w:sz w:val="18"/>
                            </w:rPr>
                            <w:t>39</w:t>
                          </w:r>
                          <w:r w:rsidRPr="003D16B5">
                            <w:rPr>
                              <w:b/>
                              <w:sz w:val="18"/>
                            </w:rPr>
                            <w:fldChar w:fldCharType="end"/>
                          </w:r>
                        </w:p>
                        <w:p w14:paraId="737B5786" w14:textId="77777777" w:rsidR="00DA17F4" w:rsidRDefault="00DA17F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4FBEAFE" id="_x0000_t202" coordsize="21600,21600" o:spt="202" path="m,l,21600r21600,l21600,xe">
              <v:stroke joinstyle="miter"/>
              <v:path gradientshapeok="t" o:connecttype="rect"/>
            </v:shapetype>
            <v:shape id="Zone de texte 7" o:spid="_x0000_s1029" type="#_x0000_t202" style="position:absolute;margin-left:-34pt;margin-top:0;width:17pt;height:481.9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" fillcolor="#4f81bd [3204]" stroked="f" strokeweight=".5pt">
              <v:fill opacity="0"/>
              <v:stroke joinstyle="round"/>
              <v:textbox style="layout-flow:vertical" inset="0,0,0,0">
                <w:txbxContent>
                  <w:p w14:paraId="1EBFB379" w14:textId="77777777" w:rsidR="00DA17F4" w:rsidRPr="003D16B5" w:rsidRDefault="00DA17F4" w:rsidP="00116EA2">
                    <w:pPr>
                      <w:pStyle w:val="Pieddepage"/>
                      <w:tabs>
                        <w:tab w:val="right" w:pos="9638"/>
                      </w:tabs>
                      <w:rPr>
                        <w:b/>
                        <w:sz w:val="18"/>
                      </w:rPr>
                    </w:pPr>
                    <w:r>
                      <w:t>GE.21-10056</w:t>
                    </w:r>
                    <w:r>
                      <w:tab/>
                    </w:r>
                    <w:r w:rsidRPr="003D16B5">
                      <w:rPr>
                        <w:b/>
                        <w:sz w:val="18"/>
                      </w:rPr>
                      <w:fldChar w:fldCharType="begin"/>
                    </w:r>
                    <w:r w:rsidRPr="003D16B5">
                      <w:rPr>
                        <w:b/>
                        <w:sz w:val="18"/>
                      </w:rPr>
                      <w:instrText xml:space="preserve"> PAGE  \* MERGEFORMAT </w:instrText>
                    </w:r>
                    <w:r w:rsidRPr="003D16B5">
                      <w:rPr>
                        <w:b/>
                        <w:sz w:val="18"/>
                      </w:rPr>
                      <w:fldChar w:fldCharType="separate"/>
                    </w:r>
                    <w:r>
                      <w:rPr>
                        <w:b/>
                        <w:sz w:val="18"/>
                      </w:rPr>
                      <w:t>39</w:t>
                    </w:r>
                    <w:r w:rsidRPr="003D16B5">
                      <w:rPr>
                        <w:b/>
                        <w:sz w:val="18"/>
                      </w:rPr>
                      <w:fldChar w:fldCharType="end"/>
                    </w:r>
                  </w:p>
                  <w:p w14:paraId="737B5786" w14:textId="77777777" w:rsidR="00DA17F4" w:rsidRDefault="00DA17F4"/>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BA86B" w14:textId="20BBB586" w:rsidR="00DA17F4" w:rsidRPr="003D06F0" w:rsidRDefault="00DA17F4" w:rsidP="003D06F0">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40</w:t>
    </w:r>
    <w:r>
      <w:rPr>
        <w:b/>
        <w:sz w:val="18"/>
      </w:rPr>
      <w:fldChar w:fldCharType="end"/>
    </w:r>
    <w:r>
      <w:rPr>
        <w:b/>
        <w:sz w:val="18"/>
      </w:rPr>
      <w:tab/>
    </w:r>
    <w:r w:rsidRPr="003D06F0">
      <w:t>GE.21-10056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F02C8" w14:textId="4358FE07" w:rsidR="00DA17F4" w:rsidRPr="003D06F0" w:rsidRDefault="00DA17F4" w:rsidP="003D06F0">
    <w:pPr>
      <w:pStyle w:val="Footer"/>
      <w:tabs>
        <w:tab w:val="right" w:pos="9638"/>
      </w:tabs>
      <w:rPr>
        <w:b/>
        <w:sz w:val="18"/>
      </w:rPr>
    </w:pPr>
    <w:r>
      <w:t>GE.</w:t>
    </w:r>
    <w:r w:rsidRPr="003D06F0">
      <w:t>21</w:t>
    </w:r>
    <w:r>
      <w:t>-</w:t>
    </w:r>
    <w:r w:rsidRPr="003D06F0">
      <w:t>10056</w:t>
    </w:r>
    <w:r>
      <w:tab/>
    </w:r>
    <w:r>
      <w:rPr>
        <w:b/>
        <w:sz w:val="18"/>
      </w:rPr>
      <w:fldChar w:fldCharType="begin"/>
    </w:r>
    <w:r>
      <w:rPr>
        <w:b/>
        <w:sz w:val="18"/>
      </w:rPr>
      <w:instrText xml:space="preserve"> PAGE  \* MERGEFORMAT </w:instrText>
    </w:r>
    <w:r>
      <w:rPr>
        <w:b/>
        <w:sz w:val="18"/>
      </w:rPr>
      <w:fldChar w:fldCharType="separate"/>
    </w:r>
    <w:r>
      <w:rPr>
        <w:b/>
        <w:noProof/>
        <w:sz w:val="18"/>
      </w:rPr>
      <w:t>41</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7C300" w14:textId="77777777" w:rsidR="00DA17F4" w:rsidRPr="00AC3823" w:rsidRDefault="00DA17F4" w:rsidP="00AC3823">
      <w:pPr>
        <w:pStyle w:val="Footer"/>
        <w:tabs>
          <w:tab w:val="right" w:pos="2155"/>
        </w:tabs>
        <w:spacing w:after="80" w:line="240" w:lineRule="atLeast"/>
        <w:ind w:left="680"/>
        <w:rPr>
          <w:u w:val="single"/>
        </w:rPr>
      </w:pPr>
      <w:r>
        <w:rPr>
          <w:u w:val="single"/>
        </w:rPr>
        <w:tab/>
      </w:r>
    </w:p>
  </w:footnote>
  <w:footnote w:type="continuationSeparator" w:id="0">
    <w:p w14:paraId="5313C728" w14:textId="77777777" w:rsidR="00DA17F4" w:rsidRPr="00AC3823" w:rsidRDefault="00DA17F4" w:rsidP="00AC3823">
      <w:pPr>
        <w:pStyle w:val="Footer"/>
        <w:tabs>
          <w:tab w:val="right" w:pos="2155"/>
        </w:tabs>
        <w:spacing w:after="80" w:line="240" w:lineRule="atLeast"/>
        <w:ind w:left="680"/>
        <w:rPr>
          <w:u w:val="single"/>
        </w:rPr>
      </w:pPr>
      <w:r>
        <w:rPr>
          <w:u w:val="single"/>
        </w:rPr>
        <w:tab/>
      </w:r>
    </w:p>
  </w:footnote>
  <w:footnote w:type="continuationNotice" w:id="1">
    <w:p w14:paraId="0ACEE12E" w14:textId="77777777" w:rsidR="00DA17F4" w:rsidRPr="00AC3823" w:rsidRDefault="00DA17F4">
      <w:pPr>
        <w:spacing w:line="240" w:lineRule="auto"/>
        <w:rPr>
          <w:sz w:val="2"/>
          <w:szCs w:val="2"/>
        </w:rPr>
      </w:pPr>
    </w:p>
  </w:footnote>
  <w:footnote w:id="2">
    <w:p w14:paraId="33926E38" w14:textId="0D1CA91C" w:rsidR="00DA17F4" w:rsidRPr="004C2A3C" w:rsidRDefault="00DA17F4" w:rsidP="00705B57">
      <w:pPr>
        <w:pStyle w:val="FootnoteText"/>
        <w:rPr>
          <w:lang w:val="fr-FR"/>
        </w:rPr>
      </w:pPr>
      <w:r>
        <w:rPr>
          <w:lang w:val="fr-FR"/>
        </w:rPr>
        <w:tab/>
      </w:r>
      <w:r w:rsidRPr="00636563">
        <w:rPr>
          <w:rStyle w:val="FootnoteReference"/>
        </w:rPr>
        <w:footnoteRef/>
      </w:r>
      <w:r>
        <w:rPr>
          <w:lang w:val="fr-FR"/>
        </w:rPr>
        <w:tab/>
      </w:r>
      <w:hyperlink r:id="rId1" w:history="1">
        <w:r w:rsidRPr="00B80EA1">
          <w:rPr>
            <w:rStyle w:val="Hyperlink"/>
            <w:lang w:val="fr-FR"/>
          </w:rPr>
          <w:t>https://unece.</w:t>
        </w:r>
        <w:r w:rsidRPr="00B80EA1">
          <w:rPr>
            <w:rStyle w:val="Hyperlink"/>
          </w:rPr>
          <w:t>org</w:t>
        </w:r>
        <w:r w:rsidRPr="00B80EA1">
          <w:rPr>
            <w:rStyle w:val="Hyperlink"/>
            <w:lang w:val="fr-FR"/>
          </w:rPr>
          <w:t>/transport/documents/2021/01/ghs-implementation-implementation-country</w:t>
        </w:r>
      </w:hyperlink>
      <w:r>
        <w:rPr>
          <w:lang w:val="fr-FR"/>
        </w:rPr>
        <w:t>.</w:t>
      </w:r>
    </w:p>
  </w:footnote>
  <w:footnote w:id="3">
    <w:p w14:paraId="139B1684" w14:textId="017C4639" w:rsidR="00DA17F4" w:rsidRPr="004C2A3C" w:rsidRDefault="00DA17F4" w:rsidP="00705B57">
      <w:pPr>
        <w:pStyle w:val="FootnoteText"/>
        <w:rPr>
          <w:lang w:val="fr-FR"/>
        </w:rPr>
      </w:pPr>
      <w:r>
        <w:rPr>
          <w:lang w:val="fr-FR"/>
        </w:rPr>
        <w:tab/>
      </w:r>
      <w:r w:rsidRPr="00636563">
        <w:rPr>
          <w:rStyle w:val="FootnoteReference"/>
        </w:rPr>
        <w:footnoteRef/>
      </w:r>
      <w:r>
        <w:rPr>
          <w:lang w:val="fr-FR"/>
        </w:rPr>
        <w:tab/>
      </w:r>
      <w:hyperlink r:id="rId2" w:history="1">
        <w:r w:rsidRPr="00B80EA1">
          <w:rPr>
            <w:rStyle w:val="Hyperlink"/>
            <w:lang w:val="fr-FR"/>
          </w:rPr>
          <w:t>https://ec.europa.eu/environment/strategy/chemicals-strategy_en</w:t>
        </w:r>
      </w:hyperlink>
      <w:r>
        <w:rPr>
          <w:lang w:val="fr-FR"/>
        </w:rPr>
        <w:t>.</w:t>
      </w:r>
    </w:p>
  </w:footnote>
  <w:footnote w:id="4">
    <w:p w14:paraId="3FBB73F6" w14:textId="76C07A5E" w:rsidR="00DA17F4" w:rsidRPr="004C2A3C" w:rsidRDefault="00DA17F4" w:rsidP="00705B57">
      <w:pPr>
        <w:pStyle w:val="FootnoteText"/>
        <w:rPr>
          <w:lang w:val="fr-FR"/>
        </w:rPr>
      </w:pPr>
      <w:r>
        <w:rPr>
          <w:lang w:val="fr-FR"/>
        </w:rPr>
        <w:tab/>
      </w:r>
      <w:r w:rsidRPr="00636563">
        <w:rPr>
          <w:rStyle w:val="FootnoteReference"/>
        </w:rPr>
        <w:footnoteRef/>
      </w:r>
      <w:r>
        <w:rPr>
          <w:lang w:val="fr-FR"/>
        </w:rPr>
        <w:tab/>
      </w:r>
      <w:hyperlink r:id="rId3" w:history="1">
        <w:r w:rsidRPr="00B80EA1">
          <w:rPr>
            <w:rStyle w:val="Hyperlink"/>
            <w:lang w:val="fr-FR"/>
          </w:rPr>
          <w:t>https://ec.europa.eu/info/law/better-regulation/have-your-say_fr</w:t>
        </w:r>
      </w:hyperlink>
      <w:r>
        <w:rPr>
          <w:lang w:val="fr-FR"/>
        </w:rPr>
        <w:t>.</w:t>
      </w:r>
    </w:p>
  </w:footnote>
  <w:footnote w:id="5">
    <w:p w14:paraId="155C6C14" w14:textId="38647155" w:rsidR="00DA17F4" w:rsidRPr="004C2A3C" w:rsidRDefault="00DA17F4" w:rsidP="00705B57">
      <w:pPr>
        <w:pStyle w:val="FootnoteText"/>
        <w:rPr>
          <w:lang w:val="fr-FR"/>
        </w:rPr>
      </w:pPr>
      <w:r>
        <w:rPr>
          <w:lang w:val="fr-FR"/>
        </w:rPr>
        <w:tab/>
      </w:r>
      <w:r w:rsidRPr="00636563">
        <w:rPr>
          <w:rStyle w:val="FootnoteReference"/>
        </w:rPr>
        <w:footnoteRef/>
      </w:r>
      <w:r>
        <w:rPr>
          <w:lang w:val="fr-FR"/>
        </w:rPr>
        <w:tab/>
      </w:r>
      <w:hyperlink r:id="rId4" w:history="1">
        <w:r w:rsidRPr="00B80EA1">
          <w:rPr>
            <w:rStyle w:val="Hyperlink"/>
            <w:lang w:val="fr-FR"/>
          </w:rPr>
          <w:t>https://unitar.org/global-partnership-implement-ghs</w:t>
        </w:r>
      </w:hyperlink>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81EC9" w14:textId="538FAC1B" w:rsidR="00DA17F4" w:rsidRPr="003D16B5" w:rsidRDefault="009C29AA">
    <w:pPr>
      <w:pStyle w:val="Header"/>
    </w:pPr>
    <w:r>
      <w:fldChar w:fldCharType="begin"/>
    </w:r>
    <w:r>
      <w:instrText xml:space="preserve"> TITLE  \* MERGEFORMAT </w:instrText>
    </w:r>
    <w:r>
      <w:fldChar w:fldCharType="separate"/>
    </w:r>
    <w:r>
      <w:t>ST/SG/AC.10/C.4/80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63823" w14:textId="74B4C79A" w:rsidR="00DA17F4" w:rsidRPr="003D16B5" w:rsidRDefault="009C29AA" w:rsidP="003D16B5">
    <w:pPr>
      <w:pStyle w:val="Header"/>
      <w:jc w:val="right"/>
    </w:pPr>
    <w:r>
      <w:fldChar w:fldCharType="begin"/>
    </w:r>
    <w:r>
      <w:instrText xml:space="preserve"> TITLE  \* MERGEFORMAT </w:instrText>
    </w:r>
    <w:r>
      <w:fldChar w:fldCharType="separate"/>
    </w:r>
    <w:r>
      <w:t>ST/SG/AC.10/C.4/80</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058AB" w14:textId="5025BF9C" w:rsidR="00DA17F4" w:rsidRPr="00116EA2" w:rsidRDefault="00DA17F4" w:rsidP="00116EA2">
    <w:r>
      <w:rPr>
        <w:noProof/>
      </w:rPr>
      <mc:AlternateContent>
        <mc:Choice Requires="wps">
          <w:drawing>
            <wp:anchor distT="0" distB="0" distL="114300" distR="114300" simplePos="0" relativeHeight="251661312" behindDoc="0" locked="0" layoutInCell="1" allowOverlap="1" wp14:anchorId="5334951E" wp14:editId="2A443C2B">
              <wp:simplePos x="0" y="0"/>
              <wp:positionH relativeFrom="page">
                <wp:posOffset>9935845</wp:posOffset>
              </wp:positionH>
              <wp:positionV relativeFrom="margin">
                <wp:posOffset>0</wp:posOffset>
              </wp:positionV>
              <wp:extent cx="36195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36195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DEED275" w14:textId="086B9962" w:rsidR="00DA17F4" w:rsidRPr="003D16B5" w:rsidRDefault="009C29AA" w:rsidP="00116EA2">
                          <w:pPr>
                            <w:pStyle w:val="Header"/>
                          </w:pPr>
                          <w:r>
                            <w:fldChar w:fldCharType="begin"/>
                          </w:r>
                          <w:r>
                            <w:instrText xml:space="preserve"> TITLE  \* MERGEFORMAT </w:instrText>
                          </w:r>
                          <w:r>
                            <w:fldChar w:fldCharType="separate"/>
                          </w:r>
                          <w:r>
                            <w:t>ST/SG/AC.10/C.4/80</w:t>
                          </w:r>
                          <w:r>
                            <w:fldChar w:fldCharType="end"/>
                          </w:r>
                        </w:p>
                        <w:p w14:paraId="0D2A6253" w14:textId="77777777" w:rsidR="00DA17F4" w:rsidRDefault="00DA17F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334951E" id="_x0000_t202" coordsize="21600,21600" o:spt="202" path="m,l,21600r21600,l21600,xe">
              <v:stroke joinstyle="miter"/>
              <v:path gradientshapeok="t" o:connecttype="rect"/>
            </v:shapetype>
            <v:shape id="Zone de texte 4" o:spid="_x0000_s1026" type="#_x0000_t202" style="position:absolute;margin-left:782.35pt;margin-top:0;width:28.5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" fillcolor="#4f81bd [3204]" stroked="f" strokeweight=".5pt">
              <v:fill opacity="0"/>
              <v:stroke joinstyle="round"/>
              <v:textbox style="layout-flow:vertical" inset="0,0,0,0">
                <w:txbxContent>
                  <w:p w14:paraId="1DEED275" w14:textId="086B9962" w:rsidR="00DA17F4" w:rsidRPr="003D16B5" w:rsidRDefault="009C29AA" w:rsidP="00116EA2">
                    <w:pPr>
                      <w:pStyle w:val="Header"/>
                    </w:pPr>
                    <w:r>
                      <w:fldChar w:fldCharType="begin"/>
                    </w:r>
                    <w:r>
                      <w:instrText xml:space="preserve"> TITLE  \* MERGEFORMAT </w:instrText>
                    </w:r>
                    <w:r>
                      <w:fldChar w:fldCharType="separate"/>
                    </w:r>
                    <w:r>
                      <w:t>ST/SG/AC.10/C.4/80</w:t>
                    </w:r>
                    <w:r>
                      <w:fldChar w:fldCharType="end"/>
                    </w:r>
                  </w:p>
                  <w:p w14:paraId="0D2A6253" w14:textId="77777777" w:rsidR="00DA17F4" w:rsidRDefault="00DA17F4"/>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5654E" w14:textId="1001D8BC" w:rsidR="00DA17F4" w:rsidRPr="00116EA2" w:rsidRDefault="00DA17F4" w:rsidP="00116EA2">
    <w:r>
      <w:rPr>
        <w:noProof/>
      </w:rPr>
      <mc:AlternateContent>
        <mc:Choice Requires="wps">
          <w:drawing>
            <wp:anchor distT="0" distB="0" distL="114300" distR="114300" simplePos="0" relativeHeight="251663360" behindDoc="0" locked="0" layoutInCell="1" allowOverlap="1" wp14:anchorId="31E44B1C" wp14:editId="061B502A">
              <wp:simplePos x="0" y="0"/>
              <wp:positionH relativeFrom="page">
                <wp:posOffset>9935845</wp:posOffset>
              </wp:positionH>
              <wp:positionV relativeFrom="margin">
                <wp:posOffset>0</wp:posOffset>
              </wp:positionV>
              <wp:extent cx="361950" cy="61201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95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746852A4" w14:textId="36A69A24" w:rsidR="00DA17F4" w:rsidRPr="003D16B5" w:rsidRDefault="009C29AA" w:rsidP="00116EA2">
                          <w:pPr>
                            <w:pStyle w:val="Header"/>
                            <w:jc w:val="right"/>
                          </w:pPr>
                          <w:r>
                            <w:fldChar w:fldCharType="begin"/>
                          </w:r>
                          <w:r>
                            <w:instrText xml:space="preserve"> TITLE  \* MERGEFORMAT </w:instrText>
                          </w:r>
                          <w:r>
                            <w:fldChar w:fldCharType="separate"/>
                          </w:r>
                          <w:r>
                            <w:t>ST/SG/AC.10/C.4/80</w:t>
                          </w:r>
                          <w:r>
                            <w:fldChar w:fldCharType="end"/>
                          </w:r>
                        </w:p>
                        <w:p w14:paraId="2706B034" w14:textId="77777777" w:rsidR="00DA17F4" w:rsidRDefault="00DA17F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1E44B1C" id="_x0000_t202" coordsize="21600,21600" o:spt="202" path="m,l,21600r21600,l21600,xe">
              <v:stroke joinstyle="miter"/>
              <v:path gradientshapeok="t" o:connecttype="rect"/>
            </v:shapetype>
            <v:shape id="Zone de texte 6" o:spid="_x0000_s1027" type="#_x0000_t202" style="position:absolute;margin-left:782.35pt;margin-top:0;width:28.5pt;height:481.9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" fillcolor="#4f81bd [3204]" stroked="f" strokeweight=".5pt">
              <v:fill opacity="0"/>
              <v:path arrowok="t"/>
              <v:textbox style="layout-flow:vertical" inset="0,0,0,0">
                <w:txbxContent>
                  <w:p w14:paraId="746852A4" w14:textId="36A69A24" w:rsidR="00DA17F4" w:rsidRPr="003D16B5" w:rsidRDefault="009C29AA" w:rsidP="00116EA2">
                    <w:pPr>
                      <w:pStyle w:val="Header"/>
                      <w:jc w:val="right"/>
                    </w:pPr>
                    <w:r>
                      <w:fldChar w:fldCharType="begin"/>
                    </w:r>
                    <w:r>
                      <w:instrText xml:space="preserve"> TITLE  \* MERGEFORMAT </w:instrText>
                    </w:r>
                    <w:r>
                      <w:fldChar w:fldCharType="separate"/>
                    </w:r>
                    <w:r>
                      <w:t>ST/SG/AC.10/C.4/80</w:t>
                    </w:r>
                    <w:r>
                      <w:fldChar w:fldCharType="end"/>
                    </w:r>
                  </w:p>
                  <w:p w14:paraId="2706B034" w14:textId="77777777" w:rsidR="00DA17F4" w:rsidRDefault="00DA17F4"/>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37448" w14:textId="633AAF8C" w:rsidR="00DA17F4" w:rsidRPr="003D06F0" w:rsidRDefault="009C29AA" w:rsidP="003D06F0">
    <w:pPr>
      <w:pStyle w:val="Header"/>
    </w:pPr>
    <w:r>
      <w:fldChar w:fldCharType="begin"/>
    </w:r>
    <w:r>
      <w:instrText xml:space="preserve"> TITLE  \* MERGEFORMAT </w:instrText>
    </w:r>
    <w:r>
      <w:fldChar w:fldCharType="separate"/>
    </w:r>
    <w:r>
      <w:t>ST/SG/AC.10/C.4/80</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94C8A" w14:textId="4D93FD22" w:rsidR="00DA17F4" w:rsidRPr="003D06F0" w:rsidRDefault="009C29AA" w:rsidP="003D06F0">
    <w:pPr>
      <w:pStyle w:val="Header"/>
      <w:jc w:val="right"/>
    </w:pPr>
    <w:r>
      <w:fldChar w:fldCharType="begin"/>
    </w:r>
    <w:r>
      <w:instrText xml:space="preserve"> TITLE  \* MERGEFORMAT </w:instrText>
    </w:r>
    <w:r>
      <w:fldChar w:fldCharType="separate"/>
    </w:r>
    <w:r>
      <w:t>ST/SG/AC.10/C.4/80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0553F4E"/>
    <w:multiLevelType w:val="hybridMultilevel"/>
    <w:tmpl w:val="AB242CCA"/>
    <w:lvl w:ilvl="0" w:tplc="4A3A0E9E">
      <w:start w:val="1"/>
      <w:numFmt w:val="lowerLetter"/>
      <w:lvlText w:val="(%1)"/>
      <w:lvlJc w:val="left"/>
      <w:pPr>
        <w:ind w:left="1854"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A3400D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C256B62"/>
    <w:multiLevelType w:val="hybridMultilevel"/>
    <w:tmpl w:val="A9943C50"/>
    <w:lvl w:ilvl="0" w:tplc="4A3A0E9E">
      <w:start w:val="1"/>
      <w:numFmt w:val="lowerLetter"/>
      <w:lvlText w:val="(%1)"/>
      <w:lvlJc w:val="left"/>
      <w:pPr>
        <w:ind w:left="1854" w:hanging="360"/>
      </w:pPr>
    </w:lvl>
    <w:lvl w:ilvl="1" w:tplc="041D0019">
      <w:start w:val="1"/>
      <w:numFmt w:val="lowerLetter"/>
      <w:lvlText w:val="%2."/>
      <w:lvlJc w:val="left"/>
      <w:pPr>
        <w:ind w:left="2574" w:hanging="360"/>
      </w:pPr>
    </w:lvl>
    <w:lvl w:ilvl="2" w:tplc="041D001B">
      <w:start w:val="1"/>
      <w:numFmt w:val="lowerRoman"/>
      <w:lvlText w:val="%3."/>
      <w:lvlJc w:val="right"/>
      <w:pPr>
        <w:ind w:left="3294" w:hanging="180"/>
      </w:pPr>
    </w:lvl>
    <w:lvl w:ilvl="3" w:tplc="041D000F">
      <w:start w:val="1"/>
      <w:numFmt w:val="decimal"/>
      <w:lvlText w:val="%4."/>
      <w:lvlJc w:val="left"/>
      <w:pPr>
        <w:ind w:left="4014" w:hanging="360"/>
      </w:pPr>
    </w:lvl>
    <w:lvl w:ilvl="4" w:tplc="041D0019">
      <w:start w:val="1"/>
      <w:numFmt w:val="lowerLetter"/>
      <w:lvlText w:val="%5."/>
      <w:lvlJc w:val="left"/>
      <w:pPr>
        <w:ind w:left="4734" w:hanging="360"/>
      </w:pPr>
    </w:lvl>
    <w:lvl w:ilvl="5" w:tplc="041D001B">
      <w:start w:val="1"/>
      <w:numFmt w:val="lowerRoman"/>
      <w:lvlText w:val="%6."/>
      <w:lvlJc w:val="right"/>
      <w:pPr>
        <w:ind w:left="5454" w:hanging="180"/>
      </w:pPr>
    </w:lvl>
    <w:lvl w:ilvl="6" w:tplc="041D000F">
      <w:start w:val="1"/>
      <w:numFmt w:val="decimal"/>
      <w:lvlText w:val="%7."/>
      <w:lvlJc w:val="left"/>
      <w:pPr>
        <w:ind w:left="6174" w:hanging="360"/>
      </w:pPr>
    </w:lvl>
    <w:lvl w:ilvl="7" w:tplc="041D0019">
      <w:start w:val="1"/>
      <w:numFmt w:val="lowerLetter"/>
      <w:lvlText w:val="%8."/>
      <w:lvlJc w:val="left"/>
      <w:pPr>
        <w:ind w:left="6894" w:hanging="360"/>
      </w:pPr>
    </w:lvl>
    <w:lvl w:ilvl="8" w:tplc="041D001B">
      <w:start w:val="1"/>
      <w:numFmt w:val="lowerRoman"/>
      <w:lvlText w:val="%9."/>
      <w:lvlJc w:val="right"/>
      <w:pPr>
        <w:ind w:left="7614" w:hanging="180"/>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231F95"/>
    <w:multiLevelType w:val="hybridMultilevel"/>
    <w:tmpl w:val="1F8A4EEC"/>
    <w:lvl w:ilvl="0" w:tplc="D3001EE2">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535E01CE"/>
    <w:multiLevelType w:val="hybridMultilevel"/>
    <w:tmpl w:val="C2665ACE"/>
    <w:lvl w:ilvl="0" w:tplc="A42813BE">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5BFC23B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5CDD637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EEB2E96"/>
    <w:multiLevelType w:val="hybridMultilevel"/>
    <w:tmpl w:val="3B7A0EBA"/>
    <w:lvl w:ilvl="0" w:tplc="AE7C7A4C">
      <w:start w:val="5"/>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26"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8" w15:restartNumberingAfterBreak="0">
    <w:nsid w:val="6B0913BF"/>
    <w:multiLevelType w:val="hybridMultilevel"/>
    <w:tmpl w:val="815E8066"/>
    <w:lvl w:ilvl="0" w:tplc="19ECF12A">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6C7E5D63"/>
    <w:multiLevelType w:val="hybridMultilevel"/>
    <w:tmpl w:val="852C89EC"/>
    <w:lvl w:ilvl="0" w:tplc="B3D8F3E0">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7E4E552C"/>
    <w:multiLevelType w:val="hybridMultilevel"/>
    <w:tmpl w:val="87FC648A"/>
    <w:lvl w:ilvl="0" w:tplc="4DE48234">
      <w:start w:val="1"/>
      <w:numFmt w:val="upperRoman"/>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31" w15:restartNumberingAfterBreak="0">
    <w:nsid w:val="7FD85E3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7"/>
  </w:num>
  <w:num w:numId="2">
    <w:abstractNumId w:val="20"/>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7"/>
  </w:num>
  <w:num w:numId="15">
    <w:abstractNumId w:val="20"/>
  </w:num>
  <w:num w:numId="16">
    <w:abstractNumId w:val="12"/>
  </w:num>
  <w:num w:numId="17">
    <w:abstractNumId w:val="19"/>
  </w:num>
  <w:num w:numId="18">
    <w:abstractNumId w:val="17"/>
  </w:num>
  <w:num w:numId="19">
    <w:abstractNumId w:val="10"/>
  </w:num>
  <w:num w:numId="20">
    <w:abstractNumId w:val="24"/>
  </w:num>
  <w:num w:numId="21">
    <w:abstractNumId w:val="22"/>
  </w:num>
  <w:num w:numId="22">
    <w:abstractNumId w:val="15"/>
  </w:num>
  <w:num w:numId="23">
    <w:abstractNumId w:val="14"/>
  </w:num>
  <w:num w:numId="24">
    <w:abstractNumId w:val="11"/>
  </w:num>
  <w:num w:numId="25">
    <w:abstractNumId w:val="26"/>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21"/>
  </w:num>
  <w:num w:numId="30">
    <w:abstractNumId w:val="18"/>
  </w:num>
  <w:num w:numId="31">
    <w:abstractNumId w:val="28"/>
  </w:num>
  <w:num w:numId="32">
    <w:abstractNumId w:val="29"/>
  </w:num>
  <w:num w:numId="33">
    <w:abstractNumId w:val="25"/>
  </w:num>
  <w:num w:numId="34">
    <w:abstractNumId w:val="31"/>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970"/>
    <w:rsid w:val="00017F94"/>
    <w:rsid w:val="00023842"/>
    <w:rsid w:val="000305D3"/>
    <w:rsid w:val="000334F9"/>
    <w:rsid w:val="0003666B"/>
    <w:rsid w:val="00056591"/>
    <w:rsid w:val="0007796D"/>
    <w:rsid w:val="000922F1"/>
    <w:rsid w:val="000B7790"/>
    <w:rsid w:val="000F5307"/>
    <w:rsid w:val="00111F2F"/>
    <w:rsid w:val="00116EA2"/>
    <w:rsid w:val="00132EA9"/>
    <w:rsid w:val="0014365E"/>
    <w:rsid w:val="00172E49"/>
    <w:rsid w:val="00176178"/>
    <w:rsid w:val="00185511"/>
    <w:rsid w:val="001A50E1"/>
    <w:rsid w:val="001F525A"/>
    <w:rsid w:val="00223272"/>
    <w:rsid w:val="0024779E"/>
    <w:rsid w:val="00283190"/>
    <w:rsid w:val="002832AC"/>
    <w:rsid w:val="002D7C93"/>
    <w:rsid w:val="002F581C"/>
    <w:rsid w:val="00304970"/>
    <w:rsid w:val="00352F16"/>
    <w:rsid w:val="003A255F"/>
    <w:rsid w:val="003D06F0"/>
    <w:rsid w:val="003D16B5"/>
    <w:rsid w:val="003F1C55"/>
    <w:rsid w:val="00441C3B"/>
    <w:rsid w:val="00446FE5"/>
    <w:rsid w:val="00452396"/>
    <w:rsid w:val="004E468C"/>
    <w:rsid w:val="0050077B"/>
    <w:rsid w:val="005505B7"/>
    <w:rsid w:val="00550B69"/>
    <w:rsid w:val="00573BE5"/>
    <w:rsid w:val="00584DC4"/>
    <w:rsid w:val="00586ED3"/>
    <w:rsid w:val="00596AA9"/>
    <w:rsid w:val="005C5880"/>
    <w:rsid w:val="0063175B"/>
    <w:rsid w:val="0068456F"/>
    <w:rsid w:val="00705B57"/>
    <w:rsid w:val="0071601D"/>
    <w:rsid w:val="00751AA5"/>
    <w:rsid w:val="007A62E6"/>
    <w:rsid w:val="008025F7"/>
    <w:rsid w:val="0080684C"/>
    <w:rsid w:val="008123E0"/>
    <w:rsid w:val="00871C75"/>
    <w:rsid w:val="008776DC"/>
    <w:rsid w:val="0088159D"/>
    <w:rsid w:val="008965E8"/>
    <w:rsid w:val="008B40CD"/>
    <w:rsid w:val="009468E0"/>
    <w:rsid w:val="0096554F"/>
    <w:rsid w:val="009705C8"/>
    <w:rsid w:val="00991CC9"/>
    <w:rsid w:val="009C1CF4"/>
    <w:rsid w:val="009C29AA"/>
    <w:rsid w:val="00A30353"/>
    <w:rsid w:val="00A81281"/>
    <w:rsid w:val="00A91202"/>
    <w:rsid w:val="00AC3823"/>
    <w:rsid w:val="00AC3B8C"/>
    <w:rsid w:val="00AD0C20"/>
    <w:rsid w:val="00AE323C"/>
    <w:rsid w:val="00B00181"/>
    <w:rsid w:val="00B00B0D"/>
    <w:rsid w:val="00B765F7"/>
    <w:rsid w:val="00B80EA1"/>
    <w:rsid w:val="00B82B20"/>
    <w:rsid w:val="00BA0CA9"/>
    <w:rsid w:val="00BC19AD"/>
    <w:rsid w:val="00C02897"/>
    <w:rsid w:val="00CE508C"/>
    <w:rsid w:val="00D32974"/>
    <w:rsid w:val="00D3439C"/>
    <w:rsid w:val="00DA17F4"/>
    <w:rsid w:val="00DB1831"/>
    <w:rsid w:val="00DD3BFD"/>
    <w:rsid w:val="00DF6678"/>
    <w:rsid w:val="00E41DFB"/>
    <w:rsid w:val="00EF2E22"/>
    <w:rsid w:val="00F01738"/>
    <w:rsid w:val="00F56E8A"/>
    <w:rsid w:val="00F660DF"/>
    <w:rsid w:val="00F72DF1"/>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4C3D33"/>
  <w15:docId w15:val="{8BAD16C5-6A31-4664-AC20-4538D70AF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SingleTxtGChar">
    <w:name w:val="_ Single Txt_G Char"/>
    <w:link w:val="SingleTxtG"/>
    <w:qFormat/>
    <w:locked/>
    <w:rsid w:val="00705B57"/>
    <w:rPr>
      <w:rFonts w:ascii="Times New Roman" w:eastAsiaTheme="minorHAnsi" w:hAnsi="Times New Roman" w:cs="Times New Roman"/>
      <w:sz w:val="20"/>
      <w:szCs w:val="20"/>
      <w:lang w:eastAsia="en-US"/>
    </w:rPr>
  </w:style>
  <w:style w:type="character" w:customStyle="1" w:styleId="HChGChar">
    <w:name w:val="_ H _Ch_G Char"/>
    <w:link w:val="HChG"/>
    <w:locked/>
    <w:rsid w:val="00705B57"/>
    <w:rPr>
      <w:rFonts w:ascii="Times New Roman" w:eastAsiaTheme="minorHAnsi" w:hAnsi="Times New Roman" w:cs="Times New Roman"/>
      <w:b/>
      <w:sz w:val="28"/>
      <w:szCs w:val="20"/>
      <w:lang w:eastAsia="en-US"/>
    </w:rPr>
  </w:style>
  <w:style w:type="character" w:customStyle="1" w:styleId="H1GChar">
    <w:name w:val="_ H_1_G Char"/>
    <w:link w:val="H1G"/>
    <w:locked/>
    <w:rsid w:val="00705B57"/>
    <w:rPr>
      <w:rFonts w:ascii="Times New Roman" w:eastAsiaTheme="minorHAnsi" w:hAnsi="Times New Roman" w:cs="Times New Roman"/>
      <w:b/>
      <w:sz w:val="24"/>
      <w:szCs w:val="20"/>
      <w:lang w:eastAsia="en-US"/>
    </w:rPr>
  </w:style>
  <w:style w:type="character" w:customStyle="1" w:styleId="H23GChar">
    <w:name w:val="_ H_2/3_G Char"/>
    <w:link w:val="H23G"/>
    <w:locked/>
    <w:rsid w:val="00705B57"/>
    <w:rPr>
      <w:rFonts w:ascii="Times New Roman" w:eastAsiaTheme="minorHAnsi" w:hAnsi="Times New Roman" w:cs="Times New Roman"/>
      <w:b/>
      <w:sz w:val="20"/>
      <w:szCs w:val="20"/>
      <w:lang w:eastAsia="en-US"/>
    </w:rPr>
  </w:style>
  <w:style w:type="paragraph" w:styleId="Revision">
    <w:name w:val="Revision"/>
    <w:hidden/>
    <w:uiPriority w:val="99"/>
    <w:semiHidden/>
    <w:rsid w:val="00705B57"/>
    <w:pPr>
      <w:spacing w:after="0" w:line="240" w:lineRule="auto"/>
    </w:pPr>
    <w:rPr>
      <w:rFonts w:ascii="Times New Roman" w:eastAsia="SimSun" w:hAnsi="Times New Roman" w:cs="Times New Roman"/>
      <w:sz w:val="20"/>
      <w:szCs w:val="20"/>
      <w:lang w:val="en-GB"/>
    </w:rPr>
  </w:style>
  <w:style w:type="character" w:customStyle="1" w:styleId="SingleTxtGCar">
    <w:name w:val="_ Single Txt_G Car"/>
    <w:uiPriority w:val="99"/>
    <w:rsid w:val="00705B57"/>
    <w:rPr>
      <w:lang w:eastAsia="en-US"/>
    </w:rPr>
  </w:style>
  <w:style w:type="character" w:styleId="UnresolvedMention">
    <w:name w:val="Unresolved Mention"/>
    <w:basedOn w:val="DefaultParagraphFont"/>
    <w:uiPriority w:val="99"/>
    <w:semiHidden/>
    <w:unhideWhenUsed/>
    <w:rsid w:val="00B80E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package" Target="embeddings/Microsoft_Visio_Drawing2.vsdx"/><Relationship Id="rId18" Type="http://schemas.openxmlformats.org/officeDocument/2006/relationships/image" Target="media/image7.emf"/><Relationship Id="rId26" Type="http://schemas.openxmlformats.org/officeDocument/2006/relationships/footer" Target="footer3.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package" Target="embeddings/Microsoft_Visio_Drawing6.vsdx"/><Relationship Id="rId34" Type="http://schemas.openxmlformats.org/officeDocument/2006/relationships/hyperlink" Target="https://tsar.jrc.ec.europa.eu/test-method/tm2004-03" TargetMode="External"/><Relationship Id="rId7" Type="http://schemas.openxmlformats.org/officeDocument/2006/relationships/image" Target="media/image1.wmf"/><Relationship Id="rId12" Type="http://schemas.openxmlformats.org/officeDocument/2006/relationships/image" Target="media/image4.emf"/><Relationship Id="rId17" Type="http://schemas.openxmlformats.org/officeDocument/2006/relationships/package" Target="embeddings/Microsoft_Visio_Drawing4.vsdx"/><Relationship Id="rId25" Type="http://schemas.openxmlformats.org/officeDocument/2006/relationships/footer" Target="footer2.xml"/><Relationship Id="rId33" Type="http://schemas.openxmlformats.org/officeDocument/2006/relationships/hyperlink" Target="https://tsar.jrc.ec.europa.eu/test-method/tm2004-01" TargetMode="External"/><Relationship Id="rId38" Type="http://schemas.openxmlformats.org/officeDocument/2006/relationships/footer" Target="footer7.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8.emf"/><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Visio_Drawing1.vsdx"/><Relationship Id="rId24" Type="http://schemas.openxmlformats.org/officeDocument/2006/relationships/footer" Target="footer1.xml"/><Relationship Id="rId32" Type="http://schemas.openxmlformats.org/officeDocument/2006/relationships/hyperlink" Target="https://ec.europa.eu/jrc/sites/jrcsh/files/esac31_lvet_20090922.pdf" TargetMode="External"/><Relationship Id="rId37" Type="http://schemas.openxmlformats.org/officeDocument/2006/relationships/footer" Target="footer6.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package" Target="embeddings/Microsoft_Visio_Drawing3.vsdx"/><Relationship Id="rId23" Type="http://schemas.openxmlformats.org/officeDocument/2006/relationships/header" Target="header2.xml"/><Relationship Id="rId28" Type="http://schemas.openxmlformats.org/officeDocument/2006/relationships/header" Target="header4.xml"/><Relationship Id="rId36" Type="http://schemas.openxmlformats.org/officeDocument/2006/relationships/header" Target="header6.xml"/><Relationship Id="rId10" Type="http://schemas.openxmlformats.org/officeDocument/2006/relationships/image" Target="media/image3.emf"/><Relationship Id="rId19" Type="http://schemas.openxmlformats.org/officeDocument/2006/relationships/package" Target="embeddings/Microsoft_Visio_Drawing5.vsdx"/><Relationship Id="rId31" Type="http://schemas.openxmlformats.org/officeDocument/2006/relationships/hyperlink" Target="https://echa.europa.eu/guidance-documents/guidance-on-clp" TargetMode="External"/><Relationship Id="rId4" Type="http://schemas.openxmlformats.org/officeDocument/2006/relationships/webSettings" Target="webSettings.xml"/><Relationship Id="rId9" Type="http://schemas.openxmlformats.org/officeDocument/2006/relationships/package" Target="embeddings/Microsoft_Visio_Drawing.vsdx"/><Relationship Id="rId14" Type="http://schemas.openxmlformats.org/officeDocument/2006/relationships/image" Target="media/image5.emf"/><Relationship Id="rId22" Type="http://schemas.openxmlformats.org/officeDocument/2006/relationships/header" Target="header1.xml"/><Relationship Id="rId27" Type="http://schemas.openxmlformats.org/officeDocument/2006/relationships/header" Target="header3.xml"/><Relationship Id="rId30" Type="http://schemas.openxmlformats.org/officeDocument/2006/relationships/footer" Target="footer5.xml"/><Relationship Id="rId35" Type="http://schemas.openxmlformats.org/officeDocument/2006/relationships/header" Target="header5.xml"/></Relationships>
</file>

<file path=word/_rels/footer3.xml.rels><?xml version="1.0" encoding="UTF-8" standalone="yes"?>
<Relationships xmlns="http://schemas.openxmlformats.org/package/2006/relationships"><Relationship Id="rId2" Type="http://schemas.openxmlformats.org/officeDocument/2006/relationships/image" Target="media/image10.gif"/><Relationship Id="rId1" Type="http://schemas.openxmlformats.org/officeDocument/2006/relationships/image" Target="media/image9.png"/></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law/better-regulation/have-your-say_fr" TargetMode="External"/><Relationship Id="rId2" Type="http://schemas.openxmlformats.org/officeDocument/2006/relationships/hyperlink" Target="https://ec.europa.eu/environment/strategy/chemicals-strategy_en" TargetMode="External"/><Relationship Id="rId1" Type="http://schemas.openxmlformats.org/officeDocument/2006/relationships/hyperlink" Target="https://unece.org/transport/documents/2021/01/ghs-implementation-implementation-country" TargetMode="External"/><Relationship Id="rId4" Type="http://schemas.openxmlformats.org/officeDocument/2006/relationships/hyperlink" Target="https://unitar.org/global-partnership-implement-g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49</Pages>
  <Words>19073</Words>
  <Characters>108718</Characters>
  <Application>Microsoft Office Word</Application>
  <DocSecurity>0</DocSecurity>
  <Lines>905</Lines>
  <Paragraphs>255</Paragraphs>
  <ScaleCrop>false</ScaleCrop>
  <HeadingPairs>
    <vt:vector size="2" baseType="variant">
      <vt:variant>
        <vt:lpstr>Titre</vt:lpstr>
      </vt:variant>
      <vt:variant>
        <vt:i4>1</vt:i4>
      </vt:variant>
    </vt:vector>
  </HeadingPairs>
  <TitlesOfParts>
    <vt:vector size="1" baseType="lpstr">
      <vt:lpstr>ST/SG/AC.10/C.4/80</vt:lpstr>
    </vt:vector>
  </TitlesOfParts>
  <Company>DCM</Company>
  <LinksUpToDate>false</LinksUpToDate>
  <CharactersWithSpaces>127536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ST/SG/AC.10/C.4/80</dc:title>
  <dc:subject/>
  <dc:creator>Nicolas MORIN</dc:creator>
  <cp:keywords/>
  <cp:lastModifiedBy>Laurence Berthet</cp:lastModifiedBy>
  <cp:revision>3</cp:revision>
  <cp:lastPrinted>2021-12-10T11:07:00Z</cp:lastPrinted>
  <dcterms:created xsi:type="dcterms:W3CDTF">2021-12-10T11:06:00Z</dcterms:created>
  <dcterms:modified xsi:type="dcterms:W3CDTF">2021-12-10T11:07:00Z</dcterms:modified>
</cp:coreProperties>
</file>