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68A27" w14:textId="77777777" w:rsidR="00DE53B8" w:rsidRPr="009C031F" w:rsidRDefault="006206C7" w:rsidP="00DE53B8">
      <w:r>
        <w:pict w14:anchorId="783263FE">
          <v:rect id="_x0000_i1025" style="width:0;height:1.5pt" o:hralign="center" o:hrstd="t" o:hr="t" fillcolor="#a0a0a0" stroked="f">
            <v:textbox inset="5.85pt,.7pt,5.85pt,.7pt"/>
          </v:rect>
        </w:pict>
      </w:r>
    </w:p>
    <w:p w14:paraId="1CBEAEF5" w14:textId="77777777" w:rsidR="00413ACF" w:rsidRPr="009C031F" w:rsidRDefault="00413ACF" w:rsidP="00DE53B8">
      <w:pPr>
        <w:rPr>
          <w:b/>
          <w:sz w:val="21"/>
          <w:szCs w:val="21"/>
          <w:lang w:val="en-GB"/>
        </w:rPr>
      </w:pPr>
    </w:p>
    <w:p w14:paraId="5A4AB259" w14:textId="77777777" w:rsidR="000561B1" w:rsidRPr="009C031F" w:rsidRDefault="00205869" w:rsidP="000561B1">
      <w:pPr>
        <w:spacing w:before="360" w:after="240" w:line="300" w:lineRule="exact"/>
        <w:ind w:left="1134" w:hanging="1134"/>
        <w:jc w:val="center"/>
        <w:rPr>
          <w:b/>
          <w:sz w:val="28"/>
          <w:lang w:val="en-GB"/>
        </w:rPr>
      </w:pPr>
      <w:r w:rsidRPr="009C031F">
        <w:rPr>
          <w:b/>
          <w:sz w:val="28"/>
          <w:lang w:val="en-GB"/>
        </w:rPr>
        <w:t xml:space="preserve">Proposal for a new Supplement to UN Regulation No. </w:t>
      </w:r>
      <w:r w:rsidR="0011761B" w:rsidRPr="009C031F">
        <w:rPr>
          <w:b/>
          <w:sz w:val="28"/>
          <w:lang w:val="en-GB"/>
        </w:rPr>
        <w:t>24</w:t>
      </w:r>
    </w:p>
    <w:p w14:paraId="7EA8F182" w14:textId="4A7738E4" w:rsidR="000561B1" w:rsidRPr="009C031F" w:rsidRDefault="000561B1" w:rsidP="0079329D">
      <w:pPr>
        <w:spacing w:before="120" w:line="300" w:lineRule="exact"/>
        <w:jc w:val="center"/>
        <w:rPr>
          <w:sz w:val="28"/>
          <w:lang w:val="en-GB"/>
        </w:rPr>
      </w:pPr>
    </w:p>
    <w:p w14:paraId="3C71FF04" w14:textId="77777777" w:rsidR="003C239C" w:rsidRDefault="003C239C" w:rsidP="003C239C">
      <w:pPr>
        <w:keepNext/>
        <w:keepLines/>
        <w:tabs>
          <w:tab w:val="right" w:pos="851"/>
        </w:tabs>
        <w:spacing w:before="360" w:after="240" w:line="300" w:lineRule="exact"/>
        <w:ind w:left="1134" w:right="1134"/>
        <w:rPr>
          <w:lang w:val="en-GB"/>
        </w:rPr>
      </w:pPr>
      <w:r w:rsidRPr="00C26EFD">
        <w:rPr>
          <w:lang w:val="en-GB"/>
        </w:rPr>
        <w:t>The modifications to the current text of the Regulation are marked in bold for new or strikethrough for deleted characters.</w:t>
      </w:r>
    </w:p>
    <w:p w14:paraId="32460369" w14:textId="77777777" w:rsidR="00731490" w:rsidRPr="009C031F" w:rsidRDefault="00731490" w:rsidP="00213FB3">
      <w:pPr>
        <w:spacing w:before="360" w:after="240" w:line="300" w:lineRule="exact"/>
        <w:ind w:left="1134" w:right="1134" w:hanging="1134"/>
        <w:rPr>
          <w:b/>
          <w:sz w:val="28"/>
          <w:lang w:val="en-GB"/>
        </w:rPr>
      </w:pPr>
    </w:p>
    <w:p w14:paraId="78FD31D5" w14:textId="77777777" w:rsidR="003C239C" w:rsidRDefault="003C239C" w:rsidP="003C239C">
      <w:pPr>
        <w:keepNext/>
        <w:keepLines/>
        <w:spacing w:before="360" w:after="240" w:line="300" w:lineRule="exact"/>
        <w:ind w:left="567" w:right="1134" w:hanging="567"/>
        <w:rPr>
          <w:b/>
          <w:sz w:val="28"/>
          <w:lang w:val="en-GB"/>
        </w:rPr>
      </w:pPr>
      <w:r w:rsidRPr="00C26EFD">
        <w:rPr>
          <w:b/>
          <w:sz w:val="28"/>
          <w:lang w:val="en-GB"/>
        </w:rPr>
        <w:t>I.</w:t>
      </w:r>
      <w:r w:rsidRPr="00C26EFD">
        <w:rPr>
          <w:b/>
          <w:sz w:val="28"/>
          <w:lang w:val="en-GB"/>
        </w:rPr>
        <w:tab/>
        <w:t>Proposal</w:t>
      </w:r>
    </w:p>
    <w:p w14:paraId="16AEAA92" w14:textId="480636B9" w:rsidR="000561B1" w:rsidRPr="009C031F" w:rsidRDefault="0011761B" w:rsidP="00476326">
      <w:pPr>
        <w:spacing w:after="120" w:line="240" w:lineRule="atLeast"/>
        <w:ind w:left="2268" w:right="1134" w:hanging="1134"/>
        <w:rPr>
          <w:iCs/>
          <w:lang w:val="en-GB"/>
        </w:rPr>
      </w:pPr>
      <w:r w:rsidRPr="003C239C">
        <w:rPr>
          <w:i/>
          <w:lang w:val="en-GB"/>
        </w:rPr>
        <w:t xml:space="preserve">Annex4, </w:t>
      </w:r>
      <w:r w:rsidR="0041454F" w:rsidRPr="003C239C">
        <w:rPr>
          <w:i/>
          <w:lang w:val="en-GB"/>
        </w:rPr>
        <w:t xml:space="preserve">paragraph </w:t>
      </w:r>
      <w:r w:rsidRPr="003C239C">
        <w:rPr>
          <w:i/>
          <w:lang w:val="en-GB"/>
        </w:rPr>
        <w:t>3.2</w:t>
      </w:r>
      <w:r w:rsidR="0041454F" w:rsidRPr="003C239C">
        <w:rPr>
          <w:i/>
          <w:lang w:val="en-GB"/>
        </w:rPr>
        <w:t>.</w:t>
      </w:r>
      <w:r w:rsidR="003C239C" w:rsidRPr="003C239C">
        <w:rPr>
          <w:i/>
          <w:lang w:val="en-GB"/>
        </w:rPr>
        <w:t>;</w:t>
      </w:r>
      <w:r w:rsidR="003C239C">
        <w:rPr>
          <w:iCs/>
          <w:lang w:val="en-GB"/>
        </w:rPr>
        <w:t xml:space="preserve"> amend to read:</w:t>
      </w:r>
    </w:p>
    <w:p w14:paraId="318D14C8" w14:textId="5E267226" w:rsidR="00476326" w:rsidRPr="009C031F" w:rsidRDefault="003C239C" w:rsidP="00476326">
      <w:pPr>
        <w:spacing w:after="120" w:line="240" w:lineRule="atLeast"/>
        <w:ind w:left="2268" w:right="1134" w:hanging="1134"/>
        <w:rPr>
          <w:rFonts w:cs="Times New Roman"/>
          <w:lang w:val="en-GB"/>
        </w:rPr>
      </w:pPr>
      <w:r w:rsidRPr="007071A0">
        <w:rPr>
          <w:lang w:eastAsia="nl-NL"/>
        </w:rPr>
        <w:t>"</w:t>
      </w:r>
      <w:r w:rsidR="0011761B" w:rsidRPr="009C031F">
        <w:t>3.2</w:t>
      </w:r>
      <w:r>
        <w:t>.</w:t>
      </w:r>
      <w:r w:rsidR="0011761B" w:rsidRPr="009C031F">
        <w:t xml:space="preserve"> </w:t>
      </w:r>
      <w:r>
        <w:tab/>
      </w:r>
      <w:r w:rsidR="0011761B" w:rsidRPr="009C031F">
        <w:t>Fuel</w:t>
      </w:r>
    </w:p>
    <w:p w14:paraId="0C63081D" w14:textId="77777777" w:rsidR="00FF3507" w:rsidRPr="009C031F" w:rsidRDefault="0011761B" w:rsidP="003C239C">
      <w:pPr>
        <w:spacing w:after="120" w:line="360" w:lineRule="atLeast"/>
        <w:ind w:left="2268" w:right="1134"/>
        <w:rPr>
          <w:rFonts w:cs="Times New Roman"/>
          <w:lang w:val="en-GB"/>
        </w:rPr>
      </w:pPr>
      <w:r w:rsidRPr="009C031F">
        <w:t>The fuel shall be the reference fuel whose specifications are given in annex 6 to this Regulation</w:t>
      </w:r>
      <w:r w:rsidR="00FF3507" w:rsidRPr="009C031F">
        <w:rPr>
          <w:rFonts w:cs="Times New Roman"/>
          <w:lang w:val="en-GB"/>
        </w:rPr>
        <w:t>.</w:t>
      </w:r>
    </w:p>
    <w:p w14:paraId="4E3AF0A3" w14:textId="702B6E42" w:rsidR="00FF3507" w:rsidRPr="009C031F" w:rsidRDefault="00FF3507" w:rsidP="003C239C">
      <w:pPr>
        <w:spacing w:after="120" w:line="360" w:lineRule="atLeast"/>
        <w:ind w:left="2268" w:right="1134"/>
        <w:rPr>
          <w:rFonts w:cs="Times New Roman"/>
          <w:b/>
          <w:lang w:val="en-GB"/>
        </w:rPr>
      </w:pPr>
      <w:r w:rsidRPr="009C031F">
        <w:rPr>
          <w:rFonts w:cs="Times New Roman"/>
          <w:b/>
          <w:lang w:val="en-GB"/>
        </w:rPr>
        <w:t>In case of test for emission of gaseous and particulate pollutants is conducted at the same time with test to this Regulation, the fuel for test for emission of gaseous and particulate pollutants may be used for test to this Regulation, if the manufacturer’s request.</w:t>
      </w:r>
      <w:r w:rsidR="003C239C" w:rsidRPr="007071A0">
        <w:rPr>
          <w:lang w:eastAsia="nl-NL"/>
        </w:rPr>
        <w:t>"</w:t>
      </w:r>
    </w:p>
    <w:p w14:paraId="462E8E95" w14:textId="77777777" w:rsidR="00FF3507" w:rsidRPr="009C031F" w:rsidRDefault="00FF3507" w:rsidP="00FF3507">
      <w:pPr>
        <w:spacing w:after="120" w:line="360" w:lineRule="atLeast"/>
        <w:ind w:left="1134" w:right="1134"/>
        <w:rPr>
          <w:rFonts w:cs="Times New Roman"/>
          <w:lang w:val="en-GB"/>
        </w:rPr>
      </w:pPr>
    </w:p>
    <w:p w14:paraId="39E53F13" w14:textId="77777777" w:rsidR="003C239C" w:rsidRPr="00C26EFD" w:rsidRDefault="003C239C" w:rsidP="003C239C">
      <w:pPr>
        <w:spacing w:before="120" w:after="120"/>
        <w:ind w:left="567" w:right="1134" w:hanging="567"/>
        <w:jc w:val="both"/>
        <w:rPr>
          <w:b/>
          <w:color w:val="FF0000"/>
          <w:sz w:val="28"/>
          <w:lang w:val="en-GB"/>
        </w:rPr>
      </w:pPr>
      <w:r w:rsidRPr="00C26EFD">
        <w:rPr>
          <w:b/>
          <w:sz w:val="28"/>
          <w:lang w:val="en-GB"/>
        </w:rPr>
        <w:t>II</w:t>
      </w:r>
      <w:r>
        <w:rPr>
          <w:b/>
          <w:sz w:val="28"/>
          <w:lang w:val="en-GB"/>
        </w:rPr>
        <w:t>.</w:t>
      </w:r>
      <w:r>
        <w:rPr>
          <w:b/>
          <w:sz w:val="28"/>
          <w:lang w:val="en-GB"/>
        </w:rPr>
        <w:tab/>
        <w:t>Justification</w:t>
      </w:r>
    </w:p>
    <w:p w14:paraId="1A053E89" w14:textId="1A961258" w:rsidR="003F680E" w:rsidRPr="009C031F" w:rsidRDefault="003F680E" w:rsidP="003C239C">
      <w:pPr>
        <w:pStyle w:val="ListParagraph"/>
        <w:numPr>
          <w:ilvl w:val="0"/>
          <w:numId w:val="1"/>
        </w:numPr>
        <w:spacing w:after="120" w:line="360" w:lineRule="atLeast"/>
        <w:ind w:leftChars="0" w:left="1134" w:right="1134" w:firstLine="0"/>
      </w:pPr>
      <w:r w:rsidRPr="009C031F">
        <w:t>The use of test fuels is permitted for certification testing of gaseous and particulate pollutants and power/smoke testing in Europe. However, other countries that have adopted and referenced UN R</w:t>
      </w:r>
      <w:r w:rsidR="00D96F52" w:rsidRPr="009C031F">
        <w:t>egulation No.</w:t>
      </w:r>
      <w:r w:rsidR="0011761B" w:rsidRPr="009C031F">
        <w:t>24</w:t>
      </w:r>
      <w:r w:rsidRPr="009C031F">
        <w:t xml:space="preserve"> may not allow this. In this case, manufacturers </w:t>
      </w:r>
      <w:proofErr w:type="gramStart"/>
      <w:r w:rsidRPr="009C031F">
        <w:t>have to</w:t>
      </w:r>
      <w:proofErr w:type="gramEnd"/>
      <w:r w:rsidRPr="009C031F">
        <w:t xml:space="preserve"> prepare fuels with different characteristics, which is costly and requires a long time due to the current inconsistent situation.</w:t>
      </w:r>
      <w:r w:rsidR="003C239C">
        <w:t xml:space="preserve"> </w:t>
      </w:r>
    </w:p>
    <w:p w14:paraId="563CDE8B" w14:textId="1C45B926" w:rsidR="004255A8" w:rsidRDefault="003F680E" w:rsidP="003C239C">
      <w:pPr>
        <w:pStyle w:val="ListParagraph"/>
        <w:numPr>
          <w:ilvl w:val="0"/>
          <w:numId w:val="1"/>
        </w:numPr>
        <w:spacing w:after="120" w:line="360" w:lineRule="atLeast"/>
        <w:ind w:leftChars="0" w:left="1134" w:right="1134" w:firstLine="0"/>
      </w:pPr>
      <w:r w:rsidRPr="009C031F">
        <w:t xml:space="preserve">We believe that the use of test fuels for gaseous and particulate pollutant measurement tests should be </w:t>
      </w:r>
      <w:r w:rsidR="00D96F52" w:rsidRPr="009C031F">
        <w:t xml:space="preserve">a priority </w:t>
      </w:r>
      <w:r w:rsidRPr="009C031F">
        <w:t xml:space="preserve">as a precondition for the introduction of </w:t>
      </w:r>
      <w:r w:rsidR="006206C7">
        <w:t>more stringent</w:t>
      </w:r>
      <w:r w:rsidRPr="009C031F">
        <w:t xml:space="preserve"> emission levels.</w:t>
      </w:r>
    </w:p>
    <w:p w14:paraId="1DA36902" w14:textId="74913019" w:rsidR="003C239C" w:rsidRDefault="003C239C" w:rsidP="003C239C">
      <w:pPr>
        <w:spacing w:after="120" w:line="360" w:lineRule="atLeast"/>
        <w:ind w:right="1134"/>
      </w:pPr>
    </w:p>
    <w:p w14:paraId="00EF34D5" w14:textId="73CA8BB1" w:rsidR="006F62C1" w:rsidRDefault="006F62C1" w:rsidP="006F62C1">
      <w:pPr>
        <w:spacing w:after="120" w:line="360" w:lineRule="atLeast"/>
        <w:ind w:right="1134"/>
        <w:jc w:val="center"/>
      </w:pPr>
      <w:r w:rsidRPr="00E05332">
        <w:rPr>
          <w:u w:val="single"/>
        </w:rPr>
        <w:tab/>
      </w:r>
      <w:r w:rsidRPr="00E05332">
        <w:rPr>
          <w:u w:val="single"/>
        </w:rPr>
        <w:tab/>
      </w:r>
      <w:r w:rsidRPr="00E05332">
        <w:rPr>
          <w:u w:val="single"/>
        </w:rPr>
        <w:tab/>
      </w:r>
      <w:r w:rsidRPr="00E05332">
        <w:rPr>
          <w:u w:val="single"/>
        </w:rPr>
        <w:tab/>
      </w:r>
    </w:p>
    <w:sectPr w:rsidR="006F62C1" w:rsidSect="00413ACF">
      <w:headerReference w:type="default" r:id="rId11"/>
      <w:pgSz w:w="11906" w:h="16838" w:code="9"/>
      <w:pgMar w:top="1701" w:right="1134" w:bottom="2268" w:left="1134" w:header="85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99319" w14:textId="77777777" w:rsidR="000B2A00" w:rsidRDefault="000B2A00" w:rsidP="00F84AEE">
      <w:r>
        <w:separator/>
      </w:r>
    </w:p>
  </w:endnote>
  <w:endnote w:type="continuationSeparator" w:id="0">
    <w:p w14:paraId="25BB9D88" w14:textId="77777777" w:rsidR="000B2A00" w:rsidRDefault="000B2A00" w:rsidP="00F8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44F79" w14:textId="77777777" w:rsidR="000B2A00" w:rsidRDefault="000B2A00" w:rsidP="00F84AEE">
      <w:r>
        <w:separator/>
      </w:r>
    </w:p>
  </w:footnote>
  <w:footnote w:type="continuationSeparator" w:id="0">
    <w:p w14:paraId="0C4B9DD0" w14:textId="77777777" w:rsidR="000B2A00" w:rsidRDefault="000B2A00" w:rsidP="00F8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791"/>
      <w:gridCol w:w="4847"/>
    </w:tblGrid>
    <w:tr w:rsidR="003C239C" w:rsidRPr="001212DD" w14:paraId="3B393501" w14:textId="77777777" w:rsidTr="000258AE">
      <w:tc>
        <w:tcPr>
          <w:tcW w:w="4927" w:type="dxa"/>
          <w:shd w:val="clear" w:color="auto" w:fill="auto"/>
        </w:tcPr>
        <w:p w14:paraId="6BFAEEE8" w14:textId="77777777" w:rsidR="003C239C" w:rsidRPr="0025789E" w:rsidRDefault="003C239C" w:rsidP="003C239C">
          <w:pPr>
            <w:tabs>
              <w:tab w:val="center" w:pos="4513"/>
              <w:tab w:val="right" w:pos="9026"/>
            </w:tabs>
            <w:rPr>
              <w:b/>
            </w:rPr>
          </w:pPr>
          <w:r w:rsidRPr="0025789E">
            <w:t>Submitted by the expert from OICA</w:t>
          </w:r>
        </w:p>
      </w:tc>
      <w:tc>
        <w:tcPr>
          <w:tcW w:w="4928" w:type="dxa"/>
          <w:shd w:val="clear" w:color="auto" w:fill="auto"/>
        </w:tcPr>
        <w:p w14:paraId="14AC3504" w14:textId="24A912FD" w:rsidR="003C239C" w:rsidRPr="0025789E" w:rsidRDefault="003C239C" w:rsidP="003C239C">
          <w:pPr>
            <w:tabs>
              <w:tab w:val="center" w:pos="4513"/>
              <w:tab w:val="right" w:pos="9026"/>
            </w:tabs>
            <w:ind w:left="1691"/>
          </w:pPr>
          <w:r w:rsidRPr="0025789E">
            <w:rPr>
              <w:u w:val="single"/>
            </w:rPr>
            <w:t>Informal document</w:t>
          </w:r>
          <w:r w:rsidRPr="0025789E">
            <w:t xml:space="preserve"> </w:t>
          </w:r>
          <w:r w:rsidRPr="0025789E">
            <w:rPr>
              <w:b/>
              <w:bCs/>
            </w:rPr>
            <w:t>GRPE-85-</w:t>
          </w:r>
          <w:r w:rsidR="00651543">
            <w:rPr>
              <w:b/>
              <w:bCs/>
            </w:rPr>
            <w:t>23</w:t>
          </w:r>
        </w:p>
        <w:p w14:paraId="2D7AA250" w14:textId="77777777" w:rsidR="003C239C" w:rsidRPr="0025789E" w:rsidRDefault="003C239C" w:rsidP="003C239C">
          <w:pPr>
            <w:tabs>
              <w:tab w:val="center" w:pos="4513"/>
              <w:tab w:val="right" w:pos="9026"/>
            </w:tabs>
            <w:ind w:left="1691"/>
            <w:rPr>
              <w:bCs/>
            </w:rPr>
          </w:pPr>
          <w:r w:rsidRPr="0025789E">
            <w:rPr>
              <w:bCs/>
            </w:rPr>
            <w:t>85</w:t>
          </w:r>
          <w:r w:rsidRPr="0025789E">
            <w:rPr>
              <w:bCs/>
              <w:vertAlign w:val="superscript"/>
            </w:rPr>
            <w:t>th</w:t>
          </w:r>
          <w:r w:rsidRPr="0025789E">
            <w:rPr>
              <w:bCs/>
            </w:rPr>
            <w:t xml:space="preserve"> GRPE, 11-14 January 2022</w:t>
          </w:r>
        </w:p>
        <w:p w14:paraId="54B191F5" w14:textId="77777777" w:rsidR="003C239C" w:rsidRPr="0025789E" w:rsidRDefault="003C239C" w:rsidP="003C239C">
          <w:pPr>
            <w:tabs>
              <w:tab w:val="center" w:pos="4513"/>
              <w:tab w:val="right" w:pos="9026"/>
            </w:tabs>
            <w:ind w:left="1691"/>
          </w:pPr>
          <w:r w:rsidRPr="00C633FB">
            <w:t xml:space="preserve">Agenda item </w:t>
          </w:r>
          <w:r>
            <w:t>5.</w:t>
          </w:r>
        </w:p>
      </w:tc>
    </w:tr>
  </w:tbl>
  <w:p w14:paraId="00292DB4" w14:textId="77777777" w:rsidR="00413ACF" w:rsidRPr="003C239C" w:rsidRDefault="00413ACF" w:rsidP="003C2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A6826"/>
    <w:multiLevelType w:val="hybridMultilevel"/>
    <w:tmpl w:val="A398AB44"/>
    <w:lvl w:ilvl="0" w:tplc="BBFA13DE">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568"/>
  <w:hyphenationZone w:val="425"/>
  <w:drawingGridHorizontalSpacing w:val="14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42"/>
    <w:rsid w:val="000561B1"/>
    <w:rsid w:val="000902CF"/>
    <w:rsid w:val="000B2A00"/>
    <w:rsid w:val="0011761B"/>
    <w:rsid w:val="00205869"/>
    <w:rsid w:val="00210121"/>
    <w:rsid w:val="00213FB3"/>
    <w:rsid w:val="002B53A8"/>
    <w:rsid w:val="00346577"/>
    <w:rsid w:val="00386938"/>
    <w:rsid w:val="00397C75"/>
    <w:rsid w:val="003C239C"/>
    <w:rsid w:val="003F680E"/>
    <w:rsid w:val="003F6C42"/>
    <w:rsid w:val="00413ACF"/>
    <w:rsid w:val="0041454F"/>
    <w:rsid w:val="004255A8"/>
    <w:rsid w:val="00476326"/>
    <w:rsid w:val="004D34B1"/>
    <w:rsid w:val="00532130"/>
    <w:rsid w:val="005957EA"/>
    <w:rsid w:val="006206C7"/>
    <w:rsid w:val="00651543"/>
    <w:rsid w:val="0069062E"/>
    <w:rsid w:val="006F62C1"/>
    <w:rsid w:val="00731490"/>
    <w:rsid w:val="00747D73"/>
    <w:rsid w:val="0079329D"/>
    <w:rsid w:val="008C1A76"/>
    <w:rsid w:val="008C64C0"/>
    <w:rsid w:val="0098736E"/>
    <w:rsid w:val="009C031F"/>
    <w:rsid w:val="00A12565"/>
    <w:rsid w:val="00A66F27"/>
    <w:rsid w:val="00AD174D"/>
    <w:rsid w:val="00AE6D3A"/>
    <w:rsid w:val="00AF261A"/>
    <w:rsid w:val="00D96F52"/>
    <w:rsid w:val="00DE53B8"/>
    <w:rsid w:val="00F20F25"/>
    <w:rsid w:val="00F84AEE"/>
    <w:rsid w:val="00FF35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C35A52"/>
  <w15:docId w15:val="{F1EACE3C-BBBA-40A8-9AC4-5DA94070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C42"/>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AEE"/>
    <w:pPr>
      <w:tabs>
        <w:tab w:val="center" w:pos="4252"/>
        <w:tab w:val="right" w:pos="8504"/>
      </w:tabs>
      <w:snapToGrid w:val="0"/>
    </w:pPr>
  </w:style>
  <w:style w:type="character" w:customStyle="1" w:styleId="HeaderChar">
    <w:name w:val="Header Char"/>
    <w:basedOn w:val="DefaultParagraphFont"/>
    <w:link w:val="Header"/>
    <w:uiPriority w:val="99"/>
    <w:rsid w:val="00F84AEE"/>
    <w:rPr>
      <w:rFonts w:ascii="Times New Roman" w:hAnsi="Times New Roman"/>
      <w:sz w:val="20"/>
    </w:rPr>
  </w:style>
  <w:style w:type="paragraph" w:styleId="Footer">
    <w:name w:val="footer"/>
    <w:basedOn w:val="Normal"/>
    <w:link w:val="FooterChar"/>
    <w:uiPriority w:val="99"/>
    <w:unhideWhenUsed/>
    <w:rsid w:val="00F84AEE"/>
    <w:pPr>
      <w:tabs>
        <w:tab w:val="center" w:pos="4252"/>
        <w:tab w:val="right" w:pos="8504"/>
      </w:tabs>
      <w:snapToGrid w:val="0"/>
    </w:pPr>
  </w:style>
  <w:style w:type="character" w:customStyle="1" w:styleId="FooterChar">
    <w:name w:val="Footer Char"/>
    <w:basedOn w:val="DefaultParagraphFont"/>
    <w:link w:val="Footer"/>
    <w:uiPriority w:val="99"/>
    <w:rsid w:val="00F84AEE"/>
    <w:rPr>
      <w:rFonts w:ascii="Times New Roman" w:hAnsi="Times New Roman"/>
      <w:sz w:val="20"/>
    </w:rPr>
  </w:style>
  <w:style w:type="paragraph" w:styleId="BalloonText">
    <w:name w:val="Balloon Text"/>
    <w:basedOn w:val="Normal"/>
    <w:link w:val="BalloonTextChar"/>
    <w:uiPriority w:val="99"/>
    <w:semiHidden/>
    <w:unhideWhenUsed/>
    <w:rsid w:val="00413A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13ACF"/>
    <w:rPr>
      <w:rFonts w:asciiTheme="majorHAnsi" w:eastAsiaTheme="majorEastAsia" w:hAnsiTheme="majorHAnsi" w:cstheme="majorBidi"/>
      <w:sz w:val="18"/>
      <w:szCs w:val="18"/>
    </w:rPr>
  </w:style>
  <w:style w:type="paragraph" w:customStyle="1" w:styleId="Default">
    <w:name w:val="Default"/>
    <w:rsid w:val="00413ACF"/>
    <w:pPr>
      <w:widowControl w:val="0"/>
      <w:autoSpaceDE w:val="0"/>
      <w:autoSpaceDN w:val="0"/>
      <w:adjustRightInd w:val="0"/>
    </w:pPr>
    <w:rPr>
      <w:rFonts w:ascii="Times New Roman" w:hAnsi="Times New Roman" w:cs="Times New Roman"/>
      <w:color w:val="000000"/>
      <w:kern w:val="0"/>
      <w:sz w:val="24"/>
      <w:szCs w:val="24"/>
    </w:rPr>
  </w:style>
  <w:style w:type="paragraph" w:styleId="ListParagraph">
    <w:name w:val="List Paragraph"/>
    <w:basedOn w:val="Normal"/>
    <w:uiPriority w:val="34"/>
    <w:qFormat/>
    <w:rsid w:val="00FF3507"/>
    <w:pPr>
      <w:ind w:leftChars="400" w:left="840"/>
    </w:pPr>
  </w:style>
  <w:style w:type="character" w:styleId="SubtleEmphasis">
    <w:name w:val="Subtle Emphasis"/>
    <w:basedOn w:val="DefaultParagraphFont"/>
    <w:uiPriority w:val="19"/>
    <w:qFormat/>
    <w:rsid w:val="003C23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251644">
      <w:bodyDiv w:val="1"/>
      <w:marLeft w:val="0"/>
      <w:marRight w:val="0"/>
      <w:marTop w:val="0"/>
      <w:marBottom w:val="0"/>
      <w:divBdr>
        <w:top w:val="none" w:sz="0" w:space="0" w:color="auto"/>
        <w:left w:val="none" w:sz="0" w:space="0" w:color="auto"/>
        <w:bottom w:val="none" w:sz="0" w:space="0" w:color="auto"/>
        <w:right w:val="none" w:sz="0" w:space="0" w:color="auto"/>
      </w:divBdr>
      <w:divsChild>
        <w:div w:id="297730712">
          <w:marLeft w:val="0"/>
          <w:marRight w:val="0"/>
          <w:marTop w:val="0"/>
          <w:marBottom w:val="0"/>
          <w:divBdr>
            <w:top w:val="none" w:sz="0" w:space="0" w:color="auto"/>
            <w:left w:val="none" w:sz="0" w:space="0" w:color="auto"/>
            <w:bottom w:val="none" w:sz="0" w:space="0" w:color="auto"/>
            <w:right w:val="none" w:sz="0" w:space="0" w:color="auto"/>
          </w:divBdr>
          <w:divsChild>
            <w:div w:id="1531602661">
              <w:marLeft w:val="0"/>
              <w:marRight w:val="0"/>
              <w:marTop w:val="0"/>
              <w:marBottom w:val="0"/>
              <w:divBdr>
                <w:top w:val="none" w:sz="0" w:space="0" w:color="auto"/>
                <w:left w:val="none" w:sz="0" w:space="0" w:color="auto"/>
                <w:bottom w:val="none" w:sz="0" w:space="0" w:color="auto"/>
                <w:right w:val="none" w:sz="0" w:space="0" w:color="auto"/>
              </w:divBdr>
              <w:divsChild>
                <w:div w:id="1997804401">
                  <w:marLeft w:val="0"/>
                  <w:marRight w:val="0"/>
                  <w:marTop w:val="0"/>
                  <w:marBottom w:val="0"/>
                  <w:divBdr>
                    <w:top w:val="none" w:sz="0" w:space="0" w:color="auto"/>
                    <w:left w:val="none" w:sz="0" w:space="0" w:color="auto"/>
                    <w:bottom w:val="none" w:sz="0" w:space="0" w:color="auto"/>
                    <w:right w:val="none" w:sz="0" w:space="0" w:color="auto"/>
                  </w:divBdr>
                  <w:divsChild>
                    <w:div w:id="557128539">
                      <w:marLeft w:val="0"/>
                      <w:marRight w:val="0"/>
                      <w:marTop w:val="0"/>
                      <w:marBottom w:val="0"/>
                      <w:divBdr>
                        <w:top w:val="none" w:sz="0" w:space="0" w:color="auto"/>
                        <w:left w:val="none" w:sz="0" w:space="0" w:color="auto"/>
                        <w:bottom w:val="none" w:sz="0" w:space="0" w:color="auto"/>
                        <w:right w:val="none" w:sz="0" w:space="0" w:color="auto"/>
                      </w:divBdr>
                      <w:divsChild>
                        <w:div w:id="1358430859">
                          <w:marLeft w:val="0"/>
                          <w:marRight w:val="0"/>
                          <w:marTop w:val="0"/>
                          <w:marBottom w:val="0"/>
                          <w:divBdr>
                            <w:top w:val="none" w:sz="0" w:space="0" w:color="auto"/>
                            <w:left w:val="none" w:sz="0" w:space="0" w:color="auto"/>
                            <w:bottom w:val="none" w:sz="0" w:space="0" w:color="auto"/>
                            <w:right w:val="none" w:sz="0" w:space="0" w:color="auto"/>
                          </w:divBdr>
                          <w:divsChild>
                            <w:div w:id="917980757">
                              <w:marLeft w:val="0"/>
                              <w:marRight w:val="0"/>
                              <w:marTop w:val="0"/>
                              <w:marBottom w:val="0"/>
                              <w:divBdr>
                                <w:top w:val="none" w:sz="0" w:space="0" w:color="auto"/>
                                <w:left w:val="none" w:sz="0" w:space="0" w:color="auto"/>
                                <w:bottom w:val="none" w:sz="0" w:space="0" w:color="auto"/>
                                <w:right w:val="none" w:sz="0" w:space="0" w:color="auto"/>
                              </w:divBdr>
                              <w:divsChild>
                                <w:div w:id="1456413302">
                                  <w:marLeft w:val="0"/>
                                  <w:marRight w:val="0"/>
                                  <w:marTop w:val="0"/>
                                  <w:marBottom w:val="0"/>
                                  <w:divBdr>
                                    <w:top w:val="none" w:sz="0" w:space="0" w:color="auto"/>
                                    <w:left w:val="none" w:sz="0" w:space="0" w:color="auto"/>
                                    <w:bottom w:val="none" w:sz="0" w:space="0" w:color="auto"/>
                                    <w:right w:val="none" w:sz="0" w:space="0" w:color="auto"/>
                                  </w:divBdr>
                                  <w:divsChild>
                                    <w:div w:id="777676773">
                                      <w:marLeft w:val="0"/>
                                      <w:marRight w:val="0"/>
                                      <w:marTop w:val="0"/>
                                      <w:marBottom w:val="0"/>
                                      <w:divBdr>
                                        <w:top w:val="none" w:sz="0" w:space="0" w:color="auto"/>
                                        <w:left w:val="none" w:sz="0" w:space="0" w:color="auto"/>
                                        <w:bottom w:val="none" w:sz="0" w:space="0" w:color="auto"/>
                                        <w:right w:val="none" w:sz="0" w:space="0" w:color="auto"/>
                                      </w:divBdr>
                                      <w:divsChild>
                                        <w:div w:id="714626542">
                                          <w:marLeft w:val="0"/>
                                          <w:marRight w:val="0"/>
                                          <w:marTop w:val="0"/>
                                          <w:marBottom w:val="495"/>
                                          <w:divBdr>
                                            <w:top w:val="none" w:sz="0" w:space="0" w:color="auto"/>
                                            <w:left w:val="none" w:sz="0" w:space="0" w:color="auto"/>
                                            <w:bottom w:val="none" w:sz="0" w:space="0" w:color="auto"/>
                                            <w:right w:val="none" w:sz="0" w:space="0" w:color="auto"/>
                                          </w:divBdr>
                                          <w:divsChild>
                                            <w:div w:id="12763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965307">
      <w:bodyDiv w:val="1"/>
      <w:marLeft w:val="0"/>
      <w:marRight w:val="0"/>
      <w:marTop w:val="0"/>
      <w:marBottom w:val="0"/>
      <w:divBdr>
        <w:top w:val="none" w:sz="0" w:space="0" w:color="auto"/>
        <w:left w:val="none" w:sz="0" w:space="0" w:color="auto"/>
        <w:bottom w:val="none" w:sz="0" w:space="0" w:color="auto"/>
        <w:right w:val="none" w:sz="0" w:space="0" w:color="auto"/>
      </w:divBdr>
    </w:div>
    <w:div w:id="6356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F29D5-7266-4C92-9D89-AB82B69E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ABB2-7F7C-4F5D-871A-D8EDC63A98F5}">
  <ds:schemaRefs>
    <ds:schemaRef ds:uri="http://schemas.openxmlformats.org/officeDocument/2006/bibliography"/>
  </ds:schemaRefs>
</ds:datastoreItem>
</file>

<file path=customXml/itemProps3.xml><?xml version="1.0" encoding="utf-8"?>
<ds:datastoreItem xmlns:ds="http://schemas.openxmlformats.org/officeDocument/2006/customXml" ds:itemID="{FD0689BC-A016-44A0-A22F-8DB92CBC5730}">
  <ds:schemaRefs>
    <ds:schemaRef ds:uri="http://schemas.microsoft.com/sharepoint/v3/contenttype/forms"/>
  </ds:schemaRefs>
</ds:datastoreItem>
</file>

<file path=customXml/itemProps4.xml><?xml version="1.0" encoding="utf-8"?>
<ds:datastoreItem xmlns:ds="http://schemas.openxmlformats.org/officeDocument/2006/customXml" ds:itemID="{40DE738C-F32D-48DA-8087-A27A898B68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1044</Characters>
  <Application>Microsoft Office Word</Application>
  <DocSecurity>0</DocSecurity>
  <Lines>8</Lines>
  <Paragraphs>2</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ISUZU MOTORS Germany GmbH</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 Takahashi ISZJ</dc:creator>
  <cp:lastModifiedBy>Francois Cuenot</cp:lastModifiedBy>
  <cp:revision>4</cp:revision>
  <dcterms:created xsi:type="dcterms:W3CDTF">2021-12-20T14:12:00Z</dcterms:created>
  <dcterms:modified xsi:type="dcterms:W3CDTF">2021-12-30T11:47:00Z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