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7AE68" w14:textId="77777777" w:rsidR="00951AE1" w:rsidRDefault="00951AE1" w:rsidP="00951AE1">
      <w:pPr>
        <w:pStyle w:val="Default"/>
      </w:pPr>
    </w:p>
    <w:p w14:paraId="476AA4B9" w14:textId="77777777" w:rsidR="00CE0DD3" w:rsidRDefault="00CE0DD3" w:rsidP="00951AE1">
      <w:pPr>
        <w:pStyle w:val="Default"/>
      </w:pPr>
    </w:p>
    <w:p w14:paraId="613E17FC" w14:textId="5F50C00C" w:rsidR="00951AE1" w:rsidRPr="00CE0DD3" w:rsidRDefault="00CE0DD3" w:rsidP="004F5B1D">
      <w:pPr>
        <w:pStyle w:val="Default"/>
        <w:ind w:left="1134" w:right="1110"/>
        <w:jc w:val="center"/>
        <w:rPr>
          <w:b/>
          <w:bCs/>
          <w:sz w:val="36"/>
          <w:szCs w:val="36"/>
          <w:lang w:val="en-GB"/>
        </w:rPr>
      </w:pPr>
      <w:r w:rsidRPr="00CE0DD3">
        <w:rPr>
          <w:b/>
          <w:bCs/>
          <w:sz w:val="32"/>
          <w:szCs w:val="32"/>
          <w:lang w:val="en-US"/>
        </w:rPr>
        <w:t xml:space="preserve">Proposal for a new </w:t>
      </w:r>
      <w:r w:rsidR="007A5128">
        <w:rPr>
          <w:b/>
          <w:bCs/>
          <w:sz w:val="32"/>
          <w:szCs w:val="32"/>
          <w:lang w:val="en-US"/>
        </w:rPr>
        <w:t>S</w:t>
      </w:r>
      <w:r w:rsidRPr="00CE0DD3">
        <w:rPr>
          <w:b/>
          <w:bCs/>
          <w:sz w:val="32"/>
          <w:szCs w:val="32"/>
          <w:lang w:val="en-US"/>
        </w:rPr>
        <w:t xml:space="preserve">upplement to the </w:t>
      </w:r>
      <w:r w:rsidR="00D17573">
        <w:rPr>
          <w:b/>
          <w:bCs/>
          <w:sz w:val="32"/>
          <w:szCs w:val="32"/>
          <w:lang w:val="en-US"/>
        </w:rPr>
        <w:t>0</w:t>
      </w:r>
      <w:r w:rsidR="00485566">
        <w:rPr>
          <w:b/>
          <w:bCs/>
          <w:sz w:val="32"/>
          <w:szCs w:val="32"/>
          <w:lang w:val="en-US"/>
        </w:rPr>
        <w:t>1</w:t>
      </w:r>
      <w:r w:rsidR="000E165B">
        <w:rPr>
          <w:b/>
          <w:bCs/>
          <w:sz w:val="32"/>
          <w:szCs w:val="32"/>
          <w:lang w:val="en-US"/>
        </w:rPr>
        <w:t xml:space="preserve"> </w:t>
      </w:r>
      <w:r w:rsidRPr="00CE0DD3">
        <w:rPr>
          <w:b/>
          <w:bCs/>
          <w:color w:val="000000" w:themeColor="text1"/>
          <w:sz w:val="32"/>
          <w:szCs w:val="32"/>
          <w:lang w:val="en-US"/>
        </w:rPr>
        <w:t xml:space="preserve">series of </w:t>
      </w:r>
      <w:r w:rsidR="007A5128">
        <w:rPr>
          <w:b/>
          <w:bCs/>
          <w:color w:val="000000" w:themeColor="text1"/>
          <w:sz w:val="32"/>
          <w:szCs w:val="32"/>
          <w:lang w:val="en-US"/>
        </w:rPr>
        <w:t>A</w:t>
      </w:r>
      <w:r w:rsidRPr="00CE0DD3">
        <w:rPr>
          <w:b/>
          <w:bCs/>
          <w:color w:val="000000" w:themeColor="text1"/>
          <w:sz w:val="32"/>
          <w:szCs w:val="32"/>
          <w:lang w:val="en-US"/>
        </w:rPr>
        <w:t xml:space="preserve">mendments to UN Regulation No. </w:t>
      </w:r>
      <w:r w:rsidR="00485566">
        <w:rPr>
          <w:b/>
          <w:bCs/>
          <w:color w:val="000000" w:themeColor="text1"/>
          <w:sz w:val="32"/>
          <w:szCs w:val="32"/>
          <w:lang w:val="en-US"/>
        </w:rPr>
        <w:t>101</w:t>
      </w:r>
    </w:p>
    <w:p w14:paraId="262B0307" w14:textId="77777777" w:rsidR="00951AE1" w:rsidRDefault="00951AE1" w:rsidP="00951AE1">
      <w:pPr>
        <w:pStyle w:val="Default"/>
        <w:rPr>
          <w:b/>
          <w:bCs/>
          <w:sz w:val="22"/>
          <w:szCs w:val="22"/>
          <w:lang w:val="en-US"/>
        </w:rPr>
      </w:pPr>
    </w:p>
    <w:p w14:paraId="5B1FED45" w14:textId="77777777" w:rsidR="00CE0DD3" w:rsidRDefault="00CE0DD3" w:rsidP="00951AE1">
      <w:pPr>
        <w:pStyle w:val="Default"/>
        <w:rPr>
          <w:b/>
          <w:bCs/>
          <w:sz w:val="22"/>
          <w:szCs w:val="22"/>
          <w:lang w:val="en-US"/>
        </w:rPr>
      </w:pPr>
    </w:p>
    <w:p w14:paraId="72DE6613" w14:textId="77777777" w:rsidR="00911A23" w:rsidRPr="00D7097E" w:rsidRDefault="00911A23" w:rsidP="004F5B1D">
      <w:pPr>
        <w:pStyle w:val="Default"/>
        <w:ind w:right="1110"/>
        <w:rPr>
          <w:sz w:val="20"/>
          <w:szCs w:val="20"/>
          <w:lang w:val="en-US"/>
        </w:rPr>
      </w:pPr>
    </w:p>
    <w:p w14:paraId="58FEEA53" w14:textId="77777777" w:rsidR="00CA1F03" w:rsidRPr="00CA1F03" w:rsidRDefault="00CE0DD3" w:rsidP="007A5128">
      <w:pPr>
        <w:pStyle w:val="Default"/>
        <w:ind w:right="1110"/>
        <w:rPr>
          <w:bCs/>
          <w:sz w:val="20"/>
          <w:szCs w:val="20"/>
          <w:lang w:val="en-US"/>
        </w:rPr>
      </w:pPr>
      <w:r w:rsidRPr="00CA1F03">
        <w:rPr>
          <w:sz w:val="20"/>
          <w:szCs w:val="20"/>
          <w:lang w:val="en-US"/>
        </w:rPr>
        <w:t xml:space="preserve">This document </w:t>
      </w:r>
      <w:r w:rsidRPr="00CA1F03">
        <w:rPr>
          <w:bCs/>
          <w:sz w:val="20"/>
          <w:szCs w:val="20"/>
          <w:lang w:val="en-US"/>
        </w:rPr>
        <w:t xml:space="preserve">aims </w:t>
      </w:r>
      <w:r w:rsidR="00CA1F03" w:rsidRPr="00CA1F03">
        <w:rPr>
          <w:bCs/>
          <w:sz w:val="20"/>
          <w:szCs w:val="20"/>
          <w:lang w:val="en-US"/>
        </w:rPr>
        <w:t>to:</w:t>
      </w:r>
    </w:p>
    <w:p w14:paraId="6095791C" w14:textId="20AE9FB3" w:rsidR="00474A66" w:rsidRPr="004F5B1D" w:rsidRDefault="00CA1F03" w:rsidP="007A5128">
      <w:pPr>
        <w:pStyle w:val="Default"/>
        <w:numPr>
          <w:ilvl w:val="0"/>
          <w:numId w:val="4"/>
        </w:numPr>
        <w:ind w:left="426" w:right="1110" w:hanging="426"/>
        <w:rPr>
          <w:sz w:val="20"/>
          <w:szCs w:val="20"/>
          <w:lang w:val="en-US"/>
        </w:rPr>
      </w:pPr>
      <w:r w:rsidRPr="004F5B1D">
        <w:rPr>
          <w:sz w:val="20"/>
          <w:szCs w:val="20"/>
          <w:lang w:val="en-US"/>
        </w:rPr>
        <w:t xml:space="preserve">harmonize the </w:t>
      </w:r>
      <w:r w:rsidR="000E165B" w:rsidRPr="004F5B1D">
        <w:rPr>
          <w:sz w:val="20"/>
          <w:szCs w:val="20"/>
          <w:lang w:val="en-US"/>
        </w:rPr>
        <w:t xml:space="preserve">requirements </w:t>
      </w:r>
      <w:r w:rsidR="00474A66" w:rsidRPr="004F5B1D">
        <w:rPr>
          <w:sz w:val="20"/>
          <w:szCs w:val="20"/>
          <w:lang w:val="en-US"/>
        </w:rPr>
        <w:t xml:space="preserve">for the determination of CO2, </w:t>
      </w:r>
      <w:proofErr w:type="gramStart"/>
      <w:r w:rsidR="00474A66" w:rsidRPr="004F5B1D">
        <w:rPr>
          <w:sz w:val="20"/>
          <w:szCs w:val="20"/>
          <w:lang w:val="en-US"/>
        </w:rPr>
        <w:t>fuel</w:t>
      </w:r>
      <w:proofErr w:type="gramEnd"/>
      <w:r w:rsidR="00474A66" w:rsidRPr="004F5B1D">
        <w:rPr>
          <w:sz w:val="20"/>
          <w:szCs w:val="20"/>
          <w:lang w:val="en-US"/>
        </w:rPr>
        <w:t xml:space="preserve"> and electric energy consumption</w:t>
      </w:r>
      <w:r w:rsidR="004F5B1D" w:rsidRPr="004F5B1D">
        <w:rPr>
          <w:sz w:val="20"/>
          <w:szCs w:val="20"/>
          <w:lang w:val="en-US"/>
        </w:rPr>
        <w:t xml:space="preserve"> </w:t>
      </w:r>
      <w:r w:rsidR="00474A66" w:rsidRPr="004F5B1D">
        <w:rPr>
          <w:sz w:val="20"/>
          <w:szCs w:val="20"/>
          <w:lang w:val="en-US"/>
        </w:rPr>
        <w:t>of the discharge requirement for OVC-HEV with an operating mode switch with its stop criterion</w:t>
      </w:r>
      <w:r w:rsidR="00055F13" w:rsidRPr="004F5B1D">
        <w:rPr>
          <w:sz w:val="20"/>
          <w:szCs w:val="20"/>
          <w:lang w:val="en-US"/>
        </w:rPr>
        <w:t>.</w:t>
      </w:r>
      <w:r w:rsidR="00474A66" w:rsidRPr="004F5B1D">
        <w:rPr>
          <w:sz w:val="20"/>
          <w:szCs w:val="20"/>
          <w:lang w:val="en-US"/>
        </w:rPr>
        <w:t xml:space="preserve"> </w:t>
      </w:r>
    </w:p>
    <w:p w14:paraId="615423A0" w14:textId="77777777" w:rsidR="00CA1F03" w:rsidRPr="00CA1F03" w:rsidRDefault="00474A66" w:rsidP="007A5128">
      <w:pPr>
        <w:pStyle w:val="Default"/>
        <w:numPr>
          <w:ilvl w:val="0"/>
          <w:numId w:val="6"/>
        </w:numPr>
        <w:ind w:left="426" w:right="1110" w:hanging="42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</w:t>
      </w:r>
      <w:r w:rsidR="00BF7CF9">
        <w:rPr>
          <w:sz w:val="20"/>
          <w:szCs w:val="20"/>
          <w:lang w:val="en-US"/>
        </w:rPr>
        <w:t xml:space="preserve">preconditioning </w:t>
      </w:r>
      <w:r>
        <w:rPr>
          <w:sz w:val="20"/>
          <w:szCs w:val="20"/>
          <w:lang w:val="en-US"/>
        </w:rPr>
        <w:t xml:space="preserve">requirement is also harmonized within 01 series of amendments of UN Regulation No. 101 (Annex 9, determination of electric range) and </w:t>
      </w:r>
      <w:r w:rsidR="00BF7CF9">
        <w:rPr>
          <w:sz w:val="20"/>
          <w:szCs w:val="20"/>
          <w:lang w:val="en-US"/>
        </w:rPr>
        <w:t xml:space="preserve">06 and </w:t>
      </w:r>
      <w:r>
        <w:rPr>
          <w:sz w:val="20"/>
          <w:szCs w:val="20"/>
          <w:lang w:val="en-US"/>
        </w:rPr>
        <w:t>07 series of amendments of UN Regulation No. 83 (Annex 14, provisions for emissions test procedures for HEV).</w:t>
      </w:r>
      <w:r w:rsidR="000E165B">
        <w:rPr>
          <w:sz w:val="20"/>
          <w:szCs w:val="20"/>
          <w:lang w:val="en-US"/>
        </w:rPr>
        <w:t xml:space="preserve"> </w:t>
      </w:r>
    </w:p>
    <w:p w14:paraId="73E7A603" w14:textId="77777777" w:rsidR="0081205A" w:rsidRPr="00CA1F03" w:rsidRDefault="00911A23" w:rsidP="007A5128">
      <w:pPr>
        <w:pStyle w:val="Default"/>
        <w:ind w:right="1110"/>
        <w:rPr>
          <w:b/>
          <w:bCs/>
          <w:sz w:val="20"/>
          <w:szCs w:val="20"/>
          <w:lang w:val="en-US"/>
        </w:rPr>
      </w:pPr>
      <w:r w:rsidRPr="00CA1F03">
        <w:rPr>
          <w:sz w:val="20"/>
          <w:szCs w:val="20"/>
          <w:lang w:val="en-US"/>
        </w:rPr>
        <w:t>The modifications to the current text of the Regulation are marked in bold for new or strikethrough for deleted characters.</w:t>
      </w:r>
      <w:r w:rsidR="00AF473D" w:rsidRPr="00CA1F03">
        <w:rPr>
          <w:sz w:val="20"/>
          <w:szCs w:val="20"/>
          <w:lang w:val="en-US"/>
        </w:rPr>
        <w:t xml:space="preserve"> </w:t>
      </w:r>
    </w:p>
    <w:p w14:paraId="18D8A8B8" w14:textId="77777777" w:rsidR="00951AE1" w:rsidRDefault="00951AE1" w:rsidP="00951AE1">
      <w:pPr>
        <w:pStyle w:val="Default"/>
        <w:rPr>
          <w:b/>
          <w:bCs/>
          <w:sz w:val="28"/>
          <w:szCs w:val="28"/>
          <w:lang w:val="en-US"/>
        </w:rPr>
      </w:pPr>
    </w:p>
    <w:p w14:paraId="4ACD5669" w14:textId="77777777" w:rsidR="00CE0DD3" w:rsidRDefault="00CE0DD3" w:rsidP="00951AE1">
      <w:pPr>
        <w:pStyle w:val="Default"/>
        <w:rPr>
          <w:b/>
          <w:bCs/>
          <w:sz w:val="28"/>
          <w:szCs w:val="28"/>
          <w:lang w:val="en-US"/>
        </w:rPr>
      </w:pPr>
    </w:p>
    <w:p w14:paraId="4278E37E" w14:textId="77777777" w:rsidR="00951AE1" w:rsidRPr="00951AE1" w:rsidRDefault="00951AE1" w:rsidP="00951AE1">
      <w:pPr>
        <w:pStyle w:val="Default"/>
        <w:rPr>
          <w:sz w:val="28"/>
          <w:szCs w:val="28"/>
          <w:lang w:val="en-US"/>
        </w:rPr>
      </w:pPr>
      <w:r w:rsidRPr="00951AE1">
        <w:rPr>
          <w:b/>
          <w:bCs/>
          <w:sz w:val="28"/>
          <w:szCs w:val="28"/>
          <w:lang w:val="en-US"/>
        </w:rPr>
        <w:t xml:space="preserve">I. Proposal </w:t>
      </w:r>
    </w:p>
    <w:p w14:paraId="32BC4173" w14:textId="44C3C13F" w:rsidR="00CA1F03" w:rsidRDefault="00327D8E" w:rsidP="00CA1F03">
      <w:pPr>
        <w:pStyle w:val="SingleTxtG"/>
        <w:rPr>
          <w:i/>
          <w:iCs/>
          <w:lang w:val="en-US"/>
        </w:rPr>
      </w:pPr>
      <w:r>
        <w:rPr>
          <w:i/>
          <w:iCs/>
          <w:lang w:val="en-US"/>
        </w:rPr>
        <w:t>Annex 8</w:t>
      </w:r>
      <w:r w:rsidR="005467A8">
        <w:rPr>
          <w:i/>
          <w:iCs/>
          <w:lang w:val="en-US"/>
        </w:rPr>
        <w:t xml:space="preserve">, </w:t>
      </w:r>
      <w:r w:rsidR="00CA1F03">
        <w:rPr>
          <w:i/>
          <w:iCs/>
          <w:lang w:val="en-US"/>
        </w:rPr>
        <w:t xml:space="preserve">Paragraph </w:t>
      </w:r>
      <w:r>
        <w:rPr>
          <w:i/>
          <w:iCs/>
          <w:lang w:val="en-US"/>
        </w:rPr>
        <w:t>4.2.2.1</w:t>
      </w:r>
      <w:r w:rsidR="00CA1F03">
        <w:rPr>
          <w:i/>
          <w:iCs/>
          <w:lang w:val="en-US"/>
        </w:rPr>
        <w:t xml:space="preserve">; </w:t>
      </w:r>
      <w:r w:rsidR="00F4130C">
        <w:rPr>
          <w:lang w:val="en-US"/>
        </w:rPr>
        <w:t xml:space="preserve">amend </w:t>
      </w:r>
      <w:r w:rsidR="00CA1F03" w:rsidRPr="00AE3C95">
        <w:rPr>
          <w:lang w:val="en-US"/>
        </w:rPr>
        <w:t>to read:</w:t>
      </w:r>
    </w:p>
    <w:p w14:paraId="7B27A919" w14:textId="77777777" w:rsidR="00327D8E" w:rsidRDefault="00CA1F03" w:rsidP="00327D8E">
      <w:pPr>
        <w:pStyle w:val="SingleTxtG"/>
        <w:ind w:left="2268" w:hanging="1134"/>
        <w:rPr>
          <w:rFonts w:eastAsia="MS Mincho"/>
        </w:rPr>
      </w:pPr>
      <w:r w:rsidRPr="004F58B3">
        <w:rPr>
          <w:rFonts w:eastAsia="MS Mincho"/>
        </w:rPr>
        <w:t>"</w:t>
      </w:r>
      <w:r w:rsidR="00327D8E" w:rsidRPr="00327D8E">
        <w:rPr>
          <w:rFonts w:eastAsia="MS Mincho"/>
        </w:rPr>
        <w:t xml:space="preserve">4.2.2.1. </w:t>
      </w:r>
      <w:r w:rsidR="00327D8E">
        <w:rPr>
          <w:rFonts w:eastAsia="MS Mincho"/>
        </w:rPr>
        <w:tab/>
      </w:r>
      <w:r w:rsidR="00327D8E" w:rsidRPr="00327D8E">
        <w:rPr>
          <w:rFonts w:eastAsia="MS Mincho"/>
        </w:rPr>
        <w:t>The electrical energy/power storage device of the vehicle is discharged while</w:t>
      </w:r>
      <w:r w:rsidR="00327D8E">
        <w:rPr>
          <w:rFonts w:eastAsia="MS Mincho"/>
        </w:rPr>
        <w:t xml:space="preserve"> </w:t>
      </w:r>
      <w:r w:rsidR="00327D8E" w:rsidRPr="00327D8E">
        <w:rPr>
          <w:rFonts w:eastAsia="MS Mincho"/>
        </w:rPr>
        <w:t>driving with the switch in pure electric position (on the test track, on a chassis</w:t>
      </w:r>
      <w:r w:rsidR="00327D8E">
        <w:rPr>
          <w:rFonts w:eastAsia="MS Mincho"/>
        </w:rPr>
        <w:t xml:space="preserve"> </w:t>
      </w:r>
      <w:r w:rsidR="00327D8E" w:rsidRPr="00327D8E">
        <w:rPr>
          <w:rFonts w:eastAsia="MS Mincho"/>
        </w:rPr>
        <w:t>dynamometer, etc.) at a steady speed of 70 per cent ± 5 per cent of the</w:t>
      </w:r>
      <w:r w:rsidR="00327D8E">
        <w:rPr>
          <w:rFonts w:eastAsia="MS Mincho"/>
        </w:rPr>
        <w:t xml:space="preserve"> </w:t>
      </w:r>
      <w:r w:rsidR="00327D8E" w:rsidRPr="00327D8E">
        <w:rPr>
          <w:rFonts w:eastAsia="MS Mincho"/>
        </w:rPr>
        <w:t>maximum speed of the vehicle in pure electric mode, which is to be determined</w:t>
      </w:r>
      <w:r w:rsidR="00327D8E">
        <w:rPr>
          <w:rFonts w:eastAsia="MS Mincho"/>
        </w:rPr>
        <w:t xml:space="preserve"> </w:t>
      </w:r>
      <w:r w:rsidR="00327D8E" w:rsidRPr="00327D8E">
        <w:rPr>
          <w:rFonts w:eastAsia="MS Mincho"/>
        </w:rPr>
        <w:t>according to the test procedure for electric vehicles defined in Regulation</w:t>
      </w:r>
      <w:r w:rsidR="00327D8E">
        <w:rPr>
          <w:rFonts w:eastAsia="MS Mincho"/>
        </w:rPr>
        <w:t xml:space="preserve"> </w:t>
      </w:r>
      <w:r w:rsidR="00327D8E" w:rsidRPr="00327D8E">
        <w:rPr>
          <w:rFonts w:eastAsia="MS Mincho"/>
        </w:rPr>
        <w:t>No. 68.</w:t>
      </w:r>
      <w:r w:rsidR="00327D8E">
        <w:rPr>
          <w:rFonts w:eastAsia="MS Mincho"/>
        </w:rPr>
        <w:t xml:space="preserve"> </w:t>
      </w:r>
      <w:r w:rsidR="00CB314E" w:rsidRPr="00CB314E">
        <w:rPr>
          <w:rFonts w:eastAsia="MS Mincho"/>
          <w:b/>
          <w:bCs/>
        </w:rPr>
        <w:t xml:space="preserve">At the request of the manufacturer a steady speed of 70 per cent ± 5 per cent of the maximum thirty minutes speed of the vehicle in pure electric mode </w:t>
      </w:r>
      <w:r w:rsidR="00F92936">
        <w:rPr>
          <w:rFonts w:eastAsia="MS Mincho"/>
          <w:b/>
          <w:bCs/>
        </w:rPr>
        <w:t>may</w:t>
      </w:r>
      <w:r w:rsidR="00CB314E" w:rsidRPr="00CB314E">
        <w:rPr>
          <w:rFonts w:eastAsia="MS Mincho"/>
          <w:b/>
          <w:bCs/>
        </w:rPr>
        <w:t xml:space="preserve"> be </w:t>
      </w:r>
      <w:r w:rsidR="00F92936">
        <w:rPr>
          <w:rFonts w:eastAsia="MS Mincho"/>
          <w:b/>
          <w:bCs/>
        </w:rPr>
        <w:t>applied</w:t>
      </w:r>
      <w:r w:rsidR="00CB314E" w:rsidRPr="00CB314E">
        <w:rPr>
          <w:rFonts w:eastAsia="MS Mincho"/>
          <w:b/>
          <w:bCs/>
        </w:rPr>
        <w:t>.</w:t>
      </w:r>
    </w:p>
    <w:p w14:paraId="3B8F197F" w14:textId="77777777" w:rsidR="00327D8E" w:rsidRDefault="00327D8E" w:rsidP="00327D8E">
      <w:pPr>
        <w:pStyle w:val="SingleTxtG"/>
        <w:ind w:left="2268"/>
        <w:rPr>
          <w:rFonts w:eastAsia="MS Mincho"/>
        </w:rPr>
      </w:pPr>
      <w:r w:rsidRPr="00327D8E">
        <w:rPr>
          <w:rFonts w:eastAsia="MS Mincho"/>
        </w:rPr>
        <w:t>Stopping the discharge occurs:</w:t>
      </w:r>
    </w:p>
    <w:p w14:paraId="7BD1E8E3" w14:textId="77777777" w:rsidR="00327D8E" w:rsidRDefault="00327D8E" w:rsidP="00327D8E">
      <w:pPr>
        <w:pStyle w:val="SingleTxtG"/>
        <w:ind w:left="2268"/>
        <w:rPr>
          <w:rFonts w:eastAsia="MS Mincho"/>
        </w:rPr>
      </w:pPr>
      <w:r w:rsidRPr="00327D8E">
        <w:rPr>
          <w:rFonts w:eastAsia="MS Mincho"/>
        </w:rPr>
        <w:t>(a) When the vehicle is not able to run at 65 per cent of the maximum thirty</w:t>
      </w:r>
      <w:r>
        <w:rPr>
          <w:rFonts w:eastAsia="MS Mincho"/>
        </w:rPr>
        <w:t xml:space="preserve"> </w:t>
      </w:r>
      <w:r w:rsidRPr="00327D8E">
        <w:rPr>
          <w:rFonts w:eastAsia="MS Mincho"/>
        </w:rPr>
        <w:t>minutes speed; or</w:t>
      </w:r>
    </w:p>
    <w:p w14:paraId="3EE03ECE" w14:textId="77777777" w:rsidR="00327D8E" w:rsidRDefault="00327D8E" w:rsidP="00327D8E">
      <w:pPr>
        <w:pStyle w:val="SingleTxtG"/>
        <w:ind w:left="2268"/>
        <w:rPr>
          <w:rFonts w:eastAsia="MS Mincho"/>
        </w:rPr>
      </w:pPr>
      <w:r w:rsidRPr="00327D8E">
        <w:rPr>
          <w:rFonts w:eastAsia="MS Mincho"/>
        </w:rPr>
        <w:t>(b) When an indication to stop the vehicle is given to the driver by the</w:t>
      </w:r>
      <w:r>
        <w:rPr>
          <w:rFonts w:eastAsia="MS Mincho"/>
        </w:rPr>
        <w:t xml:space="preserve"> </w:t>
      </w:r>
      <w:r w:rsidRPr="00327D8E">
        <w:rPr>
          <w:rFonts w:eastAsia="MS Mincho"/>
        </w:rPr>
        <w:t>standard on-board instrumentation, or</w:t>
      </w:r>
    </w:p>
    <w:p w14:paraId="3BD645DE" w14:textId="77777777" w:rsidR="00327D8E" w:rsidRDefault="00327D8E" w:rsidP="00327D8E">
      <w:pPr>
        <w:pStyle w:val="SingleTxtG"/>
        <w:ind w:left="2268"/>
        <w:rPr>
          <w:rFonts w:eastAsia="MS Mincho"/>
        </w:rPr>
      </w:pPr>
      <w:r w:rsidRPr="00327D8E">
        <w:rPr>
          <w:rFonts w:eastAsia="MS Mincho"/>
        </w:rPr>
        <w:t xml:space="preserve">(c) After covering </w:t>
      </w:r>
      <w:proofErr w:type="gramStart"/>
      <w:r w:rsidRPr="00327D8E">
        <w:rPr>
          <w:rFonts w:eastAsia="MS Mincho"/>
        </w:rPr>
        <w:t>a distance of 100</w:t>
      </w:r>
      <w:proofErr w:type="gramEnd"/>
      <w:r w:rsidRPr="00327D8E">
        <w:rPr>
          <w:rFonts w:eastAsia="MS Mincho"/>
        </w:rPr>
        <w:t xml:space="preserve"> km.</w:t>
      </w:r>
    </w:p>
    <w:p w14:paraId="2643381B" w14:textId="77777777" w:rsidR="00327D8E" w:rsidRDefault="00327D8E" w:rsidP="00327D8E">
      <w:pPr>
        <w:pStyle w:val="SingleTxtG"/>
        <w:ind w:left="2268"/>
        <w:rPr>
          <w:rFonts w:eastAsia="MS Mincho"/>
        </w:rPr>
      </w:pPr>
      <w:r w:rsidRPr="00327D8E">
        <w:rPr>
          <w:rFonts w:eastAsia="MS Mincho"/>
        </w:rPr>
        <w:t>If the vehicle is not equipped with a pure electric mode, the electrical</w:t>
      </w:r>
      <w:r>
        <w:rPr>
          <w:rFonts w:eastAsia="MS Mincho"/>
        </w:rPr>
        <w:t xml:space="preserve"> </w:t>
      </w:r>
      <w:r w:rsidRPr="00327D8E">
        <w:rPr>
          <w:rFonts w:eastAsia="MS Mincho"/>
        </w:rPr>
        <w:t>energy/power storage device discharge shall be achieved by driving the vehicle</w:t>
      </w:r>
      <w:r>
        <w:rPr>
          <w:rFonts w:eastAsia="MS Mincho"/>
        </w:rPr>
        <w:t xml:space="preserve"> </w:t>
      </w:r>
      <w:r w:rsidRPr="00327D8E">
        <w:rPr>
          <w:rFonts w:eastAsia="MS Mincho"/>
        </w:rPr>
        <w:t>(on the test track, on a chassis dynamometer, etc.):</w:t>
      </w:r>
    </w:p>
    <w:p w14:paraId="7BCC3135" w14:textId="77777777" w:rsidR="00327D8E" w:rsidRDefault="00327D8E" w:rsidP="00327D8E">
      <w:pPr>
        <w:pStyle w:val="SingleTxtG"/>
        <w:ind w:left="2268"/>
        <w:rPr>
          <w:rFonts w:eastAsia="MS Mincho"/>
        </w:rPr>
      </w:pPr>
      <w:r w:rsidRPr="00327D8E">
        <w:rPr>
          <w:rFonts w:eastAsia="MS Mincho"/>
        </w:rPr>
        <w:t>(a) At a steady speed of 50 km/h until the fuel consuming engine of the HEV</w:t>
      </w:r>
      <w:r>
        <w:rPr>
          <w:rFonts w:eastAsia="MS Mincho"/>
        </w:rPr>
        <w:t xml:space="preserve"> </w:t>
      </w:r>
      <w:r w:rsidRPr="00327D8E">
        <w:rPr>
          <w:rFonts w:eastAsia="MS Mincho"/>
        </w:rPr>
        <w:t>starts up,</w:t>
      </w:r>
    </w:p>
    <w:p w14:paraId="6388B071" w14:textId="77777777" w:rsidR="00327D8E" w:rsidRDefault="00327D8E" w:rsidP="00327D8E">
      <w:pPr>
        <w:pStyle w:val="SingleTxtG"/>
        <w:ind w:left="2268"/>
        <w:rPr>
          <w:rFonts w:eastAsia="MS Mincho"/>
        </w:rPr>
      </w:pPr>
      <w:r w:rsidRPr="00327D8E">
        <w:rPr>
          <w:rFonts w:eastAsia="MS Mincho"/>
        </w:rPr>
        <w:t xml:space="preserve">(b) Or if a vehicle </w:t>
      </w:r>
      <w:proofErr w:type="spellStart"/>
      <w:r w:rsidRPr="00327D8E">
        <w:rPr>
          <w:rFonts w:eastAsia="MS Mincho"/>
        </w:rPr>
        <w:t>can not</w:t>
      </w:r>
      <w:proofErr w:type="spellEnd"/>
      <w:r w:rsidRPr="00327D8E">
        <w:rPr>
          <w:rFonts w:eastAsia="MS Mincho"/>
        </w:rPr>
        <w:t xml:space="preserve"> reach a steady speed of 50 km/h without starting</w:t>
      </w:r>
      <w:r>
        <w:rPr>
          <w:rFonts w:eastAsia="MS Mincho"/>
        </w:rPr>
        <w:t xml:space="preserve"> </w:t>
      </w:r>
      <w:r w:rsidRPr="00327D8E">
        <w:rPr>
          <w:rFonts w:eastAsia="MS Mincho"/>
        </w:rPr>
        <w:t>up the fuel consuming engine, the speed shall be reduced until the</w:t>
      </w:r>
      <w:r>
        <w:rPr>
          <w:rFonts w:eastAsia="MS Mincho"/>
        </w:rPr>
        <w:t xml:space="preserve"> </w:t>
      </w:r>
      <w:r w:rsidRPr="00327D8E">
        <w:rPr>
          <w:rFonts w:eastAsia="MS Mincho"/>
        </w:rPr>
        <w:t>vehicle can run a lower steady speed where the fuel consuming engine</w:t>
      </w:r>
      <w:r>
        <w:rPr>
          <w:rFonts w:eastAsia="MS Mincho"/>
        </w:rPr>
        <w:t xml:space="preserve"> </w:t>
      </w:r>
      <w:r w:rsidRPr="00327D8E">
        <w:rPr>
          <w:rFonts w:eastAsia="MS Mincho"/>
        </w:rPr>
        <w:t>just does not start up for a defined time/distance (to be specified between</w:t>
      </w:r>
      <w:r>
        <w:rPr>
          <w:rFonts w:eastAsia="MS Mincho"/>
        </w:rPr>
        <w:t xml:space="preserve"> </w:t>
      </w:r>
      <w:r w:rsidRPr="00327D8E">
        <w:rPr>
          <w:rFonts w:eastAsia="MS Mincho"/>
        </w:rPr>
        <w:t>technical service and manufacturer),</w:t>
      </w:r>
    </w:p>
    <w:p w14:paraId="0DE5D85D" w14:textId="77777777" w:rsidR="00327D8E" w:rsidRDefault="00327D8E" w:rsidP="00327D8E">
      <w:pPr>
        <w:pStyle w:val="SingleTxtG"/>
        <w:ind w:left="2268"/>
        <w:rPr>
          <w:rFonts w:eastAsia="MS Mincho"/>
        </w:rPr>
      </w:pPr>
      <w:r w:rsidRPr="00327D8E">
        <w:rPr>
          <w:rFonts w:eastAsia="MS Mincho"/>
        </w:rPr>
        <w:t>(c) Or with manufacturer’s recommendation.</w:t>
      </w:r>
    </w:p>
    <w:p w14:paraId="45AA1E2F" w14:textId="683C979B" w:rsidR="00327D8E" w:rsidRDefault="00327D8E" w:rsidP="00327D8E">
      <w:pPr>
        <w:pStyle w:val="SingleTxtG"/>
        <w:ind w:left="2268"/>
        <w:rPr>
          <w:rFonts w:eastAsia="MS Mincho"/>
        </w:rPr>
      </w:pPr>
      <w:r w:rsidRPr="00327D8E">
        <w:rPr>
          <w:rFonts w:eastAsia="MS Mincho"/>
        </w:rPr>
        <w:t>The fuel-consuming engine shall be stopped within 10 seconds of it being</w:t>
      </w:r>
      <w:r>
        <w:rPr>
          <w:rFonts w:eastAsia="MS Mincho"/>
        </w:rPr>
        <w:t xml:space="preserve"> </w:t>
      </w:r>
      <w:r w:rsidRPr="00327D8E">
        <w:rPr>
          <w:rFonts w:eastAsia="MS Mincho"/>
        </w:rPr>
        <w:t>automatically started.</w:t>
      </w:r>
      <w:r w:rsidR="004F5B1D" w:rsidRPr="004F58B3">
        <w:rPr>
          <w:rFonts w:eastAsia="MS Mincho"/>
        </w:rPr>
        <w:t>"</w:t>
      </w:r>
    </w:p>
    <w:p w14:paraId="2A54C5F8" w14:textId="77777777" w:rsidR="00CE0DD3" w:rsidRDefault="00CE0DD3" w:rsidP="00951AE1">
      <w:pPr>
        <w:pStyle w:val="Default"/>
        <w:ind w:right="805"/>
        <w:rPr>
          <w:b/>
          <w:bCs/>
          <w:sz w:val="28"/>
          <w:szCs w:val="28"/>
          <w:lang w:val="en-US"/>
        </w:rPr>
      </w:pPr>
    </w:p>
    <w:p w14:paraId="113B8D38" w14:textId="77777777" w:rsidR="00952DDE" w:rsidRDefault="00952DDE" w:rsidP="00951AE1">
      <w:pPr>
        <w:pStyle w:val="Default"/>
        <w:ind w:right="805"/>
        <w:rPr>
          <w:b/>
          <w:bCs/>
          <w:sz w:val="28"/>
          <w:szCs w:val="28"/>
          <w:lang w:val="en-US"/>
        </w:rPr>
      </w:pPr>
    </w:p>
    <w:p w14:paraId="34A553D1" w14:textId="77777777" w:rsidR="00952DDE" w:rsidRDefault="00952DDE" w:rsidP="00951AE1">
      <w:pPr>
        <w:pStyle w:val="Default"/>
        <w:ind w:right="805"/>
        <w:rPr>
          <w:b/>
          <w:bCs/>
          <w:sz w:val="28"/>
          <w:szCs w:val="28"/>
          <w:lang w:val="en-US"/>
        </w:rPr>
      </w:pPr>
    </w:p>
    <w:p w14:paraId="458D54CA" w14:textId="77777777" w:rsidR="00952DDE" w:rsidRDefault="00952DDE" w:rsidP="00951AE1">
      <w:pPr>
        <w:pStyle w:val="Default"/>
        <w:ind w:right="805"/>
        <w:rPr>
          <w:b/>
          <w:bCs/>
          <w:sz w:val="28"/>
          <w:szCs w:val="28"/>
          <w:lang w:val="en-US"/>
        </w:rPr>
      </w:pPr>
    </w:p>
    <w:p w14:paraId="59FA9762" w14:textId="77777777" w:rsidR="00952DDE" w:rsidRDefault="00952DDE" w:rsidP="00951AE1">
      <w:pPr>
        <w:pStyle w:val="Default"/>
        <w:ind w:right="805"/>
        <w:rPr>
          <w:b/>
          <w:bCs/>
          <w:sz w:val="28"/>
          <w:szCs w:val="28"/>
          <w:lang w:val="en-US"/>
        </w:rPr>
      </w:pPr>
    </w:p>
    <w:p w14:paraId="7D8E67CF" w14:textId="77777777" w:rsidR="00952DDE" w:rsidRDefault="00952DDE" w:rsidP="00951AE1">
      <w:pPr>
        <w:pStyle w:val="Default"/>
        <w:ind w:right="805"/>
        <w:rPr>
          <w:b/>
          <w:bCs/>
          <w:sz w:val="28"/>
          <w:szCs w:val="28"/>
          <w:lang w:val="en-US"/>
        </w:rPr>
      </w:pPr>
    </w:p>
    <w:p w14:paraId="5B316EE7" w14:textId="77777777" w:rsidR="00952DDE" w:rsidRDefault="00952DDE" w:rsidP="00951AE1">
      <w:pPr>
        <w:pStyle w:val="Default"/>
        <w:ind w:right="805"/>
        <w:rPr>
          <w:b/>
          <w:bCs/>
          <w:sz w:val="28"/>
          <w:szCs w:val="28"/>
          <w:lang w:val="en-US"/>
        </w:rPr>
      </w:pPr>
    </w:p>
    <w:p w14:paraId="127873C1" w14:textId="77777777" w:rsidR="00951AE1" w:rsidRDefault="00951AE1" w:rsidP="00951AE1">
      <w:pPr>
        <w:pStyle w:val="Default"/>
        <w:ind w:right="805"/>
        <w:rPr>
          <w:b/>
          <w:bCs/>
          <w:sz w:val="28"/>
          <w:szCs w:val="28"/>
          <w:lang w:val="en-US"/>
        </w:rPr>
      </w:pPr>
      <w:r w:rsidRPr="00951AE1">
        <w:rPr>
          <w:b/>
          <w:bCs/>
          <w:sz w:val="28"/>
          <w:szCs w:val="28"/>
          <w:lang w:val="en-US"/>
        </w:rPr>
        <w:t>II. Justification</w:t>
      </w:r>
    </w:p>
    <w:p w14:paraId="31FD72CE" w14:textId="77777777" w:rsidR="000C67C7" w:rsidRDefault="000C67C7" w:rsidP="0035613B">
      <w:pPr>
        <w:pStyle w:val="Default"/>
        <w:ind w:left="1134" w:right="1110"/>
        <w:rPr>
          <w:sz w:val="28"/>
          <w:szCs w:val="28"/>
          <w:lang w:val="en-US"/>
        </w:rPr>
      </w:pPr>
    </w:p>
    <w:p w14:paraId="632A0B72" w14:textId="77777777" w:rsidR="009C4623" w:rsidRDefault="00327D8E" w:rsidP="004F5B1D">
      <w:pPr>
        <w:pStyle w:val="SingleTxtG"/>
        <w:numPr>
          <w:ilvl w:val="0"/>
          <w:numId w:val="5"/>
        </w:numPr>
        <w:suppressAutoHyphens/>
        <w:spacing w:line="240" w:lineRule="atLeast"/>
        <w:ind w:left="1134" w:right="1110" w:firstLine="0"/>
        <w:rPr>
          <w:lang w:val="en-US"/>
        </w:rPr>
      </w:pPr>
      <w:r w:rsidRPr="009C4623">
        <w:rPr>
          <w:lang w:val="en-US"/>
        </w:rPr>
        <w:t>The discharge speed (</w:t>
      </w:r>
      <w:r w:rsidRPr="009C4623">
        <w:rPr>
          <w:rFonts w:eastAsia="MS Mincho"/>
        </w:rPr>
        <w:t xml:space="preserve">70 per cent ± 5 per cent of the </w:t>
      </w:r>
      <w:r w:rsidRPr="009C4623">
        <w:rPr>
          <w:rFonts w:eastAsia="MS Mincho"/>
          <w:b/>
          <w:bCs/>
        </w:rPr>
        <w:t>maximum speed</w:t>
      </w:r>
      <w:r w:rsidRPr="009C4623">
        <w:rPr>
          <w:rFonts w:eastAsia="MS Mincho"/>
        </w:rPr>
        <w:t>)</w:t>
      </w:r>
      <w:r w:rsidRPr="009C4623">
        <w:rPr>
          <w:lang w:val="en-US"/>
        </w:rPr>
        <w:t xml:space="preserve"> requirement for Condition A and B</w:t>
      </w:r>
      <w:r w:rsidR="009C4623">
        <w:rPr>
          <w:lang w:val="en-US"/>
        </w:rPr>
        <w:t xml:space="preserve"> of OVC-HEV with an operating mode switch</w:t>
      </w:r>
      <w:r w:rsidRPr="009C4623">
        <w:rPr>
          <w:lang w:val="en-US"/>
        </w:rPr>
        <w:t xml:space="preserve"> in Annex 8 “Method of measuring the emissions of carbon dioxide, fuel consumption and the electric energy consumption of vehicles powered by a hybrid electric power train</w:t>
      </w:r>
      <w:r w:rsidR="009C4623" w:rsidRPr="009C4623">
        <w:rPr>
          <w:lang w:val="en-US"/>
        </w:rPr>
        <w:t>”</w:t>
      </w:r>
      <w:r w:rsidRPr="009C4623">
        <w:rPr>
          <w:lang w:val="en-US"/>
        </w:rPr>
        <w:t xml:space="preserve"> in the 01 series of UN Regulation No. 101 does not fit to </w:t>
      </w:r>
      <w:r w:rsidR="009C4623">
        <w:rPr>
          <w:lang w:val="en-US"/>
        </w:rPr>
        <w:t xml:space="preserve">one of </w:t>
      </w:r>
      <w:r w:rsidRPr="009C4623">
        <w:rPr>
          <w:lang w:val="en-US"/>
        </w:rPr>
        <w:t xml:space="preserve">its stop </w:t>
      </w:r>
      <w:r w:rsidR="00EF479A" w:rsidRPr="009C4623">
        <w:rPr>
          <w:lang w:val="en-US"/>
        </w:rPr>
        <w:t>criteria</w:t>
      </w:r>
      <w:r w:rsidRPr="009C4623">
        <w:rPr>
          <w:lang w:val="en-US"/>
        </w:rPr>
        <w:t xml:space="preserve"> </w:t>
      </w:r>
      <w:r w:rsidR="009C4623">
        <w:rPr>
          <w:lang w:val="en-US"/>
        </w:rPr>
        <w:t>(</w:t>
      </w:r>
      <w:r w:rsidR="009C4623" w:rsidRPr="00327D8E">
        <w:rPr>
          <w:rFonts w:eastAsia="MS Mincho"/>
        </w:rPr>
        <w:t xml:space="preserve">65 per cent of the </w:t>
      </w:r>
      <w:r w:rsidR="009C4623" w:rsidRPr="009C4623">
        <w:rPr>
          <w:rFonts w:eastAsia="MS Mincho"/>
          <w:b/>
          <w:bCs/>
        </w:rPr>
        <w:t>maximum thirty minutes speed</w:t>
      </w:r>
      <w:r w:rsidR="009C4623">
        <w:rPr>
          <w:rFonts w:eastAsia="MS Mincho"/>
        </w:rPr>
        <w:t xml:space="preserve">). </w:t>
      </w:r>
    </w:p>
    <w:p w14:paraId="5F06009C" w14:textId="77777777" w:rsidR="009C4623" w:rsidRDefault="009C4623" w:rsidP="004F5B1D">
      <w:pPr>
        <w:pStyle w:val="SingleTxtG"/>
        <w:numPr>
          <w:ilvl w:val="0"/>
          <w:numId w:val="5"/>
        </w:numPr>
        <w:suppressAutoHyphens/>
        <w:spacing w:line="240" w:lineRule="atLeast"/>
        <w:ind w:left="1134" w:right="1110" w:firstLine="0"/>
      </w:pPr>
      <w:r w:rsidRPr="009C4623">
        <w:t>The</w:t>
      </w:r>
      <w:r>
        <w:t xml:space="preserve"> discharge speed </w:t>
      </w:r>
      <w:r w:rsidR="00952DDE">
        <w:t xml:space="preserve">and speed stop </w:t>
      </w:r>
      <w:r>
        <w:t xml:space="preserve">requirement </w:t>
      </w:r>
    </w:p>
    <w:p w14:paraId="0452459B" w14:textId="77777777" w:rsidR="00952DDE" w:rsidRPr="00952DDE" w:rsidRDefault="009C4623" w:rsidP="004F5B1D">
      <w:pPr>
        <w:pStyle w:val="SingleTxtG"/>
        <w:numPr>
          <w:ilvl w:val="1"/>
          <w:numId w:val="6"/>
        </w:numPr>
        <w:suppressAutoHyphens/>
        <w:spacing w:line="240" w:lineRule="atLeast"/>
        <w:ind w:left="1134" w:right="1110" w:firstLine="0"/>
        <w:rPr>
          <w:lang w:val="en-US"/>
        </w:rPr>
      </w:pPr>
      <w:r>
        <w:t xml:space="preserve">for condition A </w:t>
      </w:r>
      <w:r w:rsidR="00976687">
        <w:t xml:space="preserve">of </w:t>
      </w:r>
      <w:r w:rsidR="00952DDE" w:rsidRPr="00952DDE">
        <w:rPr>
          <w:lang w:val="en-US"/>
        </w:rPr>
        <w:t>OVC-HEV with an operating mode switch in</w:t>
      </w:r>
      <w:r>
        <w:t xml:space="preserve"> Annex 9 “Method of measuring the electric range of vehicles powered by an electric power train only or by a hybrid electric power train”</w:t>
      </w:r>
      <w:r w:rsidR="00976687">
        <w:t xml:space="preserve">, paragraphs </w:t>
      </w:r>
      <w:r w:rsidR="00976687" w:rsidRPr="00976687">
        <w:rPr>
          <w:lang w:val="en-US"/>
        </w:rPr>
        <w:t>4.1.1.3.2.</w:t>
      </w:r>
      <w:r w:rsidR="00976687">
        <w:rPr>
          <w:lang w:val="en-US"/>
        </w:rPr>
        <w:t xml:space="preserve"> and</w:t>
      </w:r>
      <w:r w:rsidR="00976687">
        <w:t xml:space="preserve"> </w:t>
      </w:r>
      <w:r w:rsidR="00976687" w:rsidRPr="00976687">
        <w:rPr>
          <w:lang w:val="en-US"/>
        </w:rPr>
        <w:t>4.1.1.3.3.</w:t>
      </w:r>
      <w:r>
        <w:t xml:space="preserve"> </w:t>
      </w:r>
      <w:r w:rsidR="00952DDE">
        <w:t xml:space="preserve">of the 01 series of amendments of UN Regulation No. 101 </w:t>
      </w:r>
      <w:r>
        <w:t xml:space="preserve">and </w:t>
      </w:r>
    </w:p>
    <w:p w14:paraId="6344F21F" w14:textId="77777777" w:rsidR="00952DDE" w:rsidRPr="00952DDE" w:rsidRDefault="009C4623" w:rsidP="004F5B1D">
      <w:pPr>
        <w:pStyle w:val="SingleTxtG"/>
        <w:numPr>
          <w:ilvl w:val="1"/>
          <w:numId w:val="6"/>
        </w:numPr>
        <w:suppressAutoHyphens/>
        <w:spacing w:line="240" w:lineRule="atLeast"/>
        <w:ind w:left="1134" w:right="1110" w:firstLine="0"/>
        <w:rPr>
          <w:lang w:val="en-US"/>
        </w:rPr>
      </w:pPr>
      <w:r>
        <w:t xml:space="preserve">for condition A and B </w:t>
      </w:r>
      <w:r w:rsidR="00976687" w:rsidRPr="00952DDE">
        <w:rPr>
          <w:lang w:val="en-US"/>
        </w:rPr>
        <w:t xml:space="preserve">OVC-HEV with an operating mode switch </w:t>
      </w:r>
      <w:r w:rsidR="00976687">
        <w:rPr>
          <w:lang w:val="en-US"/>
        </w:rPr>
        <w:t>in</w:t>
      </w:r>
      <w:r>
        <w:t xml:space="preserve"> </w:t>
      </w:r>
      <w:r w:rsidR="00952DDE">
        <w:t>Annex 14 “Emissions test procedure for hybrid electric vehicles (HEV)”</w:t>
      </w:r>
      <w:r w:rsidR="00976687">
        <w:t xml:space="preserve">, paragraphs </w:t>
      </w:r>
      <w:r w:rsidR="00976687" w:rsidRPr="00976687">
        <w:rPr>
          <w:lang w:val="en-US"/>
        </w:rPr>
        <w:t>3.2.2.2.</w:t>
      </w:r>
      <w:r w:rsidR="00976687">
        <w:rPr>
          <w:lang w:val="en-US"/>
        </w:rPr>
        <w:t xml:space="preserve"> and </w:t>
      </w:r>
      <w:r w:rsidR="00976687" w:rsidRPr="00976687">
        <w:rPr>
          <w:lang w:val="en-US"/>
        </w:rPr>
        <w:t>3.2.3.2.</w:t>
      </w:r>
      <w:r w:rsidR="00952DDE">
        <w:t xml:space="preserve"> of the</w:t>
      </w:r>
      <w:r w:rsidR="00B35549">
        <w:t xml:space="preserve"> 06 and</w:t>
      </w:r>
      <w:r w:rsidR="00952DDE">
        <w:t xml:space="preserve"> 07 series of amendments of UN Regulation No. 83</w:t>
      </w:r>
    </w:p>
    <w:p w14:paraId="67096C8C" w14:textId="77777777" w:rsidR="00987669" w:rsidRDefault="00952DDE" w:rsidP="004F5B1D">
      <w:pPr>
        <w:pStyle w:val="SingleTxtG"/>
        <w:suppressAutoHyphens/>
        <w:spacing w:line="240" w:lineRule="atLeast"/>
        <w:ind w:right="1110"/>
        <w:rPr>
          <w:lang w:val="en-US"/>
        </w:rPr>
      </w:pPr>
      <w:r>
        <w:t>are both referring to the maximum thirty minutes speed.</w:t>
      </w:r>
      <w:r w:rsidR="00117703">
        <w:rPr>
          <w:lang w:val="en-US"/>
        </w:rPr>
        <w:t xml:space="preserve"> </w:t>
      </w:r>
    </w:p>
    <w:p w14:paraId="6F96162A" w14:textId="77777777" w:rsidR="00B35549" w:rsidRPr="001F5A68" w:rsidRDefault="00B35549" w:rsidP="004F5B1D">
      <w:pPr>
        <w:pStyle w:val="SingleTxtG"/>
        <w:numPr>
          <w:ilvl w:val="0"/>
          <w:numId w:val="5"/>
        </w:numPr>
        <w:suppressAutoHyphens/>
        <w:spacing w:line="240" w:lineRule="atLeast"/>
        <w:ind w:left="1134" w:right="1110" w:firstLine="0"/>
        <w:rPr>
          <w:lang w:val="en-US"/>
        </w:rPr>
      </w:pPr>
      <w:r>
        <w:rPr>
          <w:lang w:val="en-US"/>
        </w:rPr>
        <w:t>The preconditioning requirement of UN Regulation No. 101 and UN Regulation No. 83 are harmonized with this proposal.</w:t>
      </w:r>
    </w:p>
    <w:p w14:paraId="6BDD4B42" w14:textId="77777777" w:rsidR="00CE0DD3" w:rsidRPr="00987669" w:rsidRDefault="00CE0DD3" w:rsidP="0035613B">
      <w:pPr>
        <w:pStyle w:val="Default"/>
        <w:ind w:left="1134" w:right="1110"/>
        <w:rPr>
          <w:sz w:val="28"/>
          <w:szCs w:val="28"/>
          <w:lang w:val="en-GB"/>
        </w:rPr>
      </w:pPr>
    </w:p>
    <w:p w14:paraId="239D0283" w14:textId="77777777" w:rsidR="0081205A" w:rsidRDefault="00D42C29" w:rsidP="00D42C29">
      <w:pPr>
        <w:tabs>
          <w:tab w:val="left" w:pos="1959"/>
        </w:tabs>
        <w:spacing w:line="259" w:lineRule="auto"/>
        <w:ind w:left="1985" w:right="805" w:hanging="851"/>
        <w:jc w:val="center"/>
        <w:rPr>
          <w:sz w:val="28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7625D8" w14:textId="77777777" w:rsidR="0081205A" w:rsidRDefault="0081205A" w:rsidP="00951AE1">
      <w:pPr>
        <w:tabs>
          <w:tab w:val="left" w:pos="1959"/>
        </w:tabs>
        <w:spacing w:line="259" w:lineRule="auto"/>
        <w:ind w:left="1985" w:right="805" w:hanging="1870"/>
        <w:rPr>
          <w:sz w:val="28"/>
        </w:rPr>
      </w:pPr>
    </w:p>
    <w:p w14:paraId="2496A989" w14:textId="77777777" w:rsidR="00951AE1" w:rsidRPr="00951AE1" w:rsidRDefault="00951AE1" w:rsidP="000C67C7">
      <w:pPr>
        <w:tabs>
          <w:tab w:val="left" w:pos="1959"/>
        </w:tabs>
        <w:spacing w:line="259" w:lineRule="auto"/>
        <w:ind w:left="1985" w:right="-24" w:hanging="1870"/>
        <w:rPr>
          <w:sz w:val="28"/>
          <w:lang w:val="en-GB"/>
        </w:rPr>
      </w:pPr>
    </w:p>
    <w:sectPr w:rsidR="00951AE1" w:rsidRPr="00951AE1" w:rsidSect="009A09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580" w:right="995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4F15B" w14:textId="77777777" w:rsidR="00E113F3" w:rsidRDefault="00E113F3" w:rsidP="00F06571">
      <w:r>
        <w:separator/>
      </w:r>
    </w:p>
  </w:endnote>
  <w:endnote w:type="continuationSeparator" w:id="0">
    <w:p w14:paraId="66350474" w14:textId="77777777" w:rsidR="00E113F3" w:rsidRDefault="00E113F3" w:rsidP="00F0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80651" w14:textId="77777777" w:rsidR="00BB3828" w:rsidRDefault="00BB3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8BB22" w14:textId="77777777" w:rsidR="00BB3828" w:rsidRDefault="00BB38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5A90C" w14:textId="77777777" w:rsidR="00BB3828" w:rsidRDefault="00BB3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F94B7" w14:textId="77777777" w:rsidR="00E113F3" w:rsidRDefault="00E113F3" w:rsidP="00F06571">
      <w:r>
        <w:separator/>
      </w:r>
    </w:p>
  </w:footnote>
  <w:footnote w:type="continuationSeparator" w:id="0">
    <w:p w14:paraId="6B7104E7" w14:textId="77777777" w:rsidR="00E113F3" w:rsidRDefault="00E113F3" w:rsidP="00F0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7BA77" w14:textId="77777777" w:rsidR="00BB3828" w:rsidRDefault="00BB3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7"/>
      <w:gridCol w:w="4838"/>
    </w:tblGrid>
    <w:tr w:rsidR="001212DD" w:rsidRPr="001212DD" w14:paraId="7F1D47E6" w14:textId="77777777" w:rsidTr="00B555BE">
      <w:tc>
        <w:tcPr>
          <w:tcW w:w="4927" w:type="dxa"/>
        </w:tcPr>
        <w:p w14:paraId="0CD49096" w14:textId="77777777" w:rsidR="001212DD" w:rsidRPr="001212DD" w:rsidRDefault="001212DD" w:rsidP="001212DD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b/>
            </w:rPr>
          </w:pPr>
          <w:r w:rsidRPr="001212DD">
            <w:rPr>
              <w:rFonts w:ascii="Times New Roman" w:eastAsia="Times New Roman" w:hAnsi="Times New Roman" w:cs="Times New Roman"/>
            </w:rPr>
            <w:t>Submitted by the expert from OICA</w:t>
          </w:r>
        </w:p>
      </w:tc>
      <w:tc>
        <w:tcPr>
          <w:tcW w:w="4928" w:type="dxa"/>
        </w:tcPr>
        <w:p w14:paraId="51BB8469" w14:textId="3B9D38E9" w:rsidR="001212DD" w:rsidRPr="004F5B1D" w:rsidRDefault="007A5128" w:rsidP="001212DD">
          <w:pPr>
            <w:tabs>
              <w:tab w:val="center" w:pos="4513"/>
              <w:tab w:val="right" w:pos="9026"/>
            </w:tabs>
            <w:ind w:left="1691"/>
            <w:rPr>
              <w:rFonts w:ascii="Times New Roman" w:eastAsia="Times New Roman" w:hAnsi="Times New Roman" w:cs="Times New Roman"/>
              <w:lang w:val="en-US"/>
            </w:rPr>
          </w:pPr>
          <w:r w:rsidRPr="007A5128">
            <w:rPr>
              <w:rFonts w:ascii="Times New Roman" w:eastAsia="Times New Roman" w:hAnsi="Times New Roman" w:cs="Times New Roman"/>
            </w:rPr>
            <w:t xml:space="preserve"> </w:t>
          </w:r>
          <w:r>
            <w:rPr>
              <w:rFonts w:ascii="Times New Roman" w:eastAsia="Times New Roman" w:hAnsi="Times New Roman" w:cs="Times New Roman"/>
            </w:rPr>
            <w:t xml:space="preserve">    </w:t>
          </w:r>
          <w:r w:rsidRPr="007A5128">
            <w:rPr>
              <w:rFonts w:ascii="Times New Roman" w:eastAsia="Times New Roman" w:hAnsi="Times New Roman" w:cs="Times New Roman"/>
            </w:rPr>
            <w:t xml:space="preserve">    </w:t>
          </w:r>
          <w:r w:rsidR="001212DD" w:rsidRPr="007A5128">
            <w:rPr>
              <w:rFonts w:ascii="Times New Roman" w:eastAsia="Times New Roman" w:hAnsi="Times New Roman" w:cs="Times New Roman"/>
              <w:lang w:val="en-US"/>
            </w:rPr>
            <w:t>Informal document</w:t>
          </w:r>
          <w:r w:rsidR="001212DD" w:rsidRPr="004F5B1D">
            <w:rPr>
              <w:rFonts w:ascii="Times New Roman" w:eastAsia="Times New Roman" w:hAnsi="Times New Roman" w:cs="Times New Roman"/>
              <w:lang w:val="en-US"/>
            </w:rPr>
            <w:t xml:space="preserve"> </w:t>
          </w:r>
          <w:r w:rsidR="001212DD" w:rsidRPr="004F5B1D">
            <w:rPr>
              <w:rFonts w:ascii="Times New Roman" w:eastAsia="Times New Roman" w:hAnsi="Times New Roman" w:cs="Times New Roman"/>
              <w:b/>
              <w:bCs/>
              <w:lang w:val="en-US"/>
            </w:rPr>
            <w:t>GRPE-</w:t>
          </w:r>
          <w:r w:rsidR="00951AE1" w:rsidRPr="004F5B1D">
            <w:rPr>
              <w:rFonts w:ascii="Times New Roman" w:eastAsia="Times New Roman" w:hAnsi="Times New Roman" w:cs="Times New Roman"/>
              <w:b/>
              <w:bCs/>
              <w:lang w:val="en-US"/>
            </w:rPr>
            <w:t>8</w:t>
          </w:r>
          <w:r w:rsidR="00FD1C3C" w:rsidRPr="004F5B1D">
            <w:rPr>
              <w:rFonts w:ascii="Times New Roman" w:eastAsia="Times New Roman" w:hAnsi="Times New Roman" w:cs="Times New Roman"/>
              <w:b/>
              <w:bCs/>
              <w:lang w:val="en-US"/>
            </w:rPr>
            <w:t>5</w:t>
          </w:r>
          <w:r w:rsidR="0035613B" w:rsidRPr="004F5B1D">
            <w:rPr>
              <w:rFonts w:ascii="Times New Roman" w:eastAsia="Times New Roman" w:hAnsi="Times New Roman" w:cs="Times New Roman"/>
              <w:b/>
              <w:bCs/>
              <w:lang w:val="en-US"/>
            </w:rPr>
            <w:t>-</w:t>
          </w:r>
          <w:r w:rsidR="009B4263">
            <w:rPr>
              <w:rFonts w:ascii="Times New Roman" w:eastAsia="Times New Roman" w:hAnsi="Times New Roman" w:cs="Times New Roman"/>
              <w:b/>
              <w:bCs/>
              <w:lang w:val="en-US"/>
            </w:rPr>
            <w:t>16</w:t>
          </w:r>
        </w:p>
        <w:p w14:paraId="21D399A5" w14:textId="10D14246" w:rsidR="001212DD" w:rsidRPr="004F5B1D" w:rsidRDefault="007A5128" w:rsidP="001212DD">
          <w:pPr>
            <w:tabs>
              <w:tab w:val="center" w:pos="4513"/>
              <w:tab w:val="right" w:pos="9026"/>
            </w:tabs>
            <w:ind w:left="1691"/>
            <w:rPr>
              <w:rFonts w:ascii="Times New Roman" w:eastAsia="Times New Roman" w:hAnsi="Times New Roman" w:cs="Times New Roman"/>
              <w:bCs/>
              <w:lang w:val="en-US"/>
            </w:rPr>
          </w:pPr>
          <w:r>
            <w:rPr>
              <w:rFonts w:ascii="Times New Roman" w:eastAsia="Times New Roman" w:hAnsi="Times New Roman" w:cs="Times New Roman"/>
              <w:bCs/>
              <w:lang w:val="en-US"/>
            </w:rPr>
            <w:t xml:space="preserve">         </w:t>
          </w:r>
          <w:r w:rsidR="001212DD" w:rsidRPr="004F5B1D">
            <w:rPr>
              <w:rFonts w:ascii="Times New Roman" w:eastAsia="Times New Roman" w:hAnsi="Times New Roman" w:cs="Times New Roman"/>
              <w:bCs/>
              <w:lang w:val="en-US"/>
            </w:rPr>
            <w:t>8</w:t>
          </w:r>
          <w:r w:rsidR="00FD1C3C" w:rsidRPr="004F5B1D">
            <w:rPr>
              <w:rFonts w:ascii="Times New Roman" w:eastAsia="Times New Roman" w:hAnsi="Times New Roman" w:cs="Times New Roman"/>
              <w:bCs/>
              <w:lang w:val="en-US"/>
            </w:rPr>
            <w:t>5</w:t>
          </w:r>
          <w:r w:rsidR="000E165B" w:rsidRPr="004F5B1D">
            <w:rPr>
              <w:rFonts w:ascii="Times New Roman" w:eastAsia="Times New Roman" w:hAnsi="Times New Roman" w:cs="Times New Roman"/>
              <w:bCs/>
              <w:vertAlign w:val="superscript"/>
              <w:lang w:val="en-US"/>
            </w:rPr>
            <w:t>th</w:t>
          </w:r>
          <w:r w:rsidR="0035613B" w:rsidRPr="004F5B1D">
            <w:rPr>
              <w:rFonts w:ascii="Times New Roman" w:eastAsia="Times New Roman" w:hAnsi="Times New Roman" w:cs="Times New Roman"/>
              <w:bCs/>
              <w:lang w:val="en-US"/>
            </w:rPr>
            <w:t xml:space="preserve"> </w:t>
          </w:r>
          <w:r w:rsidR="00951AE1" w:rsidRPr="004F5B1D">
            <w:rPr>
              <w:rFonts w:ascii="Times New Roman" w:eastAsia="Times New Roman" w:hAnsi="Times New Roman" w:cs="Times New Roman"/>
              <w:bCs/>
              <w:lang w:val="en-US"/>
            </w:rPr>
            <w:t>G</w:t>
          </w:r>
          <w:r w:rsidR="001212DD" w:rsidRPr="004F5B1D">
            <w:rPr>
              <w:rFonts w:ascii="Times New Roman" w:eastAsia="Times New Roman" w:hAnsi="Times New Roman" w:cs="Times New Roman"/>
              <w:bCs/>
              <w:lang w:val="en-US"/>
            </w:rPr>
            <w:t xml:space="preserve">RPE, </w:t>
          </w:r>
          <w:r w:rsidR="00951AE1" w:rsidRPr="004F5B1D">
            <w:rPr>
              <w:rFonts w:ascii="Times New Roman" w:eastAsia="Times New Roman" w:hAnsi="Times New Roman" w:cs="Times New Roman"/>
              <w:bCs/>
              <w:lang w:val="en-US"/>
            </w:rPr>
            <w:t>1</w:t>
          </w:r>
          <w:r w:rsidR="00EF479A" w:rsidRPr="004F5B1D">
            <w:rPr>
              <w:rFonts w:ascii="Times New Roman" w:eastAsia="Times New Roman" w:hAnsi="Times New Roman" w:cs="Times New Roman"/>
              <w:bCs/>
              <w:lang w:val="en-US"/>
            </w:rPr>
            <w:t>1</w:t>
          </w:r>
          <w:r w:rsidR="00951AE1" w:rsidRPr="004F5B1D">
            <w:rPr>
              <w:rFonts w:ascii="Times New Roman" w:eastAsia="Times New Roman" w:hAnsi="Times New Roman" w:cs="Times New Roman"/>
              <w:bCs/>
              <w:lang w:val="en-US"/>
            </w:rPr>
            <w:t>-</w:t>
          </w:r>
          <w:r w:rsidR="000E165B" w:rsidRPr="004F5B1D">
            <w:rPr>
              <w:rFonts w:ascii="Times New Roman" w:eastAsia="Times New Roman" w:hAnsi="Times New Roman" w:cs="Times New Roman"/>
              <w:bCs/>
              <w:lang w:val="en-US"/>
            </w:rPr>
            <w:t>1</w:t>
          </w:r>
          <w:r w:rsidR="0035613B" w:rsidRPr="004F5B1D">
            <w:rPr>
              <w:rFonts w:ascii="Times New Roman" w:eastAsia="Times New Roman" w:hAnsi="Times New Roman" w:cs="Times New Roman"/>
              <w:bCs/>
              <w:lang w:val="en-US"/>
            </w:rPr>
            <w:t>4 J</w:t>
          </w:r>
          <w:r w:rsidR="000E165B" w:rsidRPr="004F5B1D">
            <w:rPr>
              <w:rFonts w:ascii="Times New Roman" w:eastAsia="Times New Roman" w:hAnsi="Times New Roman" w:cs="Times New Roman"/>
              <w:bCs/>
              <w:lang w:val="en-US"/>
            </w:rPr>
            <w:t>anuary</w:t>
          </w:r>
          <w:r w:rsidR="001212DD" w:rsidRPr="004F5B1D">
            <w:rPr>
              <w:rFonts w:ascii="Times New Roman" w:eastAsia="Times New Roman" w:hAnsi="Times New Roman" w:cs="Times New Roman"/>
              <w:bCs/>
              <w:lang w:val="en-US"/>
            </w:rPr>
            <w:t xml:space="preserve"> 202</w:t>
          </w:r>
          <w:r w:rsidR="000E165B" w:rsidRPr="004F5B1D">
            <w:rPr>
              <w:rFonts w:ascii="Times New Roman" w:eastAsia="Times New Roman" w:hAnsi="Times New Roman" w:cs="Times New Roman"/>
              <w:bCs/>
              <w:lang w:val="en-US"/>
            </w:rPr>
            <w:t>2</w:t>
          </w:r>
        </w:p>
        <w:p w14:paraId="4DBA1F30" w14:textId="0C8D6523" w:rsidR="001212DD" w:rsidRPr="001212DD" w:rsidRDefault="007A5128" w:rsidP="001212DD">
          <w:pPr>
            <w:tabs>
              <w:tab w:val="center" w:pos="4513"/>
              <w:tab w:val="right" w:pos="9026"/>
            </w:tabs>
            <w:ind w:left="1691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         </w:t>
          </w:r>
          <w:r w:rsidR="001212DD" w:rsidRPr="001212DD">
            <w:rPr>
              <w:rFonts w:ascii="Times New Roman" w:eastAsia="Times New Roman" w:hAnsi="Times New Roman" w:cs="Times New Roman"/>
            </w:rPr>
            <w:t xml:space="preserve">Agenda item </w:t>
          </w:r>
          <w:r>
            <w:rPr>
              <w:rFonts w:ascii="Times New Roman" w:eastAsia="Times New Roman" w:hAnsi="Times New Roman" w:cs="Times New Roman"/>
            </w:rPr>
            <w:t>3.</w:t>
          </w:r>
          <w:r w:rsidR="00BB3828">
            <w:rPr>
              <w:rFonts w:ascii="Times New Roman" w:eastAsia="Times New Roman" w:hAnsi="Times New Roman" w:cs="Times New Roman"/>
            </w:rPr>
            <w:t>(</w:t>
          </w:r>
          <w:r>
            <w:rPr>
              <w:rFonts w:ascii="Times New Roman" w:eastAsia="Times New Roman" w:hAnsi="Times New Roman" w:cs="Times New Roman"/>
            </w:rPr>
            <w:t>a</w:t>
          </w:r>
          <w:r w:rsidR="00BB3828">
            <w:rPr>
              <w:rFonts w:ascii="Times New Roman" w:eastAsia="Times New Roman" w:hAnsi="Times New Roman" w:cs="Times New Roman"/>
            </w:rPr>
            <w:t>)</w:t>
          </w:r>
        </w:p>
        <w:p w14:paraId="784B62E1" w14:textId="77777777" w:rsidR="001212DD" w:rsidRPr="001212DD" w:rsidRDefault="001212DD" w:rsidP="001212DD">
          <w:pPr>
            <w:tabs>
              <w:tab w:val="center" w:pos="4513"/>
              <w:tab w:val="right" w:pos="9026"/>
            </w:tabs>
            <w:ind w:left="1691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215C2DA1" w14:textId="77777777" w:rsidR="001212DD" w:rsidRDefault="00121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2035B" w14:textId="77777777" w:rsidR="00BB3828" w:rsidRDefault="00BB3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C1F13"/>
    <w:multiLevelType w:val="hybridMultilevel"/>
    <w:tmpl w:val="9B022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B314C"/>
    <w:multiLevelType w:val="hybridMultilevel"/>
    <w:tmpl w:val="81424552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AD23832"/>
    <w:multiLevelType w:val="hybridMultilevel"/>
    <w:tmpl w:val="9BDCC7A0"/>
    <w:lvl w:ilvl="0" w:tplc="4FD62F78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5A33B77"/>
    <w:multiLevelType w:val="hybridMultilevel"/>
    <w:tmpl w:val="8BEAF294"/>
    <w:lvl w:ilvl="0" w:tplc="BCE63CC4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4" w15:restartNumberingAfterBreak="0">
    <w:nsid w:val="7B18254A"/>
    <w:multiLevelType w:val="hybridMultilevel"/>
    <w:tmpl w:val="AC20BF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1808B3"/>
    <w:multiLevelType w:val="hybridMultilevel"/>
    <w:tmpl w:val="F2984F60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28"/>
    <w:rsid w:val="000277EF"/>
    <w:rsid w:val="00055F13"/>
    <w:rsid w:val="00073F84"/>
    <w:rsid w:val="000C67C7"/>
    <w:rsid w:val="000E165B"/>
    <w:rsid w:val="00117703"/>
    <w:rsid w:val="001212DD"/>
    <w:rsid w:val="002070DF"/>
    <w:rsid w:val="0024602C"/>
    <w:rsid w:val="00286EBB"/>
    <w:rsid w:val="00327D8E"/>
    <w:rsid w:val="0035613B"/>
    <w:rsid w:val="00373C5B"/>
    <w:rsid w:val="003A4E24"/>
    <w:rsid w:val="003A7086"/>
    <w:rsid w:val="003B3089"/>
    <w:rsid w:val="00474A66"/>
    <w:rsid w:val="00475B7E"/>
    <w:rsid w:val="004814F0"/>
    <w:rsid w:val="00485566"/>
    <w:rsid w:val="00487ACC"/>
    <w:rsid w:val="004921D2"/>
    <w:rsid w:val="004F5B1D"/>
    <w:rsid w:val="00543F57"/>
    <w:rsid w:val="005467A8"/>
    <w:rsid w:val="0056570C"/>
    <w:rsid w:val="00592535"/>
    <w:rsid w:val="005C4DA1"/>
    <w:rsid w:val="006763E0"/>
    <w:rsid w:val="00723C98"/>
    <w:rsid w:val="00751B28"/>
    <w:rsid w:val="0075489F"/>
    <w:rsid w:val="007A33DD"/>
    <w:rsid w:val="007A5128"/>
    <w:rsid w:val="007A561F"/>
    <w:rsid w:val="0081205A"/>
    <w:rsid w:val="00840544"/>
    <w:rsid w:val="00892D87"/>
    <w:rsid w:val="008B53E5"/>
    <w:rsid w:val="008D6027"/>
    <w:rsid w:val="00911A23"/>
    <w:rsid w:val="00951AE1"/>
    <w:rsid w:val="00952DDE"/>
    <w:rsid w:val="00976687"/>
    <w:rsid w:val="00987669"/>
    <w:rsid w:val="009A0930"/>
    <w:rsid w:val="009B4263"/>
    <w:rsid w:val="009C4623"/>
    <w:rsid w:val="00AB1A99"/>
    <w:rsid w:val="00AF473D"/>
    <w:rsid w:val="00B1593C"/>
    <w:rsid w:val="00B35549"/>
    <w:rsid w:val="00B86189"/>
    <w:rsid w:val="00BA17D0"/>
    <w:rsid w:val="00BB0718"/>
    <w:rsid w:val="00BB3828"/>
    <w:rsid w:val="00BC5101"/>
    <w:rsid w:val="00BD50BF"/>
    <w:rsid w:val="00BF7CF9"/>
    <w:rsid w:val="00CA1F03"/>
    <w:rsid w:val="00CB314E"/>
    <w:rsid w:val="00CE0DD3"/>
    <w:rsid w:val="00D17573"/>
    <w:rsid w:val="00D42C29"/>
    <w:rsid w:val="00D7097E"/>
    <w:rsid w:val="00DE2D8F"/>
    <w:rsid w:val="00E113F3"/>
    <w:rsid w:val="00E25BF0"/>
    <w:rsid w:val="00EF479A"/>
    <w:rsid w:val="00F06571"/>
    <w:rsid w:val="00F4130C"/>
    <w:rsid w:val="00F4362E"/>
    <w:rsid w:val="00F9065F"/>
    <w:rsid w:val="00F92936"/>
    <w:rsid w:val="00FA15C3"/>
    <w:rsid w:val="00F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E1EF3B"/>
  <w15:docId w15:val="{576B4505-9FB7-43E8-86CC-BD6EF251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11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F065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57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65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571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1593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15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9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93C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93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rsid w:val="001212DD"/>
    <w:pPr>
      <w:widowControl/>
      <w:suppressAutoHyphens/>
      <w:autoSpaceDE/>
      <w:autoSpaceDN/>
      <w:spacing w:line="24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951A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customStyle="1" w:styleId="SingleTxtG">
    <w:name w:val="_ Single Txt_G"/>
    <w:basedOn w:val="Normal"/>
    <w:link w:val="SingleTxtGChar"/>
    <w:qFormat/>
    <w:rsid w:val="00951AE1"/>
    <w:pPr>
      <w:widowControl/>
      <w:autoSpaceDE/>
      <w:autoSpaceDN/>
      <w:spacing w:after="120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qFormat/>
    <w:rsid w:val="00951A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0C67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XLargeG">
    <w:name w:val="__XLarge_G"/>
    <w:basedOn w:val="Normal"/>
    <w:next w:val="Normal"/>
    <w:rsid w:val="0035613B"/>
    <w:pPr>
      <w:keepNext/>
      <w:keepLines/>
      <w:widowControl/>
      <w:suppressAutoHyphens/>
      <w:autoSpaceDE/>
      <w:autoSpaceDN/>
      <w:spacing w:before="240" w:after="240" w:line="420" w:lineRule="exact"/>
      <w:ind w:left="1134" w:right="1134"/>
    </w:pPr>
    <w:rPr>
      <w:rFonts w:ascii="Times New Roman" w:eastAsia="Times New Roman" w:hAnsi="Times New Roman" w:cs="Times New Roman"/>
      <w:b/>
      <w:sz w:val="40"/>
      <w:szCs w:val="20"/>
      <w:lang w:val="en-GB"/>
    </w:rPr>
  </w:style>
  <w:style w:type="paragraph" w:customStyle="1" w:styleId="para">
    <w:name w:val="para"/>
    <w:basedOn w:val="SingleTxtG"/>
    <w:link w:val="paraChar"/>
    <w:qFormat/>
    <w:rsid w:val="00CA1F03"/>
    <w:pPr>
      <w:suppressAutoHyphens/>
      <w:spacing w:line="240" w:lineRule="atLeast"/>
      <w:ind w:left="2268" w:hanging="1134"/>
    </w:pPr>
    <w:rPr>
      <w:lang w:val="fr-CH"/>
    </w:rPr>
  </w:style>
  <w:style w:type="character" w:customStyle="1" w:styleId="paraChar">
    <w:name w:val="para Char"/>
    <w:link w:val="para"/>
    <w:rsid w:val="00CA1F03"/>
    <w:rPr>
      <w:rFonts w:ascii="Times New Roman" w:eastAsia="Times New Roman" w:hAnsi="Times New Roman" w:cs="Times New Roman"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0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92a9dd4e8c7f8be46150dda41d58f11b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fb9d01cd92e8bcc0c6298e0f34402da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DE377-265D-47E8-B598-E362BE263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CE66D-FED6-4DCD-B903-F3D16BA235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5CB620-0CED-4DA6-AAD5-A1B3B8014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B07C8-354B-45CE-93DF-81F5022E5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AG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</dc:creator>
  <cp:lastModifiedBy>Francois Cuenot</cp:lastModifiedBy>
  <cp:revision>4</cp:revision>
  <dcterms:created xsi:type="dcterms:W3CDTF">2021-12-20T13:26:00Z</dcterms:created>
  <dcterms:modified xsi:type="dcterms:W3CDTF">2021-12-22T10:03:00Z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2020-06-04T00:00:00Z</vt:filetime>
  </property>
  <property fmtid="{D5CDD505-2E9C-101B-9397-08002B2CF9AE}" pid="5" name="ContentTypeId">
    <vt:lpwstr>0x0101003B8422D08C252547BB1CFA7F78E2CB83</vt:lpwstr>
  </property>
</Properties>
</file>