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F4F17"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F4F17"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F4F17"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621EC00E" w:rsidR="00FC215C" w:rsidRPr="00EF4F17" w:rsidRDefault="00FC215C" w:rsidP="00B666B2">
            <w:pPr>
              <w:jc w:val="right"/>
              <w:rPr>
                <w:b/>
                <w:sz w:val="40"/>
                <w:szCs w:val="40"/>
              </w:rPr>
            </w:pPr>
            <w:r w:rsidRPr="00EF4F17">
              <w:rPr>
                <w:b/>
                <w:sz w:val="40"/>
                <w:szCs w:val="40"/>
              </w:rPr>
              <w:t>UN/SCETDG/</w:t>
            </w:r>
            <w:r w:rsidR="00CE74ED" w:rsidRPr="00EF4F17">
              <w:rPr>
                <w:b/>
                <w:sz w:val="40"/>
                <w:szCs w:val="40"/>
              </w:rPr>
              <w:t>5</w:t>
            </w:r>
            <w:r w:rsidR="00560BC2" w:rsidRPr="00EF4F17">
              <w:rPr>
                <w:b/>
                <w:sz w:val="40"/>
                <w:szCs w:val="40"/>
              </w:rPr>
              <w:t>9</w:t>
            </w:r>
            <w:r w:rsidRPr="00EF4F17">
              <w:rPr>
                <w:b/>
                <w:sz w:val="40"/>
                <w:szCs w:val="40"/>
              </w:rPr>
              <w:t>/</w:t>
            </w:r>
            <w:r w:rsidR="00EB6BA6" w:rsidRPr="00EF4F17">
              <w:rPr>
                <w:b/>
                <w:sz w:val="40"/>
                <w:szCs w:val="40"/>
              </w:rPr>
              <w:t>INF</w:t>
            </w:r>
            <w:r w:rsidR="00DF4A63" w:rsidRPr="00EF4F17">
              <w:rPr>
                <w:b/>
                <w:sz w:val="40"/>
                <w:szCs w:val="40"/>
              </w:rPr>
              <w:t>.</w:t>
            </w:r>
            <w:r w:rsidR="00D50288">
              <w:rPr>
                <w:b/>
                <w:sz w:val="40"/>
                <w:szCs w:val="40"/>
              </w:rPr>
              <w:t>2</w:t>
            </w:r>
            <w:r w:rsidR="001D6E0C">
              <w:rPr>
                <w:b/>
                <w:sz w:val="40"/>
                <w:szCs w:val="40"/>
              </w:rPr>
              <w:t>8</w:t>
            </w:r>
          </w:p>
          <w:p w14:paraId="23600409" w14:textId="77777777" w:rsidR="000216CC" w:rsidRPr="00EF4F17"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EF4F17" w14:paraId="49111E43" w14:textId="77777777" w:rsidTr="00D73803">
        <w:tc>
          <w:tcPr>
            <w:tcW w:w="9645" w:type="dxa"/>
            <w:tcMar>
              <w:top w:w="142" w:type="dxa"/>
              <w:left w:w="108" w:type="dxa"/>
              <w:bottom w:w="142" w:type="dxa"/>
              <w:right w:w="108" w:type="dxa"/>
            </w:tcMar>
          </w:tcPr>
          <w:p w14:paraId="659610D8" w14:textId="5454DCD1" w:rsidR="00645A0B" w:rsidRPr="00EF4F17" w:rsidRDefault="00645A0B" w:rsidP="00EE2966">
            <w:pPr>
              <w:tabs>
                <w:tab w:val="right" w:pos="9214"/>
              </w:tabs>
            </w:pPr>
            <w:r w:rsidRPr="00EF4F17">
              <w:rPr>
                <w:b/>
                <w:sz w:val="24"/>
                <w:szCs w:val="24"/>
              </w:rPr>
              <w:t>Committee of Experts on the Transport of Dangerous Goods</w:t>
            </w:r>
            <w:r w:rsidRPr="00EF4F17">
              <w:rPr>
                <w:b/>
                <w:sz w:val="24"/>
                <w:szCs w:val="24"/>
              </w:rPr>
              <w:br/>
              <w:t>and on the Globally Harmonized System of Classification</w:t>
            </w:r>
            <w:r w:rsidRPr="00EF4F17">
              <w:rPr>
                <w:b/>
                <w:sz w:val="24"/>
                <w:szCs w:val="24"/>
              </w:rPr>
              <w:br/>
              <w:t>and Labelling of Chemicals</w:t>
            </w:r>
            <w:r w:rsidRPr="00EF4F17">
              <w:rPr>
                <w:b/>
              </w:rPr>
              <w:tab/>
            </w:r>
            <w:r w:rsidR="00D50288">
              <w:rPr>
                <w:b/>
              </w:rPr>
              <w:t>2</w:t>
            </w:r>
            <w:r w:rsidR="001D6E0C">
              <w:rPr>
                <w:b/>
              </w:rPr>
              <w:t>4</w:t>
            </w:r>
            <w:r w:rsidR="00EB6BA6" w:rsidRPr="00EF4F17">
              <w:rPr>
                <w:b/>
              </w:rPr>
              <w:t xml:space="preserve"> </w:t>
            </w:r>
            <w:r w:rsidR="001776EA" w:rsidRPr="00EF4F17">
              <w:rPr>
                <w:b/>
              </w:rPr>
              <w:t xml:space="preserve">November </w:t>
            </w:r>
            <w:r w:rsidR="00AD7C5F" w:rsidRPr="00EF4F17">
              <w:rPr>
                <w:b/>
              </w:rPr>
              <w:t>2021</w:t>
            </w:r>
          </w:p>
        </w:tc>
      </w:tr>
      <w:tr w:rsidR="00006E29" w:rsidRPr="00EF4F17" w14:paraId="6574E88D" w14:textId="77777777" w:rsidTr="00555FEA">
        <w:trPr>
          <w:trHeight w:val="1828"/>
        </w:trPr>
        <w:tc>
          <w:tcPr>
            <w:tcW w:w="9645" w:type="dxa"/>
            <w:tcMar>
              <w:top w:w="57" w:type="dxa"/>
              <w:left w:w="108" w:type="dxa"/>
              <w:bottom w:w="0" w:type="dxa"/>
              <w:right w:w="108" w:type="dxa"/>
            </w:tcMar>
            <w:vAlign w:val="center"/>
          </w:tcPr>
          <w:p w14:paraId="7E6E1C31" w14:textId="100C180E" w:rsidR="00006E29" w:rsidRPr="00EF4F17" w:rsidRDefault="00006E29" w:rsidP="00D73803">
            <w:pPr>
              <w:spacing w:before="40"/>
              <w:rPr>
                <w:b/>
              </w:rPr>
            </w:pPr>
            <w:r w:rsidRPr="00EF4F17">
              <w:rPr>
                <w:b/>
              </w:rPr>
              <w:t>Sub-Committee of Experts on the Transport of Dangerous Goods</w:t>
            </w:r>
          </w:p>
          <w:p w14:paraId="613C7C0F" w14:textId="05FBD2FE" w:rsidR="00006E29" w:rsidRPr="00EF4F17" w:rsidRDefault="00006E29" w:rsidP="00CB2799">
            <w:pPr>
              <w:spacing w:before="120" w:line="240" w:lineRule="auto"/>
              <w:ind w:left="34" w:hanging="34"/>
              <w:rPr>
                <w:b/>
              </w:rPr>
            </w:pPr>
            <w:r w:rsidRPr="00EF4F17">
              <w:rPr>
                <w:b/>
              </w:rPr>
              <w:t>Fifty-</w:t>
            </w:r>
            <w:r w:rsidR="00560BC2" w:rsidRPr="00EF4F17">
              <w:rPr>
                <w:b/>
              </w:rPr>
              <w:t>nin</w:t>
            </w:r>
            <w:r w:rsidRPr="00EF4F17">
              <w:rPr>
                <w:b/>
              </w:rPr>
              <w:t>th session</w:t>
            </w:r>
          </w:p>
          <w:p w14:paraId="3BDE97DE" w14:textId="5CE439C4" w:rsidR="00006E29" w:rsidRPr="00EF4F17" w:rsidRDefault="00006E29" w:rsidP="00597048">
            <w:pPr>
              <w:rPr>
                <w:b/>
              </w:rPr>
            </w:pPr>
            <w:r w:rsidRPr="00EF4F17">
              <w:t>Geneva, 2</w:t>
            </w:r>
            <w:r w:rsidR="00560BC2" w:rsidRPr="00EF4F17">
              <w:t>9</w:t>
            </w:r>
            <w:r w:rsidRPr="00EF4F17">
              <w:t xml:space="preserve"> </w:t>
            </w:r>
            <w:r w:rsidR="00560BC2" w:rsidRPr="00EF4F17">
              <w:t>November</w:t>
            </w:r>
            <w:r w:rsidRPr="00EF4F17">
              <w:t>-</w:t>
            </w:r>
            <w:r w:rsidR="00560BC2" w:rsidRPr="00EF4F17">
              <w:t>8</w:t>
            </w:r>
            <w:r w:rsidRPr="00EF4F17">
              <w:t xml:space="preserve"> </w:t>
            </w:r>
            <w:r w:rsidR="00560BC2" w:rsidRPr="00EF4F17">
              <w:t>December</w:t>
            </w:r>
            <w:r w:rsidRPr="00EF4F17">
              <w:t xml:space="preserve"> 2021</w:t>
            </w:r>
            <w:r w:rsidRPr="00EF4F17">
              <w:br/>
              <w:t xml:space="preserve">Item </w:t>
            </w:r>
            <w:r w:rsidR="001D6E0C">
              <w:t>3</w:t>
            </w:r>
            <w:r w:rsidR="00C07687" w:rsidRPr="00EF4F17">
              <w:t xml:space="preserve"> </w:t>
            </w:r>
            <w:r w:rsidRPr="00EF4F17">
              <w:t>of the provisional agenda</w:t>
            </w:r>
            <w:r w:rsidRPr="00EF4F17">
              <w:br/>
            </w:r>
            <w:r w:rsidR="007E10E0">
              <w:rPr>
                <w:b/>
                <w:bCs/>
              </w:rPr>
              <w:t>Listing, classification and packing</w:t>
            </w:r>
          </w:p>
        </w:tc>
      </w:tr>
    </w:tbl>
    <w:p w14:paraId="4A0C11DD" w14:textId="50E69A1F" w:rsidR="007E10E0" w:rsidRPr="006F6375" w:rsidRDefault="007E10E0" w:rsidP="007E10E0">
      <w:pPr>
        <w:pStyle w:val="HChG"/>
        <w:rPr>
          <w:lang w:val="en-CA"/>
        </w:rPr>
      </w:pPr>
      <w:r>
        <w:rPr>
          <w:lang w:val="en-CA"/>
        </w:rPr>
        <w:tab/>
      </w:r>
      <w:r>
        <w:rPr>
          <w:lang w:val="en-CA"/>
        </w:rPr>
        <w:tab/>
        <w:t xml:space="preserve">Further information related to </w:t>
      </w:r>
      <w:r w:rsidR="00B83ADB" w:rsidRPr="00B83ADB">
        <w:rPr>
          <w:lang w:val="en-CA"/>
        </w:rPr>
        <w:t>ST/SG/AC.10/C.3/2021/39</w:t>
      </w:r>
      <w:r w:rsidR="00C64343">
        <w:rPr>
          <w:lang w:val="en-CA"/>
        </w:rPr>
        <w:t xml:space="preserve"> </w:t>
      </w:r>
      <w:r>
        <w:rPr>
          <w:lang w:val="en-CA"/>
        </w:rPr>
        <w:t xml:space="preserve">– Quinone </w:t>
      </w:r>
      <w:proofErr w:type="spellStart"/>
      <w:r w:rsidR="00C64343">
        <w:rPr>
          <w:lang w:val="en-CA"/>
        </w:rPr>
        <w:t>d</w:t>
      </w:r>
      <w:r>
        <w:rPr>
          <w:lang w:val="en-CA"/>
        </w:rPr>
        <w:t>ioxime</w:t>
      </w:r>
      <w:proofErr w:type="spellEnd"/>
      <w:r>
        <w:rPr>
          <w:lang w:val="en-CA"/>
        </w:rPr>
        <w:t xml:space="preserve"> </w:t>
      </w:r>
      <w:r w:rsidR="00C64343">
        <w:rPr>
          <w:lang w:val="en-CA"/>
        </w:rPr>
        <w:t>and</w:t>
      </w:r>
      <w:r>
        <w:rPr>
          <w:lang w:val="en-CA"/>
        </w:rPr>
        <w:t xml:space="preserve"> </w:t>
      </w:r>
      <w:r w:rsidR="00C64343">
        <w:rPr>
          <w:lang w:val="en-CA"/>
        </w:rPr>
        <w:t>o</w:t>
      </w:r>
      <w:r>
        <w:rPr>
          <w:lang w:val="en-CA"/>
        </w:rPr>
        <w:t xml:space="preserve">ther </w:t>
      </w:r>
      <w:r w:rsidR="00C64343">
        <w:rPr>
          <w:lang w:val="en-CA"/>
        </w:rPr>
        <w:t>u</w:t>
      </w:r>
      <w:r>
        <w:rPr>
          <w:lang w:val="en-CA"/>
        </w:rPr>
        <w:t xml:space="preserve">nintentionally </w:t>
      </w:r>
      <w:r w:rsidR="00C64343">
        <w:rPr>
          <w:lang w:val="en-CA"/>
        </w:rPr>
        <w:t>e</w:t>
      </w:r>
      <w:r>
        <w:rPr>
          <w:lang w:val="en-CA"/>
        </w:rPr>
        <w:t xml:space="preserve">nergetic </w:t>
      </w:r>
      <w:r w:rsidR="00C64343">
        <w:rPr>
          <w:lang w:val="en-CA"/>
        </w:rPr>
        <w:t>s</w:t>
      </w:r>
      <w:r>
        <w:rPr>
          <w:lang w:val="en-CA"/>
        </w:rPr>
        <w:t>ubstances</w:t>
      </w:r>
    </w:p>
    <w:p w14:paraId="4C162653" w14:textId="77777777" w:rsidR="007E10E0" w:rsidRPr="00DA68CA" w:rsidRDefault="007E10E0" w:rsidP="007E10E0">
      <w:pPr>
        <w:pStyle w:val="H1G"/>
        <w:rPr>
          <w:lang w:val="en-US"/>
        </w:rPr>
      </w:pPr>
      <w:r>
        <w:rPr>
          <w:lang w:val="en-CA"/>
        </w:rPr>
        <w:tab/>
      </w:r>
      <w:r>
        <w:rPr>
          <w:lang w:val="en-CA"/>
        </w:rPr>
        <w:tab/>
      </w:r>
      <w:r>
        <w:t>Submitted</w:t>
      </w:r>
      <w:r w:rsidRPr="00B762C5">
        <w:t xml:space="preserve"> by </w:t>
      </w:r>
      <w:r>
        <w:t>the Council on Safe Transportation of Hazardous Articles (COSTHA)</w:t>
      </w:r>
    </w:p>
    <w:p w14:paraId="08C90C3B" w14:textId="77777777" w:rsidR="007E10E0" w:rsidRPr="005E28CC" w:rsidRDefault="007E10E0" w:rsidP="007E10E0">
      <w:pPr>
        <w:pStyle w:val="HChG"/>
        <w:rPr>
          <w:lang w:val="en-GB"/>
        </w:rPr>
      </w:pPr>
      <w:r w:rsidRPr="005E28CC">
        <w:rPr>
          <w:lang w:val="en-GB"/>
        </w:rPr>
        <w:tab/>
      </w:r>
      <w:r w:rsidRPr="005E28CC">
        <w:rPr>
          <w:lang w:val="en-GB"/>
        </w:rPr>
        <w:tab/>
        <w:t>Introduction</w:t>
      </w:r>
    </w:p>
    <w:p w14:paraId="23E6F140" w14:textId="3E8F119A" w:rsidR="007E10E0" w:rsidRPr="007519A8" w:rsidRDefault="007519A8" w:rsidP="007519A8">
      <w:pPr>
        <w:pStyle w:val="SingleTxtG"/>
      </w:pPr>
      <w:r>
        <w:tab/>
      </w:r>
      <w:r w:rsidRPr="00B83ADB">
        <w:rPr>
          <w:lang w:val="en-GB"/>
        </w:rPr>
        <w:t>1.</w:t>
      </w:r>
      <w:r>
        <w:tab/>
      </w:r>
      <w:r w:rsidR="007E10E0" w:rsidRPr="007519A8">
        <w:t xml:space="preserve">This paper includes more information on the testing leading to a classification of quinone </w:t>
      </w:r>
      <w:proofErr w:type="spellStart"/>
      <w:r w:rsidR="007E10E0" w:rsidRPr="007519A8">
        <w:t>dioxime</w:t>
      </w:r>
      <w:proofErr w:type="spellEnd"/>
      <w:r w:rsidR="007E10E0" w:rsidRPr="007519A8">
        <w:t xml:space="preserve"> (QDO) as a Division 1.4 explosive concluded this year.</w:t>
      </w:r>
    </w:p>
    <w:p w14:paraId="6DC1F878" w14:textId="6BFF7331" w:rsidR="007E10E0" w:rsidRPr="007519A8" w:rsidRDefault="007519A8" w:rsidP="007519A8">
      <w:pPr>
        <w:pStyle w:val="SingleTxtG"/>
      </w:pPr>
      <w:r>
        <w:tab/>
      </w:r>
      <w:r w:rsidRPr="00B83ADB">
        <w:rPr>
          <w:lang w:val="en-GB"/>
        </w:rPr>
        <w:t>2.</w:t>
      </w:r>
      <w:r>
        <w:tab/>
      </w:r>
      <w:r w:rsidR="007E10E0" w:rsidRPr="007519A8">
        <w:t xml:space="preserve">We also identify inconsistencies and potential solutions related to the classification of unintentionally energetic substances which are impacting quinone </w:t>
      </w:r>
      <w:proofErr w:type="spellStart"/>
      <w:r w:rsidR="007E10E0" w:rsidRPr="007519A8">
        <w:t>dioxime</w:t>
      </w:r>
      <w:proofErr w:type="spellEnd"/>
      <w:r w:rsidR="007E10E0" w:rsidRPr="007519A8">
        <w:t xml:space="preserve"> and a wide range of other chemicals. This is because the thermal criteria for exit from Class 1 would forbid the fire behaviour of other dangerous goods.</w:t>
      </w:r>
    </w:p>
    <w:p w14:paraId="4565F3BA" w14:textId="5A8BBDE4" w:rsidR="007E10E0" w:rsidRPr="007519A8" w:rsidRDefault="007519A8" w:rsidP="007519A8">
      <w:pPr>
        <w:pStyle w:val="SingleTxtG"/>
      </w:pPr>
      <w:r>
        <w:tab/>
      </w:r>
      <w:r w:rsidRPr="00B83ADB">
        <w:rPr>
          <w:lang w:val="en-GB"/>
        </w:rPr>
        <w:t>3.</w:t>
      </w:r>
      <w:r>
        <w:tab/>
      </w:r>
      <w:r w:rsidR="007E10E0" w:rsidRPr="007519A8">
        <w:t>Due to the trend towards more competent authority oversight of self-classification, the assignment of unintentionally energetic substances to Class 1 will become increasingly common. Classification options based on configurations can already provide safe and flexible solutions. Regulatory amendments may be necessary to enhance these options for a safe and equitable classification system.</w:t>
      </w:r>
    </w:p>
    <w:p w14:paraId="73440234" w14:textId="4FE8F336" w:rsidR="007E10E0" w:rsidRPr="005E28CC" w:rsidRDefault="007E10E0" w:rsidP="007E10E0">
      <w:pPr>
        <w:pStyle w:val="HChG"/>
        <w:rPr>
          <w:lang w:val="en-GB"/>
        </w:rPr>
      </w:pPr>
      <w:r w:rsidRPr="005E28CC">
        <w:rPr>
          <w:lang w:val="en-GB"/>
        </w:rPr>
        <w:tab/>
      </w:r>
      <w:r w:rsidRPr="005E28CC">
        <w:rPr>
          <w:lang w:val="en-GB"/>
        </w:rPr>
        <w:tab/>
      </w:r>
      <w:r>
        <w:rPr>
          <w:lang w:val="en-GB"/>
        </w:rPr>
        <w:t xml:space="preserve">Testing of QDO with Division 1.4 </w:t>
      </w:r>
      <w:r w:rsidR="00772D17">
        <w:rPr>
          <w:lang w:val="en-GB"/>
        </w:rPr>
        <w:t>e</w:t>
      </w:r>
      <w:r>
        <w:rPr>
          <w:lang w:val="en-GB"/>
        </w:rPr>
        <w:t xml:space="preserve">xplosive </w:t>
      </w:r>
      <w:r w:rsidR="00772D17">
        <w:rPr>
          <w:lang w:val="en-GB"/>
        </w:rPr>
        <w:t>r</w:t>
      </w:r>
      <w:r>
        <w:rPr>
          <w:lang w:val="en-GB"/>
        </w:rPr>
        <w:t>esults</w:t>
      </w:r>
    </w:p>
    <w:p w14:paraId="13158AB7" w14:textId="0715C8D8" w:rsidR="007E10E0" w:rsidRPr="007519A8" w:rsidRDefault="007519A8" w:rsidP="007519A8">
      <w:pPr>
        <w:pStyle w:val="SingleTxtG"/>
      </w:pPr>
      <w:r>
        <w:rPr>
          <w:lang w:val="en-GB"/>
        </w:rPr>
        <w:tab/>
        <w:t>4.</w:t>
      </w:r>
      <w:r>
        <w:rPr>
          <w:lang w:val="en-GB"/>
        </w:rPr>
        <w:tab/>
      </w:r>
      <w:r w:rsidR="007E10E0">
        <w:rPr>
          <w:lang w:val="en-GB"/>
        </w:rPr>
        <w:t xml:space="preserve">During the REACH registration process, an ECHA reviewer found that QDO did not pass the </w:t>
      </w:r>
      <w:r w:rsidR="007E10E0" w:rsidRPr="007519A8">
        <w:t>screening</w:t>
      </w:r>
      <w:r w:rsidR="007E10E0">
        <w:rPr>
          <w:lang w:val="en-GB"/>
        </w:rPr>
        <w:t xml:space="preserve"> criteria in UNMTC Appendix 6, and testing was required to re-evaluate the historical classification of flammable solid (and classified as non-regulated by many manufacturers according to safety data sheets). Conversations with the IGUS-EOS</w:t>
      </w:r>
      <w:r w:rsidR="007E10E0">
        <w:rPr>
          <w:rStyle w:val="FootnoteReference"/>
          <w:lang w:val="en-GB"/>
        </w:rPr>
        <w:footnoteReference w:id="2"/>
      </w:r>
      <w:r w:rsidR="007E10E0">
        <w:rPr>
          <w:lang w:val="en-GB"/>
        </w:rPr>
        <w:t xml:space="preserve"> group of experts indicate that the oxygen balance equation is not useful in a strong majority of cases. Other experts question the current decomposition thermal screening criteria, at least for </w:t>
      </w:r>
      <w:r w:rsidR="007E10E0" w:rsidRPr="007519A8">
        <w:t>research and development. The screening criteria are oriented towards intrinsic properties.</w:t>
      </w:r>
    </w:p>
    <w:p w14:paraId="3C7751D7" w14:textId="19806708" w:rsidR="007E10E0" w:rsidRPr="007519A8" w:rsidRDefault="007519A8" w:rsidP="007519A8">
      <w:pPr>
        <w:pStyle w:val="SingleTxtG"/>
      </w:pPr>
      <w:r>
        <w:tab/>
      </w:r>
      <w:r w:rsidRPr="00B83ADB">
        <w:rPr>
          <w:lang w:val="en-GB"/>
        </w:rPr>
        <w:t>5.</w:t>
      </w:r>
      <w:r>
        <w:tab/>
      </w:r>
      <w:r w:rsidR="007E10E0" w:rsidRPr="007519A8">
        <w:t>Test Series 3 was performed with passing results for stability and sensitivity.</w:t>
      </w:r>
    </w:p>
    <w:p w14:paraId="488B8A42" w14:textId="4A581C4F" w:rsidR="007E10E0" w:rsidRPr="007519A8" w:rsidRDefault="007519A8" w:rsidP="007519A8">
      <w:pPr>
        <w:pStyle w:val="SingleTxtG"/>
      </w:pPr>
      <w:r>
        <w:tab/>
      </w:r>
      <w:r w:rsidRPr="00B83ADB">
        <w:rPr>
          <w:lang w:val="en-GB"/>
        </w:rPr>
        <w:t>6.</w:t>
      </w:r>
      <w:r>
        <w:tab/>
      </w:r>
      <w:r w:rsidR="007E10E0" w:rsidRPr="007519A8">
        <w:t xml:space="preserve">QDO underwent small scale laboratory energy testing and passed the Test Series 1(a) gap test, indicating that it will not detonate. However, it failed the </w:t>
      </w:r>
      <w:proofErr w:type="spellStart"/>
      <w:r w:rsidR="007E10E0" w:rsidRPr="007519A8">
        <w:t>Koenen</w:t>
      </w:r>
      <w:proofErr w:type="spellEnd"/>
      <w:r w:rsidR="007E10E0" w:rsidRPr="007519A8">
        <w:t xml:space="preserve"> 2(b) test with a limiting diameter of 5</w:t>
      </w:r>
      <w:r w:rsidR="00CC1A99" w:rsidRPr="00CC1A99">
        <w:rPr>
          <w:lang w:val="en-GB"/>
        </w:rPr>
        <w:t xml:space="preserve"> </w:t>
      </w:r>
      <w:r w:rsidR="007E10E0" w:rsidRPr="007519A8">
        <w:t>mm instead of 2</w:t>
      </w:r>
      <w:r w:rsidR="00CC1A99" w:rsidRPr="00CC1A99">
        <w:rPr>
          <w:lang w:val="en-GB"/>
        </w:rPr>
        <w:t xml:space="preserve"> </w:t>
      </w:r>
      <w:r w:rsidR="007E10E0" w:rsidRPr="007519A8">
        <w:t>mm, indicating the potential to deflagrate by overcoming venting. A similar indication for the potential of deflagration was provided by borderline passing results in the Test Series 2(c) time-pressure test.</w:t>
      </w:r>
    </w:p>
    <w:p w14:paraId="2C43E80F" w14:textId="3C11DA99" w:rsidR="007E10E0" w:rsidRDefault="007519A8" w:rsidP="007519A8">
      <w:pPr>
        <w:pStyle w:val="SingleTxtG"/>
        <w:rPr>
          <w:lang w:val="en-GB"/>
        </w:rPr>
      </w:pPr>
      <w:r>
        <w:rPr>
          <w:lang w:val="en-GB"/>
        </w:rPr>
        <w:lastRenderedPageBreak/>
        <w:tab/>
        <w:t>7.</w:t>
      </w:r>
      <w:r>
        <w:rPr>
          <w:lang w:val="en-GB"/>
        </w:rPr>
        <w:tab/>
      </w:r>
      <w:r w:rsidR="007E10E0">
        <w:rPr>
          <w:lang w:val="en-GB"/>
        </w:rPr>
        <w:t xml:space="preserve">QDO was tested in the Test Series 6(a) single package test with a negative result, and then the 6(c) </w:t>
      </w:r>
      <w:r w:rsidR="007E10E0" w:rsidRPr="007519A8">
        <w:t>bonfire</w:t>
      </w:r>
      <w:r w:rsidR="007E10E0">
        <w:rPr>
          <w:lang w:val="en-GB"/>
        </w:rPr>
        <w:t xml:space="preserve"> test was performed four times in various packagings ranging from 45</w:t>
      </w:r>
      <w:r w:rsidR="00A04BE4">
        <w:rPr>
          <w:lang w:val="en-GB"/>
        </w:rPr>
        <w:t> </w:t>
      </w:r>
      <w:r w:rsidR="007E10E0">
        <w:rPr>
          <w:lang w:val="en-GB"/>
        </w:rPr>
        <w:t>kg down to 2</w:t>
      </w:r>
      <w:r w:rsidR="00A04BE4">
        <w:rPr>
          <w:lang w:val="en-GB"/>
        </w:rPr>
        <w:t xml:space="preserve"> </w:t>
      </w:r>
      <w:r w:rsidR="007E10E0">
        <w:rPr>
          <w:lang w:val="en-GB"/>
        </w:rPr>
        <w:t>kg. The largest packaging of 45</w:t>
      </w:r>
      <w:r w:rsidR="00367B15">
        <w:rPr>
          <w:lang w:val="en-GB"/>
        </w:rPr>
        <w:t xml:space="preserve"> </w:t>
      </w:r>
      <w:r w:rsidR="007E10E0">
        <w:rPr>
          <w:lang w:val="en-GB"/>
        </w:rPr>
        <w:t>kg net quantity exhibited a 2</w:t>
      </w:r>
      <w:r w:rsidR="00367B15">
        <w:rPr>
          <w:lang w:val="en-GB"/>
        </w:rPr>
        <w:t xml:space="preserve"> </w:t>
      </w:r>
      <w:r w:rsidR="007E10E0">
        <w:rPr>
          <w:lang w:val="en-GB"/>
        </w:rPr>
        <w:t>m flame radius, which dissipated to zero in the subsequent tests of smaller packagings. No explosion behaviour was observed, but the burn times and heat flux measurements aligned with a Division 1.4 classification based on thermal effects. Noticeable smoke and vertical flames occurred.</w:t>
      </w:r>
    </w:p>
    <w:p w14:paraId="442A585F" w14:textId="7579E3F8" w:rsidR="007E10E0" w:rsidRDefault="007519A8" w:rsidP="007519A8">
      <w:pPr>
        <w:pStyle w:val="SingleTxtG"/>
        <w:rPr>
          <w:lang w:val="en-GB"/>
        </w:rPr>
      </w:pPr>
      <w:r>
        <w:rPr>
          <w:lang w:val="en-GB"/>
        </w:rPr>
        <w:tab/>
        <w:t>8.</w:t>
      </w:r>
      <w:r>
        <w:rPr>
          <w:lang w:val="en-GB"/>
        </w:rPr>
        <w:tab/>
      </w:r>
      <w:r w:rsidR="007E10E0">
        <w:rPr>
          <w:lang w:val="en-GB"/>
        </w:rPr>
        <w:t>QDO was classified as a Division 1.4 explosive based on thermal characteristics alone.</w:t>
      </w:r>
    </w:p>
    <w:p w14:paraId="6A6958FC" w14:textId="02C6CA28" w:rsidR="007E10E0" w:rsidRPr="005E28CC" w:rsidRDefault="00594258" w:rsidP="00594258">
      <w:pPr>
        <w:pStyle w:val="HChG"/>
        <w:rPr>
          <w:lang w:val="en-GB"/>
        </w:rPr>
      </w:pPr>
      <w:r>
        <w:tab/>
      </w:r>
      <w:r>
        <w:tab/>
      </w:r>
      <w:r w:rsidR="007E10E0" w:rsidRPr="00594258">
        <w:t>Classification</w:t>
      </w:r>
      <w:r w:rsidR="007E10E0">
        <w:rPr>
          <w:lang w:val="en-GB"/>
        </w:rPr>
        <w:t xml:space="preserve"> </w:t>
      </w:r>
      <w:r w:rsidR="00B34CB1">
        <w:rPr>
          <w:lang w:val="en-GB"/>
        </w:rPr>
        <w:t>p</w:t>
      </w:r>
      <w:r w:rsidR="007E10E0">
        <w:rPr>
          <w:lang w:val="en-GB"/>
        </w:rPr>
        <w:t>ath</w:t>
      </w:r>
    </w:p>
    <w:p w14:paraId="7D8E6533" w14:textId="6B078702" w:rsidR="007E10E0" w:rsidRDefault="00594258" w:rsidP="00594258">
      <w:pPr>
        <w:pStyle w:val="SingleTxtG"/>
        <w:rPr>
          <w:lang w:val="en-GB"/>
        </w:rPr>
      </w:pPr>
      <w:r>
        <w:rPr>
          <w:lang w:val="en-GB"/>
        </w:rPr>
        <w:t>9.</w:t>
      </w:r>
      <w:r>
        <w:rPr>
          <w:lang w:val="en-GB"/>
        </w:rPr>
        <w:tab/>
      </w:r>
      <w:r w:rsidR="007E10E0">
        <w:rPr>
          <w:lang w:val="en-GB"/>
        </w:rPr>
        <w:t>Class 1 is defined in 2.1.1.1</w:t>
      </w:r>
      <w:r w:rsidR="005230B6">
        <w:rPr>
          <w:lang w:val="en-GB"/>
        </w:rPr>
        <w:t xml:space="preserve"> </w:t>
      </w:r>
      <w:r w:rsidR="007E10E0">
        <w:rPr>
          <w:lang w:val="en-GB"/>
        </w:rPr>
        <w:t>(a) to comprise e</w:t>
      </w:r>
      <w:r w:rsidR="007E10E0" w:rsidRPr="002B1EA8">
        <w:rPr>
          <w:lang w:val="en-GB"/>
        </w:rPr>
        <w:t>xplosive substances</w:t>
      </w:r>
      <w:r w:rsidR="007E10E0" w:rsidRPr="00E76070">
        <w:rPr>
          <w:rStyle w:val="FootnoteReference"/>
          <w:lang w:val="en-GB"/>
        </w:rPr>
        <w:footnoteReference w:id="3"/>
      </w:r>
      <w:r w:rsidR="007E10E0">
        <w:rPr>
          <w:lang w:val="en-GB"/>
        </w:rPr>
        <w:t xml:space="preserve">, excluding dust cloud </w:t>
      </w:r>
      <w:r w:rsidR="007E10E0" w:rsidRPr="00594258">
        <w:t>explosion</w:t>
      </w:r>
      <w:r w:rsidR="007E10E0">
        <w:rPr>
          <w:lang w:val="en-GB"/>
        </w:rPr>
        <w:t xml:space="preserve"> potential, forbidden explosives and</w:t>
      </w:r>
      <w:r w:rsidR="007E10E0" w:rsidRPr="002B1EA8">
        <w:rPr>
          <w:lang w:val="en-GB"/>
        </w:rPr>
        <w:t xml:space="preserve"> those where the predominant hazard is appropriate to another class</w:t>
      </w:r>
      <w:r w:rsidR="007E10E0">
        <w:rPr>
          <w:lang w:val="en-GB"/>
        </w:rPr>
        <w:t>.</w:t>
      </w:r>
      <w:r w:rsidR="007E10E0" w:rsidRPr="00355200">
        <w:t xml:space="preserve"> </w:t>
      </w:r>
      <w:r w:rsidR="007E10E0">
        <w:rPr>
          <w:lang w:val="en-GB"/>
        </w:rPr>
        <w:t xml:space="preserve">The decision of whether the hazard is appropriate to another class belongs to competent authorities and is not a matter for self-classification by industry. There are generally no </w:t>
      </w:r>
      <w:r w:rsidR="002039B9">
        <w:rPr>
          <w:lang w:val="en-GB"/>
        </w:rPr>
        <w:t>"</w:t>
      </w:r>
      <w:r w:rsidR="007E10E0">
        <w:rPr>
          <w:lang w:val="en-GB"/>
        </w:rPr>
        <w:t>de minimis</w:t>
      </w:r>
      <w:r w:rsidR="002039B9">
        <w:rPr>
          <w:lang w:val="en-GB"/>
        </w:rPr>
        <w:t>"</w:t>
      </w:r>
      <w:r w:rsidR="007E10E0">
        <w:rPr>
          <w:lang w:val="en-GB"/>
        </w:rPr>
        <w:t xml:space="preserve"> quantities or concentrations allowed to exit Class 1. Section 2.1.3.6.2</w:t>
      </w:r>
      <w:r w:rsidR="007E10E0" w:rsidRPr="00E76070">
        <w:rPr>
          <w:rStyle w:val="FootnoteReference"/>
          <w:lang w:val="en-GB"/>
        </w:rPr>
        <w:footnoteReference w:id="4"/>
      </w:r>
      <w:r w:rsidR="007E10E0" w:rsidRPr="00E76070">
        <w:rPr>
          <w:rStyle w:val="FootnoteReference"/>
        </w:rPr>
        <w:t xml:space="preserve"> </w:t>
      </w:r>
      <w:r w:rsidR="00C22C53" w:rsidRPr="00C22C53">
        <w:rPr>
          <w:lang w:val="en-GB"/>
        </w:rPr>
        <w:t xml:space="preserve">of the </w:t>
      </w:r>
      <w:r w:rsidR="00C22C53">
        <w:rPr>
          <w:lang w:val="en-GB"/>
        </w:rPr>
        <w:t xml:space="preserve">UN Model Regulations (UNMR) </w:t>
      </w:r>
      <w:r w:rsidR="007E10E0">
        <w:rPr>
          <w:lang w:val="en-GB"/>
        </w:rPr>
        <w:t>concludes the process with the following statement:</w:t>
      </w:r>
    </w:p>
    <w:p w14:paraId="5ACD44A5" w14:textId="77777777" w:rsidR="007E10E0" w:rsidRPr="002B1EA8" w:rsidRDefault="007E10E0" w:rsidP="00594258">
      <w:pPr>
        <w:pStyle w:val="SingleTxtG"/>
        <w:ind w:left="1701"/>
        <w:rPr>
          <w:lang w:val="en-GB"/>
        </w:rPr>
      </w:pPr>
      <w:r>
        <w:rPr>
          <w:lang w:val="en-GB"/>
        </w:rPr>
        <w:t>“</w:t>
      </w:r>
      <w:r w:rsidRPr="00BB0B43">
        <w:rPr>
          <w:lang w:val="en-GB"/>
        </w:rPr>
        <w:t>Where a substance provisionally accepted into Class 1 is excluded from Class 1 by performing Test Series 6 on a specific type and size of package, this substance, when meeting the classification criteria or definition for another class or division, should be listed in the Dangerous Goods List of Chapter 3.2 in that class or division with a special provision restricting it to the type and size of package tested.</w:t>
      </w:r>
      <w:r>
        <w:rPr>
          <w:lang w:val="en-GB"/>
        </w:rPr>
        <w:t>”</w:t>
      </w:r>
    </w:p>
    <w:p w14:paraId="0FCF562C" w14:textId="225823F3" w:rsidR="007E10E0" w:rsidRDefault="00594258" w:rsidP="00594258">
      <w:pPr>
        <w:pStyle w:val="SingleTxtG"/>
        <w:rPr>
          <w:lang w:val="en-GB"/>
        </w:rPr>
      </w:pPr>
      <w:r>
        <w:rPr>
          <w:lang w:val="en-GB"/>
        </w:rPr>
        <w:tab/>
        <w:t>10.</w:t>
      </w:r>
      <w:r>
        <w:rPr>
          <w:lang w:val="en-GB"/>
        </w:rPr>
        <w:tab/>
      </w:r>
      <w:r w:rsidR="007E10E0">
        <w:rPr>
          <w:lang w:val="en-GB"/>
        </w:rPr>
        <w:t xml:space="preserve">No quantitative criteria </w:t>
      </w:r>
      <w:r w:rsidR="00DF494F">
        <w:rPr>
          <w:lang w:val="en-GB"/>
        </w:rPr>
        <w:t>are</w:t>
      </w:r>
      <w:r w:rsidR="007E10E0">
        <w:rPr>
          <w:lang w:val="en-GB"/>
        </w:rPr>
        <w:t xml:space="preserve"> given in Test Series 6 for exclusion from Class 1. </w:t>
      </w:r>
      <w:r w:rsidR="007316C8">
        <w:rPr>
          <w:lang w:val="en-GB"/>
        </w:rPr>
        <w:t>The UN Manual of Tests and Criteria (</w:t>
      </w:r>
      <w:r w:rsidR="007E10E0">
        <w:rPr>
          <w:lang w:val="en-GB"/>
        </w:rPr>
        <w:t>UNMTC</w:t>
      </w:r>
      <w:r w:rsidR="007316C8">
        <w:rPr>
          <w:lang w:val="en-GB"/>
        </w:rPr>
        <w:t>)</w:t>
      </w:r>
      <w:r w:rsidR="007E10E0">
        <w:rPr>
          <w:lang w:val="en-GB"/>
        </w:rPr>
        <w:t xml:space="preserve"> </w:t>
      </w:r>
      <w:r w:rsidR="007316C8">
        <w:rPr>
          <w:lang w:val="en-GB"/>
        </w:rPr>
        <w:t xml:space="preserve">states </w:t>
      </w:r>
      <w:r w:rsidR="007316C8">
        <w:rPr>
          <w:lang w:val="en-GB"/>
        </w:rPr>
        <w:t xml:space="preserve">in </w:t>
      </w:r>
      <w:r w:rsidR="007E10E0">
        <w:rPr>
          <w:lang w:val="en-GB"/>
        </w:rPr>
        <w:t>16.6.1.4.7 a qualitative criterion of “no hazardous effect”. From a practical standpoint, no flammable dangerous good, and perhaps no dangerous good of any type, can pass this criterion in a fire. Passing results in T</w:t>
      </w:r>
      <w:r w:rsidR="009C65EB">
        <w:rPr>
          <w:lang w:val="en-GB"/>
        </w:rPr>
        <w:t xml:space="preserve">est </w:t>
      </w:r>
      <w:r w:rsidR="007E10E0">
        <w:rPr>
          <w:lang w:val="en-GB"/>
        </w:rPr>
        <w:t>S</w:t>
      </w:r>
      <w:r w:rsidR="009C65EB">
        <w:rPr>
          <w:lang w:val="en-GB"/>
        </w:rPr>
        <w:t>eries</w:t>
      </w:r>
      <w:r w:rsidR="004A73E5">
        <w:rPr>
          <w:lang w:val="en-GB"/>
        </w:rPr>
        <w:t> </w:t>
      </w:r>
      <w:r w:rsidR="007E10E0">
        <w:rPr>
          <w:lang w:val="en-GB"/>
        </w:rPr>
        <w:t>2 (i.e., not Class 1) do not equate to “no hazardous effects” or 1.4S results in a bonfire (1 meter radius horizontal flame), so the UNMTC criterion is more severe than for non-explosives.</w:t>
      </w:r>
    </w:p>
    <w:p w14:paraId="7299FBE9" w14:textId="469D8B55" w:rsidR="007E10E0" w:rsidRPr="005E28CC" w:rsidRDefault="003E7A05" w:rsidP="007E10E0">
      <w:pPr>
        <w:pStyle w:val="HChG"/>
        <w:rPr>
          <w:lang w:val="en-GB"/>
        </w:rPr>
      </w:pPr>
      <w:r>
        <w:rPr>
          <w:lang w:val="en-GB"/>
        </w:rPr>
        <w:tab/>
      </w:r>
      <w:r>
        <w:rPr>
          <w:lang w:val="en-GB"/>
        </w:rPr>
        <w:tab/>
      </w:r>
      <w:r w:rsidR="007E10E0" w:rsidRPr="003E7A05">
        <w:rPr>
          <w:lang w:val="en-GB"/>
        </w:rPr>
        <w:t xml:space="preserve">Current </w:t>
      </w:r>
      <w:r w:rsidR="00025F66">
        <w:rPr>
          <w:lang w:val="en-GB"/>
        </w:rPr>
        <w:t>w</w:t>
      </w:r>
      <w:r w:rsidR="007E10E0" w:rsidRPr="003E7A05">
        <w:rPr>
          <w:lang w:val="en-GB"/>
        </w:rPr>
        <w:t>orkaround</w:t>
      </w:r>
    </w:p>
    <w:p w14:paraId="18620971" w14:textId="236C50E0" w:rsidR="007E10E0" w:rsidRPr="00F5117A" w:rsidRDefault="00F5117A" w:rsidP="00F5117A">
      <w:pPr>
        <w:pStyle w:val="SingleTxtG"/>
      </w:pPr>
      <w:r>
        <w:tab/>
      </w:r>
      <w:r w:rsidRPr="00B83ADB">
        <w:rPr>
          <w:lang w:val="en-GB"/>
        </w:rPr>
        <w:t>11.</w:t>
      </w:r>
      <w:r>
        <w:tab/>
      </w:r>
      <w:r w:rsidR="007E10E0" w:rsidRPr="00F5117A">
        <w:t>Some competent authorities interpret the requirement for “no hazardous effect” literally. Others, based on the flow chart in UNMTC Figure 10.3 Box 35, require a 1.4S result to grant an exit from Class 1 for an unintentionally energetic substance. Within the UNMTC, the flow chart may be considered out of alignment with the text of 16.6.1.4.7, or vice versa.</w:t>
      </w:r>
    </w:p>
    <w:p w14:paraId="0410E7D5" w14:textId="060BFA9C" w:rsidR="007E10E0" w:rsidRPr="00F5117A" w:rsidRDefault="00F5117A" w:rsidP="00F5117A">
      <w:pPr>
        <w:pStyle w:val="SingleTxtG"/>
      </w:pPr>
      <w:r>
        <w:tab/>
      </w:r>
      <w:r w:rsidRPr="00B83ADB">
        <w:rPr>
          <w:lang w:val="en-GB"/>
        </w:rPr>
        <w:t>12.</w:t>
      </w:r>
      <w:r>
        <w:tab/>
      </w:r>
      <w:r w:rsidR="007E10E0" w:rsidRPr="00F5117A">
        <w:t>Most flammable goods probably exhibit thermal behaviour more in the range of Division 1.4 or 1.3. Formal results are not available to COSTHA, as flammable and other dangerous goods are not subject to Test Series 6(c), however, even small flammable liquid packagings show Division 1.3 fireball behaviour in informal testing.</w:t>
      </w:r>
    </w:p>
    <w:p w14:paraId="179A7733" w14:textId="1EC8B849" w:rsidR="007E10E0" w:rsidRPr="005E28CC" w:rsidRDefault="00F5117A" w:rsidP="00F5117A">
      <w:pPr>
        <w:pStyle w:val="HChG"/>
        <w:rPr>
          <w:lang w:val="en-GB"/>
        </w:rPr>
      </w:pPr>
      <w:r>
        <w:rPr>
          <w:lang w:val="en-GB"/>
        </w:rPr>
        <w:tab/>
      </w:r>
      <w:r>
        <w:rPr>
          <w:lang w:val="en-GB"/>
        </w:rPr>
        <w:tab/>
      </w:r>
      <w:r w:rsidR="007E10E0">
        <w:rPr>
          <w:lang w:val="en-GB"/>
        </w:rPr>
        <w:t xml:space="preserve">Small </w:t>
      </w:r>
      <w:r w:rsidR="008931B2">
        <w:rPr>
          <w:lang w:val="en-GB"/>
        </w:rPr>
        <w:t>s</w:t>
      </w:r>
      <w:r w:rsidR="007E10E0">
        <w:rPr>
          <w:lang w:val="en-GB"/>
        </w:rPr>
        <w:t xml:space="preserve">cale </w:t>
      </w:r>
      <w:r w:rsidR="008931B2">
        <w:rPr>
          <w:lang w:val="en-GB"/>
        </w:rPr>
        <w:t>t</w:t>
      </w:r>
      <w:r w:rsidR="007E10E0">
        <w:rPr>
          <w:lang w:val="en-GB"/>
        </w:rPr>
        <w:t xml:space="preserve">esting </w:t>
      </w:r>
      <w:r w:rsidR="008931B2">
        <w:rPr>
          <w:lang w:val="en-GB"/>
        </w:rPr>
        <w:t>for intrinsic properties versus large scale empirical evaluations</w:t>
      </w:r>
    </w:p>
    <w:p w14:paraId="1BDBA86F" w14:textId="165A1E15" w:rsidR="007E10E0" w:rsidRDefault="00F5117A" w:rsidP="00F5117A">
      <w:pPr>
        <w:pStyle w:val="SingleTxtG"/>
        <w:rPr>
          <w:lang w:val="en-GB"/>
        </w:rPr>
      </w:pPr>
      <w:r>
        <w:rPr>
          <w:lang w:val="en-GB"/>
        </w:rPr>
        <w:tab/>
        <w:t>13.</w:t>
      </w:r>
      <w:r>
        <w:rPr>
          <w:lang w:val="en-GB"/>
        </w:rPr>
        <w:tab/>
      </w:r>
      <w:r w:rsidR="007E10E0">
        <w:rPr>
          <w:lang w:val="en-GB"/>
        </w:rPr>
        <w:t xml:space="preserve">The </w:t>
      </w:r>
      <w:r w:rsidR="007E10E0" w:rsidRPr="00F5117A">
        <w:t>following</w:t>
      </w:r>
      <w:r w:rsidR="007E10E0">
        <w:rPr>
          <w:lang w:val="en-GB"/>
        </w:rPr>
        <w:t xml:space="preserve"> information is provided as a basis for potentially giving more weight to the results of Test Series 6 and the value of packaging-based assessments versus small scale test information.</w:t>
      </w:r>
    </w:p>
    <w:p w14:paraId="54D97A0C" w14:textId="75967CDB" w:rsidR="007E10E0" w:rsidRPr="00F5117A" w:rsidRDefault="00F5117A" w:rsidP="00F5117A">
      <w:pPr>
        <w:pStyle w:val="SingleTxtG"/>
      </w:pPr>
      <w:r>
        <w:lastRenderedPageBreak/>
        <w:tab/>
      </w:r>
      <w:r w:rsidR="000A529A" w:rsidRPr="00B83ADB">
        <w:rPr>
          <w:lang w:val="en-GB"/>
        </w:rPr>
        <w:t>14.</w:t>
      </w:r>
      <w:r>
        <w:tab/>
      </w:r>
      <w:r w:rsidR="007E10E0" w:rsidRPr="00F5117A">
        <w:t>Test Series 2 consists of small-scale laboratory</w:t>
      </w:r>
      <w:r w:rsidR="007E10E0" w:rsidRPr="00A51E9D">
        <w:rPr>
          <w:rStyle w:val="FootnoteReference"/>
          <w:sz w:val="20"/>
        </w:rPr>
        <w:footnoteReference w:id="5"/>
      </w:r>
      <w:r w:rsidR="007E10E0" w:rsidRPr="00F5117A">
        <w:t xml:space="preserve"> tests which evaluate energy characteristics of a substance. The purpose is to identify intrinsic properties</w:t>
      </w:r>
      <w:r w:rsidR="007E10E0" w:rsidRPr="00A51E9D">
        <w:rPr>
          <w:rStyle w:val="FootnoteReference"/>
          <w:sz w:val="20"/>
        </w:rPr>
        <w:footnoteReference w:id="6"/>
      </w:r>
      <w:r w:rsidR="007E10E0" w:rsidRPr="00F5117A">
        <w:t xml:space="preserve"> to forecast the potential for explosive behaviour. If no explosive behaviour is found, further testing is not necessary and configuration-based requirements do not apply, other than the packing instruction. A knowledge of the physical hazard intrinsic properties of a chemical are useful beyond the transport sector; their application extends outside the scope of transport into manufacturing and storage regulations.</w:t>
      </w:r>
    </w:p>
    <w:p w14:paraId="362C0264" w14:textId="7F84282B" w:rsidR="007E10E0" w:rsidRPr="00BF1606" w:rsidRDefault="00F5117A" w:rsidP="00F5117A">
      <w:pPr>
        <w:pStyle w:val="SingleTxtG"/>
      </w:pPr>
      <w:r>
        <w:tab/>
      </w:r>
      <w:r w:rsidR="000A529A" w:rsidRPr="00B83ADB">
        <w:rPr>
          <w:lang w:val="en-GB"/>
        </w:rPr>
        <w:t>15.</w:t>
      </w:r>
      <w:r>
        <w:tab/>
      </w:r>
      <w:r w:rsidR="007E10E0" w:rsidRPr="00F5117A">
        <w:t>As recently discussed extensively by the GHS, with the assistance of the Explosives Working Group and agreed with 100% consensus, intrinsic properties of explosives are superseded by empirical knowledge for specific configurations.</w:t>
      </w:r>
      <w:r w:rsidR="007E10E0" w:rsidRPr="00A51E9D">
        <w:rPr>
          <w:rStyle w:val="FootnoteReference"/>
          <w:sz w:val="20"/>
        </w:rPr>
        <w:footnoteReference w:id="7"/>
      </w:r>
      <w:r w:rsidR="007E10E0" w:rsidRPr="00F5117A">
        <w:t xml:space="preserve"> This is because an explosives classification system based on intrinsic properties alone would assign all chemicals within its scope to Sub-Category 2A / Division 1.1 or Category 1 / forbidden for transport. A knowledge of intrinsic properties helps </w:t>
      </w:r>
      <w:r w:rsidR="00DD64FA" w:rsidRPr="00DD64FA">
        <w:rPr>
          <w:lang w:val="en-GB"/>
        </w:rPr>
        <w:t>to</w:t>
      </w:r>
      <w:r w:rsidR="00214B37">
        <w:rPr>
          <w:lang w:val="en-GB"/>
        </w:rPr>
        <w:t xml:space="preserve"> </w:t>
      </w:r>
      <w:r w:rsidR="007E10E0" w:rsidRPr="00F5117A">
        <w:t xml:space="preserve">ensure safety throughout the life cycle, but its application to transport without accounting for the mitigating effect of configurations is </w:t>
      </w:r>
      <w:r w:rsidR="007E10E0" w:rsidRPr="00BF1606">
        <w:t>burdensome.</w:t>
      </w:r>
    </w:p>
    <w:p w14:paraId="51647C9C" w14:textId="5CA4C7D0" w:rsidR="007E10E0" w:rsidRPr="00BF1606" w:rsidRDefault="000A529A" w:rsidP="000A529A">
      <w:pPr>
        <w:pStyle w:val="SingleTxtG"/>
        <w:rPr>
          <w:lang w:val="en-GB"/>
        </w:rPr>
      </w:pPr>
      <w:r w:rsidRPr="00BF1606">
        <w:tab/>
      </w:r>
      <w:r w:rsidRPr="00BF1606">
        <w:rPr>
          <w:lang w:val="en-GB"/>
        </w:rPr>
        <w:t>16.</w:t>
      </w:r>
      <w:r w:rsidRPr="00BF1606">
        <w:tab/>
      </w:r>
      <w:proofErr w:type="spellStart"/>
      <w:r w:rsidR="00BF1606" w:rsidRPr="00BF1606">
        <w:rPr>
          <w:lang w:val="en-GB"/>
        </w:rPr>
        <w:t>T</w:t>
      </w:r>
      <w:r w:rsidR="00BF1606" w:rsidRPr="00BF1606">
        <w:t>he</w:t>
      </w:r>
      <w:proofErr w:type="spellEnd"/>
      <w:r w:rsidR="00BF1606" w:rsidRPr="00BF1606">
        <w:t xml:space="preserve"> Globally Harmonized System of classification and labelling of chemicals</w:t>
      </w:r>
      <w:r w:rsidR="00BF1606" w:rsidRPr="00BF1606">
        <w:rPr>
          <w:lang w:val="en-GB"/>
        </w:rPr>
        <w:t xml:space="preserve"> </w:t>
      </w:r>
      <w:r w:rsidR="00501677">
        <w:rPr>
          <w:lang w:val="en-GB"/>
        </w:rPr>
        <w:t>(</w:t>
      </w:r>
      <w:r w:rsidR="007E10E0" w:rsidRPr="00BF1606">
        <w:t>GHS</w:t>
      </w:r>
      <w:r w:rsidR="00501677" w:rsidRPr="00501677">
        <w:rPr>
          <w:lang w:val="en-GB"/>
        </w:rPr>
        <w:t>)</w:t>
      </w:r>
      <w:r w:rsidR="007E10E0" w:rsidRPr="00BF1606">
        <w:rPr>
          <w:lang w:val="en-GB"/>
        </w:rPr>
        <w:t xml:space="preserve"> states</w:t>
      </w:r>
      <w:r w:rsidR="00501677">
        <w:rPr>
          <w:lang w:val="en-GB"/>
        </w:rPr>
        <w:t xml:space="preserve"> in </w:t>
      </w:r>
      <w:r w:rsidR="00501677" w:rsidRPr="00BF1606">
        <w:rPr>
          <w:lang w:val="en-GB"/>
        </w:rPr>
        <w:t>2.1.1.3.4</w:t>
      </w:r>
      <w:r w:rsidR="007E10E0" w:rsidRPr="00BF1606">
        <w:rPr>
          <w:lang w:val="en-GB"/>
        </w:rPr>
        <w:t xml:space="preserve">: </w:t>
      </w:r>
    </w:p>
    <w:p w14:paraId="170D550D" w14:textId="77777777" w:rsidR="007E10E0" w:rsidRPr="00233818" w:rsidRDefault="007E10E0" w:rsidP="000A529A">
      <w:pPr>
        <w:pStyle w:val="SingleTxtG"/>
        <w:ind w:left="1701"/>
        <w:rPr>
          <w:lang w:val="en-GB"/>
        </w:rPr>
      </w:pPr>
      <w:r w:rsidRPr="00233818">
        <w:rPr>
          <w:lang w:val="en-GB"/>
        </w:rPr>
        <w:t>“As the assignment to a division depends on the configuration, the classification of an explosive may change over its life cycle as a result of reconfiguration.”</w:t>
      </w:r>
    </w:p>
    <w:p w14:paraId="7584882B" w14:textId="50A735DD" w:rsidR="007E10E0" w:rsidRPr="000A529A" w:rsidRDefault="000A529A" w:rsidP="000A529A">
      <w:pPr>
        <w:pStyle w:val="SingleTxtG"/>
      </w:pPr>
      <w:r>
        <w:tab/>
      </w:r>
      <w:r w:rsidRPr="00B83ADB">
        <w:rPr>
          <w:lang w:val="en-GB"/>
        </w:rPr>
        <w:t>17.</w:t>
      </w:r>
      <w:r>
        <w:tab/>
      </w:r>
      <w:r w:rsidR="007E10E0" w:rsidRPr="000A529A">
        <w:t>Substances undergoing the 6(c) bonfire test are empirically proven to give certain results with a certain single or combination packaging and a maximum net quantity, i.e</w:t>
      </w:r>
      <w:r w:rsidR="00196DAD" w:rsidRPr="00196DAD">
        <w:rPr>
          <w:lang w:val="en-GB"/>
        </w:rPr>
        <w:t>.</w:t>
      </w:r>
      <w:r w:rsidR="007E10E0" w:rsidRPr="000A529A">
        <w:t xml:space="preserve"> a particular configuration. Empirical testing captures all parameters, known or unknown. Intentional explosives do not use small scale energy tests, and move straight into empirical evaluation of a configuration.</w:t>
      </w:r>
    </w:p>
    <w:p w14:paraId="7868DF84" w14:textId="33003A28" w:rsidR="007E10E0" w:rsidRPr="000A529A" w:rsidRDefault="000A529A" w:rsidP="000A529A">
      <w:pPr>
        <w:pStyle w:val="SingleTxtG"/>
      </w:pPr>
      <w:r>
        <w:tab/>
      </w:r>
      <w:r w:rsidRPr="00B83ADB">
        <w:rPr>
          <w:lang w:val="en-GB"/>
        </w:rPr>
        <w:t>18.</w:t>
      </w:r>
      <w:r>
        <w:tab/>
      </w:r>
      <w:r w:rsidR="007E10E0" w:rsidRPr="000A529A">
        <w:t>Small</w:t>
      </w:r>
      <w:r w:rsidR="00374ADD" w:rsidRPr="00374ADD">
        <w:rPr>
          <w:lang w:val="en-GB"/>
        </w:rPr>
        <w:t xml:space="preserve"> </w:t>
      </w:r>
      <w:r w:rsidR="007E10E0" w:rsidRPr="000A529A">
        <w:t>scale tests are performed because they are safer, easier and cheaper to perform than the large scale tests in Test Series 6, with the hopeful result that Test Series 6 will not be necessary. In those cases where Test Series 6 is performed, empirical results supersede small scale test data.</w:t>
      </w:r>
    </w:p>
    <w:p w14:paraId="6A53BB91" w14:textId="7D573047" w:rsidR="007E10E0" w:rsidRPr="005E28CC" w:rsidRDefault="000A529A" w:rsidP="007E10E0">
      <w:pPr>
        <w:pStyle w:val="HChG"/>
        <w:rPr>
          <w:lang w:val="en-GB"/>
        </w:rPr>
      </w:pPr>
      <w:r>
        <w:rPr>
          <w:lang w:val="en-GB"/>
        </w:rPr>
        <w:tab/>
      </w:r>
      <w:r>
        <w:rPr>
          <w:lang w:val="en-GB"/>
        </w:rPr>
        <w:tab/>
      </w:r>
      <w:r w:rsidR="007E10E0">
        <w:rPr>
          <w:lang w:val="en-GB"/>
        </w:rPr>
        <w:t>Future Work</w:t>
      </w:r>
    </w:p>
    <w:p w14:paraId="294FAA2E" w14:textId="310EA9CB" w:rsidR="007E10E0" w:rsidRPr="000A529A" w:rsidRDefault="000A529A" w:rsidP="000A529A">
      <w:pPr>
        <w:pStyle w:val="SingleTxtG"/>
      </w:pPr>
      <w:r>
        <w:tab/>
      </w:r>
      <w:r w:rsidRPr="00B83ADB">
        <w:rPr>
          <w:lang w:val="en-GB"/>
        </w:rPr>
        <w:t>19.</w:t>
      </w:r>
      <w:r>
        <w:tab/>
      </w:r>
      <w:r w:rsidR="007E10E0" w:rsidRPr="000A529A">
        <w:t>COSTHA seeks interim relief for QDO’s exit from Class 1 on the basis that it has been proven not to explode in certain configurations and displays thermal behaviour aligned with other flammable dangerous goods.</w:t>
      </w:r>
    </w:p>
    <w:p w14:paraId="70406DE4" w14:textId="5597143A" w:rsidR="007E10E0" w:rsidRPr="000A529A" w:rsidRDefault="000A529A" w:rsidP="000A529A">
      <w:pPr>
        <w:pStyle w:val="SingleTxtG"/>
      </w:pPr>
      <w:r>
        <w:tab/>
      </w:r>
      <w:r w:rsidRPr="00B83ADB">
        <w:rPr>
          <w:lang w:val="en-GB"/>
        </w:rPr>
        <w:t>20.</w:t>
      </w:r>
      <w:r>
        <w:tab/>
      </w:r>
      <w:r w:rsidR="007E10E0" w:rsidRPr="000A529A">
        <w:t>Should the Sub-Committee support the logic provided in the COSTHA proposals, we would return with further proposals to amend the Model Regulations.</w:t>
      </w:r>
    </w:p>
    <w:p w14:paraId="72C4B318" w14:textId="74FA29AA" w:rsidR="007E10E0" w:rsidRPr="000A529A" w:rsidRDefault="000A529A" w:rsidP="000A529A">
      <w:pPr>
        <w:pStyle w:val="SingleTxtG"/>
      </w:pPr>
      <w:r>
        <w:tab/>
      </w:r>
      <w:r w:rsidRPr="00B83ADB">
        <w:rPr>
          <w:lang w:val="en-GB"/>
        </w:rPr>
        <w:t>21.</w:t>
      </w:r>
      <w:r>
        <w:tab/>
      </w:r>
      <w:r w:rsidR="007E10E0" w:rsidRPr="000A529A">
        <w:t>IGUS-EOS recognizes the general nature of the challenges faced by QDO, and has included this work in their ad-hoc working group “Classification of energetic substances”. COSTHA is proposing research to EOS in support of future UN proposals for new UN entries:</w:t>
      </w:r>
    </w:p>
    <w:p w14:paraId="7F1795E1" w14:textId="695A15CB" w:rsidR="007E10E0" w:rsidRPr="0082674C" w:rsidRDefault="0082674C" w:rsidP="0082674C">
      <w:pPr>
        <w:pStyle w:val="SingleTxtG"/>
        <w:ind w:left="1701"/>
      </w:pPr>
      <w:r>
        <w:tab/>
      </w:r>
      <w:r w:rsidRPr="00B83ADB">
        <w:rPr>
          <w:lang w:val="en-GB"/>
        </w:rPr>
        <w:t>(a)</w:t>
      </w:r>
      <w:r>
        <w:tab/>
      </w:r>
      <w:r w:rsidR="007E10E0" w:rsidRPr="0082674C">
        <w:t>Research and development operations are often not realistically able to perform the current classification testing requirements in Test Series 2 or Test Series</w:t>
      </w:r>
      <w:r w:rsidR="0005475D" w:rsidRPr="0005475D">
        <w:rPr>
          <w:lang w:val="en-GB"/>
        </w:rPr>
        <w:t> </w:t>
      </w:r>
      <w:r w:rsidR="007E10E0" w:rsidRPr="0082674C">
        <w:t>6. The screening procedure thresholds, while they may be appropriate from an intrinsic property viewpoint, may be too narrow to avoid testing of materials which could likely benefit from configuration-based classification.</w:t>
      </w:r>
    </w:p>
    <w:p w14:paraId="46DDC3D0" w14:textId="61CE18E0" w:rsidR="007E10E0" w:rsidRDefault="0082674C" w:rsidP="0082674C">
      <w:pPr>
        <w:pStyle w:val="SingleTxtG"/>
        <w:ind w:left="1701"/>
        <w:rPr>
          <w:lang w:val="en-GB"/>
        </w:rPr>
      </w:pPr>
      <w:r>
        <w:lastRenderedPageBreak/>
        <w:tab/>
      </w:r>
      <w:r w:rsidRPr="00B83ADB">
        <w:rPr>
          <w:lang w:val="en-GB"/>
        </w:rPr>
        <w:t>(b)</w:t>
      </w:r>
      <w:r>
        <w:tab/>
      </w:r>
      <w:r w:rsidR="007E10E0" w:rsidRPr="0082674C">
        <w:t>A tiered approach to configuration-based exits from Class 1 could be developed based on combinations of prescribed energy limits, quantities and specialized packaging.</w:t>
      </w:r>
      <w:r w:rsidR="007E10E0">
        <w:rPr>
          <w:lang w:val="en-GB"/>
        </w:rPr>
        <w:t xml:space="preserve"> Hypotheses could be validated with large scale testing, resulting in new UN entries which, once complete, would only require realistically performable small scale tests.</w:t>
      </w:r>
    </w:p>
    <w:p w14:paraId="44ADCBC4" w14:textId="3A28DD79" w:rsidR="007E10E0" w:rsidRDefault="0082674C" w:rsidP="007E10E0">
      <w:pPr>
        <w:pStyle w:val="HChG"/>
        <w:rPr>
          <w:lang w:val="en-GB"/>
        </w:rPr>
      </w:pPr>
      <w:r>
        <w:rPr>
          <w:lang w:val="en-GB"/>
        </w:rPr>
        <w:tab/>
      </w:r>
      <w:r>
        <w:rPr>
          <w:lang w:val="en-GB"/>
        </w:rPr>
        <w:tab/>
      </w:r>
      <w:r w:rsidR="007E10E0">
        <w:rPr>
          <w:lang w:val="en-GB"/>
        </w:rPr>
        <w:t>Proposal</w:t>
      </w:r>
    </w:p>
    <w:p w14:paraId="70D7D104" w14:textId="14E563E1" w:rsidR="007E10E0" w:rsidRPr="0082674C" w:rsidRDefault="0082674C" w:rsidP="0072626E">
      <w:pPr>
        <w:pStyle w:val="SingleTxtG"/>
      </w:pPr>
      <w:r>
        <w:tab/>
      </w:r>
      <w:r w:rsidR="004E1028" w:rsidRPr="004E1028">
        <w:rPr>
          <w:lang w:val="en-GB"/>
        </w:rPr>
        <w:t>22</w:t>
      </w:r>
      <w:r w:rsidR="004E1028">
        <w:rPr>
          <w:lang w:val="en-GB"/>
        </w:rPr>
        <w:t>.</w:t>
      </w:r>
      <w:r w:rsidR="004E1028">
        <w:rPr>
          <w:lang w:val="en-GB"/>
        </w:rPr>
        <w:tab/>
      </w:r>
      <w:r w:rsidR="007E10E0" w:rsidRPr="0082674C">
        <w:t>COSTHA requests a discussion of the possibilities for interim relief for QDO.</w:t>
      </w:r>
      <w:r w:rsidR="0072626E" w:rsidRPr="0072626E">
        <w:rPr>
          <w:lang w:val="en-GB"/>
        </w:rPr>
        <w:t xml:space="preserve"> </w:t>
      </w:r>
      <w:r w:rsidR="007E10E0" w:rsidRPr="0082674C">
        <w:t>The Sub-Committee is invited to consider pursuing further work.</w:t>
      </w:r>
    </w:p>
    <w:p w14:paraId="227A749A" w14:textId="61889C23" w:rsidR="007E10E0" w:rsidRPr="0082674C" w:rsidRDefault="0082674C" w:rsidP="0082674C">
      <w:pPr>
        <w:spacing w:before="240"/>
        <w:jc w:val="center"/>
        <w:rPr>
          <w:u w:val="single"/>
        </w:rPr>
      </w:pPr>
      <w:r>
        <w:rPr>
          <w:u w:val="single"/>
        </w:rPr>
        <w:tab/>
      </w:r>
      <w:r>
        <w:rPr>
          <w:u w:val="single"/>
        </w:rPr>
        <w:tab/>
      </w:r>
      <w:r>
        <w:rPr>
          <w:u w:val="single"/>
        </w:rPr>
        <w:tab/>
      </w:r>
    </w:p>
    <w:p w14:paraId="4DE30CBE" w14:textId="77777777" w:rsidR="001D6E0C" w:rsidRPr="00820C98" w:rsidRDefault="001D6E0C" w:rsidP="007E10E0">
      <w:pPr>
        <w:spacing w:before="240"/>
        <w:rPr>
          <w:u w:val="single"/>
        </w:rPr>
      </w:pPr>
    </w:p>
    <w:sectPr w:rsidR="001D6E0C" w:rsidRPr="00820C98" w:rsidSect="009710AB">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45F2E" w14:textId="77777777" w:rsidR="00073C80" w:rsidRDefault="00073C80"/>
  </w:endnote>
  <w:endnote w:type="continuationSeparator" w:id="0">
    <w:p w14:paraId="5BF84653" w14:textId="77777777" w:rsidR="00073C80" w:rsidRDefault="00073C80"/>
  </w:endnote>
  <w:endnote w:type="continuationNotice" w:id="1">
    <w:p w14:paraId="700EDA5B" w14:textId="77777777" w:rsidR="00073C80" w:rsidRDefault="00073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486445050"/>
      <w:docPartObj>
        <w:docPartGallery w:val="Page Numbers (Bottom of Page)"/>
        <w:docPartUnique/>
      </w:docPartObj>
    </w:sdtPr>
    <w:sdtEndPr>
      <w:rPr>
        <w:noProof/>
      </w:rPr>
    </w:sdtEndPr>
    <w:sdtContent>
      <w:p w14:paraId="5D960C52" w14:textId="5C2FCB28" w:rsidR="0066373E" w:rsidRPr="0066373E" w:rsidRDefault="0066373E">
        <w:pPr>
          <w:pStyle w:val="Footer"/>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00C4D390" w14:textId="77777777" w:rsidR="001E435D" w:rsidRDefault="001E43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139571590"/>
      <w:docPartObj>
        <w:docPartGallery w:val="Page Numbers (Bottom of Page)"/>
        <w:docPartUnique/>
      </w:docPartObj>
    </w:sdtPr>
    <w:sdtEndPr>
      <w:rPr>
        <w:noProof/>
      </w:rPr>
    </w:sdtEndPr>
    <w:sdtContent>
      <w:p w14:paraId="10CBEBA1" w14:textId="7FB5C874" w:rsidR="0066373E" w:rsidRPr="0066373E" w:rsidRDefault="0066373E">
        <w:pPr>
          <w:pStyle w:val="Footer"/>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5E05CD13" w14:textId="4A433EC5" w:rsidR="001E435D" w:rsidRPr="001E435D" w:rsidRDefault="001E435D" w:rsidP="001E43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18119" w14:textId="77777777" w:rsidR="0082674C" w:rsidRDefault="00826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199F9" w14:textId="77777777" w:rsidR="00073C80" w:rsidRPr="000B175B" w:rsidRDefault="00073C80" w:rsidP="000B175B">
      <w:pPr>
        <w:tabs>
          <w:tab w:val="right" w:pos="2155"/>
        </w:tabs>
        <w:spacing w:after="80"/>
        <w:ind w:left="680"/>
        <w:rPr>
          <w:u w:val="single"/>
        </w:rPr>
      </w:pPr>
      <w:r>
        <w:rPr>
          <w:u w:val="single"/>
        </w:rPr>
        <w:tab/>
      </w:r>
    </w:p>
  </w:footnote>
  <w:footnote w:type="continuationSeparator" w:id="0">
    <w:p w14:paraId="1FEE401E" w14:textId="77777777" w:rsidR="00073C80" w:rsidRPr="00FC68B7" w:rsidRDefault="00073C80" w:rsidP="00FC68B7">
      <w:pPr>
        <w:tabs>
          <w:tab w:val="left" w:pos="2155"/>
        </w:tabs>
        <w:spacing w:after="80"/>
        <w:ind w:left="680"/>
        <w:rPr>
          <w:u w:val="single"/>
        </w:rPr>
      </w:pPr>
      <w:r>
        <w:rPr>
          <w:u w:val="single"/>
        </w:rPr>
        <w:tab/>
      </w:r>
    </w:p>
  </w:footnote>
  <w:footnote w:type="continuationNotice" w:id="1">
    <w:p w14:paraId="3583D9A2" w14:textId="77777777" w:rsidR="00073C80" w:rsidRDefault="00073C80"/>
  </w:footnote>
  <w:footnote w:id="2">
    <w:p w14:paraId="4ED7EC05" w14:textId="77777777" w:rsidR="007E10E0" w:rsidRPr="000B59E0" w:rsidRDefault="007E10E0" w:rsidP="00594258">
      <w:pPr>
        <w:pStyle w:val="FootnoteText"/>
        <w:ind w:firstLine="0"/>
        <w:rPr>
          <w:lang w:val="en-US"/>
        </w:rPr>
      </w:pPr>
      <w:r>
        <w:rPr>
          <w:rStyle w:val="FootnoteReference"/>
        </w:rPr>
        <w:footnoteRef/>
      </w:r>
      <w:r>
        <w:t xml:space="preserve"> </w:t>
      </w:r>
      <w:r>
        <w:rPr>
          <w:lang w:val="en-US"/>
        </w:rPr>
        <w:t>T</w:t>
      </w:r>
      <w:r w:rsidRPr="008E54BC">
        <w:t>he International Group of Experts on the Explosion Risks of Unstable Substances,</w:t>
      </w:r>
      <w:r>
        <w:rPr>
          <w:lang w:val="en-US"/>
        </w:rPr>
        <w:t xml:space="preserve"> Working Group on</w:t>
      </w:r>
      <w:r w:rsidRPr="008E54BC">
        <w:t xml:space="preserve"> Energetic and Oxidising Substances (EOS)</w:t>
      </w:r>
      <w:r>
        <w:rPr>
          <w:lang w:val="en-US"/>
        </w:rPr>
        <w:t xml:space="preserve">, </w:t>
      </w:r>
      <w:r w:rsidRPr="000B59E0">
        <w:rPr>
          <w:lang w:val="en-US"/>
        </w:rPr>
        <w:t>http://www.igus-experts.org/</w:t>
      </w:r>
    </w:p>
  </w:footnote>
  <w:footnote w:id="3">
    <w:p w14:paraId="4C865EDF" w14:textId="77777777" w:rsidR="007E10E0" w:rsidRPr="00005626" w:rsidRDefault="007E10E0" w:rsidP="00F5117A">
      <w:pPr>
        <w:pStyle w:val="FootnoteText"/>
        <w:ind w:firstLine="0"/>
        <w:rPr>
          <w:lang w:val="en-US"/>
        </w:rPr>
      </w:pPr>
      <w:r w:rsidRPr="0069449A">
        <w:rPr>
          <w:rStyle w:val="FootnoteReference"/>
        </w:rPr>
        <w:footnoteRef/>
      </w:r>
      <w:r w:rsidRPr="0069449A">
        <w:rPr>
          <w:lang w:val="en-US"/>
        </w:rPr>
        <w:t xml:space="preserve"> </w:t>
      </w:r>
      <w:r>
        <w:rPr>
          <w:lang w:val="en-US"/>
        </w:rPr>
        <w:t>The word “substance” is intended to include a mixture of substances. See UNMTC section 1.1.3.</w:t>
      </w:r>
    </w:p>
  </w:footnote>
  <w:footnote w:id="4">
    <w:p w14:paraId="59F26FCB" w14:textId="33CDC13A" w:rsidR="007E10E0" w:rsidRPr="007053FF" w:rsidRDefault="007E10E0" w:rsidP="00F5117A">
      <w:pPr>
        <w:pStyle w:val="FootnoteText"/>
        <w:ind w:firstLine="0"/>
        <w:rPr>
          <w:lang w:val="en-US"/>
        </w:rPr>
      </w:pPr>
      <w:r>
        <w:rPr>
          <w:rStyle w:val="FootnoteReference"/>
        </w:rPr>
        <w:footnoteRef/>
      </w:r>
      <w:r>
        <w:t xml:space="preserve"> </w:t>
      </w:r>
      <w:r>
        <w:rPr>
          <w:lang w:val="en-GB"/>
        </w:rPr>
        <w:t>This paper deals with the UN Model Regulations rather than regional or national regulations, in which there are significant differences</w:t>
      </w:r>
      <w:r w:rsidR="002131FF">
        <w:rPr>
          <w:lang w:val="en-GB"/>
        </w:rPr>
        <w:t>.</w:t>
      </w:r>
      <w:r>
        <w:rPr>
          <w:lang w:val="en-US"/>
        </w:rPr>
        <w:t xml:space="preserve"> For example, ADR omits equivalent texts for UNMR 2.1.3.6.2 or 2.1.3.6.3 concerning the use of Test Series 6 for classifications based on packaging or desensitization, and instead gives broad discretion in ADR 2.2.1.1.8.1, the equivalent of UNMR 2.1.3.6.1.</w:t>
      </w:r>
    </w:p>
  </w:footnote>
  <w:footnote w:id="5">
    <w:p w14:paraId="44B7B655" w14:textId="77777777" w:rsidR="007E10E0" w:rsidRPr="008F0F3A" w:rsidRDefault="007E10E0" w:rsidP="0082674C">
      <w:pPr>
        <w:pStyle w:val="FootnoteText"/>
        <w:ind w:firstLine="0"/>
        <w:rPr>
          <w:lang w:val="en-US"/>
        </w:rPr>
      </w:pPr>
      <w:r>
        <w:rPr>
          <w:rStyle w:val="FootnoteReference"/>
        </w:rPr>
        <w:footnoteRef/>
      </w:r>
      <w:r>
        <w:t xml:space="preserve"> </w:t>
      </w:r>
      <w:r>
        <w:rPr>
          <w:lang w:val="en-US"/>
        </w:rPr>
        <w:t>Test Series 2(b) and 2(c) may be performed in a normal building without special expertise in explosives. Test Series 2(a) and Test Series 6 require specialized expertise and facilities.</w:t>
      </w:r>
    </w:p>
  </w:footnote>
  <w:footnote w:id="6">
    <w:p w14:paraId="56DAB0D2" w14:textId="77777777" w:rsidR="007E10E0" w:rsidRPr="00997F09" w:rsidRDefault="007E10E0" w:rsidP="0082674C">
      <w:pPr>
        <w:pStyle w:val="FootnoteText"/>
        <w:ind w:firstLine="0"/>
        <w:rPr>
          <w:lang w:val="en-US"/>
        </w:rPr>
      </w:pPr>
      <w:r>
        <w:rPr>
          <w:rStyle w:val="FootnoteReference"/>
        </w:rPr>
        <w:footnoteRef/>
      </w:r>
      <w:r>
        <w:t xml:space="preserve"> </w:t>
      </w:r>
      <w:r>
        <w:rPr>
          <w:lang w:val="en-US"/>
        </w:rPr>
        <w:t>Intrinsic properties of explosives are not intrinsic in the same sense as for health hazards. The test results are specific to the test apparatus, and are still configuration-based, e.g., dependent on particle size distribution. The test results are useful because the conditions may be more severe than those encountered in transport.</w:t>
      </w:r>
    </w:p>
  </w:footnote>
  <w:footnote w:id="7">
    <w:p w14:paraId="1EBE4F3E" w14:textId="77777777" w:rsidR="007E10E0" w:rsidRPr="00ED66FC" w:rsidRDefault="007E10E0" w:rsidP="0082674C">
      <w:pPr>
        <w:suppressAutoHyphens w:val="0"/>
        <w:autoSpaceDE w:val="0"/>
        <w:autoSpaceDN w:val="0"/>
        <w:adjustRightInd w:val="0"/>
        <w:spacing w:line="240" w:lineRule="auto"/>
        <w:ind w:firstLine="1134"/>
        <w:rPr>
          <w:sz w:val="18"/>
          <w:lang w:val="en-US"/>
        </w:rPr>
      </w:pPr>
      <w:r w:rsidRPr="0069449A">
        <w:rPr>
          <w:rStyle w:val="FootnoteReference"/>
          <w:lang w:val="x-none"/>
        </w:rPr>
        <w:footnoteRef/>
      </w:r>
      <w:r w:rsidRPr="0069449A">
        <w:rPr>
          <w:rStyle w:val="FootnoteReference"/>
          <w:lang w:val="x-none"/>
        </w:rPr>
        <w:t xml:space="preserve"> </w:t>
      </w:r>
      <w:r w:rsidRPr="0069449A">
        <w:rPr>
          <w:sz w:val="18"/>
          <w:lang w:val="en-US"/>
        </w:rPr>
        <w:t xml:space="preserve">Forms of the word “configuration” are used 33 times in the new GHS Chapter 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4F617" w14:textId="3FD5DD2F" w:rsidR="001E435D" w:rsidRPr="0066373E" w:rsidRDefault="001E435D" w:rsidP="0066373E">
    <w:pPr>
      <w:pBdr>
        <w:bottom w:val="single" w:sz="4" w:space="1" w:color="auto"/>
      </w:pBdr>
      <w:rPr>
        <w:b/>
        <w:bCs/>
        <w:sz w:val="18"/>
        <w:szCs w:val="18"/>
      </w:rPr>
    </w:pPr>
    <w:r w:rsidRPr="0066373E">
      <w:rPr>
        <w:b/>
        <w:bCs/>
        <w:noProof/>
        <w:sz w:val="18"/>
        <w:szCs w:val="18"/>
      </w:rPr>
      <mc:AlternateContent>
        <mc:Choice Requires="wps">
          <w:drawing>
            <wp:anchor distT="0" distB="0" distL="114300" distR="114300" simplePos="0" relativeHeight="251658240" behindDoc="0" locked="0" layoutInCell="1" allowOverlap="1" wp14:anchorId="0D3960B6" wp14:editId="154A841B">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3960B6" id="_x0000_t202" coordsize="21600,21600" o:spt="202" path="m,l,21600r21600,l21600,xe">
              <v:stroke joinstyle="miter"/>
              <v:path gradientshapeok="t" o:connecttype="rect"/>
            </v:shapetype>
            <v:shape id="Text Box 1" o:spid="_x0000_s1026"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" fillcolor="#4f81bd [3204]" stroked="f" strokeweight=".5pt">
              <v:fill opacity="0"/>
              <v:stroke joinstyle="round"/>
              <v:textbox style="layout-flow:vertical" inset="0,0,0,0">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v:textbox>
              <w10:wrap anchorx="page" anchory="margin"/>
            </v:shape>
          </w:pict>
        </mc:Fallback>
      </mc:AlternateContent>
    </w:r>
    <w:r w:rsidR="0066373E" w:rsidRPr="0066373E">
      <w:rPr>
        <w:b/>
        <w:bCs/>
        <w:sz w:val="18"/>
        <w:szCs w:val="18"/>
      </w:rPr>
      <w:t>UN/SCETDG/5</w:t>
    </w:r>
    <w:r w:rsidR="00273E5B">
      <w:rPr>
        <w:b/>
        <w:bCs/>
        <w:sz w:val="18"/>
        <w:szCs w:val="18"/>
      </w:rPr>
      <w:t>9</w:t>
    </w:r>
    <w:r w:rsidR="0066373E" w:rsidRPr="0066373E">
      <w:rPr>
        <w:b/>
        <w:bCs/>
        <w:sz w:val="18"/>
        <w:szCs w:val="18"/>
      </w:rPr>
      <w:t>/</w:t>
    </w:r>
    <w:r w:rsidR="00EB6BA6">
      <w:rPr>
        <w:b/>
        <w:bCs/>
        <w:sz w:val="18"/>
        <w:szCs w:val="18"/>
      </w:rPr>
      <w:t>INF</w:t>
    </w:r>
    <w:r w:rsidR="00273E5B">
      <w:rPr>
        <w:b/>
        <w:bCs/>
        <w:sz w:val="18"/>
        <w:szCs w:val="18"/>
      </w:rPr>
      <w:t>.</w:t>
    </w:r>
    <w:r w:rsidR="00081C2E">
      <w:rPr>
        <w:b/>
        <w:bCs/>
        <w:sz w:val="18"/>
        <w:szCs w:val="18"/>
      </w:rPr>
      <w:t>2</w:t>
    </w:r>
    <w:r w:rsidR="0082674C">
      <w:rPr>
        <w:b/>
        <w:bCs/>
        <w:sz w:val="18"/>
        <w:szCs w:val="18"/>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C933F" w14:textId="4B9478D6" w:rsidR="0066373E" w:rsidRPr="0066373E" w:rsidRDefault="0066373E" w:rsidP="0066373E">
    <w:pPr>
      <w:pBdr>
        <w:bottom w:val="single" w:sz="4" w:space="1" w:color="auto"/>
      </w:pBdr>
      <w:jc w:val="right"/>
      <w:rPr>
        <w:b/>
        <w:bCs/>
        <w:sz w:val="18"/>
        <w:szCs w:val="18"/>
      </w:rPr>
    </w:pPr>
    <w:r w:rsidRPr="0066373E">
      <w:rPr>
        <w:b/>
        <w:bCs/>
        <w:noProof/>
        <w:sz w:val="18"/>
        <w:szCs w:val="18"/>
      </w:rPr>
      <mc:AlternateContent>
        <mc:Choice Requires="wps">
          <w:drawing>
            <wp:anchor distT="0" distB="0" distL="114300" distR="114300" simplePos="0" relativeHeight="251658242" behindDoc="0" locked="0" layoutInCell="1" allowOverlap="1" wp14:anchorId="7FF9CBDF" wp14:editId="2D0F311C">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F9CBDF" id="_x0000_t202" coordsize="21600,21600" o:spt="202" path="m,l,21600r21600,l21600,xe">
              <v:stroke joinstyle="miter"/>
              <v:path gradientshapeok="t" o:connecttype="rect"/>
            </v:shapetype>
            <v:shape id="Text Box 27" o:spid="_x0000_s1027" type="#_x0000_t202" style="position:absolute;left:0;text-align:left;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F0k3DyMAgAALQUAAA4AAAAAAAAAAAAAAAAALgIAAGRycy9lMm9Eb2MueG1sUEsBAi0AFAAG&#10;AAgAAAAhAGFZMmLcAAAACgEAAA8AAAAAAAAAAAAAAAAA5gQAAGRycy9kb3ducmV2LnhtbFBLBQYA&#10;AAAABAAEAPMAAADvBQAAAAA=&#10;" fillcolor="#4f81bd [3204]" stroked="f" strokeweight=".5pt">
              <v:fill opacity="0"/>
              <v:stroke joinstyle="round"/>
              <v:textbox style="layout-flow:vertical" inset="0,0,0,0">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v:textbox>
              <w10:wrap anchorx="page" anchory="margin"/>
            </v:shape>
          </w:pict>
        </mc:Fallback>
      </mc:AlternateContent>
    </w:r>
    <w:r w:rsidRPr="0066373E">
      <w:rPr>
        <w:b/>
        <w:bCs/>
        <w:sz w:val="18"/>
        <w:szCs w:val="18"/>
      </w:rPr>
      <w:t>UN/SCETDG/5</w:t>
    </w:r>
    <w:r w:rsidR="00572E34">
      <w:rPr>
        <w:b/>
        <w:bCs/>
        <w:sz w:val="18"/>
        <w:szCs w:val="18"/>
      </w:rPr>
      <w:t>9</w:t>
    </w:r>
    <w:r w:rsidRPr="0066373E">
      <w:rPr>
        <w:b/>
        <w:bCs/>
        <w:sz w:val="18"/>
        <w:szCs w:val="18"/>
      </w:rPr>
      <w:t>/</w:t>
    </w:r>
    <w:r w:rsidR="00A14F4B">
      <w:rPr>
        <w:b/>
        <w:bCs/>
        <w:sz w:val="18"/>
        <w:szCs w:val="18"/>
      </w:rPr>
      <w:t>INF.</w:t>
    </w:r>
    <w:r w:rsidR="00572E34">
      <w:rPr>
        <w:b/>
        <w:bCs/>
        <w:sz w:val="18"/>
        <w:szCs w:val="18"/>
      </w:rPr>
      <w:t>2</w:t>
    </w:r>
    <w:r w:rsidR="0082674C">
      <w:rPr>
        <w:b/>
        <w:bCs/>
        <w:sz w:val="18"/>
        <w:szCs w:val="18"/>
      </w:rPr>
      <w:t>8</w:t>
    </w:r>
  </w:p>
  <w:p w14:paraId="2AC3A944" w14:textId="4A4A44BA" w:rsidR="001E435D" w:rsidRPr="001E435D" w:rsidRDefault="001E435D" w:rsidP="001E435D">
    <w:r>
      <w:rPr>
        <w:noProof/>
      </w:rPr>
      <mc:AlternateContent>
        <mc:Choice Requires="wps">
          <w:drawing>
            <wp:anchor distT="0" distB="0" distL="114300" distR="114300" simplePos="0" relativeHeight="251658241"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1E3B79B3" id="Text Box 6" o:spid="_x0000_s1028"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BMAXQnUQIAAKw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D1BE4" w14:textId="480E9AF2" w:rsidR="0066373E" w:rsidRDefault="0066373E" w:rsidP="0066373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7C59E7"/>
    <w:multiLevelType w:val="hybridMultilevel"/>
    <w:tmpl w:val="AE382A0C"/>
    <w:lvl w:ilvl="0" w:tplc="8BBC2A28">
      <w:start w:val="1"/>
      <w:numFmt w:val="decimal"/>
      <w:lvlText w:val="%1."/>
      <w:lvlJc w:val="left"/>
      <w:pPr>
        <w:ind w:left="1699" w:hanging="565"/>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F6418A8"/>
    <w:multiLevelType w:val="hybridMultilevel"/>
    <w:tmpl w:val="7764C58A"/>
    <w:lvl w:ilvl="0" w:tplc="592A159C">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2920E4B"/>
    <w:multiLevelType w:val="hybridMultilevel"/>
    <w:tmpl w:val="F2EE489E"/>
    <w:lvl w:ilvl="0" w:tplc="B9C8B9A0">
      <w:start w:val="1"/>
      <w:numFmt w:val="decimal"/>
      <w:lvlText w:val="Amendment %1."/>
      <w:lvlJc w:val="left"/>
      <w:pPr>
        <w:tabs>
          <w:tab w:val="num" w:pos="360"/>
        </w:tabs>
        <w:ind w:left="360" w:hanging="360"/>
      </w:pPr>
      <w:rPr>
        <w:b/>
        <w:i w:val="0"/>
        <w:color w:val="FF000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9A1B3F"/>
    <w:multiLevelType w:val="hybridMultilevel"/>
    <w:tmpl w:val="D3F28F90"/>
    <w:lvl w:ilvl="0" w:tplc="39C4751A">
      <w:start w:val="1"/>
      <w:numFmt w:val="lowerLetter"/>
      <w:lvlText w:val="(%1)"/>
      <w:lvlJc w:val="left"/>
      <w:pPr>
        <w:tabs>
          <w:tab w:val="num" w:pos="1701"/>
        </w:tabs>
        <w:ind w:left="1701"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C4FEE1"/>
    <w:multiLevelType w:val="singleLevel"/>
    <w:tmpl w:val="1FC4FEE1"/>
    <w:lvl w:ilvl="0">
      <w:start w:val="1"/>
      <w:numFmt w:val="decimal"/>
      <w:lvlText w:val="%1."/>
      <w:lvlJc w:val="left"/>
      <w:pPr>
        <w:ind w:left="0" w:firstLine="0"/>
      </w:pPr>
    </w:lvl>
  </w:abstractNum>
  <w:abstractNum w:abstractNumId="18" w15:restartNumberingAfterBreak="0">
    <w:nsid w:val="2BF92F9D"/>
    <w:multiLevelType w:val="multilevel"/>
    <w:tmpl w:val="886AC020"/>
    <w:lvl w:ilvl="0">
      <w:start w:val="1"/>
      <w:numFmt w:val="lowerLetter"/>
      <w:lvlText w:val="(%1)"/>
      <w:lvlJc w:val="left"/>
      <w:pPr>
        <w:tabs>
          <w:tab w:val="num" w:pos="1283"/>
        </w:tabs>
        <w:ind w:left="1701" w:firstLine="0"/>
      </w:pPr>
      <w:rPr>
        <w:rFonts w:hint="default"/>
      </w:rPr>
    </w:lvl>
    <w:lvl w:ilvl="1">
      <w:start w:val="1"/>
      <w:numFmt w:val="lowerLetter"/>
      <w:lvlText w:val="(%2)"/>
      <w:lvlJc w:val="left"/>
      <w:pPr>
        <w:tabs>
          <w:tab w:val="num" w:pos="1283"/>
        </w:tabs>
        <w:ind w:left="2421" w:firstLine="0"/>
      </w:pPr>
    </w:lvl>
    <w:lvl w:ilvl="2">
      <w:start w:val="1"/>
      <w:numFmt w:val="lowerRoman"/>
      <w:lvlText w:val="%3."/>
      <w:lvlJc w:val="right"/>
      <w:pPr>
        <w:tabs>
          <w:tab w:val="num" w:pos="1283"/>
        </w:tabs>
        <w:ind w:left="3141" w:firstLine="0"/>
      </w:pPr>
    </w:lvl>
    <w:lvl w:ilvl="3">
      <w:start w:val="1"/>
      <w:numFmt w:val="decimal"/>
      <w:lvlText w:val="%4."/>
      <w:lvlJc w:val="left"/>
      <w:pPr>
        <w:tabs>
          <w:tab w:val="num" w:pos="3443"/>
        </w:tabs>
        <w:ind w:left="3443" w:hanging="360"/>
      </w:pPr>
    </w:lvl>
    <w:lvl w:ilvl="4">
      <w:start w:val="1"/>
      <w:numFmt w:val="lowerLetter"/>
      <w:lvlText w:val="%5."/>
      <w:lvlJc w:val="left"/>
      <w:pPr>
        <w:tabs>
          <w:tab w:val="num" w:pos="4163"/>
        </w:tabs>
        <w:ind w:left="4163" w:hanging="360"/>
      </w:pPr>
    </w:lvl>
    <w:lvl w:ilvl="5">
      <w:start w:val="1"/>
      <w:numFmt w:val="lowerRoman"/>
      <w:lvlText w:val="%6."/>
      <w:lvlJc w:val="right"/>
      <w:pPr>
        <w:tabs>
          <w:tab w:val="num" w:pos="4883"/>
        </w:tabs>
        <w:ind w:left="4883" w:hanging="180"/>
      </w:pPr>
    </w:lvl>
    <w:lvl w:ilvl="6">
      <w:start w:val="1"/>
      <w:numFmt w:val="decimal"/>
      <w:lvlText w:val="%7."/>
      <w:lvlJc w:val="left"/>
      <w:pPr>
        <w:tabs>
          <w:tab w:val="num" w:pos="5603"/>
        </w:tabs>
        <w:ind w:left="5603" w:hanging="360"/>
      </w:pPr>
    </w:lvl>
    <w:lvl w:ilvl="7">
      <w:start w:val="1"/>
      <w:numFmt w:val="lowerLetter"/>
      <w:lvlText w:val="%8."/>
      <w:lvlJc w:val="left"/>
      <w:pPr>
        <w:tabs>
          <w:tab w:val="num" w:pos="6323"/>
        </w:tabs>
        <w:ind w:left="6323" w:hanging="360"/>
      </w:pPr>
    </w:lvl>
    <w:lvl w:ilvl="8">
      <w:start w:val="1"/>
      <w:numFmt w:val="lowerRoman"/>
      <w:lvlText w:val="%9."/>
      <w:lvlJc w:val="right"/>
      <w:pPr>
        <w:tabs>
          <w:tab w:val="num" w:pos="7043"/>
        </w:tabs>
        <w:ind w:left="7043" w:hanging="180"/>
      </w:pPr>
    </w:lvl>
  </w:abstractNum>
  <w:abstractNum w:abstractNumId="19" w15:restartNumberingAfterBreak="0">
    <w:nsid w:val="2C0155C2"/>
    <w:multiLevelType w:val="hybridMultilevel"/>
    <w:tmpl w:val="7C7E9232"/>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0" w15:restartNumberingAfterBreak="0">
    <w:nsid w:val="349B6E3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745714"/>
    <w:multiLevelType w:val="hybridMultilevel"/>
    <w:tmpl w:val="76CA9450"/>
    <w:lvl w:ilvl="0" w:tplc="E9AE461E">
      <w:start w:val="1"/>
      <w:numFmt w:val="decimal"/>
      <w:lvlText w:val="(%1)"/>
      <w:lvlJc w:val="left"/>
      <w:pPr>
        <w:ind w:left="510" w:hanging="360"/>
      </w:pPr>
      <w:rPr>
        <w:rFonts w:hint="default"/>
      </w:rPr>
    </w:lvl>
    <w:lvl w:ilvl="1" w:tplc="04070019" w:tentative="1">
      <w:start w:val="1"/>
      <w:numFmt w:val="lowerLetter"/>
      <w:lvlText w:val="%2."/>
      <w:lvlJc w:val="left"/>
      <w:pPr>
        <w:ind w:left="123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2670" w:hanging="360"/>
      </w:pPr>
    </w:lvl>
    <w:lvl w:ilvl="4" w:tplc="04070019" w:tentative="1">
      <w:start w:val="1"/>
      <w:numFmt w:val="lowerLetter"/>
      <w:lvlText w:val="%5."/>
      <w:lvlJc w:val="left"/>
      <w:pPr>
        <w:ind w:left="3390" w:hanging="360"/>
      </w:pPr>
    </w:lvl>
    <w:lvl w:ilvl="5" w:tplc="0407001B" w:tentative="1">
      <w:start w:val="1"/>
      <w:numFmt w:val="lowerRoman"/>
      <w:lvlText w:val="%6."/>
      <w:lvlJc w:val="right"/>
      <w:pPr>
        <w:ind w:left="4110" w:hanging="180"/>
      </w:pPr>
    </w:lvl>
    <w:lvl w:ilvl="6" w:tplc="0407000F" w:tentative="1">
      <w:start w:val="1"/>
      <w:numFmt w:val="decimal"/>
      <w:lvlText w:val="%7."/>
      <w:lvlJc w:val="left"/>
      <w:pPr>
        <w:ind w:left="4830" w:hanging="360"/>
      </w:pPr>
    </w:lvl>
    <w:lvl w:ilvl="7" w:tplc="04070019" w:tentative="1">
      <w:start w:val="1"/>
      <w:numFmt w:val="lowerLetter"/>
      <w:lvlText w:val="%8."/>
      <w:lvlJc w:val="left"/>
      <w:pPr>
        <w:ind w:left="5550" w:hanging="360"/>
      </w:pPr>
    </w:lvl>
    <w:lvl w:ilvl="8" w:tplc="0407001B" w:tentative="1">
      <w:start w:val="1"/>
      <w:numFmt w:val="lowerRoman"/>
      <w:lvlText w:val="%9."/>
      <w:lvlJc w:val="right"/>
      <w:pPr>
        <w:ind w:left="6270" w:hanging="180"/>
      </w:pPr>
    </w:lvl>
  </w:abstractNum>
  <w:abstractNum w:abstractNumId="22" w15:restartNumberingAfterBreak="0">
    <w:nsid w:val="38206CA0"/>
    <w:multiLevelType w:val="hybridMultilevel"/>
    <w:tmpl w:val="EEFCBCD2"/>
    <w:lvl w:ilvl="0" w:tplc="04090001">
      <w:start w:val="1"/>
      <w:numFmt w:val="bullet"/>
      <w:lvlText w:val=""/>
      <w:lvlJc w:val="left"/>
      <w:pPr>
        <w:ind w:left="1858" w:hanging="360"/>
      </w:pPr>
      <w:rPr>
        <w:rFonts w:ascii="Symbol" w:hAnsi="Symbol" w:hint="default"/>
      </w:rPr>
    </w:lvl>
    <w:lvl w:ilvl="1" w:tplc="04090003">
      <w:start w:val="1"/>
      <w:numFmt w:val="bullet"/>
      <w:lvlText w:val="o"/>
      <w:lvlJc w:val="left"/>
      <w:pPr>
        <w:ind w:left="2578" w:hanging="360"/>
      </w:pPr>
      <w:rPr>
        <w:rFonts w:ascii="Courier New" w:hAnsi="Courier New" w:cs="Courier New" w:hint="default"/>
      </w:rPr>
    </w:lvl>
    <w:lvl w:ilvl="2" w:tplc="04090005">
      <w:start w:val="1"/>
      <w:numFmt w:val="bullet"/>
      <w:lvlText w:val=""/>
      <w:lvlJc w:val="left"/>
      <w:pPr>
        <w:ind w:left="3298" w:hanging="360"/>
      </w:pPr>
      <w:rPr>
        <w:rFonts w:ascii="Wingdings" w:hAnsi="Wingdings" w:hint="default"/>
      </w:rPr>
    </w:lvl>
    <w:lvl w:ilvl="3" w:tplc="04090001">
      <w:start w:val="1"/>
      <w:numFmt w:val="bullet"/>
      <w:lvlText w:val=""/>
      <w:lvlJc w:val="left"/>
      <w:pPr>
        <w:ind w:left="4018" w:hanging="360"/>
      </w:pPr>
      <w:rPr>
        <w:rFonts w:ascii="Symbol" w:hAnsi="Symbol" w:hint="default"/>
      </w:rPr>
    </w:lvl>
    <w:lvl w:ilvl="4" w:tplc="04090003">
      <w:start w:val="1"/>
      <w:numFmt w:val="bullet"/>
      <w:lvlText w:val="o"/>
      <w:lvlJc w:val="left"/>
      <w:pPr>
        <w:ind w:left="4738" w:hanging="360"/>
      </w:pPr>
      <w:rPr>
        <w:rFonts w:ascii="Courier New" w:hAnsi="Courier New" w:cs="Courier New" w:hint="default"/>
      </w:rPr>
    </w:lvl>
    <w:lvl w:ilvl="5" w:tplc="04090005">
      <w:start w:val="1"/>
      <w:numFmt w:val="bullet"/>
      <w:lvlText w:val=""/>
      <w:lvlJc w:val="left"/>
      <w:pPr>
        <w:ind w:left="5458" w:hanging="360"/>
      </w:pPr>
      <w:rPr>
        <w:rFonts w:ascii="Wingdings" w:hAnsi="Wingdings" w:hint="default"/>
      </w:rPr>
    </w:lvl>
    <w:lvl w:ilvl="6" w:tplc="04090001">
      <w:start w:val="1"/>
      <w:numFmt w:val="bullet"/>
      <w:lvlText w:val=""/>
      <w:lvlJc w:val="left"/>
      <w:pPr>
        <w:ind w:left="6178" w:hanging="360"/>
      </w:pPr>
      <w:rPr>
        <w:rFonts w:ascii="Symbol" w:hAnsi="Symbol" w:hint="default"/>
      </w:rPr>
    </w:lvl>
    <w:lvl w:ilvl="7" w:tplc="04090003">
      <w:start w:val="1"/>
      <w:numFmt w:val="bullet"/>
      <w:lvlText w:val="o"/>
      <w:lvlJc w:val="left"/>
      <w:pPr>
        <w:ind w:left="6898" w:hanging="360"/>
      </w:pPr>
      <w:rPr>
        <w:rFonts w:ascii="Courier New" w:hAnsi="Courier New" w:cs="Courier New" w:hint="default"/>
      </w:rPr>
    </w:lvl>
    <w:lvl w:ilvl="8" w:tplc="04090005">
      <w:start w:val="1"/>
      <w:numFmt w:val="bullet"/>
      <w:lvlText w:val=""/>
      <w:lvlJc w:val="left"/>
      <w:pPr>
        <w:ind w:left="7618" w:hanging="360"/>
      </w:pPr>
      <w:rPr>
        <w:rFonts w:ascii="Wingdings" w:hAnsi="Wingdings" w:hint="default"/>
      </w:rPr>
    </w:lvl>
  </w:abstractNum>
  <w:abstractNum w:abstractNumId="23" w15:restartNumberingAfterBreak="0">
    <w:nsid w:val="39442982"/>
    <w:multiLevelType w:val="hybridMultilevel"/>
    <w:tmpl w:val="5A200EE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24" w15:restartNumberingAfterBreak="0">
    <w:nsid w:val="39536816"/>
    <w:multiLevelType w:val="hybridMultilevel"/>
    <w:tmpl w:val="987A1B50"/>
    <w:lvl w:ilvl="0" w:tplc="4A784EDA">
      <w:start w:val="1"/>
      <w:numFmt w:val="decimal"/>
      <w:lvlText w:val="%1."/>
      <w:lvlJc w:val="left"/>
      <w:pPr>
        <w:ind w:left="1135" w:hanging="415"/>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5" w15:restartNumberingAfterBreak="0">
    <w:nsid w:val="44732CF5"/>
    <w:multiLevelType w:val="hybridMultilevel"/>
    <w:tmpl w:val="05445B8A"/>
    <w:lvl w:ilvl="0" w:tplc="D8A008AC">
      <w:start w:val="5"/>
      <w:numFmt w:val="decimal"/>
      <w:lvlText w:val="%1."/>
      <w:lvlJc w:val="left"/>
      <w:pPr>
        <w:ind w:left="1853" w:hanging="360"/>
      </w:pPr>
      <w:rPr>
        <w:rFonts w:hint="default"/>
      </w:r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26" w15:restartNumberingAfterBreak="0">
    <w:nsid w:val="476C3E0D"/>
    <w:multiLevelType w:val="multilevel"/>
    <w:tmpl w:val="42FA0602"/>
    <w:lvl w:ilvl="0">
      <w:start w:val="1"/>
      <w:numFmt w:val="decimal"/>
      <w:lvlText w:val="%1."/>
      <w:lvlJc w:val="left"/>
      <w:pPr>
        <w:tabs>
          <w:tab w:val="num" w:pos="720"/>
        </w:tabs>
        <w:ind w:left="1138" w:firstLine="0"/>
      </w:pPr>
    </w:lvl>
    <w:lvl w:ilvl="1">
      <w:start w:val="1"/>
      <w:numFmt w:val="lowerLetter"/>
      <w:lvlText w:val="(%2)"/>
      <w:lvlJc w:val="left"/>
      <w:pPr>
        <w:tabs>
          <w:tab w:val="num" w:pos="720"/>
        </w:tabs>
        <w:ind w:left="1858" w:firstLine="0"/>
      </w:pPr>
    </w:lvl>
    <w:lvl w:ilvl="2">
      <w:start w:val="1"/>
      <w:numFmt w:val="lowerRoman"/>
      <w:lvlText w:val="%3."/>
      <w:lvlJc w:val="right"/>
      <w:pPr>
        <w:tabs>
          <w:tab w:val="num" w:pos="720"/>
        </w:tabs>
        <w:ind w:left="2578"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91275A8"/>
    <w:multiLevelType w:val="hybridMultilevel"/>
    <w:tmpl w:val="C6124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0187511"/>
    <w:multiLevelType w:val="hybridMultilevel"/>
    <w:tmpl w:val="C826D1D2"/>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29" w15:restartNumberingAfterBreak="0">
    <w:nsid w:val="51F1431F"/>
    <w:multiLevelType w:val="hybridMultilevel"/>
    <w:tmpl w:val="5FAA62D0"/>
    <w:lvl w:ilvl="0" w:tplc="F4425362">
      <w:start w:val="10"/>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0" w15:restartNumberingAfterBreak="0">
    <w:nsid w:val="5321570E"/>
    <w:multiLevelType w:val="hybridMultilevel"/>
    <w:tmpl w:val="DDA49D88"/>
    <w:lvl w:ilvl="0" w:tplc="04090001">
      <w:start w:val="1"/>
      <w:numFmt w:val="bullet"/>
      <w:lvlText w:val=""/>
      <w:lvlJc w:val="left"/>
      <w:pPr>
        <w:ind w:left="2419" w:hanging="360"/>
      </w:pPr>
      <w:rPr>
        <w:rFonts w:ascii="Symbol" w:hAnsi="Symbol" w:hint="default"/>
      </w:rPr>
    </w:lvl>
    <w:lvl w:ilvl="1" w:tplc="04090003">
      <w:start w:val="1"/>
      <w:numFmt w:val="bullet"/>
      <w:lvlText w:val="o"/>
      <w:lvlJc w:val="left"/>
      <w:pPr>
        <w:ind w:left="3139" w:hanging="360"/>
      </w:pPr>
      <w:rPr>
        <w:rFonts w:ascii="Courier New" w:hAnsi="Courier New" w:cs="Courier New" w:hint="default"/>
      </w:rPr>
    </w:lvl>
    <w:lvl w:ilvl="2" w:tplc="04090005">
      <w:start w:val="1"/>
      <w:numFmt w:val="bullet"/>
      <w:lvlText w:val=""/>
      <w:lvlJc w:val="left"/>
      <w:pPr>
        <w:ind w:left="3859" w:hanging="360"/>
      </w:pPr>
      <w:rPr>
        <w:rFonts w:ascii="Wingdings" w:hAnsi="Wingdings" w:hint="default"/>
      </w:rPr>
    </w:lvl>
    <w:lvl w:ilvl="3" w:tplc="04090001">
      <w:start w:val="1"/>
      <w:numFmt w:val="bullet"/>
      <w:lvlText w:val=""/>
      <w:lvlJc w:val="left"/>
      <w:pPr>
        <w:ind w:left="4579" w:hanging="360"/>
      </w:pPr>
      <w:rPr>
        <w:rFonts w:ascii="Symbol" w:hAnsi="Symbol" w:hint="default"/>
      </w:rPr>
    </w:lvl>
    <w:lvl w:ilvl="4" w:tplc="04090003">
      <w:start w:val="1"/>
      <w:numFmt w:val="bullet"/>
      <w:lvlText w:val="o"/>
      <w:lvlJc w:val="left"/>
      <w:pPr>
        <w:ind w:left="5299" w:hanging="360"/>
      </w:pPr>
      <w:rPr>
        <w:rFonts w:ascii="Courier New" w:hAnsi="Courier New" w:cs="Courier New" w:hint="default"/>
      </w:rPr>
    </w:lvl>
    <w:lvl w:ilvl="5" w:tplc="04090005">
      <w:start w:val="1"/>
      <w:numFmt w:val="bullet"/>
      <w:lvlText w:val=""/>
      <w:lvlJc w:val="left"/>
      <w:pPr>
        <w:ind w:left="6019" w:hanging="360"/>
      </w:pPr>
      <w:rPr>
        <w:rFonts w:ascii="Wingdings" w:hAnsi="Wingdings" w:hint="default"/>
      </w:rPr>
    </w:lvl>
    <w:lvl w:ilvl="6" w:tplc="04090001">
      <w:start w:val="1"/>
      <w:numFmt w:val="bullet"/>
      <w:lvlText w:val=""/>
      <w:lvlJc w:val="left"/>
      <w:pPr>
        <w:ind w:left="6739" w:hanging="360"/>
      </w:pPr>
      <w:rPr>
        <w:rFonts w:ascii="Symbol" w:hAnsi="Symbol" w:hint="default"/>
      </w:rPr>
    </w:lvl>
    <w:lvl w:ilvl="7" w:tplc="04090003">
      <w:start w:val="1"/>
      <w:numFmt w:val="bullet"/>
      <w:lvlText w:val="o"/>
      <w:lvlJc w:val="left"/>
      <w:pPr>
        <w:ind w:left="7459" w:hanging="360"/>
      </w:pPr>
      <w:rPr>
        <w:rFonts w:ascii="Courier New" w:hAnsi="Courier New" w:cs="Courier New" w:hint="default"/>
      </w:rPr>
    </w:lvl>
    <w:lvl w:ilvl="8" w:tplc="04090005">
      <w:start w:val="1"/>
      <w:numFmt w:val="bullet"/>
      <w:lvlText w:val=""/>
      <w:lvlJc w:val="left"/>
      <w:pPr>
        <w:ind w:left="8179" w:hanging="360"/>
      </w:pPr>
      <w:rPr>
        <w:rFonts w:ascii="Wingdings" w:hAnsi="Wingdings" w:hint="default"/>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1426B33"/>
    <w:multiLevelType w:val="hybridMultilevel"/>
    <w:tmpl w:val="C3148D8E"/>
    <w:lvl w:ilvl="0" w:tplc="AE72E752">
      <w:start w:val="1"/>
      <w:numFmt w:val="decimal"/>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3" w15:restartNumberingAfterBreak="0">
    <w:nsid w:val="6316086B"/>
    <w:multiLevelType w:val="hybridMultilevel"/>
    <w:tmpl w:val="379835C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34" w15:restartNumberingAfterBreak="0">
    <w:nsid w:val="63D07C9B"/>
    <w:multiLevelType w:val="multilevel"/>
    <w:tmpl w:val="599C3DB4"/>
    <w:lvl w:ilvl="0">
      <w:start w:val="1"/>
      <w:numFmt w:val="bullet"/>
      <w:lvlText w:val=""/>
      <w:lvlJc w:val="left"/>
      <w:pPr>
        <w:tabs>
          <w:tab w:val="num" w:pos="1283"/>
        </w:tabs>
        <w:ind w:left="1701" w:firstLine="0"/>
      </w:pPr>
      <w:rPr>
        <w:rFonts w:ascii="Symbol" w:hAnsi="Symbol" w:hint="default"/>
      </w:rPr>
    </w:lvl>
    <w:lvl w:ilvl="1">
      <w:start w:val="1"/>
      <w:numFmt w:val="lowerLetter"/>
      <w:lvlText w:val="(%2)"/>
      <w:lvlJc w:val="left"/>
      <w:pPr>
        <w:tabs>
          <w:tab w:val="num" w:pos="1283"/>
        </w:tabs>
        <w:ind w:left="2421" w:firstLine="0"/>
      </w:pPr>
    </w:lvl>
    <w:lvl w:ilvl="2">
      <w:start w:val="1"/>
      <w:numFmt w:val="lowerRoman"/>
      <w:lvlText w:val="%3."/>
      <w:lvlJc w:val="right"/>
      <w:pPr>
        <w:tabs>
          <w:tab w:val="num" w:pos="1283"/>
        </w:tabs>
        <w:ind w:left="3141" w:firstLine="0"/>
      </w:pPr>
    </w:lvl>
    <w:lvl w:ilvl="3">
      <w:start w:val="1"/>
      <w:numFmt w:val="decimal"/>
      <w:lvlText w:val="%4."/>
      <w:lvlJc w:val="left"/>
      <w:pPr>
        <w:tabs>
          <w:tab w:val="num" w:pos="3443"/>
        </w:tabs>
        <w:ind w:left="3443" w:hanging="360"/>
      </w:pPr>
    </w:lvl>
    <w:lvl w:ilvl="4">
      <w:start w:val="1"/>
      <w:numFmt w:val="lowerLetter"/>
      <w:lvlText w:val="%5."/>
      <w:lvlJc w:val="left"/>
      <w:pPr>
        <w:tabs>
          <w:tab w:val="num" w:pos="4163"/>
        </w:tabs>
        <w:ind w:left="4163" w:hanging="360"/>
      </w:pPr>
    </w:lvl>
    <w:lvl w:ilvl="5">
      <w:start w:val="1"/>
      <w:numFmt w:val="lowerRoman"/>
      <w:lvlText w:val="%6."/>
      <w:lvlJc w:val="right"/>
      <w:pPr>
        <w:tabs>
          <w:tab w:val="num" w:pos="4883"/>
        </w:tabs>
        <w:ind w:left="4883" w:hanging="180"/>
      </w:pPr>
    </w:lvl>
    <w:lvl w:ilvl="6">
      <w:start w:val="1"/>
      <w:numFmt w:val="decimal"/>
      <w:lvlText w:val="%7."/>
      <w:lvlJc w:val="left"/>
      <w:pPr>
        <w:tabs>
          <w:tab w:val="num" w:pos="5603"/>
        </w:tabs>
        <w:ind w:left="5603" w:hanging="360"/>
      </w:pPr>
    </w:lvl>
    <w:lvl w:ilvl="7">
      <w:start w:val="1"/>
      <w:numFmt w:val="lowerLetter"/>
      <w:lvlText w:val="%8."/>
      <w:lvlJc w:val="left"/>
      <w:pPr>
        <w:tabs>
          <w:tab w:val="num" w:pos="6323"/>
        </w:tabs>
        <w:ind w:left="6323" w:hanging="360"/>
      </w:pPr>
    </w:lvl>
    <w:lvl w:ilvl="8">
      <w:start w:val="1"/>
      <w:numFmt w:val="lowerRoman"/>
      <w:lvlText w:val="%9."/>
      <w:lvlJc w:val="right"/>
      <w:pPr>
        <w:tabs>
          <w:tab w:val="num" w:pos="7043"/>
        </w:tabs>
        <w:ind w:left="7043" w:hanging="180"/>
      </w:pPr>
    </w:lvl>
  </w:abstractNum>
  <w:abstractNum w:abstractNumId="3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9230B"/>
    <w:multiLevelType w:val="hybridMultilevel"/>
    <w:tmpl w:val="4CDE3204"/>
    <w:lvl w:ilvl="0" w:tplc="0809000F">
      <w:start w:val="1"/>
      <w:numFmt w:val="decimal"/>
      <w:lvlText w:val="%1."/>
      <w:lvlJc w:val="left"/>
      <w:pPr>
        <w:tabs>
          <w:tab w:val="num" w:pos="1701"/>
        </w:tabs>
        <w:ind w:left="1701"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EB1CA7"/>
    <w:multiLevelType w:val="hybridMultilevel"/>
    <w:tmpl w:val="C2F0FC54"/>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3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875CB0"/>
    <w:multiLevelType w:val="hybridMultilevel"/>
    <w:tmpl w:val="12C6BA72"/>
    <w:lvl w:ilvl="0" w:tplc="041D000F">
      <w:start w:val="1"/>
      <w:numFmt w:val="decimal"/>
      <w:lvlText w:val="%1."/>
      <w:lvlJc w:val="left"/>
      <w:pPr>
        <w:ind w:left="1854" w:hanging="360"/>
      </w:pPr>
    </w:lvl>
    <w:lvl w:ilvl="1" w:tplc="041D0019">
      <w:start w:val="1"/>
      <w:numFmt w:val="lowerLetter"/>
      <w:lvlText w:val="%2."/>
      <w:lvlJc w:val="left"/>
      <w:pPr>
        <w:ind w:left="2574" w:hanging="360"/>
      </w:pPr>
    </w:lvl>
    <w:lvl w:ilvl="2" w:tplc="041D001B">
      <w:start w:val="1"/>
      <w:numFmt w:val="lowerRoman"/>
      <w:lvlText w:val="%3."/>
      <w:lvlJc w:val="right"/>
      <w:pPr>
        <w:ind w:left="3294" w:hanging="180"/>
      </w:pPr>
    </w:lvl>
    <w:lvl w:ilvl="3" w:tplc="041D000F">
      <w:start w:val="1"/>
      <w:numFmt w:val="decimal"/>
      <w:lvlText w:val="%4."/>
      <w:lvlJc w:val="left"/>
      <w:pPr>
        <w:ind w:left="4014" w:hanging="360"/>
      </w:pPr>
    </w:lvl>
    <w:lvl w:ilvl="4" w:tplc="041D0019">
      <w:start w:val="1"/>
      <w:numFmt w:val="lowerLetter"/>
      <w:lvlText w:val="%5."/>
      <w:lvlJc w:val="left"/>
      <w:pPr>
        <w:ind w:left="4734" w:hanging="360"/>
      </w:pPr>
    </w:lvl>
    <w:lvl w:ilvl="5" w:tplc="041D001B">
      <w:start w:val="1"/>
      <w:numFmt w:val="lowerRoman"/>
      <w:lvlText w:val="%6."/>
      <w:lvlJc w:val="right"/>
      <w:pPr>
        <w:ind w:left="5454" w:hanging="180"/>
      </w:pPr>
    </w:lvl>
    <w:lvl w:ilvl="6" w:tplc="041D000F">
      <w:start w:val="1"/>
      <w:numFmt w:val="decimal"/>
      <w:lvlText w:val="%7."/>
      <w:lvlJc w:val="left"/>
      <w:pPr>
        <w:ind w:left="6174" w:hanging="360"/>
      </w:pPr>
    </w:lvl>
    <w:lvl w:ilvl="7" w:tplc="041D0019">
      <w:start w:val="1"/>
      <w:numFmt w:val="lowerLetter"/>
      <w:lvlText w:val="%8."/>
      <w:lvlJc w:val="left"/>
      <w:pPr>
        <w:ind w:left="6894" w:hanging="360"/>
      </w:pPr>
    </w:lvl>
    <w:lvl w:ilvl="8" w:tplc="041D001B">
      <w:start w:val="1"/>
      <w:numFmt w:val="lowerRoman"/>
      <w:lvlText w:val="%9."/>
      <w:lvlJc w:val="right"/>
      <w:pPr>
        <w:ind w:left="7614" w:hanging="180"/>
      </w:pPr>
    </w:lvl>
  </w:abstractNum>
  <w:abstractNum w:abstractNumId="40" w15:restartNumberingAfterBreak="0">
    <w:nsid w:val="7A45725D"/>
    <w:multiLevelType w:val="hybridMultilevel"/>
    <w:tmpl w:val="3B766E0C"/>
    <w:lvl w:ilvl="0" w:tplc="270077E8">
      <w:start w:val="1"/>
      <w:numFmt w:val="decimal"/>
      <w:lvlText w:val="%1."/>
      <w:lvlJc w:val="left"/>
      <w:pPr>
        <w:ind w:left="1710" w:hanging="57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F1205F"/>
    <w:multiLevelType w:val="hybridMultilevel"/>
    <w:tmpl w:val="A5066482"/>
    <w:lvl w:ilvl="0" w:tplc="A5FC51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F66478D"/>
    <w:multiLevelType w:val="hybridMultilevel"/>
    <w:tmpl w:val="59AA313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15"/>
  </w:num>
  <w:num w:numId="13">
    <w:abstractNumId w:val="11"/>
  </w:num>
  <w:num w:numId="14">
    <w:abstractNumId w:val="35"/>
  </w:num>
  <w:num w:numId="15">
    <w:abstractNumId w:val="38"/>
  </w:num>
  <w:num w:numId="16">
    <w:abstractNumId w:val="12"/>
  </w:num>
  <w:num w:numId="17">
    <w:abstractNumId w:val="20"/>
  </w:num>
  <w:num w:numId="18">
    <w:abstractNumId w:val="21"/>
  </w:num>
  <w:num w:numId="19">
    <w:abstractNumId w:val="17"/>
    <w:lvlOverride w:ilvl="0">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3"/>
  </w:num>
  <w:num w:numId="24">
    <w:abstractNumId w:val="22"/>
  </w:num>
  <w:num w:numId="25">
    <w:abstractNumId w:val="37"/>
  </w:num>
  <w:num w:numId="26">
    <w:abstractNumId w:val="28"/>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41"/>
  </w:num>
  <w:num w:numId="32">
    <w:abstractNumId w:val="18"/>
  </w:num>
  <w:num w:numId="33">
    <w:abstractNumId w:val="34"/>
  </w:num>
  <w:num w:numId="34">
    <w:abstractNumId w:val="32"/>
  </w:num>
  <w:num w:numId="35">
    <w:abstractNumId w:val="25"/>
  </w:num>
  <w:num w:numId="36">
    <w:abstractNumId w:val="42"/>
  </w:num>
  <w:num w:numId="37">
    <w:abstractNumId w:val="19"/>
  </w:num>
  <w:num w:numId="38">
    <w:abstractNumId w:val="29"/>
  </w:num>
  <w:num w:numId="39">
    <w:abstractNumId w:val="36"/>
  </w:num>
  <w:num w:numId="40">
    <w:abstractNumId w:val="16"/>
  </w:num>
  <w:num w:numId="41">
    <w:abstractNumId w:val="35"/>
  </w:num>
  <w:num w:numId="42">
    <w:abstractNumId w:val="24"/>
  </w:num>
  <w:num w:numId="43">
    <w:abstractNumId w:val="10"/>
  </w:num>
  <w:num w:numId="44">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activeWritingStyle w:appName="MSWord" w:lang="en-CA"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2EB6"/>
    <w:rsid w:val="000133C5"/>
    <w:rsid w:val="00017D24"/>
    <w:rsid w:val="000216CC"/>
    <w:rsid w:val="00025E5F"/>
    <w:rsid w:val="00025F66"/>
    <w:rsid w:val="000277D3"/>
    <w:rsid w:val="00032B85"/>
    <w:rsid w:val="00033414"/>
    <w:rsid w:val="0003375D"/>
    <w:rsid w:val="00034851"/>
    <w:rsid w:val="000409E4"/>
    <w:rsid w:val="00043180"/>
    <w:rsid w:val="00045941"/>
    <w:rsid w:val="000504CE"/>
    <w:rsid w:val="00050645"/>
    <w:rsid w:val="00050922"/>
    <w:rsid w:val="00050F6B"/>
    <w:rsid w:val="00053101"/>
    <w:rsid w:val="00053492"/>
    <w:rsid w:val="00054524"/>
    <w:rsid w:val="0005475D"/>
    <w:rsid w:val="000550AF"/>
    <w:rsid w:val="000556F5"/>
    <w:rsid w:val="00056879"/>
    <w:rsid w:val="0005710C"/>
    <w:rsid w:val="000577F8"/>
    <w:rsid w:val="00057ABF"/>
    <w:rsid w:val="00060C1F"/>
    <w:rsid w:val="00064402"/>
    <w:rsid w:val="00064AED"/>
    <w:rsid w:val="00067E6D"/>
    <w:rsid w:val="00072C03"/>
    <w:rsid w:val="00072C8C"/>
    <w:rsid w:val="00073129"/>
    <w:rsid w:val="00073C80"/>
    <w:rsid w:val="00075F99"/>
    <w:rsid w:val="00076A0A"/>
    <w:rsid w:val="0007744B"/>
    <w:rsid w:val="000812DF"/>
    <w:rsid w:val="00081C2E"/>
    <w:rsid w:val="00081C42"/>
    <w:rsid w:val="00082CE1"/>
    <w:rsid w:val="00083598"/>
    <w:rsid w:val="00084632"/>
    <w:rsid w:val="00085840"/>
    <w:rsid w:val="000862DB"/>
    <w:rsid w:val="00087152"/>
    <w:rsid w:val="00090BA7"/>
    <w:rsid w:val="00090CBF"/>
    <w:rsid w:val="00091046"/>
    <w:rsid w:val="00091419"/>
    <w:rsid w:val="00091CB3"/>
    <w:rsid w:val="000931C0"/>
    <w:rsid w:val="00093B29"/>
    <w:rsid w:val="00094558"/>
    <w:rsid w:val="0009492D"/>
    <w:rsid w:val="00095423"/>
    <w:rsid w:val="000A12E4"/>
    <w:rsid w:val="000A2236"/>
    <w:rsid w:val="000A35F2"/>
    <w:rsid w:val="000A3A48"/>
    <w:rsid w:val="000A4C38"/>
    <w:rsid w:val="000A4F3B"/>
    <w:rsid w:val="000A529A"/>
    <w:rsid w:val="000B0608"/>
    <w:rsid w:val="000B175B"/>
    <w:rsid w:val="000B2D12"/>
    <w:rsid w:val="000B3A0F"/>
    <w:rsid w:val="000B4919"/>
    <w:rsid w:val="000B6AD1"/>
    <w:rsid w:val="000B7AF2"/>
    <w:rsid w:val="000C1ED8"/>
    <w:rsid w:val="000C33EF"/>
    <w:rsid w:val="000C5D4B"/>
    <w:rsid w:val="000C6F83"/>
    <w:rsid w:val="000C717F"/>
    <w:rsid w:val="000C7F2A"/>
    <w:rsid w:val="000D0360"/>
    <w:rsid w:val="000D0B8F"/>
    <w:rsid w:val="000D316D"/>
    <w:rsid w:val="000D4568"/>
    <w:rsid w:val="000D481F"/>
    <w:rsid w:val="000D6D97"/>
    <w:rsid w:val="000D7830"/>
    <w:rsid w:val="000E0415"/>
    <w:rsid w:val="000E772F"/>
    <w:rsid w:val="000F0347"/>
    <w:rsid w:val="000F24D4"/>
    <w:rsid w:val="000F52D6"/>
    <w:rsid w:val="000F6A20"/>
    <w:rsid w:val="001016F4"/>
    <w:rsid w:val="0010461A"/>
    <w:rsid w:val="00104908"/>
    <w:rsid w:val="00104E49"/>
    <w:rsid w:val="00106405"/>
    <w:rsid w:val="001072D1"/>
    <w:rsid w:val="001146AD"/>
    <w:rsid w:val="00114BFD"/>
    <w:rsid w:val="00115303"/>
    <w:rsid w:val="0011676D"/>
    <w:rsid w:val="00117787"/>
    <w:rsid w:val="00117D0D"/>
    <w:rsid w:val="001207BB"/>
    <w:rsid w:val="00120B41"/>
    <w:rsid w:val="00121EB7"/>
    <w:rsid w:val="001239DA"/>
    <w:rsid w:val="00123BFF"/>
    <w:rsid w:val="00124DB4"/>
    <w:rsid w:val="00126151"/>
    <w:rsid w:val="00131B10"/>
    <w:rsid w:val="00131D42"/>
    <w:rsid w:val="0013368F"/>
    <w:rsid w:val="00133C50"/>
    <w:rsid w:val="001406F4"/>
    <w:rsid w:val="00140F48"/>
    <w:rsid w:val="001418B6"/>
    <w:rsid w:val="00143B2D"/>
    <w:rsid w:val="00146A01"/>
    <w:rsid w:val="00147935"/>
    <w:rsid w:val="001518B1"/>
    <w:rsid w:val="00161334"/>
    <w:rsid w:val="00161886"/>
    <w:rsid w:val="001633FB"/>
    <w:rsid w:val="00163A1B"/>
    <w:rsid w:val="00165735"/>
    <w:rsid w:val="001657D3"/>
    <w:rsid w:val="00167786"/>
    <w:rsid w:val="00167C57"/>
    <w:rsid w:val="0017489D"/>
    <w:rsid w:val="001776EA"/>
    <w:rsid w:val="001802FD"/>
    <w:rsid w:val="00180633"/>
    <w:rsid w:val="00181019"/>
    <w:rsid w:val="0018162F"/>
    <w:rsid w:val="0018168F"/>
    <w:rsid w:val="001818F3"/>
    <w:rsid w:val="00181EF7"/>
    <w:rsid w:val="001835BF"/>
    <w:rsid w:val="0018403C"/>
    <w:rsid w:val="00184120"/>
    <w:rsid w:val="00184B86"/>
    <w:rsid w:val="00187513"/>
    <w:rsid w:val="001877D7"/>
    <w:rsid w:val="00193474"/>
    <w:rsid w:val="00195229"/>
    <w:rsid w:val="00196DAD"/>
    <w:rsid w:val="001A02A4"/>
    <w:rsid w:val="001A2D19"/>
    <w:rsid w:val="001A6346"/>
    <w:rsid w:val="001A7113"/>
    <w:rsid w:val="001A7908"/>
    <w:rsid w:val="001B05DC"/>
    <w:rsid w:val="001B35EE"/>
    <w:rsid w:val="001B4B04"/>
    <w:rsid w:val="001B6B72"/>
    <w:rsid w:val="001B7A75"/>
    <w:rsid w:val="001C3233"/>
    <w:rsid w:val="001C429D"/>
    <w:rsid w:val="001C6663"/>
    <w:rsid w:val="001C6BE9"/>
    <w:rsid w:val="001C7895"/>
    <w:rsid w:val="001D26DF"/>
    <w:rsid w:val="001D2B6E"/>
    <w:rsid w:val="001D2FDC"/>
    <w:rsid w:val="001D3123"/>
    <w:rsid w:val="001D3A88"/>
    <w:rsid w:val="001D49F7"/>
    <w:rsid w:val="001D4B2D"/>
    <w:rsid w:val="001D4E70"/>
    <w:rsid w:val="001D678A"/>
    <w:rsid w:val="001D6E0C"/>
    <w:rsid w:val="001D74D0"/>
    <w:rsid w:val="001E0855"/>
    <w:rsid w:val="001E0DCB"/>
    <w:rsid w:val="001E175B"/>
    <w:rsid w:val="001E435D"/>
    <w:rsid w:val="001E4AFF"/>
    <w:rsid w:val="001E55D0"/>
    <w:rsid w:val="001E797C"/>
    <w:rsid w:val="002015A3"/>
    <w:rsid w:val="002039B9"/>
    <w:rsid w:val="002062DE"/>
    <w:rsid w:val="00207304"/>
    <w:rsid w:val="00211B12"/>
    <w:rsid w:val="00211B28"/>
    <w:rsid w:val="00211E0B"/>
    <w:rsid w:val="00212ED2"/>
    <w:rsid w:val="002131FF"/>
    <w:rsid w:val="0021481D"/>
    <w:rsid w:val="00214B37"/>
    <w:rsid w:val="00216539"/>
    <w:rsid w:val="00216B28"/>
    <w:rsid w:val="00221542"/>
    <w:rsid w:val="00221589"/>
    <w:rsid w:val="00221AC2"/>
    <w:rsid w:val="00224CD9"/>
    <w:rsid w:val="00225822"/>
    <w:rsid w:val="0022724D"/>
    <w:rsid w:val="002309A7"/>
    <w:rsid w:val="0023231C"/>
    <w:rsid w:val="00233B59"/>
    <w:rsid w:val="00235381"/>
    <w:rsid w:val="002363DF"/>
    <w:rsid w:val="00236EE7"/>
    <w:rsid w:val="00237785"/>
    <w:rsid w:val="002403C3"/>
    <w:rsid w:val="00241178"/>
    <w:rsid w:val="00241466"/>
    <w:rsid w:val="002440E7"/>
    <w:rsid w:val="00244C52"/>
    <w:rsid w:val="00245792"/>
    <w:rsid w:val="00246BD2"/>
    <w:rsid w:val="00247570"/>
    <w:rsid w:val="00250078"/>
    <w:rsid w:val="00252C17"/>
    <w:rsid w:val="00252F22"/>
    <w:rsid w:val="00254330"/>
    <w:rsid w:val="00257C1E"/>
    <w:rsid w:val="00261B1B"/>
    <w:rsid w:val="00261B71"/>
    <w:rsid w:val="002621F5"/>
    <w:rsid w:val="002622A9"/>
    <w:rsid w:val="002708B5"/>
    <w:rsid w:val="002711B7"/>
    <w:rsid w:val="002725CA"/>
    <w:rsid w:val="00273A92"/>
    <w:rsid w:val="00273E5B"/>
    <w:rsid w:val="002766A5"/>
    <w:rsid w:val="00277896"/>
    <w:rsid w:val="00280EB7"/>
    <w:rsid w:val="00281CF6"/>
    <w:rsid w:val="00281F8C"/>
    <w:rsid w:val="00282699"/>
    <w:rsid w:val="0028383E"/>
    <w:rsid w:val="00290234"/>
    <w:rsid w:val="002905C1"/>
    <w:rsid w:val="00291870"/>
    <w:rsid w:val="0029239D"/>
    <w:rsid w:val="00293E31"/>
    <w:rsid w:val="002944C2"/>
    <w:rsid w:val="00294B51"/>
    <w:rsid w:val="00295C28"/>
    <w:rsid w:val="00295FEA"/>
    <w:rsid w:val="0029715E"/>
    <w:rsid w:val="002976CF"/>
    <w:rsid w:val="0029796E"/>
    <w:rsid w:val="002A0BD2"/>
    <w:rsid w:val="002A18AB"/>
    <w:rsid w:val="002A2ED3"/>
    <w:rsid w:val="002A5B17"/>
    <w:rsid w:val="002A5B84"/>
    <w:rsid w:val="002B067A"/>
    <w:rsid w:val="002B1514"/>
    <w:rsid w:val="002B1CDA"/>
    <w:rsid w:val="002B2B5B"/>
    <w:rsid w:val="002B4A3F"/>
    <w:rsid w:val="002B4F9B"/>
    <w:rsid w:val="002B786A"/>
    <w:rsid w:val="002C2E9A"/>
    <w:rsid w:val="002C4F61"/>
    <w:rsid w:val="002C7F25"/>
    <w:rsid w:val="002D2D04"/>
    <w:rsid w:val="002D44DB"/>
    <w:rsid w:val="002D5A85"/>
    <w:rsid w:val="002D5C7D"/>
    <w:rsid w:val="002D6D7A"/>
    <w:rsid w:val="002E35BB"/>
    <w:rsid w:val="002E48FA"/>
    <w:rsid w:val="002F1760"/>
    <w:rsid w:val="002F415D"/>
    <w:rsid w:val="002F4CCA"/>
    <w:rsid w:val="002F58A7"/>
    <w:rsid w:val="002F68FD"/>
    <w:rsid w:val="003001B0"/>
    <w:rsid w:val="00301284"/>
    <w:rsid w:val="003035A9"/>
    <w:rsid w:val="00310043"/>
    <w:rsid w:val="003107FA"/>
    <w:rsid w:val="00311991"/>
    <w:rsid w:val="00311B04"/>
    <w:rsid w:val="00313AC2"/>
    <w:rsid w:val="00313B8C"/>
    <w:rsid w:val="00315D73"/>
    <w:rsid w:val="00316BE7"/>
    <w:rsid w:val="00316FF9"/>
    <w:rsid w:val="00317230"/>
    <w:rsid w:val="003173F6"/>
    <w:rsid w:val="00321716"/>
    <w:rsid w:val="003229D8"/>
    <w:rsid w:val="003244D9"/>
    <w:rsid w:val="00326586"/>
    <w:rsid w:val="00327D0A"/>
    <w:rsid w:val="00330B3D"/>
    <w:rsid w:val="00335175"/>
    <w:rsid w:val="00336B18"/>
    <w:rsid w:val="00337A32"/>
    <w:rsid w:val="00340E2C"/>
    <w:rsid w:val="003517C3"/>
    <w:rsid w:val="0035235A"/>
    <w:rsid w:val="00353ADD"/>
    <w:rsid w:val="00355502"/>
    <w:rsid w:val="00356BC7"/>
    <w:rsid w:val="00357A20"/>
    <w:rsid w:val="00360AA6"/>
    <w:rsid w:val="00360AC5"/>
    <w:rsid w:val="00364829"/>
    <w:rsid w:val="00365AA6"/>
    <w:rsid w:val="003661A1"/>
    <w:rsid w:val="00367B15"/>
    <w:rsid w:val="00370E40"/>
    <w:rsid w:val="00372580"/>
    <w:rsid w:val="00372F06"/>
    <w:rsid w:val="00374ADD"/>
    <w:rsid w:val="00374B43"/>
    <w:rsid w:val="00382452"/>
    <w:rsid w:val="00383E61"/>
    <w:rsid w:val="00384A0B"/>
    <w:rsid w:val="00386E86"/>
    <w:rsid w:val="00391647"/>
    <w:rsid w:val="00391A13"/>
    <w:rsid w:val="00391CFE"/>
    <w:rsid w:val="0039260F"/>
    <w:rsid w:val="0039272D"/>
    <w:rsid w:val="0039277A"/>
    <w:rsid w:val="003929EA"/>
    <w:rsid w:val="003932BD"/>
    <w:rsid w:val="00393B99"/>
    <w:rsid w:val="0039517B"/>
    <w:rsid w:val="00396F6A"/>
    <w:rsid w:val="003972E0"/>
    <w:rsid w:val="003A0C23"/>
    <w:rsid w:val="003A1434"/>
    <w:rsid w:val="003A1865"/>
    <w:rsid w:val="003A1EC2"/>
    <w:rsid w:val="003A3667"/>
    <w:rsid w:val="003A52D7"/>
    <w:rsid w:val="003A5A16"/>
    <w:rsid w:val="003A753E"/>
    <w:rsid w:val="003A757E"/>
    <w:rsid w:val="003B0C98"/>
    <w:rsid w:val="003B236E"/>
    <w:rsid w:val="003B4EAD"/>
    <w:rsid w:val="003B5166"/>
    <w:rsid w:val="003B7872"/>
    <w:rsid w:val="003C0657"/>
    <w:rsid w:val="003C1398"/>
    <w:rsid w:val="003C18C9"/>
    <w:rsid w:val="003C2CC4"/>
    <w:rsid w:val="003C3B50"/>
    <w:rsid w:val="003C4369"/>
    <w:rsid w:val="003C48C7"/>
    <w:rsid w:val="003C655D"/>
    <w:rsid w:val="003C6CFB"/>
    <w:rsid w:val="003C7BB3"/>
    <w:rsid w:val="003D097D"/>
    <w:rsid w:val="003D17E1"/>
    <w:rsid w:val="003D1BF8"/>
    <w:rsid w:val="003D23B5"/>
    <w:rsid w:val="003D293B"/>
    <w:rsid w:val="003D2F59"/>
    <w:rsid w:val="003D4B23"/>
    <w:rsid w:val="003D59CF"/>
    <w:rsid w:val="003E6A6E"/>
    <w:rsid w:val="003E7A05"/>
    <w:rsid w:val="003F23A4"/>
    <w:rsid w:val="003F3A8A"/>
    <w:rsid w:val="003F54D8"/>
    <w:rsid w:val="003F5B52"/>
    <w:rsid w:val="003F773E"/>
    <w:rsid w:val="004002B6"/>
    <w:rsid w:val="00400408"/>
    <w:rsid w:val="004005C1"/>
    <w:rsid w:val="004021B7"/>
    <w:rsid w:val="00403EC6"/>
    <w:rsid w:val="00406A80"/>
    <w:rsid w:val="00406CD4"/>
    <w:rsid w:val="00410600"/>
    <w:rsid w:val="004108CE"/>
    <w:rsid w:val="004120FC"/>
    <w:rsid w:val="00412B9D"/>
    <w:rsid w:val="00415B93"/>
    <w:rsid w:val="00415BB6"/>
    <w:rsid w:val="00417D37"/>
    <w:rsid w:val="00420F4B"/>
    <w:rsid w:val="004248D6"/>
    <w:rsid w:val="00430086"/>
    <w:rsid w:val="004304B4"/>
    <w:rsid w:val="00430918"/>
    <w:rsid w:val="004317D1"/>
    <w:rsid w:val="004325CB"/>
    <w:rsid w:val="004328DC"/>
    <w:rsid w:val="0043784D"/>
    <w:rsid w:val="00437F3F"/>
    <w:rsid w:val="00441BB4"/>
    <w:rsid w:val="00445B83"/>
    <w:rsid w:val="00446DE4"/>
    <w:rsid w:val="004526E8"/>
    <w:rsid w:val="00452D10"/>
    <w:rsid w:val="00452FD6"/>
    <w:rsid w:val="00453F48"/>
    <w:rsid w:val="00454036"/>
    <w:rsid w:val="00454B6A"/>
    <w:rsid w:val="004562AA"/>
    <w:rsid w:val="004574AB"/>
    <w:rsid w:val="00460B22"/>
    <w:rsid w:val="004624DA"/>
    <w:rsid w:val="0046443A"/>
    <w:rsid w:val="00464FD2"/>
    <w:rsid w:val="004653B3"/>
    <w:rsid w:val="004654C4"/>
    <w:rsid w:val="004656A9"/>
    <w:rsid w:val="0046668F"/>
    <w:rsid w:val="0046773D"/>
    <w:rsid w:val="0046788D"/>
    <w:rsid w:val="00473BAD"/>
    <w:rsid w:val="00474A9D"/>
    <w:rsid w:val="00474BB3"/>
    <w:rsid w:val="004814C2"/>
    <w:rsid w:val="004822C0"/>
    <w:rsid w:val="0048304D"/>
    <w:rsid w:val="00484A9B"/>
    <w:rsid w:val="0049065C"/>
    <w:rsid w:val="00491861"/>
    <w:rsid w:val="0049211A"/>
    <w:rsid w:val="00492764"/>
    <w:rsid w:val="00492AF9"/>
    <w:rsid w:val="00493651"/>
    <w:rsid w:val="00494C77"/>
    <w:rsid w:val="00497291"/>
    <w:rsid w:val="00497711"/>
    <w:rsid w:val="004977C9"/>
    <w:rsid w:val="004A004F"/>
    <w:rsid w:val="004A3312"/>
    <w:rsid w:val="004A3C15"/>
    <w:rsid w:val="004A52F4"/>
    <w:rsid w:val="004A5F27"/>
    <w:rsid w:val="004A6490"/>
    <w:rsid w:val="004A6709"/>
    <w:rsid w:val="004A73E5"/>
    <w:rsid w:val="004B25F8"/>
    <w:rsid w:val="004B2C9D"/>
    <w:rsid w:val="004B5939"/>
    <w:rsid w:val="004B73D6"/>
    <w:rsid w:val="004B7537"/>
    <w:rsid w:val="004B777B"/>
    <w:rsid w:val="004B7DA1"/>
    <w:rsid w:val="004C0BF6"/>
    <w:rsid w:val="004C39D0"/>
    <w:rsid w:val="004C3A49"/>
    <w:rsid w:val="004C4F1A"/>
    <w:rsid w:val="004C6D6D"/>
    <w:rsid w:val="004D27A5"/>
    <w:rsid w:val="004E0C5D"/>
    <w:rsid w:val="004E1028"/>
    <w:rsid w:val="004E1E0D"/>
    <w:rsid w:val="004E2191"/>
    <w:rsid w:val="004E2CEA"/>
    <w:rsid w:val="004E460D"/>
    <w:rsid w:val="004E5DE8"/>
    <w:rsid w:val="004E6B8E"/>
    <w:rsid w:val="004E71A3"/>
    <w:rsid w:val="004F22A9"/>
    <w:rsid w:val="004F3C94"/>
    <w:rsid w:val="004F4240"/>
    <w:rsid w:val="004F6D33"/>
    <w:rsid w:val="004F6DF4"/>
    <w:rsid w:val="004F7738"/>
    <w:rsid w:val="004F77CD"/>
    <w:rsid w:val="005002CA"/>
    <w:rsid w:val="0050042A"/>
    <w:rsid w:val="00501677"/>
    <w:rsid w:val="00503D59"/>
    <w:rsid w:val="00504855"/>
    <w:rsid w:val="00507CF1"/>
    <w:rsid w:val="00510AD5"/>
    <w:rsid w:val="005110DD"/>
    <w:rsid w:val="005134A0"/>
    <w:rsid w:val="00522177"/>
    <w:rsid w:val="005230B6"/>
    <w:rsid w:val="005241A9"/>
    <w:rsid w:val="00526AFD"/>
    <w:rsid w:val="00527910"/>
    <w:rsid w:val="005318BF"/>
    <w:rsid w:val="00532D57"/>
    <w:rsid w:val="005342E4"/>
    <w:rsid w:val="00534D16"/>
    <w:rsid w:val="005420F2"/>
    <w:rsid w:val="00542505"/>
    <w:rsid w:val="005434D7"/>
    <w:rsid w:val="0054380E"/>
    <w:rsid w:val="00547029"/>
    <w:rsid w:val="005470EF"/>
    <w:rsid w:val="005475D4"/>
    <w:rsid w:val="005477AC"/>
    <w:rsid w:val="00552CEE"/>
    <w:rsid w:val="00555CDB"/>
    <w:rsid w:val="00555FEA"/>
    <w:rsid w:val="00560BC2"/>
    <w:rsid w:val="0056140D"/>
    <w:rsid w:val="00561B6D"/>
    <w:rsid w:val="005626A9"/>
    <w:rsid w:val="00562D45"/>
    <w:rsid w:val="005637A1"/>
    <w:rsid w:val="0056615B"/>
    <w:rsid w:val="00567DFB"/>
    <w:rsid w:val="0057069B"/>
    <w:rsid w:val="00571DAA"/>
    <w:rsid w:val="00572049"/>
    <w:rsid w:val="00572E34"/>
    <w:rsid w:val="00572E93"/>
    <w:rsid w:val="0058129D"/>
    <w:rsid w:val="00590144"/>
    <w:rsid w:val="005909D1"/>
    <w:rsid w:val="0059131E"/>
    <w:rsid w:val="00592277"/>
    <w:rsid w:val="00593401"/>
    <w:rsid w:val="00594258"/>
    <w:rsid w:val="0059682C"/>
    <w:rsid w:val="00597048"/>
    <w:rsid w:val="005A3F48"/>
    <w:rsid w:val="005A53F8"/>
    <w:rsid w:val="005A6020"/>
    <w:rsid w:val="005A6301"/>
    <w:rsid w:val="005A64DD"/>
    <w:rsid w:val="005A6CDA"/>
    <w:rsid w:val="005B09F0"/>
    <w:rsid w:val="005B0CED"/>
    <w:rsid w:val="005B3DB3"/>
    <w:rsid w:val="005B528A"/>
    <w:rsid w:val="005B6088"/>
    <w:rsid w:val="005C12D2"/>
    <w:rsid w:val="005C3490"/>
    <w:rsid w:val="005C453C"/>
    <w:rsid w:val="005C4CB5"/>
    <w:rsid w:val="005C5ADB"/>
    <w:rsid w:val="005C7905"/>
    <w:rsid w:val="005D06F3"/>
    <w:rsid w:val="005D0C6C"/>
    <w:rsid w:val="005D1BB4"/>
    <w:rsid w:val="005D2A88"/>
    <w:rsid w:val="005D649A"/>
    <w:rsid w:val="005D7025"/>
    <w:rsid w:val="005E010D"/>
    <w:rsid w:val="005E0BF6"/>
    <w:rsid w:val="005E2425"/>
    <w:rsid w:val="005E28E0"/>
    <w:rsid w:val="005E3563"/>
    <w:rsid w:val="005E3AAD"/>
    <w:rsid w:val="005E5946"/>
    <w:rsid w:val="005E64CA"/>
    <w:rsid w:val="005E75CA"/>
    <w:rsid w:val="005F1A5A"/>
    <w:rsid w:val="005F3A39"/>
    <w:rsid w:val="005F4447"/>
    <w:rsid w:val="005F5C2F"/>
    <w:rsid w:val="005F6EEB"/>
    <w:rsid w:val="005F7BB1"/>
    <w:rsid w:val="006003ED"/>
    <w:rsid w:val="00601266"/>
    <w:rsid w:val="00601622"/>
    <w:rsid w:val="00601F8F"/>
    <w:rsid w:val="00602490"/>
    <w:rsid w:val="00603E3C"/>
    <w:rsid w:val="0060673A"/>
    <w:rsid w:val="00611DFE"/>
    <w:rsid w:val="00611FC4"/>
    <w:rsid w:val="00612812"/>
    <w:rsid w:val="006147E0"/>
    <w:rsid w:val="0061739D"/>
    <w:rsid w:val="006176FB"/>
    <w:rsid w:val="006212CC"/>
    <w:rsid w:val="006216A1"/>
    <w:rsid w:val="006250B1"/>
    <w:rsid w:val="00626B06"/>
    <w:rsid w:val="006279AC"/>
    <w:rsid w:val="0063419C"/>
    <w:rsid w:val="00635381"/>
    <w:rsid w:val="00636986"/>
    <w:rsid w:val="00636F58"/>
    <w:rsid w:val="00637542"/>
    <w:rsid w:val="006404CB"/>
    <w:rsid w:val="00640B26"/>
    <w:rsid w:val="00641194"/>
    <w:rsid w:val="0064329F"/>
    <w:rsid w:val="00644BE5"/>
    <w:rsid w:val="00645A0B"/>
    <w:rsid w:val="006478B5"/>
    <w:rsid w:val="006500BA"/>
    <w:rsid w:val="006506DB"/>
    <w:rsid w:val="00650EBE"/>
    <w:rsid w:val="00652721"/>
    <w:rsid w:val="006531D5"/>
    <w:rsid w:val="0065465F"/>
    <w:rsid w:val="00655474"/>
    <w:rsid w:val="00661EBA"/>
    <w:rsid w:val="00662121"/>
    <w:rsid w:val="00662E09"/>
    <w:rsid w:val="0066373E"/>
    <w:rsid w:val="00663A3B"/>
    <w:rsid w:val="00670CF0"/>
    <w:rsid w:val="00670D2F"/>
    <w:rsid w:val="006719CA"/>
    <w:rsid w:val="00671D64"/>
    <w:rsid w:val="006729AE"/>
    <w:rsid w:val="00672AB3"/>
    <w:rsid w:val="00675F87"/>
    <w:rsid w:val="006777D1"/>
    <w:rsid w:val="00683BEF"/>
    <w:rsid w:val="0068461F"/>
    <w:rsid w:val="006863AE"/>
    <w:rsid w:val="006870AE"/>
    <w:rsid w:val="006906FF"/>
    <w:rsid w:val="00690CD6"/>
    <w:rsid w:val="00691194"/>
    <w:rsid w:val="006A098A"/>
    <w:rsid w:val="006A3932"/>
    <w:rsid w:val="006A4684"/>
    <w:rsid w:val="006A53DC"/>
    <w:rsid w:val="006A63E3"/>
    <w:rsid w:val="006A7392"/>
    <w:rsid w:val="006A75FF"/>
    <w:rsid w:val="006B083A"/>
    <w:rsid w:val="006B1148"/>
    <w:rsid w:val="006B1C55"/>
    <w:rsid w:val="006C0D34"/>
    <w:rsid w:val="006C251B"/>
    <w:rsid w:val="006C2F7E"/>
    <w:rsid w:val="006C5EBF"/>
    <w:rsid w:val="006D0308"/>
    <w:rsid w:val="006D0803"/>
    <w:rsid w:val="006D0F63"/>
    <w:rsid w:val="006D3560"/>
    <w:rsid w:val="006E2DD6"/>
    <w:rsid w:val="006E3B65"/>
    <w:rsid w:val="006E4E78"/>
    <w:rsid w:val="006E564B"/>
    <w:rsid w:val="006E65FF"/>
    <w:rsid w:val="006E6B76"/>
    <w:rsid w:val="007012EF"/>
    <w:rsid w:val="007025C0"/>
    <w:rsid w:val="007032D3"/>
    <w:rsid w:val="007051A1"/>
    <w:rsid w:val="00706803"/>
    <w:rsid w:val="00707B10"/>
    <w:rsid w:val="00707F04"/>
    <w:rsid w:val="00711498"/>
    <w:rsid w:val="00711637"/>
    <w:rsid w:val="0071184D"/>
    <w:rsid w:val="00712115"/>
    <w:rsid w:val="007125B8"/>
    <w:rsid w:val="00714F4F"/>
    <w:rsid w:val="0071611E"/>
    <w:rsid w:val="00716CDE"/>
    <w:rsid w:val="00716EB1"/>
    <w:rsid w:val="0072170F"/>
    <w:rsid w:val="00723C85"/>
    <w:rsid w:val="0072626E"/>
    <w:rsid w:val="0072632A"/>
    <w:rsid w:val="007270CF"/>
    <w:rsid w:val="00727720"/>
    <w:rsid w:val="00727F27"/>
    <w:rsid w:val="007316C8"/>
    <w:rsid w:val="00734B63"/>
    <w:rsid w:val="00734F20"/>
    <w:rsid w:val="00734F74"/>
    <w:rsid w:val="00736A58"/>
    <w:rsid w:val="00736E6A"/>
    <w:rsid w:val="00741F59"/>
    <w:rsid w:val="007427C1"/>
    <w:rsid w:val="00742BA1"/>
    <w:rsid w:val="00745598"/>
    <w:rsid w:val="0074697D"/>
    <w:rsid w:val="007510F5"/>
    <w:rsid w:val="007519A8"/>
    <w:rsid w:val="00754F09"/>
    <w:rsid w:val="00755EBE"/>
    <w:rsid w:val="0075661B"/>
    <w:rsid w:val="00757C56"/>
    <w:rsid w:val="00760CBD"/>
    <w:rsid w:val="0076158F"/>
    <w:rsid w:val="00761619"/>
    <w:rsid w:val="0076177C"/>
    <w:rsid w:val="0076279F"/>
    <w:rsid w:val="00763AE6"/>
    <w:rsid w:val="00763C33"/>
    <w:rsid w:val="00766322"/>
    <w:rsid w:val="00767680"/>
    <w:rsid w:val="00770621"/>
    <w:rsid w:val="00770BCD"/>
    <w:rsid w:val="00771904"/>
    <w:rsid w:val="00772A33"/>
    <w:rsid w:val="00772D17"/>
    <w:rsid w:val="00773353"/>
    <w:rsid w:val="00773ED7"/>
    <w:rsid w:val="00774129"/>
    <w:rsid w:val="00774E8F"/>
    <w:rsid w:val="00774EAA"/>
    <w:rsid w:val="0077553A"/>
    <w:rsid w:val="00776C93"/>
    <w:rsid w:val="00777812"/>
    <w:rsid w:val="00777CCB"/>
    <w:rsid w:val="00777E41"/>
    <w:rsid w:val="0078004E"/>
    <w:rsid w:val="0078123B"/>
    <w:rsid w:val="00781B57"/>
    <w:rsid w:val="00786434"/>
    <w:rsid w:val="00787007"/>
    <w:rsid w:val="00787961"/>
    <w:rsid w:val="00790791"/>
    <w:rsid w:val="00794292"/>
    <w:rsid w:val="00795817"/>
    <w:rsid w:val="00796F36"/>
    <w:rsid w:val="007978E7"/>
    <w:rsid w:val="007A026F"/>
    <w:rsid w:val="007A2CDB"/>
    <w:rsid w:val="007A334C"/>
    <w:rsid w:val="007A38EF"/>
    <w:rsid w:val="007A410A"/>
    <w:rsid w:val="007A44D6"/>
    <w:rsid w:val="007A5F56"/>
    <w:rsid w:val="007A62EC"/>
    <w:rsid w:val="007A737C"/>
    <w:rsid w:val="007B06F2"/>
    <w:rsid w:val="007B1A7E"/>
    <w:rsid w:val="007B1FF3"/>
    <w:rsid w:val="007B2BA8"/>
    <w:rsid w:val="007B4133"/>
    <w:rsid w:val="007B59BF"/>
    <w:rsid w:val="007B63C1"/>
    <w:rsid w:val="007B6BA5"/>
    <w:rsid w:val="007B7E1E"/>
    <w:rsid w:val="007C013C"/>
    <w:rsid w:val="007C2C0D"/>
    <w:rsid w:val="007C3162"/>
    <w:rsid w:val="007C3390"/>
    <w:rsid w:val="007C45AA"/>
    <w:rsid w:val="007C4A35"/>
    <w:rsid w:val="007C4F4B"/>
    <w:rsid w:val="007C644D"/>
    <w:rsid w:val="007C7D01"/>
    <w:rsid w:val="007D0C74"/>
    <w:rsid w:val="007D1406"/>
    <w:rsid w:val="007D220C"/>
    <w:rsid w:val="007D2AC1"/>
    <w:rsid w:val="007D384C"/>
    <w:rsid w:val="007D5760"/>
    <w:rsid w:val="007D7BC6"/>
    <w:rsid w:val="007E10E0"/>
    <w:rsid w:val="007E237E"/>
    <w:rsid w:val="007E277E"/>
    <w:rsid w:val="007E4BD3"/>
    <w:rsid w:val="007E5843"/>
    <w:rsid w:val="007E5C1B"/>
    <w:rsid w:val="007E5D7C"/>
    <w:rsid w:val="007F06E6"/>
    <w:rsid w:val="007F10BF"/>
    <w:rsid w:val="007F1B4D"/>
    <w:rsid w:val="007F2A54"/>
    <w:rsid w:val="007F5104"/>
    <w:rsid w:val="007F6611"/>
    <w:rsid w:val="007F67C2"/>
    <w:rsid w:val="00800024"/>
    <w:rsid w:val="008008BF"/>
    <w:rsid w:val="008037A2"/>
    <w:rsid w:val="0080420D"/>
    <w:rsid w:val="008056D6"/>
    <w:rsid w:val="00806656"/>
    <w:rsid w:val="008071B7"/>
    <w:rsid w:val="00815E91"/>
    <w:rsid w:val="00816582"/>
    <w:rsid w:val="008175E9"/>
    <w:rsid w:val="00820A2D"/>
    <w:rsid w:val="00820C98"/>
    <w:rsid w:val="0082224B"/>
    <w:rsid w:val="008242D7"/>
    <w:rsid w:val="008247E7"/>
    <w:rsid w:val="008263C5"/>
    <w:rsid w:val="0082674C"/>
    <w:rsid w:val="00826C09"/>
    <w:rsid w:val="0083043E"/>
    <w:rsid w:val="0083055C"/>
    <w:rsid w:val="0083069A"/>
    <w:rsid w:val="00831368"/>
    <w:rsid w:val="00831B2F"/>
    <w:rsid w:val="00832A1D"/>
    <w:rsid w:val="008330A1"/>
    <w:rsid w:val="00833994"/>
    <w:rsid w:val="00834479"/>
    <w:rsid w:val="00836D65"/>
    <w:rsid w:val="00843AB2"/>
    <w:rsid w:val="00846809"/>
    <w:rsid w:val="00846900"/>
    <w:rsid w:val="00852815"/>
    <w:rsid w:val="00857789"/>
    <w:rsid w:val="0086107D"/>
    <w:rsid w:val="0086247E"/>
    <w:rsid w:val="008627A5"/>
    <w:rsid w:val="00864251"/>
    <w:rsid w:val="00866808"/>
    <w:rsid w:val="00871FD5"/>
    <w:rsid w:val="00872FA8"/>
    <w:rsid w:val="008811C2"/>
    <w:rsid w:val="00881213"/>
    <w:rsid w:val="0088306F"/>
    <w:rsid w:val="008830CC"/>
    <w:rsid w:val="008832C1"/>
    <w:rsid w:val="00884E1E"/>
    <w:rsid w:val="00887029"/>
    <w:rsid w:val="00892591"/>
    <w:rsid w:val="008931B2"/>
    <w:rsid w:val="008979B1"/>
    <w:rsid w:val="008A0B75"/>
    <w:rsid w:val="008A1542"/>
    <w:rsid w:val="008A490A"/>
    <w:rsid w:val="008A6B25"/>
    <w:rsid w:val="008A6C4F"/>
    <w:rsid w:val="008A7679"/>
    <w:rsid w:val="008A7AB3"/>
    <w:rsid w:val="008A7E0F"/>
    <w:rsid w:val="008B65FB"/>
    <w:rsid w:val="008B779D"/>
    <w:rsid w:val="008C200B"/>
    <w:rsid w:val="008C3B3C"/>
    <w:rsid w:val="008C4283"/>
    <w:rsid w:val="008C42BF"/>
    <w:rsid w:val="008C6B6F"/>
    <w:rsid w:val="008C6BEB"/>
    <w:rsid w:val="008C7033"/>
    <w:rsid w:val="008C74C3"/>
    <w:rsid w:val="008C755C"/>
    <w:rsid w:val="008C7BF7"/>
    <w:rsid w:val="008C7E9A"/>
    <w:rsid w:val="008D134F"/>
    <w:rsid w:val="008D34B2"/>
    <w:rsid w:val="008D3C75"/>
    <w:rsid w:val="008D50DE"/>
    <w:rsid w:val="008D6942"/>
    <w:rsid w:val="008E0E46"/>
    <w:rsid w:val="008E1DAE"/>
    <w:rsid w:val="008E295A"/>
    <w:rsid w:val="008E464A"/>
    <w:rsid w:val="008E49EC"/>
    <w:rsid w:val="008E5FA2"/>
    <w:rsid w:val="008E6FBC"/>
    <w:rsid w:val="008F2101"/>
    <w:rsid w:val="008F2D9A"/>
    <w:rsid w:val="008F44B8"/>
    <w:rsid w:val="008F4FF4"/>
    <w:rsid w:val="008F504A"/>
    <w:rsid w:val="008F5C0B"/>
    <w:rsid w:val="0090092A"/>
    <w:rsid w:val="00900CE1"/>
    <w:rsid w:val="00902700"/>
    <w:rsid w:val="00903FF9"/>
    <w:rsid w:val="009045EE"/>
    <w:rsid w:val="00904EBC"/>
    <w:rsid w:val="0090535C"/>
    <w:rsid w:val="00906C3D"/>
    <w:rsid w:val="0091056A"/>
    <w:rsid w:val="00912044"/>
    <w:rsid w:val="00923019"/>
    <w:rsid w:val="00924492"/>
    <w:rsid w:val="00924B63"/>
    <w:rsid w:val="00925C7C"/>
    <w:rsid w:val="0093487F"/>
    <w:rsid w:val="009363B6"/>
    <w:rsid w:val="00937829"/>
    <w:rsid w:val="00940036"/>
    <w:rsid w:val="00940F46"/>
    <w:rsid w:val="00941ECC"/>
    <w:rsid w:val="00941FFD"/>
    <w:rsid w:val="00942487"/>
    <w:rsid w:val="00943C7D"/>
    <w:rsid w:val="0094598E"/>
    <w:rsid w:val="00945A5D"/>
    <w:rsid w:val="009461B4"/>
    <w:rsid w:val="00946A0D"/>
    <w:rsid w:val="0095412D"/>
    <w:rsid w:val="009547DD"/>
    <w:rsid w:val="00954D3B"/>
    <w:rsid w:val="00955109"/>
    <w:rsid w:val="0095595D"/>
    <w:rsid w:val="00956AD7"/>
    <w:rsid w:val="009610A6"/>
    <w:rsid w:val="0096156F"/>
    <w:rsid w:val="00963B67"/>
    <w:rsid w:val="00963CBA"/>
    <w:rsid w:val="00964682"/>
    <w:rsid w:val="00970059"/>
    <w:rsid w:val="009701A0"/>
    <w:rsid w:val="009701ED"/>
    <w:rsid w:val="009710AB"/>
    <w:rsid w:val="00972A01"/>
    <w:rsid w:val="009736B9"/>
    <w:rsid w:val="00977ED2"/>
    <w:rsid w:val="00980BD7"/>
    <w:rsid w:val="00982F08"/>
    <w:rsid w:val="00983EC3"/>
    <w:rsid w:val="00984471"/>
    <w:rsid w:val="0098557A"/>
    <w:rsid w:val="00985F37"/>
    <w:rsid w:val="009879EA"/>
    <w:rsid w:val="0099044A"/>
    <w:rsid w:val="009908A5"/>
    <w:rsid w:val="0099124E"/>
    <w:rsid w:val="00991261"/>
    <w:rsid w:val="00991CC2"/>
    <w:rsid w:val="009953D5"/>
    <w:rsid w:val="00995E45"/>
    <w:rsid w:val="00996D7F"/>
    <w:rsid w:val="009A1D29"/>
    <w:rsid w:val="009A65D9"/>
    <w:rsid w:val="009A798B"/>
    <w:rsid w:val="009B78B2"/>
    <w:rsid w:val="009C09C9"/>
    <w:rsid w:val="009C1FAD"/>
    <w:rsid w:val="009C3A32"/>
    <w:rsid w:val="009C55AE"/>
    <w:rsid w:val="009C5690"/>
    <w:rsid w:val="009C5A99"/>
    <w:rsid w:val="009C6394"/>
    <w:rsid w:val="009C65EB"/>
    <w:rsid w:val="009C6604"/>
    <w:rsid w:val="009C6FE4"/>
    <w:rsid w:val="009D0E2A"/>
    <w:rsid w:val="009D0F0E"/>
    <w:rsid w:val="009D1AAE"/>
    <w:rsid w:val="009D634E"/>
    <w:rsid w:val="009E1560"/>
    <w:rsid w:val="009F0F06"/>
    <w:rsid w:val="009F10AB"/>
    <w:rsid w:val="009F1220"/>
    <w:rsid w:val="009F28BC"/>
    <w:rsid w:val="009F4FC5"/>
    <w:rsid w:val="00A002C1"/>
    <w:rsid w:val="00A0152E"/>
    <w:rsid w:val="00A04BE4"/>
    <w:rsid w:val="00A04F82"/>
    <w:rsid w:val="00A05E7C"/>
    <w:rsid w:val="00A076EE"/>
    <w:rsid w:val="00A11954"/>
    <w:rsid w:val="00A12B58"/>
    <w:rsid w:val="00A1427D"/>
    <w:rsid w:val="00A14F4B"/>
    <w:rsid w:val="00A1790D"/>
    <w:rsid w:val="00A21BD5"/>
    <w:rsid w:val="00A2248E"/>
    <w:rsid w:val="00A233BB"/>
    <w:rsid w:val="00A235F1"/>
    <w:rsid w:val="00A23983"/>
    <w:rsid w:val="00A23F62"/>
    <w:rsid w:val="00A2460E"/>
    <w:rsid w:val="00A24651"/>
    <w:rsid w:val="00A27945"/>
    <w:rsid w:val="00A34B00"/>
    <w:rsid w:val="00A35D0C"/>
    <w:rsid w:val="00A367DA"/>
    <w:rsid w:val="00A3777A"/>
    <w:rsid w:val="00A378DF"/>
    <w:rsid w:val="00A43D4D"/>
    <w:rsid w:val="00A44269"/>
    <w:rsid w:val="00A44DD6"/>
    <w:rsid w:val="00A50077"/>
    <w:rsid w:val="00A50E65"/>
    <w:rsid w:val="00A51E9D"/>
    <w:rsid w:val="00A5248A"/>
    <w:rsid w:val="00A53982"/>
    <w:rsid w:val="00A53AD4"/>
    <w:rsid w:val="00A54CA8"/>
    <w:rsid w:val="00A559E2"/>
    <w:rsid w:val="00A60196"/>
    <w:rsid w:val="00A61066"/>
    <w:rsid w:val="00A61585"/>
    <w:rsid w:val="00A6199C"/>
    <w:rsid w:val="00A61CB2"/>
    <w:rsid w:val="00A622AF"/>
    <w:rsid w:val="00A63A3F"/>
    <w:rsid w:val="00A65099"/>
    <w:rsid w:val="00A65F4A"/>
    <w:rsid w:val="00A66636"/>
    <w:rsid w:val="00A70A4F"/>
    <w:rsid w:val="00A72F22"/>
    <w:rsid w:val="00A73472"/>
    <w:rsid w:val="00A736C0"/>
    <w:rsid w:val="00A744D7"/>
    <w:rsid w:val="00A748A6"/>
    <w:rsid w:val="00A74A46"/>
    <w:rsid w:val="00A75EC9"/>
    <w:rsid w:val="00A810D4"/>
    <w:rsid w:val="00A83451"/>
    <w:rsid w:val="00A83538"/>
    <w:rsid w:val="00A8523D"/>
    <w:rsid w:val="00A864F0"/>
    <w:rsid w:val="00A879A4"/>
    <w:rsid w:val="00A92248"/>
    <w:rsid w:val="00A9283B"/>
    <w:rsid w:val="00AA1D9A"/>
    <w:rsid w:val="00AA275E"/>
    <w:rsid w:val="00AA32EB"/>
    <w:rsid w:val="00AA510C"/>
    <w:rsid w:val="00AB1C15"/>
    <w:rsid w:val="00AB1DA6"/>
    <w:rsid w:val="00AB348D"/>
    <w:rsid w:val="00AB382F"/>
    <w:rsid w:val="00AB4CF1"/>
    <w:rsid w:val="00AC24EA"/>
    <w:rsid w:val="00AC28AB"/>
    <w:rsid w:val="00AC353B"/>
    <w:rsid w:val="00AC4F88"/>
    <w:rsid w:val="00AC5F60"/>
    <w:rsid w:val="00AD1151"/>
    <w:rsid w:val="00AD34EE"/>
    <w:rsid w:val="00AD77DF"/>
    <w:rsid w:val="00AD7C5F"/>
    <w:rsid w:val="00AD7C88"/>
    <w:rsid w:val="00AE23F5"/>
    <w:rsid w:val="00AE38A4"/>
    <w:rsid w:val="00AE3D48"/>
    <w:rsid w:val="00AE45DE"/>
    <w:rsid w:val="00AE4773"/>
    <w:rsid w:val="00AE792D"/>
    <w:rsid w:val="00AF04FA"/>
    <w:rsid w:val="00AF0878"/>
    <w:rsid w:val="00AF112B"/>
    <w:rsid w:val="00AF2F9D"/>
    <w:rsid w:val="00AF47AA"/>
    <w:rsid w:val="00AF6710"/>
    <w:rsid w:val="00AF7EF3"/>
    <w:rsid w:val="00B013E6"/>
    <w:rsid w:val="00B01F0D"/>
    <w:rsid w:val="00B027F5"/>
    <w:rsid w:val="00B036FE"/>
    <w:rsid w:val="00B04026"/>
    <w:rsid w:val="00B04D66"/>
    <w:rsid w:val="00B066F7"/>
    <w:rsid w:val="00B06AAF"/>
    <w:rsid w:val="00B10C19"/>
    <w:rsid w:val="00B1157C"/>
    <w:rsid w:val="00B14403"/>
    <w:rsid w:val="00B1501F"/>
    <w:rsid w:val="00B151CE"/>
    <w:rsid w:val="00B17166"/>
    <w:rsid w:val="00B22971"/>
    <w:rsid w:val="00B26710"/>
    <w:rsid w:val="00B26B3C"/>
    <w:rsid w:val="00B27E70"/>
    <w:rsid w:val="00B30179"/>
    <w:rsid w:val="00B304E1"/>
    <w:rsid w:val="00B3317B"/>
    <w:rsid w:val="00B34CB1"/>
    <w:rsid w:val="00B37554"/>
    <w:rsid w:val="00B37AAE"/>
    <w:rsid w:val="00B40450"/>
    <w:rsid w:val="00B40A23"/>
    <w:rsid w:val="00B41384"/>
    <w:rsid w:val="00B4398E"/>
    <w:rsid w:val="00B44443"/>
    <w:rsid w:val="00B44C01"/>
    <w:rsid w:val="00B45BCD"/>
    <w:rsid w:val="00B46383"/>
    <w:rsid w:val="00B4690D"/>
    <w:rsid w:val="00B4782A"/>
    <w:rsid w:val="00B47945"/>
    <w:rsid w:val="00B52051"/>
    <w:rsid w:val="00B5392B"/>
    <w:rsid w:val="00B54B2E"/>
    <w:rsid w:val="00B56472"/>
    <w:rsid w:val="00B56612"/>
    <w:rsid w:val="00B60C54"/>
    <w:rsid w:val="00B61C6F"/>
    <w:rsid w:val="00B63370"/>
    <w:rsid w:val="00B64D17"/>
    <w:rsid w:val="00B666B2"/>
    <w:rsid w:val="00B70E6E"/>
    <w:rsid w:val="00B71E2B"/>
    <w:rsid w:val="00B73602"/>
    <w:rsid w:val="00B73DA8"/>
    <w:rsid w:val="00B74F7C"/>
    <w:rsid w:val="00B75901"/>
    <w:rsid w:val="00B75E05"/>
    <w:rsid w:val="00B763CC"/>
    <w:rsid w:val="00B81E12"/>
    <w:rsid w:val="00B82563"/>
    <w:rsid w:val="00B829E9"/>
    <w:rsid w:val="00B83ADB"/>
    <w:rsid w:val="00B8417C"/>
    <w:rsid w:val="00B84AAC"/>
    <w:rsid w:val="00B877E1"/>
    <w:rsid w:val="00B90F54"/>
    <w:rsid w:val="00B9125C"/>
    <w:rsid w:val="00B91CC3"/>
    <w:rsid w:val="00B920D4"/>
    <w:rsid w:val="00B92A0C"/>
    <w:rsid w:val="00B93068"/>
    <w:rsid w:val="00B933F8"/>
    <w:rsid w:val="00B934CF"/>
    <w:rsid w:val="00B94692"/>
    <w:rsid w:val="00B96B1E"/>
    <w:rsid w:val="00BA20BD"/>
    <w:rsid w:val="00BA6269"/>
    <w:rsid w:val="00BA792F"/>
    <w:rsid w:val="00BB02D9"/>
    <w:rsid w:val="00BB078D"/>
    <w:rsid w:val="00BB176D"/>
    <w:rsid w:val="00BB19F5"/>
    <w:rsid w:val="00BB3B28"/>
    <w:rsid w:val="00BB3CA8"/>
    <w:rsid w:val="00BC0714"/>
    <w:rsid w:val="00BC43AB"/>
    <w:rsid w:val="00BC5CA8"/>
    <w:rsid w:val="00BC6FCC"/>
    <w:rsid w:val="00BC74E9"/>
    <w:rsid w:val="00BD2077"/>
    <w:rsid w:val="00BD3308"/>
    <w:rsid w:val="00BD6D5A"/>
    <w:rsid w:val="00BE1FF8"/>
    <w:rsid w:val="00BE382C"/>
    <w:rsid w:val="00BE4A30"/>
    <w:rsid w:val="00BE50CA"/>
    <w:rsid w:val="00BE618E"/>
    <w:rsid w:val="00BE67BE"/>
    <w:rsid w:val="00BF1606"/>
    <w:rsid w:val="00BF16FB"/>
    <w:rsid w:val="00BF1F83"/>
    <w:rsid w:val="00BF2AC2"/>
    <w:rsid w:val="00C015FE"/>
    <w:rsid w:val="00C0263F"/>
    <w:rsid w:val="00C03B44"/>
    <w:rsid w:val="00C045C1"/>
    <w:rsid w:val="00C05987"/>
    <w:rsid w:val="00C07687"/>
    <w:rsid w:val="00C135D6"/>
    <w:rsid w:val="00C13A85"/>
    <w:rsid w:val="00C14370"/>
    <w:rsid w:val="00C17563"/>
    <w:rsid w:val="00C20EC0"/>
    <w:rsid w:val="00C218A4"/>
    <w:rsid w:val="00C22C53"/>
    <w:rsid w:val="00C241C4"/>
    <w:rsid w:val="00C246E2"/>
    <w:rsid w:val="00C247A1"/>
    <w:rsid w:val="00C30538"/>
    <w:rsid w:val="00C31519"/>
    <w:rsid w:val="00C3172D"/>
    <w:rsid w:val="00C363BA"/>
    <w:rsid w:val="00C36D37"/>
    <w:rsid w:val="00C40803"/>
    <w:rsid w:val="00C415CF"/>
    <w:rsid w:val="00C42730"/>
    <w:rsid w:val="00C463DD"/>
    <w:rsid w:val="00C4684B"/>
    <w:rsid w:val="00C46D5B"/>
    <w:rsid w:val="00C4750C"/>
    <w:rsid w:val="00C476A8"/>
    <w:rsid w:val="00C502DB"/>
    <w:rsid w:val="00C515B6"/>
    <w:rsid w:val="00C51A77"/>
    <w:rsid w:val="00C51E99"/>
    <w:rsid w:val="00C52899"/>
    <w:rsid w:val="00C537D5"/>
    <w:rsid w:val="00C556AB"/>
    <w:rsid w:val="00C57EF0"/>
    <w:rsid w:val="00C61EEF"/>
    <w:rsid w:val="00C62F76"/>
    <w:rsid w:val="00C63D9D"/>
    <w:rsid w:val="00C64343"/>
    <w:rsid w:val="00C651B4"/>
    <w:rsid w:val="00C65342"/>
    <w:rsid w:val="00C66CE0"/>
    <w:rsid w:val="00C66D78"/>
    <w:rsid w:val="00C72B97"/>
    <w:rsid w:val="00C73462"/>
    <w:rsid w:val="00C737DA"/>
    <w:rsid w:val="00C745C3"/>
    <w:rsid w:val="00C81212"/>
    <w:rsid w:val="00C81FCB"/>
    <w:rsid w:val="00C84FF1"/>
    <w:rsid w:val="00C87478"/>
    <w:rsid w:val="00C91180"/>
    <w:rsid w:val="00C93C11"/>
    <w:rsid w:val="00C96B05"/>
    <w:rsid w:val="00C971F6"/>
    <w:rsid w:val="00C97CEE"/>
    <w:rsid w:val="00CA049C"/>
    <w:rsid w:val="00CA381C"/>
    <w:rsid w:val="00CA474E"/>
    <w:rsid w:val="00CA4F3C"/>
    <w:rsid w:val="00CA74D3"/>
    <w:rsid w:val="00CB0187"/>
    <w:rsid w:val="00CB0B5F"/>
    <w:rsid w:val="00CB1EB6"/>
    <w:rsid w:val="00CB2158"/>
    <w:rsid w:val="00CB21E8"/>
    <w:rsid w:val="00CB2799"/>
    <w:rsid w:val="00CB2850"/>
    <w:rsid w:val="00CB3CEA"/>
    <w:rsid w:val="00CB6380"/>
    <w:rsid w:val="00CB740E"/>
    <w:rsid w:val="00CC064C"/>
    <w:rsid w:val="00CC1A99"/>
    <w:rsid w:val="00CC2E38"/>
    <w:rsid w:val="00CC4CA6"/>
    <w:rsid w:val="00CD0009"/>
    <w:rsid w:val="00CD010F"/>
    <w:rsid w:val="00CD2888"/>
    <w:rsid w:val="00CD2CE2"/>
    <w:rsid w:val="00CD30EE"/>
    <w:rsid w:val="00CD3225"/>
    <w:rsid w:val="00CD35E8"/>
    <w:rsid w:val="00CD36C0"/>
    <w:rsid w:val="00CD392C"/>
    <w:rsid w:val="00CD4C3C"/>
    <w:rsid w:val="00CD5022"/>
    <w:rsid w:val="00CD5526"/>
    <w:rsid w:val="00CD563F"/>
    <w:rsid w:val="00CD7A79"/>
    <w:rsid w:val="00CE09DE"/>
    <w:rsid w:val="00CE2D21"/>
    <w:rsid w:val="00CE33D5"/>
    <w:rsid w:val="00CE4083"/>
    <w:rsid w:val="00CE46BA"/>
    <w:rsid w:val="00CE4A8F"/>
    <w:rsid w:val="00CE52AD"/>
    <w:rsid w:val="00CE5642"/>
    <w:rsid w:val="00CE6B6A"/>
    <w:rsid w:val="00CE74ED"/>
    <w:rsid w:val="00CF02AD"/>
    <w:rsid w:val="00CF2FC7"/>
    <w:rsid w:val="00CF4FE1"/>
    <w:rsid w:val="00CF6F32"/>
    <w:rsid w:val="00CF7512"/>
    <w:rsid w:val="00CF778D"/>
    <w:rsid w:val="00CF7E8C"/>
    <w:rsid w:val="00D01017"/>
    <w:rsid w:val="00D020CD"/>
    <w:rsid w:val="00D02AD3"/>
    <w:rsid w:val="00D05A99"/>
    <w:rsid w:val="00D0631B"/>
    <w:rsid w:val="00D06C3A"/>
    <w:rsid w:val="00D13793"/>
    <w:rsid w:val="00D164BA"/>
    <w:rsid w:val="00D16C2F"/>
    <w:rsid w:val="00D179E7"/>
    <w:rsid w:val="00D2031B"/>
    <w:rsid w:val="00D208BF"/>
    <w:rsid w:val="00D24A58"/>
    <w:rsid w:val="00D25E8C"/>
    <w:rsid w:val="00D25FE2"/>
    <w:rsid w:val="00D2718F"/>
    <w:rsid w:val="00D27E89"/>
    <w:rsid w:val="00D31583"/>
    <w:rsid w:val="00D338FF"/>
    <w:rsid w:val="00D35123"/>
    <w:rsid w:val="00D35907"/>
    <w:rsid w:val="00D35ACD"/>
    <w:rsid w:val="00D37478"/>
    <w:rsid w:val="00D37E80"/>
    <w:rsid w:val="00D40730"/>
    <w:rsid w:val="00D40D94"/>
    <w:rsid w:val="00D43252"/>
    <w:rsid w:val="00D46231"/>
    <w:rsid w:val="00D47425"/>
    <w:rsid w:val="00D477C4"/>
    <w:rsid w:val="00D50288"/>
    <w:rsid w:val="00D50B32"/>
    <w:rsid w:val="00D50DF8"/>
    <w:rsid w:val="00D5409C"/>
    <w:rsid w:val="00D56A6A"/>
    <w:rsid w:val="00D577EE"/>
    <w:rsid w:val="00D57C13"/>
    <w:rsid w:val="00D57FD9"/>
    <w:rsid w:val="00D610C1"/>
    <w:rsid w:val="00D6123A"/>
    <w:rsid w:val="00D6583F"/>
    <w:rsid w:val="00D658FA"/>
    <w:rsid w:val="00D67B83"/>
    <w:rsid w:val="00D72464"/>
    <w:rsid w:val="00D730E3"/>
    <w:rsid w:val="00D73803"/>
    <w:rsid w:val="00D74C10"/>
    <w:rsid w:val="00D753D8"/>
    <w:rsid w:val="00D80B70"/>
    <w:rsid w:val="00D832A7"/>
    <w:rsid w:val="00D84E67"/>
    <w:rsid w:val="00D90EA9"/>
    <w:rsid w:val="00D9274F"/>
    <w:rsid w:val="00D92BE0"/>
    <w:rsid w:val="00D9526A"/>
    <w:rsid w:val="00D95AC2"/>
    <w:rsid w:val="00D96248"/>
    <w:rsid w:val="00D96CC5"/>
    <w:rsid w:val="00D978C6"/>
    <w:rsid w:val="00D97B77"/>
    <w:rsid w:val="00D97D41"/>
    <w:rsid w:val="00DA1F33"/>
    <w:rsid w:val="00DA498B"/>
    <w:rsid w:val="00DA6620"/>
    <w:rsid w:val="00DA67AD"/>
    <w:rsid w:val="00DA7D8F"/>
    <w:rsid w:val="00DA7E44"/>
    <w:rsid w:val="00DB30D4"/>
    <w:rsid w:val="00DB39FA"/>
    <w:rsid w:val="00DB5076"/>
    <w:rsid w:val="00DB698B"/>
    <w:rsid w:val="00DB6D56"/>
    <w:rsid w:val="00DB7A95"/>
    <w:rsid w:val="00DC7BB0"/>
    <w:rsid w:val="00DD1E65"/>
    <w:rsid w:val="00DD3F15"/>
    <w:rsid w:val="00DD42A0"/>
    <w:rsid w:val="00DD5E45"/>
    <w:rsid w:val="00DD64FA"/>
    <w:rsid w:val="00DD725C"/>
    <w:rsid w:val="00DE15E0"/>
    <w:rsid w:val="00DE1C54"/>
    <w:rsid w:val="00DE1EFB"/>
    <w:rsid w:val="00DE236F"/>
    <w:rsid w:val="00DE2969"/>
    <w:rsid w:val="00DE3ECB"/>
    <w:rsid w:val="00DE41F2"/>
    <w:rsid w:val="00DE4413"/>
    <w:rsid w:val="00DE4785"/>
    <w:rsid w:val="00DE4D63"/>
    <w:rsid w:val="00DE5A89"/>
    <w:rsid w:val="00DE7267"/>
    <w:rsid w:val="00DF0A4D"/>
    <w:rsid w:val="00DF193F"/>
    <w:rsid w:val="00DF3039"/>
    <w:rsid w:val="00DF3A04"/>
    <w:rsid w:val="00DF4518"/>
    <w:rsid w:val="00DF494F"/>
    <w:rsid w:val="00DF4A63"/>
    <w:rsid w:val="00DF69A6"/>
    <w:rsid w:val="00E0148C"/>
    <w:rsid w:val="00E02BF9"/>
    <w:rsid w:val="00E03209"/>
    <w:rsid w:val="00E03260"/>
    <w:rsid w:val="00E07210"/>
    <w:rsid w:val="00E076A6"/>
    <w:rsid w:val="00E12162"/>
    <w:rsid w:val="00E130AB"/>
    <w:rsid w:val="00E1314A"/>
    <w:rsid w:val="00E132B2"/>
    <w:rsid w:val="00E160F2"/>
    <w:rsid w:val="00E16467"/>
    <w:rsid w:val="00E1679E"/>
    <w:rsid w:val="00E16CC9"/>
    <w:rsid w:val="00E21F99"/>
    <w:rsid w:val="00E239A0"/>
    <w:rsid w:val="00E2426B"/>
    <w:rsid w:val="00E247BA"/>
    <w:rsid w:val="00E3141C"/>
    <w:rsid w:val="00E32EF6"/>
    <w:rsid w:val="00E33D2C"/>
    <w:rsid w:val="00E34E58"/>
    <w:rsid w:val="00E36838"/>
    <w:rsid w:val="00E36C10"/>
    <w:rsid w:val="00E40B76"/>
    <w:rsid w:val="00E40D7C"/>
    <w:rsid w:val="00E422B7"/>
    <w:rsid w:val="00E42461"/>
    <w:rsid w:val="00E42C15"/>
    <w:rsid w:val="00E4443D"/>
    <w:rsid w:val="00E44D34"/>
    <w:rsid w:val="00E52EB0"/>
    <w:rsid w:val="00E54352"/>
    <w:rsid w:val="00E5505D"/>
    <w:rsid w:val="00E5644E"/>
    <w:rsid w:val="00E5691C"/>
    <w:rsid w:val="00E56B35"/>
    <w:rsid w:val="00E577C9"/>
    <w:rsid w:val="00E60903"/>
    <w:rsid w:val="00E61DC3"/>
    <w:rsid w:val="00E631BA"/>
    <w:rsid w:val="00E631FE"/>
    <w:rsid w:val="00E63481"/>
    <w:rsid w:val="00E63DE8"/>
    <w:rsid w:val="00E64C9C"/>
    <w:rsid w:val="00E6613A"/>
    <w:rsid w:val="00E666CC"/>
    <w:rsid w:val="00E7063A"/>
    <w:rsid w:val="00E7260F"/>
    <w:rsid w:val="00E730D8"/>
    <w:rsid w:val="00E7449D"/>
    <w:rsid w:val="00E770EA"/>
    <w:rsid w:val="00E81230"/>
    <w:rsid w:val="00E81454"/>
    <w:rsid w:val="00E82A4A"/>
    <w:rsid w:val="00E84F91"/>
    <w:rsid w:val="00E8535A"/>
    <w:rsid w:val="00E859FF"/>
    <w:rsid w:val="00E864BE"/>
    <w:rsid w:val="00E872C1"/>
    <w:rsid w:val="00E90647"/>
    <w:rsid w:val="00E90B62"/>
    <w:rsid w:val="00E9396C"/>
    <w:rsid w:val="00E96630"/>
    <w:rsid w:val="00E96693"/>
    <w:rsid w:val="00E96AF3"/>
    <w:rsid w:val="00EA0364"/>
    <w:rsid w:val="00EA04DA"/>
    <w:rsid w:val="00EA1C0F"/>
    <w:rsid w:val="00EA417C"/>
    <w:rsid w:val="00EA48C4"/>
    <w:rsid w:val="00EA50CE"/>
    <w:rsid w:val="00EA772F"/>
    <w:rsid w:val="00EB03DC"/>
    <w:rsid w:val="00EB2AE3"/>
    <w:rsid w:val="00EB3A6B"/>
    <w:rsid w:val="00EB45E4"/>
    <w:rsid w:val="00EB4C06"/>
    <w:rsid w:val="00EB51D5"/>
    <w:rsid w:val="00EB5F0B"/>
    <w:rsid w:val="00EB65EF"/>
    <w:rsid w:val="00EB6832"/>
    <w:rsid w:val="00EB6BA6"/>
    <w:rsid w:val="00EB71BA"/>
    <w:rsid w:val="00EB798F"/>
    <w:rsid w:val="00EC14E9"/>
    <w:rsid w:val="00EC15D8"/>
    <w:rsid w:val="00EC188A"/>
    <w:rsid w:val="00EC1F27"/>
    <w:rsid w:val="00EC271A"/>
    <w:rsid w:val="00EC4EDF"/>
    <w:rsid w:val="00EC525D"/>
    <w:rsid w:val="00EC526C"/>
    <w:rsid w:val="00EC6BFD"/>
    <w:rsid w:val="00EC755A"/>
    <w:rsid w:val="00EC7D42"/>
    <w:rsid w:val="00ED2B14"/>
    <w:rsid w:val="00ED3508"/>
    <w:rsid w:val="00ED3F6F"/>
    <w:rsid w:val="00ED7377"/>
    <w:rsid w:val="00ED769C"/>
    <w:rsid w:val="00ED7A2A"/>
    <w:rsid w:val="00ED7B73"/>
    <w:rsid w:val="00EE0EA7"/>
    <w:rsid w:val="00EE2966"/>
    <w:rsid w:val="00EE30CB"/>
    <w:rsid w:val="00EE4D59"/>
    <w:rsid w:val="00EE7305"/>
    <w:rsid w:val="00EE73C3"/>
    <w:rsid w:val="00EF1D7F"/>
    <w:rsid w:val="00EF4AAC"/>
    <w:rsid w:val="00EF4F17"/>
    <w:rsid w:val="00EF4FF3"/>
    <w:rsid w:val="00EF5645"/>
    <w:rsid w:val="00EF7E61"/>
    <w:rsid w:val="00F00D12"/>
    <w:rsid w:val="00F014FF"/>
    <w:rsid w:val="00F01C57"/>
    <w:rsid w:val="00F03FA2"/>
    <w:rsid w:val="00F05283"/>
    <w:rsid w:val="00F0579D"/>
    <w:rsid w:val="00F07537"/>
    <w:rsid w:val="00F07E12"/>
    <w:rsid w:val="00F1150D"/>
    <w:rsid w:val="00F11F5E"/>
    <w:rsid w:val="00F1200D"/>
    <w:rsid w:val="00F14F86"/>
    <w:rsid w:val="00F164C7"/>
    <w:rsid w:val="00F16FE9"/>
    <w:rsid w:val="00F2145E"/>
    <w:rsid w:val="00F21A22"/>
    <w:rsid w:val="00F21D60"/>
    <w:rsid w:val="00F22D71"/>
    <w:rsid w:val="00F257D1"/>
    <w:rsid w:val="00F30A8A"/>
    <w:rsid w:val="00F30F38"/>
    <w:rsid w:val="00F33F83"/>
    <w:rsid w:val="00F34267"/>
    <w:rsid w:val="00F34EBD"/>
    <w:rsid w:val="00F3574D"/>
    <w:rsid w:val="00F40295"/>
    <w:rsid w:val="00F40E75"/>
    <w:rsid w:val="00F412D3"/>
    <w:rsid w:val="00F42CF5"/>
    <w:rsid w:val="00F444E3"/>
    <w:rsid w:val="00F5087E"/>
    <w:rsid w:val="00F510D1"/>
    <w:rsid w:val="00F5117A"/>
    <w:rsid w:val="00F51B40"/>
    <w:rsid w:val="00F51BAB"/>
    <w:rsid w:val="00F535BE"/>
    <w:rsid w:val="00F538F5"/>
    <w:rsid w:val="00F54674"/>
    <w:rsid w:val="00F56336"/>
    <w:rsid w:val="00F5743B"/>
    <w:rsid w:val="00F57685"/>
    <w:rsid w:val="00F60FC0"/>
    <w:rsid w:val="00F63F63"/>
    <w:rsid w:val="00F64C95"/>
    <w:rsid w:val="00F64E09"/>
    <w:rsid w:val="00F742D7"/>
    <w:rsid w:val="00F75E96"/>
    <w:rsid w:val="00F809F2"/>
    <w:rsid w:val="00F87B50"/>
    <w:rsid w:val="00F93FE8"/>
    <w:rsid w:val="00F9439A"/>
    <w:rsid w:val="00FA00A0"/>
    <w:rsid w:val="00FA02CA"/>
    <w:rsid w:val="00FA032F"/>
    <w:rsid w:val="00FA0DD0"/>
    <w:rsid w:val="00FA3FB7"/>
    <w:rsid w:val="00FA48FC"/>
    <w:rsid w:val="00FA4E44"/>
    <w:rsid w:val="00FA5D08"/>
    <w:rsid w:val="00FA6FA8"/>
    <w:rsid w:val="00FB2CDB"/>
    <w:rsid w:val="00FB32E6"/>
    <w:rsid w:val="00FB4BA8"/>
    <w:rsid w:val="00FB5A37"/>
    <w:rsid w:val="00FB7793"/>
    <w:rsid w:val="00FC18AA"/>
    <w:rsid w:val="00FC215C"/>
    <w:rsid w:val="00FC3E63"/>
    <w:rsid w:val="00FC6351"/>
    <w:rsid w:val="00FC68B7"/>
    <w:rsid w:val="00FD053A"/>
    <w:rsid w:val="00FD347B"/>
    <w:rsid w:val="00FD3C5D"/>
    <w:rsid w:val="00FD3E70"/>
    <w:rsid w:val="00FD6B2B"/>
    <w:rsid w:val="00FD6D88"/>
    <w:rsid w:val="00FD6EEC"/>
    <w:rsid w:val="00FE2A4F"/>
    <w:rsid w:val="00FE326D"/>
    <w:rsid w:val="00FE3EEA"/>
    <w:rsid w:val="00FE4618"/>
    <w:rsid w:val="00FE7E00"/>
    <w:rsid w:val="00FF03BB"/>
    <w:rsid w:val="00FF071A"/>
    <w:rsid w:val="00FF1792"/>
    <w:rsid w:val="00FF2D01"/>
    <w:rsid w:val="00FF51FB"/>
    <w:rsid w:val="00FF67F6"/>
    <w:rsid w:val="00FF6FA0"/>
    <w:rsid w:val="00FF78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4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16"/>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table" w:styleId="ListTable6Colorful">
    <w:name w:val="List Table 6 Colorful"/>
    <w:basedOn w:val="Table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 w:type="character" w:styleId="UnresolvedMention">
    <w:name w:val="Unresolved Mention"/>
    <w:basedOn w:val="DefaultParagraphFont"/>
    <w:uiPriority w:val="99"/>
    <w:semiHidden/>
    <w:unhideWhenUsed/>
    <w:rsid w:val="00996D7F"/>
    <w:rPr>
      <w:color w:val="605E5C"/>
      <w:shd w:val="clear" w:color="auto" w:fill="E1DFDD"/>
    </w:rPr>
  </w:style>
  <w:style w:type="character" w:customStyle="1" w:styleId="SingleTxtGZchnZchn">
    <w:name w:val="_ Single Txt_G Zchn Zchn"/>
    <w:locked/>
    <w:rsid w:val="00C241C4"/>
  </w:style>
  <w:style w:type="character" w:customStyle="1" w:styleId="MBodyTxtChar">
    <w:name w:val="MBodyTxt Char"/>
    <w:basedOn w:val="DefaultParagraphFont"/>
    <w:link w:val="MBodyTxt"/>
    <w:locked/>
    <w:rsid w:val="00C241C4"/>
    <w:rPr>
      <w:sz w:val="22"/>
      <w:szCs w:val="22"/>
      <w:lang w:val="en-GB" w:eastAsia="fr-FR"/>
    </w:rPr>
  </w:style>
  <w:style w:type="paragraph" w:customStyle="1" w:styleId="MBodyTxt">
    <w:name w:val="MBodyTxt"/>
    <w:basedOn w:val="Normal"/>
    <w:link w:val="MBodyTxtChar"/>
    <w:qFormat/>
    <w:rsid w:val="00C241C4"/>
    <w:pPr>
      <w:numPr>
        <w:ilvl w:val="12"/>
      </w:numPr>
      <w:tabs>
        <w:tab w:val="left" w:pos="1418"/>
      </w:tabs>
      <w:suppressAutoHyphens w:val="0"/>
      <w:autoSpaceDE w:val="0"/>
      <w:autoSpaceDN w:val="0"/>
      <w:adjustRightInd w:val="0"/>
      <w:spacing w:after="240" w:line="240" w:lineRule="auto"/>
      <w:jc w:val="both"/>
    </w:pPr>
    <w:rPr>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710495229">
      <w:bodyDiv w:val="1"/>
      <w:marLeft w:val="0"/>
      <w:marRight w:val="0"/>
      <w:marTop w:val="0"/>
      <w:marBottom w:val="0"/>
      <w:divBdr>
        <w:top w:val="none" w:sz="0" w:space="0" w:color="auto"/>
        <w:left w:val="none" w:sz="0" w:space="0" w:color="auto"/>
        <w:bottom w:val="none" w:sz="0" w:space="0" w:color="auto"/>
        <w:right w:val="none" w:sz="0" w:space="0" w:color="auto"/>
      </w:divBdr>
    </w:div>
    <w:div w:id="846097450">
      <w:bodyDiv w:val="1"/>
      <w:marLeft w:val="0"/>
      <w:marRight w:val="0"/>
      <w:marTop w:val="0"/>
      <w:marBottom w:val="0"/>
      <w:divBdr>
        <w:top w:val="none" w:sz="0" w:space="0" w:color="auto"/>
        <w:left w:val="none" w:sz="0" w:space="0" w:color="auto"/>
        <w:bottom w:val="none" w:sz="0" w:space="0" w:color="auto"/>
        <w:right w:val="none" w:sz="0" w:space="0" w:color="auto"/>
      </w:divBdr>
    </w:div>
    <w:div w:id="857351561">
      <w:bodyDiv w:val="1"/>
      <w:marLeft w:val="0"/>
      <w:marRight w:val="0"/>
      <w:marTop w:val="0"/>
      <w:marBottom w:val="0"/>
      <w:divBdr>
        <w:top w:val="none" w:sz="0" w:space="0" w:color="auto"/>
        <w:left w:val="none" w:sz="0" w:space="0" w:color="auto"/>
        <w:bottom w:val="none" w:sz="0" w:space="0" w:color="auto"/>
        <w:right w:val="none" w:sz="0" w:space="0" w:color="auto"/>
      </w:divBdr>
    </w:div>
    <w:div w:id="1096252115">
      <w:bodyDiv w:val="1"/>
      <w:marLeft w:val="0"/>
      <w:marRight w:val="0"/>
      <w:marTop w:val="0"/>
      <w:marBottom w:val="0"/>
      <w:divBdr>
        <w:top w:val="none" w:sz="0" w:space="0" w:color="auto"/>
        <w:left w:val="none" w:sz="0" w:space="0" w:color="auto"/>
        <w:bottom w:val="none" w:sz="0" w:space="0" w:color="auto"/>
        <w:right w:val="none" w:sz="0" w:space="0" w:color="auto"/>
      </w:divBdr>
    </w:div>
    <w:div w:id="1221552085">
      <w:bodyDiv w:val="1"/>
      <w:marLeft w:val="0"/>
      <w:marRight w:val="0"/>
      <w:marTop w:val="0"/>
      <w:marBottom w:val="0"/>
      <w:divBdr>
        <w:top w:val="none" w:sz="0" w:space="0" w:color="auto"/>
        <w:left w:val="none" w:sz="0" w:space="0" w:color="auto"/>
        <w:bottom w:val="none" w:sz="0" w:space="0" w:color="auto"/>
        <w:right w:val="none" w:sz="0" w:space="0" w:color="auto"/>
      </w:divBdr>
    </w:div>
    <w:div w:id="1381711768">
      <w:bodyDiv w:val="1"/>
      <w:marLeft w:val="0"/>
      <w:marRight w:val="0"/>
      <w:marTop w:val="0"/>
      <w:marBottom w:val="0"/>
      <w:divBdr>
        <w:top w:val="none" w:sz="0" w:space="0" w:color="auto"/>
        <w:left w:val="none" w:sz="0" w:space="0" w:color="auto"/>
        <w:bottom w:val="none" w:sz="0" w:space="0" w:color="auto"/>
        <w:right w:val="none" w:sz="0" w:space="0" w:color="auto"/>
      </w:divBdr>
    </w:div>
    <w:div w:id="1427270485">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05483658">
      <w:bodyDiv w:val="1"/>
      <w:marLeft w:val="0"/>
      <w:marRight w:val="0"/>
      <w:marTop w:val="0"/>
      <w:marBottom w:val="0"/>
      <w:divBdr>
        <w:top w:val="none" w:sz="0" w:space="0" w:color="auto"/>
        <w:left w:val="none" w:sz="0" w:space="0" w:color="auto"/>
        <w:bottom w:val="none" w:sz="0" w:space="0" w:color="auto"/>
        <w:right w:val="none" w:sz="0" w:space="0" w:color="auto"/>
      </w:divBdr>
      <w:divsChild>
        <w:div w:id="960302097">
          <w:marLeft w:val="0"/>
          <w:marRight w:val="0"/>
          <w:marTop w:val="0"/>
          <w:marBottom w:val="0"/>
          <w:divBdr>
            <w:top w:val="none" w:sz="0" w:space="0" w:color="auto"/>
            <w:left w:val="none" w:sz="0" w:space="0" w:color="auto"/>
            <w:bottom w:val="none" w:sz="0" w:space="0" w:color="auto"/>
            <w:right w:val="none" w:sz="0" w:space="0" w:color="auto"/>
          </w:divBdr>
          <w:divsChild>
            <w:div w:id="685182301">
              <w:marLeft w:val="0"/>
              <w:marRight w:val="0"/>
              <w:marTop w:val="0"/>
              <w:marBottom w:val="0"/>
              <w:divBdr>
                <w:top w:val="none" w:sz="0" w:space="0" w:color="auto"/>
                <w:left w:val="none" w:sz="0" w:space="0" w:color="auto"/>
                <w:bottom w:val="none" w:sz="0" w:space="0" w:color="auto"/>
                <w:right w:val="none" w:sz="0" w:space="0" w:color="auto"/>
              </w:divBdr>
              <w:divsChild>
                <w:div w:id="3801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D855B-B8D2-40C6-A5AB-8F5DAC913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424662-796E-45EE-8426-BF8B88FB7C27}">
  <ds:schemaRef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059A83B8-3C27-4C09-A4DB-066EBBEECA19}">
  <ds:schemaRefs>
    <ds:schemaRef ds:uri="http://schemas.microsoft.com/sharepoint/v3/contenttype/forms"/>
  </ds:schemaRefs>
</ds:datastoreItem>
</file>

<file path=customXml/itemProps4.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1429</Words>
  <Characters>8150</Characters>
  <Application>Microsoft Office Word</Application>
  <DocSecurity>0</DocSecurity>
  <Lines>67</Lines>
  <Paragraphs>19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2021-11-23T15:11:00Z</dcterms:created>
  <dcterms:modified xsi:type="dcterms:W3CDTF">2021-11-23T16:52:00Z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