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6F653169"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FE6A50">
              <w:rPr>
                <w:b/>
                <w:sz w:val="40"/>
                <w:szCs w:val="40"/>
              </w:rPr>
              <w:t>9</w:t>
            </w:r>
            <w:r w:rsidRPr="00E44D34">
              <w:rPr>
                <w:b/>
                <w:sz w:val="40"/>
                <w:szCs w:val="40"/>
              </w:rPr>
              <w:t>/INF.</w:t>
            </w:r>
            <w:r w:rsidR="00233301">
              <w:rPr>
                <w:b/>
                <w:sz w:val="40"/>
                <w:szCs w:val="40"/>
              </w:rPr>
              <w:t>15</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58F266ED" w:rsidR="00645A0B" w:rsidRPr="00E44D34" w:rsidRDefault="00645A0B" w:rsidP="0045326D">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233301">
              <w:rPr>
                <w:b/>
              </w:rPr>
              <w:t>1</w:t>
            </w:r>
            <w:r w:rsidR="007C3739">
              <w:rPr>
                <w:b/>
              </w:rPr>
              <w:t>5</w:t>
            </w:r>
            <w:r w:rsidR="00AD7C5F">
              <w:rPr>
                <w:b/>
              </w:rPr>
              <w:t xml:space="preserve"> </w:t>
            </w:r>
            <w:r w:rsidR="003D6F46">
              <w:rPr>
                <w:b/>
              </w:rPr>
              <w:t>Novem</w:t>
            </w:r>
            <w:r w:rsidR="00FE6A50">
              <w:rPr>
                <w:b/>
              </w:rPr>
              <w:t>ber</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0A36E671" w:rsidR="00006E29" w:rsidRPr="00E44D34" w:rsidRDefault="00006E29" w:rsidP="00CB2799">
            <w:pPr>
              <w:spacing w:before="120" w:line="240" w:lineRule="auto"/>
              <w:ind w:left="34" w:hanging="34"/>
              <w:rPr>
                <w:b/>
              </w:rPr>
            </w:pPr>
            <w:r w:rsidRPr="00345772">
              <w:rPr>
                <w:b/>
              </w:rPr>
              <w:t>Fifty-</w:t>
            </w:r>
            <w:r w:rsidR="00E2344C">
              <w:rPr>
                <w:b/>
              </w:rPr>
              <w:t>nine</w:t>
            </w:r>
            <w:r w:rsidRPr="00345772">
              <w:rPr>
                <w:b/>
              </w:rPr>
              <w:t>th session</w:t>
            </w:r>
          </w:p>
          <w:p w14:paraId="3BDE97DE" w14:textId="18D0485B" w:rsidR="00006E29" w:rsidRPr="00E44D34" w:rsidRDefault="00006E29" w:rsidP="00FA1B95">
            <w:pPr>
              <w:spacing w:before="40"/>
              <w:rPr>
                <w:b/>
              </w:rPr>
            </w:pPr>
            <w:r w:rsidRPr="009A7EB4">
              <w:t xml:space="preserve">Geneva, </w:t>
            </w:r>
            <w:r w:rsidR="0045326D" w:rsidRPr="009A7EB4">
              <w:t>29 N</w:t>
            </w:r>
            <w:r w:rsidR="00E2344C" w:rsidRPr="009A7EB4">
              <w:t>ovember</w:t>
            </w:r>
            <w:r w:rsidR="0045326D" w:rsidRPr="009A7EB4">
              <w:t xml:space="preserve"> – 8 December</w:t>
            </w:r>
            <w:r w:rsidRPr="009A7EB4">
              <w:t xml:space="preserve"> 2021</w:t>
            </w:r>
            <w:r w:rsidRPr="009A7EB4">
              <w:br/>
            </w:r>
            <w:r w:rsidRPr="009A7EB4">
              <w:rPr>
                <w:lang w:val="en-US"/>
              </w:rPr>
              <w:t xml:space="preserve">Item 6 </w:t>
            </w:r>
            <w:r w:rsidR="00FA1B95" w:rsidRPr="009A7EB4">
              <w:rPr>
                <w:lang w:val="en-US"/>
              </w:rPr>
              <w:t>(d)</w:t>
            </w:r>
            <w:r w:rsidRPr="009A7EB4">
              <w:rPr>
                <w:lang w:val="en-US"/>
              </w:rPr>
              <w:t xml:space="preserve"> of the provisional agenda</w:t>
            </w:r>
            <w:r w:rsidRPr="009A7EB4">
              <w:rPr>
                <w:lang w:val="en-US"/>
              </w:rPr>
              <w:br/>
            </w:r>
            <w:r w:rsidRPr="009A7EB4">
              <w:rPr>
                <w:b/>
                <w:bCs/>
              </w:rPr>
              <w:t xml:space="preserve">Miscellaneous proposals for amendments to the Model Regulations </w:t>
            </w:r>
            <w:r w:rsidRPr="009A7EB4">
              <w:rPr>
                <w:b/>
                <w:bCs/>
              </w:rPr>
              <w:br/>
              <w:t xml:space="preserve">on the Transport of Dangerous Goods: </w:t>
            </w:r>
            <w:r w:rsidR="00FA1B95">
              <w:rPr>
                <w:b/>
                <w:bCs/>
              </w:rPr>
              <w:t>other miscellaneous proposals</w:t>
            </w:r>
          </w:p>
        </w:tc>
      </w:tr>
    </w:tbl>
    <w:p w14:paraId="5B999E79" w14:textId="1D382A76" w:rsidR="00A53982" w:rsidRPr="00E2344C" w:rsidRDefault="00A53982" w:rsidP="00A53982">
      <w:pPr>
        <w:pStyle w:val="HChG"/>
        <w:spacing w:before="120"/>
        <w:rPr>
          <w:lang w:val="en-US"/>
        </w:rPr>
      </w:pPr>
      <w:r w:rsidRPr="00A15E22">
        <w:rPr>
          <w:rFonts w:eastAsia="Arial Unicode MS"/>
          <w:lang w:val="en-US"/>
        </w:rPr>
        <w:tab/>
      </w:r>
      <w:r w:rsidRPr="00A15E22">
        <w:rPr>
          <w:rFonts w:eastAsia="Arial Unicode MS"/>
          <w:lang w:val="en-US"/>
        </w:rPr>
        <w:tab/>
      </w:r>
      <w:r w:rsidR="007522DB">
        <w:rPr>
          <w:rFonts w:eastAsia="Arial Unicode MS"/>
          <w:lang w:val="en-US"/>
        </w:rPr>
        <w:t xml:space="preserve">Reference to </w:t>
      </w:r>
      <w:r w:rsidR="004C597F">
        <w:rPr>
          <w:rFonts w:eastAsia="Arial Unicode MS"/>
          <w:lang w:val="en-US"/>
        </w:rPr>
        <w:t>outdated standards</w:t>
      </w:r>
    </w:p>
    <w:p w14:paraId="49B77554" w14:textId="62B7189E" w:rsidR="00A53982" w:rsidRPr="009A7EB4" w:rsidRDefault="00A53982" w:rsidP="009A7EB4">
      <w:pPr>
        <w:pStyle w:val="H1G"/>
        <w:rPr>
          <w:rFonts w:eastAsia="Arial Unicode MS"/>
          <w:lang w:val="en-US"/>
        </w:rPr>
      </w:pPr>
      <w:r w:rsidRPr="00372A88">
        <w:rPr>
          <w:rFonts w:eastAsia="Arial Unicode MS" w:cs="Arial Unicode MS"/>
          <w:lang w:val="en-US"/>
        </w:rPr>
        <w:tab/>
      </w:r>
      <w:r w:rsidRPr="00372A88">
        <w:rPr>
          <w:rFonts w:eastAsia="Arial Unicode MS" w:cs="Arial Unicode MS"/>
          <w:lang w:val="en-US"/>
        </w:rPr>
        <w:tab/>
      </w:r>
      <w:r w:rsidRPr="004E2CEA">
        <w:rPr>
          <w:rFonts w:eastAsia="Arial Unicode MS"/>
        </w:rPr>
        <w:t>Transmitted</w:t>
      </w:r>
      <w:r w:rsidRPr="00372A88">
        <w:rPr>
          <w:rFonts w:eastAsia="Arial Unicode MS"/>
          <w:lang w:val="en-US"/>
        </w:rPr>
        <w:t xml:space="preserve"> by the expert from </w:t>
      </w:r>
      <w:r>
        <w:rPr>
          <w:rFonts w:eastAsia="Arial Unicode MS"/>
          <w:lang w:val="en-US"/>
        </w:rPr>
        <w:t>Spain</w:t>
      </w:r>
    </w:p>
    <w:p w14:paraId="75F76B52" w14:textId="0B582B96" w:rsidR="004C597F" w:rsidRDefault="004C597F" w:rsidP="007D7C5E">
      <w:pPr>
        <w:pStyle w:val="SingleTxtG"/>
        <w:numPr>
          <w:ilvl w:val="0"/>
          <w:numId w:val="37"/>
        </w:numPr>
        <w:ind w:left="1134" w:firstLine="0"/>
        <w:rPr>
          <w:lang w:val="en-US"/>
        </w:rPr>
      </w:pPr>
      <w:r>
        <w:rPr>
          <w:lang w:val="en-US"/>
        </w:rPr>
        <w:t xml:space="preserve">When reviewing the transitional measures contained in notes in the </w:t>
      </w:r>
      <w:r w:rsidR="00AB5BA9">
        <w:rPr>
          <w:lang w:val="en-US"/>
        </w:rPr>
        <w:t xml:space="preserve">UN </w:t>
      </w:r>
      <w:r>
        <w:rPr>
          <w:lang w:val="en-US"/>
        </w:rPr>
        <w:t>Model Regulations (see informal documents INF</w:t>
      </w:r>
      <w:r w:rsidR="00BF670D">
        <w:rPr>
          <w:lang w:val="en-US"/>
        </w:rPr>
        <w:t>.</w:t>
      </w:r>
      <w:r>
        <w:rPr>
          <w:lang w:val="en-US"/>
        </w:rPr>
        <w:t>4 and INF</w:t>
      </w:r>
      <w:r w:rsidR="00BF670D">
        <w:rPr>
          <w:lang w:val="en-US"/>
        </w:rPr>
        <w:t>.</w:t>
      </w:r>
      <w:r w:rsidR="009A7EB4">
        <w:rPr>
          <w:lang w:val="en-US"/>
        </w:rPr>
        <w:t>15</w:t>
      </w:r>
      <w:r>
        <w:rPr>
          <w:lang w:val="en-US"/>
        </w:rPr>
        <w:t xml:space="preserve"> </w:t>
      </w:r>
      <w:r w:rsidR="003D6F46">
        <w:rPr>
          <w:lang w:val="en-US"/>
        </w:rPr>
        <w:t xml:space="preserve">submitted </w:t>
      </w:r>
      <w:r w:rsidR="00AB5BA9">
        <w:rPr>
          <w:lang w:val="en-US"/>
        </w:rPr>
        <w:t xml:space="preserve">to this session </w:t>
      </w:r>
      <w:r>
        <w:rPr>
          <w:lang w:val="en-US"/>
        </w:rPr>
        <w:t>by Spain and INF</w:t>
      </w:r>
      <w:r w:rsidR="00AB5BA9">
        <w:rPr>
          <w:lang w:val="en-US"/>
        </w:rPr>
        <w:t>.</w:t>
      </w:r>
      <w:r w:rsidR="007A48D7">
        <w:rPr>
          <w:lang w:val="en-US"/>
        </w:rPr>
        <w:t>10</w:t>
      </w:r>
      <w:r>
        <w:rPr>
          <w:lang w:val="en-US"/>
        </w:rPr>
        <w:t xml:space="preserve"> </w:t>
      </w:r>
      <w:r w:rsidR="003D6F46">
        <w:rPr>
          <w:lang w:val="en-US"/>
        </w:rPr>
        <w:t xml:space="preserve">submitted </w:t>
      </w:r>
      <w:r>
        <w:rPr>
          <w:lang w:val="en-US"/>
        </w:rPr>
        <w:t>by Sweden), the Spanish experts have noted that in Chapter 6.2.2 several standards are referenced for which the applicability has expired years ago, according to the relevant tables.</w:t>
      </w:r>
    </w:p>
    <w:p w14:paraId="31148174" w14:textId="1541BF03" w:rsidR="004C597F" w:rsidRDefault="003D6F46" w:rsidP="007D7C5E">
      <w:pPr>
        <w:pStyle w:val="SingleTxtG"/>
        <w:numPr>
          <w:ilvl w:val="0"/>
          <w:numId w:val="37"/>
        </w:numPr>
        <w:ind w:left="1134" w:firstLine="0"/>
        <w:rPr>
          <w:lang w:val="en-US"/>
        </w:rPr>
      </w:pPr>
      <w:r>
        <w:rPr>
          <w:lang w:val="en-US"/>
        </w:rPr>
        <w:t>If</w:t>
      </w:r>
      <w:r w:rsidR="004C597F">
        <w:rPr>
          <w:lang w:val="en-US"/>
        </w:rPr>
        <w:t xml:space="preserve"> a new standard is introduced, the previous one </w:t>
      </w:r>
      <w:r>
        <w:rPr>
          <w:lang w:val="en-US"/>
        </w:rPr>
        <w:t>is</w:t>
      </w:r>
      <w:r w:rsidR="004C597F">
        <w:rPr>
          <w:lang w:val="en-US"/>
        </w:rPr>
        <w:t xml:space="preserve"> maintained in the Model Regulations, as </w:t>
      </w:r>
      <w:r>
        <w:rPr>
          <w:lang w:val="en-US"/>
        </w:rPr>
        <w:t>it is</w:t>
      </w:r>
      <w:r w:rsidR="004C597F">
        <w:rPr>
          <w:lang w:val="en-US"/>
        </w:rPr>
        <w:t xml:space="preserve"> still applicable for some time. Additionally, the information on the previously applicable standards may be interesting, as for example the items constructed according to those standards may still be in use.</w:t>
      </w:r>
    </w:p>
    <w:p w14:paraId="5DADB5DC" w14:textId="2E058DF4" w:rsidR="004C597F" w:rsidRDefault="004C597F" w:rsidP="007D7C5E">
      <w:pPr>
        <w:pStyle w:val="SingleTxtG"/>
        <w:numPr>
          <w:ilvl w:val="0"/>
          <w:numId w:val="37"/>
        </w:numPr>
        <w:ind w:left="1134" w:firstLine="0"/>
        <w:rPr>
          <w:lang w:val="en-US"/>
        </w:rPr>
      </w:pPr>
      <w:r>
        <w:rPr>
          <w:lang w:val="en-US"/>
        </w:rPr>
        <w:t xml:space="preserve">Nevertheless, after some time it may be interesting to review the outdated standards and evaluate if it is still necessary to maintain </w:t>
      </w:r>
      <w:r w:rsidR="00396040">
        <w:rPr>
          <w:lang w:val="en-US"/>
        </w:rPr>
        <w:t>those</w:t>
      </w:r>
      <w:r>
        <w:rPr>
          <w:lang w:val="en-US"/>
        </w:rPr>
        <w:t xml:space="preserve"> in the </w:t>
      </w:r>
      <w:r w:rsidR="00396040">
        <w:rPr>
          <w:lang w:val="en-US"/>
        </w:rPr>
        <w:t xml:space="preserve">Model </w:t>
      </w:r>
      <w:r>
        <w:rPr>
          <w:lang w:val="en-US"/>
        </w:rPr>
        <w:t>Regulations.</w:t>
      </w:r>
    </w:p>
    <w:p w14:paraId="4301FC0D" w14:textId="39EB1004" w:rsidR="004C597F" w:rsidRDefault="004C597F" w:rsidP="007D7C5E">
      <w:pPr>
        <w:pStyle w:val="SingleTxtG"/>
        <w:numPr>
          <w:ilvl w:val="0"/>
          <w:numId w:val="37"/>
        </w:numPr>
        <w:ind w:left="1134" w:firstLine="0"/>
        <w:rPr>
          <w:lang w:val="en-US"/>
        </w:rPr>
      </w:pPr>
      <w:r>
        <w:rPr>
          <w:lang w:val="en-US"/>
        </w:rPr>
        <w:t xml:space="preserve">For the time being, the following standards </w:t>
      </w:r>
      <w:r w:rsidR="00165E2C">
        <w:rPr>
          <w:lang w:val="en-US"/>
        </w:rPr>
        <w:t>referenced in</w:t>
      </w:r>
      <w:r>
        <w:rPr>
          <w:lang w:val="en-US"/>
        </w:rPr>
        <w:t xml:space="preserve"> Chapter 6.2.2 are affected:</w:t>
      </w:r>
    </w:p>
    <w:tbl>
      <w:tblPr>
        <w:tblStyle w:val="TableGrid"/>
        <w:tblW w:w="0" w:type="auto"/>
        <w:tblInd w:w="1134" w:type="dxa"/>
        <w:tblLayout w:type="fixed"/>
        <w:tblLook w:val="04A0" w:firstRow="1" w:lastRow="0" w:firstColumn="1" w:lastColumn="0" w:noHBand="0" w:noVBand="1"/>
      </w:tblPr>
      <w:tblGrid>
        <w:gridCol w:w="1413"/>
        <w:gridCol w:w="3544"/>
        <w:gridCol w:w="1559"/>
        <w:gridCol w:w="1559"/>
      </w:tblGrid>
      <w:tr w:rsidR="00F54A16" w14:paraId="727AB742" w14:textId="77777777" w:rsidTr="007A48D7">
        <w:tc>
          <w:tcPr>
            <w:tcW w:w="1413" w:type="dxa"/>
          </w:tcPr>
          <w:p w14:paraId="2E3547C0" w14:textId="319CE09B" w:rsidR="00F54A16" w:rsidRDefault="007A48D7" w:rsidP="007A48D7">
            <w:pPr>
              <w:pStyle w:val="NoSpacing"/>
              <w:jc w:val="center"/>
              <w:rPr>
                <w:lang w:val="en-US"/>
              </w:rPr>
            </w:pPr>
            <w:r>
              <w:rPr>
                <w:lang w:val="en-US"/>
              </w:rPr>
              <w:t>Relevant p</w:t>
            </w:r>
            <w:r w:rsidR="00F54A16">
              <w:rPr>
                <w:lang w:val="en-US"/>
              </w:rPr>
              <w:t>aragraph</w:t>
            </w:r>
          </w:p>
        </w:tc>
        <w:tc>
          <w:tcPr>
            <w:tcW w:w="3544" w:type="dxa"/>
          </w:tcPr>
          <w:p w14:paraId="4D0E6CC3" w14:textId="4A2EFE3F" w:rsidR="00F54A16" w:rsidRDefault="00F54A16" w:rsidP="00294085">
            <w:pPr>
              <w:pStyle w:val="NoSpacing"/>
              <w:jc w:val="center"/>
              <w:rPr>
                <w:lang w:val="en-US"/>
              </w:rPr>
            </w:pPr>
            <w:r>
              <w:rPr>
                <w:lang w:val="en-US"/>
              </w:rPr>
              <w:t>Title</w:t>
            </w:r>
          </w:p>
        </w:tc>
        <w:tc>
          <w:tcPr>
            <w:tcW w:w="1559" w:type="dxa"/>
          </w:tcPr>
          <w:p w14:paraId="30BA3263" w14:textId="0EB75F22" w:rsidR="00F54A16" w:rsidRDefault="00F54A16" w:rsidP="00294085">
            <w:pPr>
              <w:pStyle w:val="NoSpacing"/>
              <w:jc w:val="center"/>
              <w:rPr>
                <w:lang w:val="en-US"/>
              </w:rPr>
            </w:pPr>
            <w:r>
              <w:rPr>
                <w:lang w:val="en-US"/>
              </w:rPr>
              <w:t>Standard</w:t>
            </w:r>
          </w:p>
        </w:tc>
        <w:tc>
          <w:tcPr>
            <w:tcW w:w="1559" w:type="dxa"/>
          </w:tcPr>
          <w:p w14:paraId="3D6F50C7" w14:textId="2525A867" w:rsidR="00F54A16" w:rsidRPr="00E12DE0" w:rsidRDefault="00F54A16" w:rsidP="00294085">
            <w:pPr>
              <w:pStyle w:val="NoSpacing"/>
              <w:jc w:val="center"/>
              <w:rPr>
                <w:sz w:val="18"/>
                <w:szCs w:val="18"/>
                <w:lang w:val="en-US"/>
              </w:rPr>
            </w:pPr>
            <w:r w:rsidRPr="00E12DE0">
              <w:rPr>
                <w:sz w:val="18"/>
                <w:szCs w:val="18"/>
                <w:lang w:val="en-US"/>
              </w:rPr>
              <w:t>Applicability</w:t>
            </w:r>
          </w:p>
        </w:tc>
      </w:tr>
      <w:tr w:rsidR="00F54A16" w14:paraId="7CE94F5C" w14:textId="77777777" w:rsidTr="007A48D7">
        <w:tc>
          <w:tcPr>
            <w:tcW w:w="1413" w:type="dxa"/>
          </w:tcPr>
          <w:p w14:paraId="68D55E6D" w14:textId="734DE1B6" w:rsidR="00F54A16" w:rsidRDefault="00E12DE0" w:rsidP="007A48D7">
            <w:pPr>
              <w:pStyle w:val="NoSpacing"/>
              <w:jc w:val="center"/>
              <w:rPr>
                <w:lang w:val="en-US"/>
              </w:rPr>
            </w:pPr>
            <w:r>
              <w:rPr>
                <w:lang w:val="en-US"/>
              </w:rPr>
              <w:t>6.2.2.1.1</w:t>
            </w:r>
          </w:p>
        </w:tc>
        <w:tc>
          <w:tcPr>
            <w:tcW w:w="3544" w:type="dxa"/>
          </w:tcPr>
          <w:p w14:paraId="5C947AC0" w14:textId="5D6CF23A" w:rsidR="00F54A16" w:rsidRPr="00101658" w:rsidRDefault="00101658" w:rsidP="007A48D7">
            <w:pPr>
              <w:pStyle w:val="NoSpacing"/>
              <w:rPr>
                <w:i/>
                <w:lang w:val="en-US"/>
              </w:rPr>
            </w:pPr>
            <w:r w:rsidRPr="00294085">
              <w:rPr>
                <w:lang w:val="en-US"/>
              </w:rPr>
              <w:t>Gas cylinders – Refillable seamless steel gas cylinders – Design, construction and testing – Par</w:t>
            </w:r>
            <w:r w:rsidR="006C08F1">
              <w:rPr>
                <w:lang w:val="en-US"/>
              </w:rPr>
              <w:t>t</w:t>
            </w:r>
            <w:r w:rsidRPr="00294085">
              <w:rPr>
                <w:lang w:val="en-US"/>
              </w:rPr>
              <w:t xml:space="preserve"> 1:  Quenched and tempered steel cylinders with tensile strength less than 1 100 MPa</w:t>
            </w:r>
          </w:p>
        </w:tc>
        <w:tc>
          <w:tcPr>
            <w:tcW w:w="1559" w:type="dxa"/>
          </w:tcPr>
          <w:p w14:paraId="1707A8BE" w14:textId="596C24D4" w:rsidR="00F54A16" w:rsidRDefault="00E12DE0" w:rsidP="00067F34">
            <w:pPr>
              <w:pStyle w:val="NoSpacing"/>
              <w:rPr>
                <w:lang w:val="en-US"/>
              </w:rPr>
            </w:pPr>
            <w:r>
              <w:rPr>
                <w:lang w:val="en-US"/>
              </w:rPr>
              <w:t>ISO 9809-1:1999</w:t>
            </w:r>
          </w:p>
        </w:tc>
        <w:tc>
          <w:tcPr>
            <w:tcW w:w="1559" w:type="dxa"/>
          </w:tcPr>
          <w:p w14:paraId="4735FAF4" w14:textId="4EA18B8B" w:rsidR="00F54A16" w:rsidRDefault="00101658" w:rsidP="00067F34">
            <w:pPr>
              <w:pStyle w:val="NoSpacing"/>
              <w:rPr>
                <w:lang w:val="en-US"/>
              </w:rPr>
            </w:pPr>
            <w:r>
              <w:rPr>
                <w:lang w:val="en-US"/>
              </w:rPr>
              <w:t>Until 31 December 2018</w:t>
            </w:r>
          </w:p>
        </w:tc>
      </w:tr>
      <w:tr w:rsidR="00F54A16" w14:paraId="29D500E3" w14:textId="77777777" w:rsidTr="007A48D7">
        <w:tc>
          <w:tcPr>
            <w:tcW w:w="1413" w:type="dxa"/>
          </w:tcPr>
          <w:p w14:paraId="1D966BC5" w14:textId="74594301" w:rsidR="00F54A16" w:rsidRDefault="00294085" w:rsidP="00165E2C">
            <w:pPr>
              <w:pStyle w:val="NoSpacing"/>
              <w:jc w:val="center"/>
              <w:rPr>
                <w:lang w:val="en-US"/>
              </w:rPr>
            </w:pPr>
            <w:r>
              <w:rPr>
                <w:lang w:val="en-US"/>
              </w:rPr>
              <w:t>6.2.2.1.1</w:t>
            </w:r>
          </w:p>
        </w:tc>
        <w:tc>
          <w:tcPr>
            <w:tcW w:w="3544" w:type="dxa"/>
          </w:tcPr>
          <w:p w14:paraId="2EB1150C" w14:textId="37958206" w:rsidR="00F54A16" w:rsidRDefault="00294085" w:rsidP="007A48D7">
            <w:pPr>
              <w:pStyle w:val="NoSpacing"/>
              <w:rPr>
                <w:lang w:val="en-US"/>
              </w:rPr>
            </w:pPr>
            <w:r w:rsidRPr="00294085">
              <w:rPr>
                <w:lang w:val="en-US"/>
              </w:rPr>
              <w:t>Gas cylinders – Refillable seamless steel gas cylinders – Design, construction and testing – Par</w:t>
            </w:r>
            <w:r w:rsidR="006C08F1">
              <w:rPr>
                <w:lang w:val="en-US"/>
              </w:rPr>
              <w:t>t</w:t>
            </w:r>
            <w:r w:rsidRPr="00294085">
              <w:rPr>
                <w:lang w:val="en-US"/>
              </w:rPr>
              <w:t xml:space="preserve"> </w:t>
            </w:r>
            <w:r>
              <w:rPr>
                <w:lang w:val="en-US"/>
              </w:rPr>
              <w:t>2</w:t>
            </w:r>
            <w:r w:rsidRPr="00294085">
              <w:rPr>
                <w:lang w:val="en-US"/>
              </w:rPr>
              <w:t xml:space="preserve">:  Quenched and tempered steel cylinders with tensile strength </w:t>
            </w:r>
            <w:r>
              <w:rPr>
                <w:lang w:val="en-US"/>
              </w:rPr>
              <w:t>greater than or equal to</w:t>
            </w:r>
            <w:r w:rsidRPr="00294085">
              <w:rPr>
                <w:lang w:val="en-US"/>
              </w:rPr>
              <w:t xml:space="preserve"> 1 100 MPa</w:t>
            </w:r>
          </w:p>
        </w:tc>
        <w:tc>
          <w:tcPr>
            <w:tcW w:w="1559" w:type="dxa"/>
          </w:tcPr>
          <w:p w14:paraId="2D8A776D" w14:textId="2CE1CB5F" w:rsidR="00F54A16" w:rsidRDefault="00294085" w:rsidP="00294085">
            <w:pPr>
              <w:pStyle w:val="NoSpacing"/>
              <w:rPr>
                <w:lang w:val="en-US"/>
              </w:rPr>
            </w:pPr>
            <w:r>
              <w:rPr>
                <w:lang w:val="en-US"/>
              </w:rPr>
              <w:t>ISO  9809-2:2000</w:t>
            </w:r>
          </w:p>
        </w:tc>
        <w:tc>
          <w:tcPr>
            <w:tcW w:w="1559" w:type="dxa"/>
          </w:tcPr>
          <w:p w14:paraId="5A8134D7" w14:textId="7BF60185" w:rsidR="00F54A16" w:rsidRDefault="00294085" w:rsidP="00294085">
            <w:pPr>
              <w:pStyle w:val="NoSpacing"/>
              <w:rPr>
                <w:lang w:val="en-US"/>
              </w:rPr>
            </w:pPr>
            <w:r>
              <w:rPr>
                <w:lang w:val="en-US"/>
              </w:rPr>
              <w:t>Until 31 December 2018</w:t>
            </w:r>
          </w:p>
        </w:tc>
      </w:tr>
      <w:tr w:rsidR="00F54A16" w14:paraId="25232B04" w14:textId="77777777" w:rsidTr="007A48D7">
        <w:tc>
          <w:tcPr>
            <w:tcW w:w="1413" w:type="dxa"/>
          </w:tcPr>
          <w:p w14:paraId="6B8FC3B4" w14:textId="4C745C17" w:rsidR="00F54A16" w:rsidRDefault="00067F34" w:rsidP="00165E2C">
            <w:pPr>
              <w:pStyle w:val="NoSpacing"/>
              <w:jc w:val="center"/>
              <w:rPr>
                <w:lang w:val="en-US"/>
              </w:rPr>
            </w:pPr>
            <w:r>
              <w:rPr>
                <w:lang w:val="en-US"/>
              </w:rPr>
              <w:t>6.2.2.1.1</w:t>
            </w:r>
          </w:p>
        </w:tc>
        <w:tc>
          <w:tcPr>
            <w:tcW w:w="3544" w:type="dxa"/>
          </w:tcPr>
          <w:p w14:paraId="0553B5EC" w14:textId="3E6A3896" w:rsidR="00F54A16" w:rsidRDefault="00067F34" w:rsidP="00067F34">
            <w:pPr>
              <w:pStyle w:val="NoSpacing"/>
              <w:rPr>
                <w:lang w:val="en-US"/>
              </w:rPr>
            </w:pPr>
            <w:r w:rsidRPr="00294085">
              <w:rPr>
                <w:lang w:val="en-US"/>
              </w:rPr>
              <w:t>Gas cylinders – Refillable seamless steel gas cylinders – Design, construction and testing – Par</w:t>
            </w:r>
            <w:r w:rsidR="006C08F1">
              <w:rPr>
                <w:lang w:val="en-US"/>
              </w:rPr>
              <w:t>t</w:t>
            </w:r>
            <w:r w:rsidRPr="00294085">
              <w:rPr>
                <w:lang w:val="en-US"/>
              </w:rPr>
              <w:t xml:space="preserve"> </w:t>
            </w:r>
            <w:r>
              <w:rPr>
                <w:lang w:val="en-US"/>
              </w:rPr>
              <w:t>3: Normalized steel cylinders</w:t>
            </w:r>
          </w:p>
        </w:tc>
        <w:tc>
          <w:tcPr>
            <w:tcW w:w="1559" w:type="dxa"/>
          </w:tcPr>
          <w:p w14:paraId="0D3BA843" w14:textId="13ADF689" w:rsidR="00F54A16" w:rsidRDefault="00067F34" w:rsidP="00294085">
            <w:pPr>
              <w:pStyle w:val="NoSpacing"/>
              <w:rPr>
                <w:lang w:val="en-US"/>
              </w:rPr>
            </w:pPr>
            <w:r>
              <w:rPr>
                <w:lang w:val="en-US"/>
              </w:rPr>
              <w:t>ISO  9809-3:2000</w:t>
            </w:r>
          </w:p>
        </w:tc>
        <w:tc>
          <w:tcPr>
            <w:tcW w:w="1559" w:type="dxa"/>
          </w:tcPr>
          <w:p w14:paraId="7776D701" w14:textId="0B4665AE" w:rsidR="00F54A16" w:rsidRDefault="00067F34" w:rsidP="00294085">
            <w:pPr>
              <w:pStyle w:val="NoSpacing"/>
              <w:rPr>
                <w:lang w:val="en-US"/>
              </w:rPr>
            </w:pPr>
            <w:r>
              <w:rPr>
                <w:lang w:val="en-US"/>
              </w:rPr>
              <w:t>Until 31 December 2018</w:t>
            </w:r>
          </w:p>
        </w:tc>
      </w:tr>
      <w:tr w:rsidR="00067F34" w14:paraId="6F999369" w14:textId="77777777" w:rsidTr="007A48D7">
        <w:tc>
          <w:tcPr>
            <w:tcW w:w="1413" w:type="dxa"/>
          </w:tcPr>
          <w:p w14:paraId="5135F06D" w14:textId="655CF9F1" w:rsidR="00067F34" w:rsidRDefault="00067F34" w:rsidP="00165E2C">
            <w:pPr>
              <w:pStyle w:val="NoSpacing"/>
              <w:jc w:val="center"/>
              <w:rPr>
                <w:lang w:val="en-US"/>
              </w:rPr>
            </w:pPr>
            <w:r>
              <w:rPr>
                <w:lang w:val="en-US"/>
              </w:rPr>
              <w:t>6.2.2.1.1</w:t>
            </w:r>
          </w:p>
        </w:tc>
        <w:tc>
          <w:tcPr>
            <w:tcW w:w="3544" w:type="dxa"/>
          </w:tcPr>
          <w:p w14:paraId="1D555360" w14:textId="7DA9E9AE" w:rsidR="00067F34" w:rsidRDefault="00067F34" w:rsidP="007A48D7">
            <w:pPr>
              <w:pStyle w:val="NoSpacing"/>
              <w:rPr>
                <w:lang w:val="en-US"/>
              </w:rPr>
            </w:pPr>
            <w:r w:rsidRPr="00294085">
              <w:rPr>
                <w:lang w:val="en-US"/>
              </w:rPr>
              <w:t xml:space="preserve">Gas cylinders – Refillable seamless </w:t>
            </w:r>
            <w:proofErr w:type="spellStart"/>
            <w:r>
              <w:rPr>
                <w:lang w:val="en-US"/>
              </w:rPr>
              <w:t>aluminium</w:t>
            </w:r>
            <w:proofErr w:type="spellEnd"/>
            <w:r>
              <w:rPr>
                <w:lang w:val="en-US"/>
              </w:rPr>
              <w:t xml:space="preserve"> alloy</w:t>
            </w:r>
            <w:r w:rsidRPr="00294085">
              <w:rPr>
                <w:lang w:val="en-US"/>
              </w:rPr>
              <w:t xml:space="preserve"> gas cylinders – Design, construction and testing </w:t>
            </w:r>
          </w:p>
        </w:tc>
        <w:tc>
          <w:tcPr>
            <w:tcW w:w="1559" w:type="dxa"/>
          </w:tcPr>
          <w:p w14:paraId="189DFD23" w14:textId="6B2EB09C" w:rsidR="00067F34" w:rsidRDefault="00067F34" w:rsidP="00067F34">
            <w:pPr>
              <w:pStyle w:val="NoSpacing"/>
              <w:rPr>
                <w:lang w:val="en-US"/>
              </w:rPr>
            </w:pPr>
            <w:r>
              <w:rPr>
                <w:lang w:val="en-US"/>
              </w:rPr>
              <w:t>ISO 7866:1999</w:t>
            </w:r>
          </w:p>
        </w:tc>
        <w:tc>
          <w:tcPr>
            <w:tcW w:w="1559" w:type="dxa"/>
          </w:tcPr>
          <w:p w14:paraId="6D6C522E" w14:textId="58CB3A8D" w:rsidR="00067F34" w:rsidRDefault="00067F34" w:rsidP="00067F34">
            <w:pPr>
              <w:pStyle w:val="NoSpacing"/>
              <w:rPr>
                <w:lang w:val="en-US"/>
              </w:rPr>
            </w:pPr>
            <w:r>
              <w:rPr>
                <w:lang w:val="en-US"/>
              </w:rPr>
              <w:t>Until 31 December 2020</w:t>
            </w:r>
          </w:p>
        </w:tc>
      </w:tr>
      <w:tr w:rsidR="00067F34" w14:paraId="4220CB14" w14:textId="77777777" w:rsidTr="007A48D7">
        <w:tc>
          <w:tcPr>
            <w:tcW w:w="1413" w:type="dxa"/>
          </w:tcPr>
          <w:p w14:paraId="71B92824" w14:textId="3FD052EA" w:rsidR="00067F34" w:rsidRDefault="00067F34" w:rsidP="007A48D7">
            <w:pPr>
              <w:pStyle w:val="NoSpacing"/>
              <w:jc w:val="center"/>
              <w:rPr>
                <w:lang w:val="en-US"/>
              </w:rPr>
            </w:pPr>
            <w:r>
              <w:rPr>
                <w:lang w:val="en-US"/>
              </w:rPr>
              <w:t>6.2.2.1.1</w:t>
            </w:r>
          </w:p>
        </w:tc>
        <w:tc>
          <w:tcPr>
            <w:tcW w:w="3544" w:type="dxa"/>
          </w:tcPr>
          <w:p w14:paraId="6745D6CD" w14:textId="2F79F893" w:rsidR="00067F34" w:rsidRDefault="00067F34" w:rsidP="007A48D7">
            <w:pPr>
              <w:pStyle w:val="NoSpacing"/>
              <w:rPr>
                <w:lang w:val="en-US"/>
              </w:rPr>
            </w:pPr>
            <w:r>
              <w:rPr>
                <w:lang w:val="en-US"/>
              </w:rPr>
              <w:t>Gas cylinders of composite construction – Specification and test methods – Par</w:t>
            </w:r>
            <w:r w:rsidR="006C08F1">
              <w:rPr>
                <w:lang w:val="en-US"/>
              </w:rPr>
              <w:t>t</w:t>
            </w:r>
            <w:r>
              <w:rPr>
                <w:lang w:val="en-US"/>
              </w:rPr>
              <w:t xml:space="preserve"> 1: Hoop wrapped composite gas cylinders</w:t>
            </w:r>
          </w:p>
        </w:tc>
        <w:tc>
          <w:tcPr>
            <w:tcW w:w="1559" w:type="dxa"/>
          </w:tcPr>
          <w:p w14:paraId="55CCB34C" w14:textId="61D64F77" w:rsidR="00067F34" w:rsidRDefault="00067F34" w:rsidP="00067F34">
            <w:pPr>
              <w:pStyle w:val="NoSpacing"/>
              <w:rPr>
                <w:lang w:val="en-US"/>
              </w:rPr>
            </w:pPr>
            <w:r>
              <w:rPr>
                <w:lang w:val="en-US"/>
              </w:rPr>
              <w:t>ISO 11119-1:2002</w:t>
            </w:r>
          </w:p>
        </w:tc>
        <w:tc>
          <w:tcPr>
            <w:tcW w:w="1559" w:type="dxa"/>
          </w:tcPr>
          <w:p w14:paraId="7D4E5BB3" w14:textId="353E6A11" w:rsidR="00067F34" w:rsidRDefault="00F6207A" w:rsidP="00067F34">
            <w:pPr>
              <w:pStyle w:val="NoSpacing"/>
              <w:rPr>
                <w:lang w:val="en-US"/>
              </w:rPr>
            </w:pPr>
            <w:r>
              <w:rPr>
                <w:lang w:val="en-US"/>
              </w:rPr>
              <w:t>Until 31 December 2020</w:t>
            </w:r>
          </w:p>
        </w:tc>
      </w:tr>
      <w:tr w:rsidR="00067F34" w14:paraId="4B8D28FE" w14:textId="77777777" w:rsidTr="007A48D7">
        <w:tc>
          <w:tcPr>
            <w:tcW w:w="1413" w:type="dxa"/>
          </w:tcPr>
          <w:p w14:paraId="7F1B8B37" w14:textId="11E48EB0" w:rsidR="00F6207A" w:rsidRDefault="00F6207A" w:rsidP="00165E2C">
            <w:pPr>
              <w:pStyle w:val="NoSpacing"/>
              <w:jc w:val="center"/>
              <w:rPr>
                <w:lang w:val="en-US"/>
              </w:rPr>
            </w:pPr>
            <w:r>
              <w:rPr>
                <w:lang w:val="en-US"/>
              </w:rPr>
              <w:t>6.2.2.1.1</w:t>
            </w:r>
          </w:p>
        </w:tc>
        <w:tc>
          <w:tcPr>
            <w:tcW w:w="3544" w:type="dxa"/>
          </w:tcPr>
          <w:p w14:paraId="5EB8ABB9" w14:textId="1420200B" w:rsidR="00067F34" w:rsidRDefault="006C08F1" w:rsidP="007A48D7">
            <w:pPr>
              <w:pStyle w:val="NoSpacing"/>
              <w:rPr>
                <w:lang w:val="en-US"/>
              </w:rPr>
            </w:pPr>
            <w:r>
              <w:rPr>
                <w:lang w:val="en-US"/>
              </w:rPr>
              <w:t xml:space="preserve">Gas cylinders of composite construction – Specification and test methods – Part 2: Fully wrapped </w:t>
            </w:r>
            <w:proofErr w:type="spellStart"/>
            <w:r>
              <w:rPr>
                <w:lang w:val="en-US"/>
              </w:rPr>
              <w:t>fibre</w:t>
            </w:r>
            <w:proofErr w:type="spellEnd"/>
            <w:r>
              <w:rPr>
                <w:lang w:val="en-US"/>
              </w:rPr>
              <w:t xml:space="preserve"> reinforced composite gas cylinders with load-sharing metal liners</w:t>
            </w:r>
          </w:p>
        </w:tc>
        <w:tc>
          <w:tcPr>
            <w:tcW w:w="1559" w:type="dxa"/>
          </w:tcPr>
          <w:p w14:paraId="1AD36188" w14:textId="533309FF" w:rsidR="00067F34" w:rsidRDefault="006C08F1" w:rsidP="00067F34">
            <w:pPr>
              <w:pStyle w:val="NoSpacing"/>
              <w:rPr>
                <w:lang w:val="en-US"/>
              </w:rPr>
            </w:pPr>
            <w:r>
              <w:rPr>
                <w:lang w:val="en-US"/>
              </w:rPr>
              <w:t>ISO 11119-2:2002</w:t>
            </w:r>
          </w:p>
        </w:tc>
        <w:tc>
          <w:tcPr>
            <w:tcW w:w="1559" w:type="dxa"/>
          </w:tcPr>
          <w:p w14:paraId="6DA0C407" w14:textId="6E6BAC70" w:rsidR="00067F34" w:rsidRDefault="006C08F1" w:rsidP="00067F34">
            <w:pPr>
              <w:pStyle w:val="NoSpacing"/>
              <w:rPr>
                <w:lang w:val="en-US"/>
              </w:rPr>
            </w:pPr>
            <w:r>
              <w:rPr>
                <w:lang w:val="en-US"/>
              </w:rPr>
              <w:t>Until 31 December 2020</w:t>
            </w:r>
          </w:p>
        </w:tc>
      </w:tr>
      <w:tr w:rsidR="00F6207A" w14:paraId="4BA1402A" w14:textId="77777777" w:rsidTr="007A48D7">
        <w:tc>
          <w:tcPr>
            <w:tcW w:w="1413" w:type="dxa"/>
          </w:tcPr>
          <w:p w14:paraId="766815A5" w14:textId="2AE9D466" w:rsidR="00F6207A" w:rsidRDefault="00F6207A" w:rsidP="00A66C68">
            <w:pPr>
              <w:pStyle w:val="NoSpacing"/>
              <w:jc w:val="center"/>
              <w:rPr>
                <w:lang w:val="en-US"/>
              </w:rPr>
            </w:pPr>
            <w:r>
              <w:rPr>
                <w:lang w:val="en-US"/>
              </w:rPr>
              <w:lastRenderedPageBreak/>
              <w:t>6.2.2.1.1</w:t>
            </w:r>
          </w:p>
        </w:tc>
        <w:tc>
          <w:tcPr>
            <w:tcW w:w="3544" w:type="dxa"/>
          </w:tcPr>
          <w:p w14:paraId="12135F31" w14:textId="768BDC91" w:rsidR="00F6207A" w:rsidRDefault="006C08F1" w:rsidP="007A48D7">
            <w:pPr>
              <w:pStyle w:val="NoSpacing"/>
              <w:rPr>
                <w:lang w:val="en-US"/>
              </w:rPr>
            </w:pPr>
            <w:r>
              <w:rPr>
                <w:lang w:val="en-US"/>
              </w:rPr>
              <w:t xml:space="preserve">Gas cylinders of composite construction – Specification and test methods – Part 3: Fully wrapped </w:t>
            </w:r>
            <w:proofErr w:type="spellStart"/>
            <w:r>
              <w:rPr>
                <w:lang w:val="en-US"/>
              </w:rPr>
              <w:t>fibre</w:t>
            </w:r>
            <w:proofErr w:type="spellEnd"/>
            <w:r>
              <w:rPr>
                <w:lang w:val="en-US"/>
              </w:rPr>
              <w:t xml:space="preserve"> reinforced composite gas cylinders with non-load-sharing metallic or non-metallic liners</w:t>
            </w:r>
          </w:p>
        </w:tc>
        <w:tc>
          <w:tcPr>
            <w:tcW w:w="1559" w:type="dxa"/>
          </w:tcPr>
          <w:p w14:paraId="0C37A535" w14:textId="5FD66EC3" w:rsidR="00F6207A" w:rsidRDefault="006C08F1" w:rsidP="00067F34">
            <w:pPr>
              <w:pStyle w:val="NoSpacing"/>
              <w:rPr>
                <w:lang w:val="en-US"/>
              </w:rPr>
            </w:pPr>
            <w:r>
              <w:rPr>
                <w:lang w:val="en-US"/>
              </w:rPr>
              <w:t>ISO 11119-3:2002</w:t>
            </w:r>
          </w:p>
        </w:tc>
        <w:tc>
          <w:tcPr>
            <w:tcW w:w="1559" w:type="dxa"/>
          </w:tcPr>
          <w:p w14:paraId="4DC9A3E4" w14:textId="2067CE8F" w:rsidR="00F6207A" w:rsidRDefault="006C08F1" w:rsidP="00067F34">
            <w:pPr>
              <w:pStyle w:val="NoSpacing"/>
              <w:rPr>
                <w:lang w:val="en-US"/>
              </w:rPr>
            </w:pPr>
            <w:r>
              <w:rPr>
                <w:lang w:val="en-US"/>
              </w:rPr>
              <w:t>Until 31 December 2020</w:t>
            </w:r>
          </w:p>
        </w:tc>
      </w:tr>
      <w:tr w:rsidR="007748FC" w14:paraId="48049B52" w14:textId="77777777" w:rsidTr="007A48D7">
        <w:tc>
          <w:tcPr>
            <w:tcW w:w="1413" w:type="dxa"/>
          </w:tcPr>
          <w:p w14:paraId="298A1700" w14:textId="137804D3" w:rsidR="007748FC" w:rsidRDefault="007748FC" w:rsidP="00A66C68">
            <w:pPr>
              <w:pStyle w:val="NoSpacing"/>
              <w:jc w:val="center"/>
              <w:rPr>
                <w:lang w:val="en-US"/>
              </w:rPr>
            </w:pPr>
            <w:r>
              <w:rPr>
                <w:lang w:val="en-US"/>
              </w:rPr>
              <w:t>6.2.2.1.3</w:t>
            </w:r>
          </w:p>
        </w:tc>
        <w:tc>
          <w:tcPr>
            <w:tcW w:w="3544" w:type="dxa"/>
          </w:tcPr>
          <w:p w14:paraId="31A11D03" w14:textId="5CBF7428" w:rsidR="007748FC" w:rsidRDefault="007748FC" w:rsidP="007A48D7">
            <w:pPr>
              <w:pStyle w:val="NoSpacing"/>
              <w:rPr>
                <w:lang w:val="en-US"/>
              </w:rPr>
            </w:pPr>
            <w:r>
              <w:rPr>
                <w:lang w:val="en-US"/>
              </w:rPr>
              <w:t>Gas cylinders – Refillable seamless steel gas cylinders – Design, construction and testing – Part 1: Quenched and tempered steel cylinders with tensile strength less than 1 100 MPa</w:t>
            </w:r>
          </w:p>
        </w:tc>
        <w:tc>
          <w:tcPr>
            <w:tcW w:w="1559" w:type="dxa"/>
          </w:tcPr>
          <w:p w14:paraId="0CE2D6E8" w14:textId="518F6717" w:rsidR="007748FC" w:rsidRDefault="007748FC" w:rsidP="007748FC">
            <w:pPr>
              <w:pStyle w:val="NoSpacing"/>
              <w:rPr>
                <w:lang w:val="en-US"/>
              </w:rPr>
            </w:pPr>
            <w:r>
              <w:rPr>
                <w:lang w:val="en-US"/>
              </w:rPr>
              <w:t>ISO 9809-1:1999</w:t>
            </w:r>
          </w:p>
        </w:tc>
        <w:tc>
          <w:tcPr>
            <w:tcW w:w="1559" w:type="dxa"/>
          </w:tcPr>
          <w:p w14:paraId="755B3B73" w14:textId="4555F67C" w:rsidR="007748FC" w:rsidRDefault="007748FC" w:rsidP="007748FC">
            <w:pPr>
              <w:pStyle w:val="NoSpacing"/>
              <w:rPr>
                <w:lang w:val="en-US"/>
              </w:rPr>
            </w:pPr>
            <w:r>
              <w:rPr>
                <w:lang w:val="en-US"/>
              </w:rPr>
              <w:t>Until 31 December 2018</w:t>
            </w:r>
          </w:p>
        </w:tc>
      </w:tr>
      <w:tr w:rsidR="007748FC" w14:paraId="5480FFAE" w14:textId="77777777" w:rsidTr="007A48D7">
        <w:tc>
          <w:tcPr>
            <w:tcW w:w="1413" w:type="dxa"/>
          </w:tcPr>
          <w:p w14:paraId="016A7A35" w14:textId="5BA5F6A3" w:rsidR="007748FC" w:rsidRDefault="007748FC" w:rsidP="00A66C68">
            <w:pPr>
              <w:pStyle w:val="NoSpacing"/>
              <w:jc w:val="center"/>
              <w:rPr>
                <w:lang w:val="en-US"/>
              </w:rPr>
            </w:pPr>
            <w:r>
              <w:rPr>
                <w:lang w:val="en-US"/>
              </w:rPr>
              <w:t>6.2.2.1.3</w:t>
            </w:r>
          </w:p>
        </w:tc>
        <w:tc>
          <w:tcPr>
            <w:tcW w:w="3544" w:type="dxa"/>
          </w:tcPr>
          <w:p w14:paraId="6CDF063D" w14:textId="29271EBD" w:rsidR="007748FC" w:rsidRDefault="00F2491D" w:rsidP="00F2491D">
            <w:pPr>
              <w:pStyle w:val="NoSpacing"/>
              <w:rPr>
                <w:lang w:val="en-US"/>
              </w:rPr>
            </w:pPr>
            <w:r>
              <w:rPr>
                <w:lang w:val="en-US"/>
              </w:rPr>
              <w:t>Gas cylinders – Refillable seamless steel gas cylinders – Design, construction and testing – Part 3: Normalized steel cylinders</w:t>
            </w:r>
          </w:p>
        </w:tc>
        <w:tc>
          <w:tcPr>
            <w:tcW w:w="1559" w:type="dxa"/>
          </w:tcPr>
          <w:p w14:paraId="5FFDD766" w14:textId="65BA88E4" w:rsidR="007748FC" w:rsidRDefault="007748FC" w:rsidP="007748FC">
            <w:pPr>
              <w:pStyle w:val="NoSpacing"/>
              <w:rPr>
                <w:lang w:val="en-US"/>
              </w:rPr>
            </w:pPr>
            <w:r>
              <w:rPr>
                <w:lang w:val="en-US"/>
              </w:rPr>
              <w:t>ISO 9809-3:2000</w:t>
            </w:r>
          </w:p>
        </w:tc>
        <w:tc>
          <w:tcPr>
            <w:tcW w:w="1559" w:type="dxa"/>
          </w:tcPr>
          <w:p w14:paraId="42FF3AD6" w14:textId="40B8602D" w:rsidR="007748FC" w:rsidRDefault="007748FC" w:rsidP="007748FC">
            <w:pPr>
              <w:pStyle w:val="NoSpacing"/>
              <w:rPr>
                <w:lang w:val="en-US"/>
              </w:rPr>
            </w:pPr>
            <w:r>
              <w:rPr>
                <w:lang w:val="en-US"/>
              </w:rPr>
              <w:t>Until 31 December 2018</w:t>
            </w:r>
          </w:p>
        </w:tc>
      </w:tr>
      <w:tr w:rsidR="007748FC" w14:paraId="5D58989C" w14:textId="77777777" w:rsidTr="007A48D7">
        <w:tc>
          <w:tcPr>
            <w:tcW w:w="1413" w:type="dxa"/>
          </w:tcPr>
          <w:p w14:paraId="7F37CA1C" w14:textId="263099B0" w:rsidR="007748FC" w:rsidRDefault="007748FC" w:rsidP="00A66C68">
            <w:pPr>
              <w:pStyle w:val="NoSpacing"/>
              <w:jc w:val="center"/>
              <w:rPr>
                <w:lang w:val="en-US"/>
              </w:rPr>
            </w:pPr>
            <w:r>
              <w:rPr>
                <w:lang w:val="en-US"/>
              </w:rPr>
              <w:t>6.2.2.1.3</w:t>
            </w:r>
          </w:p>
        </w:tc>
        <w:tc>
          <w:tcPr>
            <w:tcW w:w="3544" w:type="dxa"/>
          </w:tcPr>
          <w:p w14:paraId="1A51A2D7" w14:textId="52CDC3C2" w:rsidR="007748FC" w:rsidRDefault="00F2491D" w:rsidP="007748FC">
            <w:pPr>
              <w:pStyle w:val="NoSpacing"/>
              <w:rPr>
                <w:lang w:val="en-US"/>
              </w:rPr>
            </w:pPr>
            <w:r>
              <w:rPr>
                <w:lang w:val="en-US"/>
              </w:rPr>
              <w:t>Cylinders for acetylene – Basic requirements – Part 1: Cylinders without fusible plugs</w:t>
            </w:r>
          </w:p>
        </w:tc>
        <w:tc>
          <w:tcPr>
            <w:tcW w:w="1559" w:type="dxa"/>
          </w:tcPr>
          <w:p w14:paraId="48E0BF96" w14:textId="46B9FE86" w:rsidR="007748FC" w:rsidRDefault="00F2491D" w:rsidP="007748FC">
            <w:pPr>
              <w:pStyle w:val="NoSpacing"/>
              <w:rPr>
                <w:lang w:val="en-US"/>
              </w:rPr>
            </w:pPr>
            <w:r>
              <w:rPr>
                <w:lang w:val="en-US"/>
              </w:rPr>
              <w:t>ISO 3807-1:2000</w:t>
            </w:r>
          </w:p>
        </w:tc>
        <w:tc>
          <w:tcPr>
            <w:tcW w:w="1559" w:type="dxa"/>
          </w:tcPr>
          <w:p w14:paraId="7122C125" w14:textId="4DEA4F06" w:rsidR="007748FC" w:rsidRDefault="00F2491D" w:rsidP="007748FC">
            <w:pPr>
              <w:pStyle w:val="NoSpacing"/>
              <w:rPr>
                <w:lang w:val="en-US"/>
              </w:rPr>
            </w:pPr>
            <w:r>
              <w:rPr>
                <w:lang w:val="en-US"/>
              </w:rPr>
              <w:t>Until 31 December 2020</w:t>
            </w:r>
          </w:p>
        </w:tc>
      </w:tr>
      <w:tr w:rsidR="007748FC" w14:paraId="15A4CD19" w14:textId="77777777" w:rsidTr="007A48D7">
        <w:tc>
          <w:tcPr>
            <w:tcW w:w="1413" w:type="dxa"/>
          </w:tcPr>
          <w:p w14:paraId="5515723A" w14:textId="2FF09A81" w:rsidR="007748FC" w:rsidRDefault="007748FC" w:rsidP="00E71C1E">
            <w:pPr>
              <w:pStyle w:val="NoSpacing"/>
              <w:jc w:val="center"/>
              <w:rPr>
                <w:lang w:val="en-US"/>
              </w:rPr>
            </w:pPr>
            <w:r>
              <w:rPr>
                <w:lang w:val="en-US"/>
              </w:rPr>
              <w:t>6.2.2.1.3</w:t>
            </w:r>
          </w:p>
        </w:tc>
        <w:tc>
          <w:tcPr>
            <w:tcW w:w="3544" w:type="dxa"/>
          </w:tcPr>
          <w:p w14:paraId="32CC08D8" w14:textId="52CC6D48" w:rsidR="007748FC" w:rsidRDefault="00F2491D" w:rsidP="00F2491D">
            <w:pPr>
              <w:pStyle w:val="NoSpacing"/>
              <w:rPr>
                <w:lang w:val="en-US"/>
              </w:rPr>
            </w:pPr>
            <w:r>
              <w:rPr>
                <w:lang w:val="en-US"/>
              </w:rPr>
              <w:t>Cylinders for acetylene – Basic requirements – Part 2: Cylinders with fusible plugs</w:t>
            </w:r>
          </w:p>
        </w:tc>
        <w:tc>
          <w:tcPr>
            <w:tcW w:w="1559" w:type="dxa"/>
          </w:tcPr>
          <w:p w14:paraId="587C0C4D" w14:textId="1F6354C8" w:rsidR="007748FC" w:rsidRDefault="00F2491D" w:rsidP="007748FC">
            <w:pPr>
              <w:pStyle w:val="NoSpacing"/>
              <w:rPr>
                <w:lang w:val="en-US"/>
              </w:rPr>
            </w:pPr>
            <w:r>
              <w:rPr>
                <w:lang w:val="en-US"/>
              </w:rPr>
              <w:t>ISO 3807-2:2000</w:t>
            </w:r>
          </w:p>
        </w:tc>
        <w:tc>
          <w:tcPr>
            <w:tcW w:w="1559" w:type="dxa"/>
          </w:tcPr>
          <w:p w14:paraId="29F0CAE7" w14:textId="7EBC6D67" w:rsidR="007748FC" w:rsidRDefault="00F2491D" w:rsidP="007748FC">
            <w:pPr>
              <w:pStyle w:val="NoSpacing"/>
              <w:rPr>
                <w:lang w:val="en-US"/>
              </w:rPr>
            </w:pPr>
            <w:r>
              <w:rPr>
                <w:lang w:val="en-US"/>
              </w:rPr>
              <w:t>Until 31 December 2020</w:t>
            </w:r>
          </w:p>
        </w:tc>
      </w:tr>
      <w:tr w:rsidR="007748FC" w14:paraId="6382F93E" w14:textId="77777777" w:rsidTr="007A48D7">
        <w:tc>
          <w:tcPr>
            <w:tcW w:w="1413" w:type="dxa"/>
          </w:tcPr>
          <w:p w14:paraId="1582DCE5" w14:textId="51B26496" w:rsidR="007748FC" w:rsidRDefault="007748FC" w:rsidP="007A48D7">
            <w:pPr>
              <w:pStyle w:val="NoSpacing"/>
              <w:jc w:val="center"/>
              <w:rPr>
                <w:lang w:val="en-US"/>
              </w:rPr>
            </w:pPr>
            <w:r>
              <w:rPr>
                <w:lang w:val="en-US"/>
              </w:rPr>
              <w:t>6.2.2.1.9</w:t>
            </w:r>
          </w:p>
        </w:tc>
        <w:tc>
          <w:tcPr>
            <w:tcW w:w="3544" w:type="dxa"/>
          </w:tcPr>
          <w:p w14:paraId="5861092B" w14:textId="07EEA0D3" w:rsidR="007748FC" w:rsidRDefault="009C3A6D" w:rsidP="007748FC">
            <w:pPr>
              <w:pStyle w:val="NoSpacing"/>
              <w:rPr>
                <w:lang w:val="en-US"/>
              </w:rPr>
            </w:pPr>
            <w:r>
              <w:rPr>
                <w:lang w:val="en-US"/>
              </w:rPr>
              <w:t>Gas cylinders – Non-refillable metallic gas cylinders – Specification and test methods</w:t>
            </w:r>
          </w:p>
        </w:tc>
        <w:tc>
          <w:tcPr>
            <w:tcW w:w="1559" w:type="dxa"/>
          </w:tcPr>
          <w:p w14:paraId="1DA99781" w14:textId="1422F068" w:rsidR="007748FC" w:rsidRDefault="00F2491D" w:rsidP="007748FC">
            <w:pPr>
              <w:pStyle w:val="NoSpacing"/>
              <w:rPr>
                <w:lang w:val="en-US"/>
              </w:rPr>
            </w:pPr>
            <w:r>
              <w:rPr>
                <w:lang w:val="en-US"/>
              </w:rPr>
              <w:t>ISO 11118:1999</w:t>
            </w:r>
          </w:p>
        </w:tc>
        <w:tc>
          <w:tcPr>
            <w:tcW w:w="1559" w:type="dxa"/>
          </w:tcPr>
          <w:p w14:paraId="0E260463" w14:textId="0FB44265" w:rsidR="007748FC" w:rsidRDefault="00F2491D" w:rsidP="007748FC">
            <w:pPr>
              <w:pStyle w:val="NoSpacing"/>
              <w:rPr>
                <w:lang w:val="en-US"/>
              </w:rPr>
            </w:pPr>
            <w:r>
              <w:rPr>
                <w:lang w:val="en-US"/>
              </w:rPr>
              <w:t>Until 31 December 2020</w:t>
            </w:r>
          </w:p>
        </w:tc>
      </w:tr>
      <w:tr w:rsidR="007748FC" w14:paraId="2466FD4B" w14:textId="77777777" w:rsidTr="007A48D7">
        <w:tc>
          <w:tcPr>
            <w:tcW w:w="1413" w:type="dxa"/>
          </w:tcPr>
          <w:p w14:paraId="3E936F31" w14:textId="02C5B3DC" w:rsidR="007748FC" w:rsidRDefault="007748FC" w:rsidP="00E71C1E">
            <w:pPr>
              <w:pStyle w:val="NoSpacing"/>
              <w:jc w:val="center"/>
              <w:rPr>
                <w:lang w:val="en-US"/>
              </w:rPr>
            </w:pPr>
            <w:r>
              <w:rPr>
                <w:lang w:val="en-US"/>
              </w:rPr>
              <w:t>6.2.2.1.9</w:t>
            </w:r>
          </w:p>
        </w:tc>
        <w:tc>
          <w:tcPr>
            <w:tcW w:w="3544" w:type="dxa"/>
          </w:tcPr>
          <w:p w14:paraId="391D76C7" w14:textId="08106DF9" w:rsidR="007748FC" w:rsidRDefault="009C3A6D" w:rsidP="007748FC">
            <w:pPr>
              <w:pStyle w:val="NoSpacing"/>
              <w:rPr>
                <w:lang w:val="en-US"/>
              </w:rPr>
            </w:pPr>
            <w:r>
              <w:rPr>
                <w:lang w:val="en-US"/>
              </w:rPr>
              <w:t>Transportable gas cylinders – Cylinder valves for non-refillable cylinders – Specification and prototype testing</w:t>
            </w:r>
          </w:p>
        </w:tc>
        <w:tc>
          <w:tcPr>
            <w:tcW w:w="1559" w:type="dxa"/>
          </w:tcPr>
          <w:p w14:paraId="3A62912D" w14:textId="1A1F3CD9" w:rsidR="007748FC" w:rsidRDefault="00F2491D" w:rsidP="007748FC">
            <w:pPr>
              <w:pStyle w:val="NoSpacing"/>
              <w:rPr>
                <w:lang w:val="en-US"/>
              </w:rPr>
            </w:pPr>
            <w:r>
              <w:rPr>
                <w:lang w:val="en-US"/>
              </w:rPr>
              <w:t>ISO 13340:2001</w:t>
            </w:r>
          </w:p>
        </w:tc>
        <w:tc>
          <w:tcPr>
            <w:tcW w:w="1559" w:type="dxa"/>
          </w:tcPr>
          <w:p w14:paraId="72683FDD" w14:textId="50CC9E30" w:rsidR="007748FC" w:rsidRDefault="00F2491D" w:rsidP="007748FC">
            <w:pPr>
              <w:pStyle w:val="NoSpacing"/>
              <w:rPr>
                <w:lang w:val="en-US"/>
              </w:rPr>
            </w:pPr>
            <w:r>
              <w:rPr>
                <w:lang w:val="en-US"/>
              </w:rPr>
              <w:t>Until 31 December 2020</w:t>
            </w:r>
          </w:p>
        </w:tc>
      </w:tr>
      <w:tr w:rsidR="007748FC" w14:paraId="0F79CBE8" w14:textId="77777777" w:rsidTr="007A48D7">
        <w:tc>
          <w:tcPr>
            <w:tcW w:w="1413" w:type="dxa"/>
          </w:tcPr>
          <w:p w14:paraId="16077A62" w14:textId="12AB2105" w:rsidR="007748FC" w:rsidRDefault="007748FC" w:rsidP="00E71C1E">
            <w:pPr>
              <w:pStyle w:val="NoSpacing"/>
              <w:jc w:val="center"/>
              <w:rPr>
                <w:lang w:val="en-US"/>
              </w:rPr>
            </w:pPr>
            <w:r>
              <w:rPr>
                <w:lang w:val="en-US"/>
              </w:rPr>
              <w:t>6.2.2.3</w:t>
            </w:r>
          </w:p>
        </w:tc>
        <w:tc>
          <w:tcPr>
            <w:tcW w:w="3544" w:type="dxa"/>
          </w:tcPr>
          <w:p w14:paraId="37EEBD8C" w14:textId="2E021BA1" w:rsidR="007748FC" w:rsidRDefault="009C3A6D" w:rsidP="007748FC">
            <w:pPr>
              <w:pStyle w:val="NoSpacing"/>
              <w:rPr>
                <w:lang w:val="en-US"/>
              </w:rPr>
            </w:pPr>
            <w:r>
              <w:rPr>
                <w:lang w:val="en-US"/>
              </w:rPr>
              <w:t>Gas cylinders – Valve protection caps and valve guards for industrial and medical gas cylinders – Design, construction and tests</w:t>
            </w:r>
          </w:p>
        </w:tc>
        <w:tc>
          <w:tcPr>
            <w:tcW w:w="1559" w:type="dxa"/>
          </w:tcPr>
          <w:p w14:paraId="5CEA6352" w14:textId="1571494D" w:rsidR="007748FC" w:rsidRDefault="009C3A6D" w:rsidP="007748FC">
            <w:pPr>
              <w:pStyle w:val="NoSpacing"/>
              <w:rPr>
                <w:lang w:val="en-US"/>
              </w:rPr>
            </w:pPr>
            <w:r>
              <w:rPr>
                <w:lang w:val="en-US"/>
              </w:rPr>
              <w:t>ISO 11117:1998</w:t>
            </w:r>
          </w:p>
        </w:tc>
        <w:tc>
          <w:tcPr>
            <w:tcW w:w="1559" w:type="dxa"/>
          </w:tcPr>
          <w:p w14:paraId="26F13B39" w14:textId="28E76AEB" w:rsidR="007748FC" w:rsidRDefault="009C3A6D" w:rsidP="007748FC">
            <w:pPr>
              <w:pStyle w:val="NoSpacing"/>
              <w:rPr>
                <w:lang w:val="en-US"/>
              </w:rPr>
            </w:pPr>
            <w:r>
              <w:rPr>
                <w:lang w:val="en-US"/>
              </w:rPr>
              <w:t>Until 31 December 2014</w:t>
            </w:r>
          </w:p>
        </w:tc>
      </w:tr>
      <w:tr w:rsidR="007748FC" w14:paraId="68E6919F" w14:textId="77777777" w:rsidTr="007A48D7">
        <w:tc>
          <w:tcPr>
            <w:tcW w:w="1413" w:type="dxa"/>
          </w:tcPr>
          <w:p w14:paraId="1EE090A8" w14:textId="74A759F4" w:rsidR="007748FC" w:rsidRDefault="007748FC" w:rsidP="007A48D7">
            <w:pPr>
              <w:pStyle w:val="NoSpacing"/>
              <w:jc w:val="center"/>
              <w:rPr>
                <w:lang w:val="en-US"/>
              </w:rPr>
            </w:pPr>
            <w:r>
              <w:rPr>
                <w:lang w:val="en-US"/>
              </w:rPr>
              <w:t>6.2.2.3</w:t>
            </w:r>
          </w:p>
        </w:tc>
        <w:tc>
          <w:tcPr>
            <w:tcW w:w="3544" w:type="dxa"/>
          </w:tcPr>
          <w:p w14:paraId="281A3D9F" w14:textId="7BCD4FA8" w:rsidR="007748FC" w:rsidRDefault="009C3A6D" w:rsidP="007748FC">
            <w:pPr>
              <w:pStyle w:val="NoSpacing"/>
              <w:rPr>
                <w:lang w:val="en-US"/>
              </w:rPr>
            </w:pPr>
            <w:r>
              <w:rPr>
                <w:lang w:val="en-US"/>
              </w:rPr>
              <w:t>Gas cylinders – Refillable gas cylinder valves – Specification and type testing</w:t>
            </w:r>
          </w:p>
        </w:tc>
        <w:tc>
          <w:tcPr>
            <w:tcW w:w="1559" w:type="dxa"/>
          </w:tcPr>
          <w:p w14:paraId="11BAC645" w14:textId="4F63720C" w:rsidR="007748FC" w:rsidRDefault="009C3A6D" w:rsidP="007748FC">
            <w:pPr>
              <w:pStyle w:val="NoSpacing"/>
              <w:rPr>
                <w:lang w:val="en-US"/>
              </w:rPr>
            </w:pPr>
            <w:r>
              <w:rPr>
                <w:lang w:val="en-US"/>
              </w:rPr>
              <w:t>ISO 10297:1999</w:t>
            </w:r>
          </w:p>
        </w:tc>
        <w:tc>
          <w:tcPr>
            <w:tcW w:w="1559" w:type="dxa"/>
          </w:tcPr>
          <w:p w14:paraId="4554FFCF" w14:textId="08CA4105" w:rsidR="007748FC" w:rsidRDefault="009C3A6D" w:rsidP="007748FC">
            <w:pPr>
              <w:pStyle w:val="NoSpacing"/>
              <w:rPr>
                <w:lang w:val="en-US"/>
              </w:rPr>
            </w:pPr>
            <w:r>
              <w:rPr>
                <w:lang w:val="en-US"/>
              </w:rPr>
              <w:t>Until 31 December 2008</w:t>
            </w:r>
          </w:p>
        </w:tc>
      </w:tr>
      <w:tr w:rsidR="007748FC" w14:paraId="0BDC89A8" w14:textId="77777777" w:rsidTr="007A48D7">
        <w:trPr>
          <w:trHeight w:val="611"/>
        </w:trPr>
        <w:tc>
          <w:tcPr>
            <w:tcW w:w="1413" w:type="dxa"/>
          </w:tcPr>
          <w:p w14:paraId="70548053" w14:textId="6D6C73E7" w:rsidR="007748FC" w:rsidRDefault="007748FC" w:rsidP="007A48D7">
            <w:pPr>
              <w:pStyle w:val="NoSpacing"/>
              <w:jc w:val="center"/>
              <w:rPr>
                <w:lang w:val="en-US"/>
              </w:rPr>
            </w:pPr>
            <w:r>
              <w:rPr>
                <w:lang w:val="en-US"/>
              </w:rPr>
              <w:t>6.2.2.3</w:t>
            </w:r>
          </w:p>
        </w:tc>
        <w:tc>
          <w:tcPr>
            <w:tcW w:w="3544" w:type="dxa"/>
          </w:tcPr>
          <w:p w14:paraId="74CBE03E" w14:textId="2670A758" w:rsidR="007748FC" w:rsidRDefault="009C3A6D" w:rsidP="007748FC">
            <w:pPr>
              <w:pStyle w:val="NoSpacing"/>
              <w:rPr>
                <w:lang w:val="en-US"/>
              </w:rPr>
            </w:pPr>
            <w:r>
              <w:rPr>
                <w:lang w:val="en-US"/>
              </w:rPr>
              <w:t>Gas cylinders – Refillable gas cylinder valves – Specification and type testing</w:t>
            </w:r>
          </w:p>
        </w:tc>
        <w:tc>
          <w:tcPr>
            <w:tcW w:w="1559" w:type="dxa"/>
          </w:tcPr>
          <w:p w14:paraId="4C66A089" w14:textId="0F6E09EF" w:rsidR="007748FC" w:rsidRDefault="009C3A6D" w:rsidP="007748FC">
            <w:pPr>
              <w:pStyle w:val="NoSpacing"/>
              <w:rPr>
                <w:lang w:val="en-US"/>
              </w:rPr>
            </w:pPr>
            <w:r>
              <w:rPr>
                <w:lang w:val="en-US"/>
              </w:rPr>
              <w:t>ISO 10297:2006</w:t>
            </w:r>
          </w:p>
        </w:tc>
        <w:tc>
          <w:tcPr>
            <w:tcW w:w="1559" w:type="dxa"/>
          </w:tcPr>
          <w:p w14:paraId="182984E8" w14:textId="61B2B9B7" w:rsidR="007748FC" w:rsidRDefault="009C3A6D" w:rsidP="007748FC">
            <w:pPr>
              <w:pStyle w:val="NoSpacing"/>
              <w:rPr>
                <w:lang w:val="en-US"/>
              </w:rPr>
            </w:pPr>
            <w:r>
              <w:rPr>
                <w:lang w:val="en-US"/>
              </w:rPr>
              <w:t>Until 31 December 2020</w:t>
            </w:r>
          </w:p>
        </w:tc>
      </w:tr>
    </w:tbl>
    <w:p w14:paraId="2C65F1CA" w14:textId="5C398ACE" w:rsidR="004C597F" w:rsidRDefault="009A7EB4" w:rsidP="009A7EB4">
      <w:pPr>
        <w:pStyle w:val="SingleTxtG"/>
        <w:spacing w:before="240"/>
        <w:rPr>
          <w:lang w:val="en-US"/>
        </w:rPr>
      </w:pPr>
      <w:r>
        <w:rPr>
          <w:lang w:val="en-US"/>
        </w:rPr>
        <w:tab/>
        <w:t>5.</w:t>
      </w:r>
      <w:r>
        <w:rPr>
          <w:lang w:val="en-US"/>
        </w:rPr>
        <w:tab/>
      </w:r>
      <w:r w:rsidR="004C597F">
        <w:rPr>
          <w:lang w:val="en-US"/>
        </w:rPr>
        <w:t xml:space="preserve">Spain is looking forward </w:t>
      </w:r>
      <w:r w:rsidR="00284329">
        <w:rPr>
          <w:lang w:val="en-US"/>
        </w:rPr>
        <w:t>for a</w:t>
      </w:r>
      <w:r w:rsidR="004C597F">
        <w:rPr>
          <w:lang w:val="en-US"/>
        </w:rPr>
        <w:t xml:space="preserve"> discussion o</w:t>
      </w:r>
      <w:r w:rsidR="00FA1BD3">
        <w:rPr>
          <w:lang w:val="en-US"/>
        </w:rPr>
        <w:t>n</w:t>
      </w:r>
      <w:r w:rsidR="004C597F">
        <w:rPr>
          <w:lang w:val="en-US"/>
        </w:rPr>
        <w:t xml:space="preserve"> this topic and</w:t>
      </w:r>
      <w:r w:rsidR="00614389">
        <w:rPr>
          <w:lang w:val="en-US"/>
        </w:rPr>
        <w:t>,</w:t>
      </w:r>
      <w:r w:rsidR="004C597F">
        <w:rPr>
          <w:lang w:val="en-US"/>
        </w:rPr>
        <w:t xml:space="preserve"> if the Sub</w:t>
      </w:r>
      <w:r w:rsidR="00614389">
        <w:rPr>
          <w:lang w:val="en-US"/>
        </w:rPr>
        <w:t>-C</w:t>
      </w:r>
      <w:r w:rsidR="004C597F">
        <w:rPr>
          <w:lang w:val="en-US"/>
        </w:rPr>
        <w:t>ommittee</w:t>
      </w:r>
      <w:r w:rsidR="00614389">
        <w:rPr>
          <w:lang w:val="en-US"/>
        </w:rPr>
        <w:t xml:space="preserve"> wishes</w:t>
      </w:r>
      <w:r w:rsidR="004C597F">
        <w:rPr>
          <w:lang w:val="en-US"/>
        </w:rPr>
        <w:t xml:space="preserve">, may prepare a formal document for the next session to </w:t>
      </w:r>
      <w:r w:rsidR="00614389">
        <w:rPr>
          <w:lang w:val="en-US"/>
        </w:rPr>
        <w:t>remove</w:t>
      </w:r>
      <w:r w:rsidR="004C597F">
        <w:rPr>
          <w:lang w:val="en-US"/>
        </w:rPr>
        <w:t xml:space="preserve"> the outdated standards</w:t>
      </w:r>
      <w:r w:rsidR="007A48D7">
        <w:rPr>
          <w:lang w:val="en-US"/>
        </w:rPr>
        <w:t>,</w:t>
      </w:r>
      <w:r w:rsidR="003D6F46">
        <w:rPr>
          <w:lang w:val="en-US"/>
        </w:rPr>
        <w:t xml:space="preserve"> if needed</w:t>
      </w:r>
      <w:r w:rsidR="004C597F">
        <w:rPr>
          <w:lang w:val="en-US"/>
        </w:rPr>
        <w:t>.</w:t>
      </w:r>
    </w:p>
    <w:p w14:paraId="263BE5BD" w14:textId="16BB25B6" w:rsidR="008247E7" w:rsidRPr="004E2CEA" w:rsidRDefault="004E2CEA" w:rsidP="004E2CEA">
      <w:pPr>
        <w:spacing w:before="240"/>
        <w:jc w:val="center"/>
        <w:rPr>
          <w:u w:val="single"/>
        </w:rPr>
      </w:pPr>
      <w:r>
        <w:rPr>
          <w:u w:val="single"/>
        </w:rPr>
        <w:tab/>
      </w:r>
      <w:r>
        <w:rPr>
          <w:u w:val="single"/>
        </w:rPr>
        <w:tab/>
      </w:r>
      <w:r>
        <w:rPr>
          <w:u w:val="single"/>
        </w:rPr>
        <w:tab/>
      </w:r>
    </w:p>
    <w:sectPr w:rsidR="008247E7" w:rsidRPr="004E2CE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A6861" w14:textId="77777777" w:rsidR="00FF3684" w:rsidRDefault="00FF3684"/>
  </w:endnote>
  <w:endnote w:type="continuationSeparator" w:id="0">
    <w:p w14:paraId="5E06C923" w14:textId="77777777" w:rsidR="00FF3684" w:rsidRDefault="00FF3684"/>
  </w:endnote>
  <w:endnote w:type="continuationNotice" w:id="1">
    <w:p w14:paraId="715EAFD1" w14:textId="77777777" w:rsidR="00FF3684" w:rsidRDefault="00FF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B3CE" w14:textId="045B40A3"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A0572B">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0AA5" w14:textId="16409275"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0572B">
      <w:rPr>
        <w:b/>
        <w:noProof/>
        <w:sz w:val="18"/>
      </w:rPr>
      <w:t>3</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67D8" w14:textId="77777777" w:rsidR="00FF3684" w:rsidRPr="000B175B" w:rsidRDefault="00FF3684" w:rsidP="000B175B">
      <w:pPr>
        <w:tabs>
          <w:tab w:val="right" w:pos="2155"/>
        </w:tabs>
        <w:spacing w:after="80"/>
        <w:ind w:left="680"/>
        <w:rPr>
          <w:u w:val="single"/>
        </w:rPr>
      </w:pPr>
      <w:r>
        <w:rPr>
          <w:u w:val="single"/>
        </w:rPr>
        <w:tab/>
      </w:r>
    </w:p>
  </w:footnote>
  <w:footnote w:type="continuationSeparator" w:id="0">
    <w:p w14:paraId="55CB20AA" w14:textId="77777777" w:rsidR="00FF3684" w:rsidRPr="00FC68B7" w:rsidRDefault="00FF3684" w:rsidP="00FC68B7">
      <w:pPr>
        <w:tabs>
          <w:tab w:val="left" w:pos="2155"/>
        </w:tabs>
        <w:spacing w:after="80"/>
        <w:ind w:left="680"/>
        <w:rPr>
          <w:u w:val="single"/>
        </w:rPr>
      </w:pPr>
      <w:r>
        <w:rPr>
          <w:u w:val="single"/>
        </w:rPr>
        <w:tab/>
      </w:r>
    </w:p>
  </w:footnote>
  <w:footnote w:type="continuationNotice" w:id="1">
    <w:p w14:paraId="5BDA191E" w14:textId="77777777" w:rsidR="00FF3684" w:rsidRDefault="00FF36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8893" w14:textId="719E2C39" w:rsidR="00090CBF" w:rsidRPr="00B5392B" w:rsidRDefault="00090CBF">
    <w:pPr>
      <w:pStyle w:val="Header"/>
      <w:rPr>
        <w:lang w:val="nl-NL"/>
      </w:rPr>
    </w:pPr>
    <w:r w:rsidRPr="00340E2C">
      <w:rPr>
        <w:lang w:val="nl-NL"/>
      </w:rPr>
      <w:t>UN/SCETDG/</w:t>
    </w:r>
    <w:r w:rsidR="009A7EB4">
      <w:rPr>
        <w:lang w:val="nl-NL"/>
      </w:rPr>
      <w:t>59/INF.15</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2"/>
  </w:num>
  <w:num w:numId="14">
    <w:abstractNumId w:val="28"/>
  </w:num>
  <w:num w:numId="15">
    <w:abstractNumId w:val="32"/>
  </w:num>
  <w:num w:numId="16">
    <w:abstractNumId w:val="16"/>
  </w:num>
  <w:num w:numId="17">
    <w:abstractNumId w:val="10"/>
  </w:num>
  <w:num w:numId="18">
    <w:abstractNumId w:val="33"/>
  </w:num>
  <w:num w:numId="19">
    <w:abstractNumId w:val="31"/>
  </w:num>
  <w:num w:numId="20">
    <w:abstractNumId w:val="11"/>
  </w:num>
  <w:num w:numId="21">
    <w:abstractNumId w:val="29"/>
  </w:num>
  <w:num w:numId="22">
    <w:abstractNumId w:val="13"/>
  </w:num>
  <w:num w:numId="23">
    <w:abstractNumId w:val="30"/>
  </w:num>
  <w:num w:numId="24">
    <w:abstractNumId w:val="25"/>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 w:numId="34">
    <w:abstractNumId w:val="24"/>
  </w:num>
  <w:num w:numId="35">
    <w:abstractNumId w:val="34"/>
  </w:num>
  <w:num w:numId="36">
    <w:abstractNumId w:val="23"/>
  </w:num>
  <w:num w:numId="37">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67F34"/>
    <w:rsid w:val="00072C03"/>
    <w:rsid w:val="00072C8C"/>
    <w:rsid w:val="00073129"/>
    <w:rsid w:val="00075F99"/>
    <w:rsid w:val="00076A0A"/>
    <w:rsid w:val="00082CE1"/>
    <w:rsid w:val="00083598"/>
    <w:rsid w:val="00084632"/>
    <w:rsid w:val="00086BD3"/>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58"/>
    <w:rsid w:val="001016F4"/>
    <w:rsid w:val="00102B6D"/>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5E2C"/>
    <w:rsid w:val="00167786"/>
    <w:rsid w:val="00180633"/>
    <w:rsid w:val="00181019"/>
    <w:rsid w:val="0018162F"/>
    <w:rsid w:val="0018168F"/>
    <w:rsid w:val="001835BF"/>
    <w:rsid w:val="00184120"/>
    <w:rsid w:val="00184B86"/>
    <w:rsid w:val="00187513"/>
    <w:rsid w:val="0019112F"/>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0758"/>
    <w:rsid w:val="001E797C"/>
    <w:rsid w:val="002062DE"/>
    <w:rsid w:val="00211B12"/>
    <w:rsid w:val="00211E0B"/>
    <w:rsid w:val="0021481D"/>
    <w:rsid w:val="00221589"/>
    <w:rsid w:val="00221AC2"/>
    <w:rsid w:val="00224CD9"/>
    <w:rsid w:val="00224DCC"/>
    <w:rsid w:val="002309A7"/>
    <w:rsid w:val="0023231C"/>
    <w:rsid w:val="00233301"/>
    <w:rsid w:val="00235381"/>
    <w:rsid w:val="00237785"/>
    <w:rsid w:val="00241178"/>
    <w:rsid w:val="00241466"/>
    <w:rsid w:val="002440E7"/>
    <w:rsid w:val="00244C52"/>
    <w:rsid w:val="00247570"/>
    <w:rsid w:val="00250078"/>
    <w:rsid w:val="00257C1E"/>
    <w:rsid w:val="00261B71"/>
    <w:rsid w:val="002621F5"/>
    <w:rsid w:val="002622A9"/>
    <w:rsid w:val="002708B5"/>
    <w:rsid w:val="002725CA"/>
    <w:rsid w:val="00273A92"/>
    <w:rsid w:val="00277896"/>
    <w:rsid w:val="00280EB7"/>
    <w:rsid w:val="00284329"/>
    <w:rsid w:val="002905C1"/>
    <w:rsid w:val="00294085"/>
    <w:rsid w:val="00295C28"/>
    <w:rsid w:val="002976CF"/>
    <w:rsid w:val="002A0BD2"/>
    <w:rsid w:val="002A5B17"/>
    <w:rsid w:val="002B067A"/>
    <w:rsid w:val="002B1514"/>
    <w:rsid w:val="002B1CDA"/>
    <w:rsid w:val="002B5FC8"/>
    <w:rsid w:val="002C36D8"/>
    <w:rsid w:val="002C7F25"/>
    <w:rsid w:val="002D44DB"/>
    <w:rsid w:val="002D5A85"/>
    <w:rsid w:val="002D5C7D"/>
    <w:rsid w:val="002E35BB"/>
    <w:rsid w:val="002F5C87"/>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6777D"/>
    <w:rsid w:val="00372F06"/>
    <w:rsid w:val="00391647"/>
    <w:rsid w:val="00391A13"/>
    <w:rsid w:val="0039260F"/>
    <w:rsid w:val="0039277A"/>
    <w:rsid w:val="00393B99"/>
    <w:rsid w:val="00396040"/>
    <w:rsid w:val="00396F6A"/>
    <w:rsid w:val="003972E0"/>
    <w:rsid w:val="003A1EC2"/>
    <w:rsid w:val="003A52D7"/>
    <w:rsid w:val="003A5A16"/>
    <w:rsid w:val="003B0C98"/>
    <w:rsid w:val="003C0657"/>
    <w:rsid w:val="003C18C9"/>
    <w:rsid w:val="003C2CC4"/>
    <w:rsid w:val="003C655D"/>
    <w:rsid w:val="003D23B5"/>
    <w:rsid w:val="003D293B"/>
    <w:rsid w:val="003D4B23"/>
    <w:rsid w:val="003D6F46"/>
    <w:rsid w:val="003F23A4"/>
    <w:rsid w:val="003F54D8"/>
    <w:rsid w:val="003F5B52"/>
    <w:rsid w:val="00400408"/>
    <w:rsid w:val="004021B7"/>
    <w:rsid w:val="00403EC6"/>
    <w:rsid w:val="00406A80"/>
    <w:rsid w:val="00406CD4"/>
    <w:rsid w:val="004108CE"/>
    <w:rsid w:val="00420F4B"/>
    <w:rsid w:val="004248D6"/>
    <w:rsid w:val="00425205"/>
    <w:rsid w:val="00430086"/>
    <w:rsid w:val="00430918"/>
    <w:rsid w:val="004317D1"/>
    <w:rsid w:val="004325CB"/>
    <w:rsid w:val="00437F3F"/>
    <w:rsid w:val="00445B83"/>
    <w:rsid w:val="00446DE4"/>
    <w:rsid w:val="004526E8"/>
    <w:rsid w:val="00452D10"/>
    <w:rsid w:val="0045326D"/>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A52F4"/>
    <w:rsid w:val="004B25F8"/>
    <w:rsid w:val="004B2C9D"/>
    <w:rsid w:val="004B5939"/>
    <w:rsid w:val="004B73D6"/>
    <w:rsid w:val="004C39D0"/>
    <w:rsid w:val="004C4F1A"/>
    <w:rsid w:val="004C597F"/>
    <w:rsid w:val="004C6D6D"/>
    <w:rsid w:val="004E0C5D"/>
    <w:rsid w:val="004E2CEA"/>
    <w:rsid w:val="004F4240"/>
    <w:rsid w:val="004F6D33"/>
    <w:rsid w:val="004F6DF4"/>
    <w:rsid w:val="004F774F"/>
    <w:rsid w:val="004F77CD"/>
    <w:rsid w:val="0050042A"/>
    <w:rsid w:val="0050194A"/>
    <w:rsid w:val="00504855"/>
    <w:rsid w:val="00507CF1"/>
    <w:rsid w:val="00522177"/>
    <w:rsid w:val="00526AFD"/>
    <w:rsid w:val="00527910"/>
    <w:rsid w:val="005318BF"/>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0BF6"/>
    <w:rsid w:val="005E28E0"/>
    <w:rsid w:val="005E3563"/>
    <w:rsid w:val="005E3AAD"/>
    <w:rsid w:val="005E5946"/>
    <w:rsid w:val="005E64CA"/>
    <w:rsid w:val="005E75CA"/>
    <w:rsid w:val="005F12E4"/>
    <w:rsid w:val="005F3A39"/>
    <w:rsid w:val="005F5C2F"/>
    <w:rsid w:val="005F7BB1"/>
    <w:rsid w:val="00602490"/>
    <w:rsid w:val="00603E3C"/>
    <w:rsid w:val="0060673A"/>
    <w:rsid w:val="00611FC4"/>
    <w:rsid w:val="00612812"/>
    <w:rsid w:val="00614389"/>
    <w:rsid w:val="006147E0"/>
    <w:rsid w:val="006176FB"/>
    <w:rsid w:val="006216A1"/>
    <w:rsid w:val="00626B06"/>
    <w:rsid w:val="006279AC"/>
    <w:rsid w:val="0063419C"/>
    <w:rsid w:val="00635381"/>
    <w:rsid w:val="00636986"/>
    <w:rsid w:val="00637542"/>
    <w:rsid w:val="00640B26"/>
    <w:rsid w:val="00641194"/>
    <w:rsid w:val="00645A0B"/>
    <w:rsid w:val="006500BA"/>
    <w:rsid w:val="006506DB"/>
    <w:rsid w:val="00653B0C"/>
    <w:rsid w:val="00662121"/>
    <w:rsid w:val="00662E09"/>
    <w:rsid w:val="00670CF0"/>
    <w:rsid w:val="00675F87"/>
    <w:rsid w:val="006870AE"/>
    <w:rsid w:val="00690CD6"/>
    <w:rsid w:val="00695EA1"/>
    <w:rsid w:val="006A098A"/>
    <w:rsid w:val="006A3932"/>
    <w:rsid w:val="006A53DC"/>
    <w:rsid w:val="006A63E3"/>
    <w:rsid w:val="006A68F2"/>
    <w:rsid w:val="006A7392"/>
    <w:rsid w:val="006B1148"/>
    <w:rsid w:val="006B1C55"/>
    <w:rsid w:val="006C08F1"/>
    <w:rsid w:val="006C0D34"/>
    <w:rsid w:val="006C251B"/>
    <w:rsid w:val="006C2F7E"/>
    <w:rsid w:val="006D3560"/>
    <w:rsid w:val="006E3B65"/>
    <w:rsid w:val="006E4E78"/>
    <w:rsid w:val="006E564B"/>
    <w:rsid w:val="007025C0"/>
    <w:rsid w:val="00707F04"/>
    <w:rsid w:val="00710F53"/>
    <w:rsid w:val="00711637"/>
    <w:rsid w:val="00714F4F"/>
    <w:rsid w:val="0071611E"/>
    <w:rsid w:val="0072632A"/>
    <w:rsid w:val="00734F20"/>
    <w:rsid w:val="00736E6A"/>
    <w:rsid w:val="00741F59"/>
    <w:rsid w:val="0074697D"/>
    <w:rsid w:val="007510F5"/>
    <w:rsid w:val="007522DB"/>
    <w:rsid w:val="00755EBE"/>
    <w:rsid w:val="00761619"/>
    <w:rsid w:val="0076177C"/>
    <w:rsid w:val="00763C33"/>
    <w:rsid w:val="00766322"/>
    <w:rsid w:val="00770621"/>
    <w:rsid w:val="00770BCD"/>
    <w:rsid w:val="00771904"/>
    <w:rsid w:val="00773353"/>
    <w:rsid w:val="00774129"/>
    <w:rsid w:val="007741D0"/>
    <w:rsid w:val="007748FC"/>
    <w:rsid w:val="00774E8F"/>
    <w:rsid w:val="00774EAA"/>
    <w:rsid w:val="0077553A"/>
    <w:rsid w:val="00776C93"/>
    <w:rsid w:val="0078123B"/>
    <w:rsid w:val="00781B57"/>
    <w:rsid w:val="00786434"/>
    <w:rsid w:val="00790791"/>
    <w:rsid w:val="00796F36"/>
    <w:rsid w:val="007A2CDB"/>
    <w:rsid w:val="007A334C"/>
    <w:rsid w:val="007A44D6"/>
    <w:rsid w:val="007A48D7"/>
    <w:rsid w:val="007A62EC"/>
    <w:rsid w:val="007B06F2"/>
    <w:rsid w:val="007B1A7E"/>
    <w:rsid w:val="007B2BA8"/>
    <w:rsid w:val="007B4133"/>
    <w:rsid w:val="007B6BA5"/>
    <w:rsid w:val="007C2C0D"/>
    <w:rsid w:val="007C3162"/>
    <w:rsid w:val="007C3390"/>
    <w:rsid w:val="007C3739"/>
    <w:rsid w:val="007C4F4B"/>
    <w:rsid w:val="007C644D"/>
    <w:rsid w:val="007D1406"/>
    <w:rsid w:val="007D2AC1"/>
    <w:rsid w:val="007D384C"/>
    <w:rsid w:val="007D7BC6"/>
    <w:rsid w:val="007D7C5E"/>
    <w:rsid w:val="007E277E"/>
    <w:rsid w:val="007E4BD3"/>
    <w:rsid w:val="007E5D7C"/>
    <w:rsid w:val="007F10BF"/>
    <w:rsid w:val="007F2A54"/>
    <w:rsid w:val="007F5104"/>
    <w:rsid w:val="007F6611"/>
    <w:rsid w:val="00800024"/>
    <w:rsid w:val="008037A2"/>
    <w:rsid w:val="00816582"/>
    <w:rsid w:val="008175E9"/>
    <w:rsid w:val="00820A2D"/>
    <w:rsid w:val="008242D7"/>
    <w:rsid w:val="008247E7"/>
    <w:rsid w:val="00826C09"/>
    <w:rsid w:val="0083043E"/>
    <w:rsid w:val="0083055C"/>
    <w:rsid w:val="0083069A"/>
    <w:rsid w:val="00832A1D"/>
    <w:rsid w:val="00834479"/>
    <w:rsid w:val="008366B7"/>
    <w:rsid w:val="00843AB2"/>
    <w:rsid w:val="00846809"/>
    <w:rsid w:val="00846900"/>
    <w:rsid w:val="00857789"/>
    <w:rsid w:val="0086107D"/>
    <w:rsid w:val="00864251"/>
    <w:rsid w:val="00871FD5"/>
    <w:rsid w:val="00881213"/>
    <w:rsid w:val="008830CC"/>
    <w:rsid w:val="00890E91"/>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7319A"/>
    <w:rsid w:val="00980BD7"/>
    <w:rsid w:val="00981553"/>
    <w:rsid w:val="00984471"/>
    <w:rsid w:val="00985F37"/>
    <w:rsid w:val="009879EA"/>
    <w:rsid w:val="009908A5"/>
    <w:rsid w:val="0099124E"/>
    <w:rsid w:val="00991261"/>
    <w:rsid w:val="00991CC2"/>
    <w:rsid w:val="009953D5"/>
    <w:rsid w:val="009A1D29"/>
    <w:rsid w:val="009A7EB4"/>
    <w:rsid w:val="009B5985"/>
    <w:rsid w:val="009C3A6D"/>
    <w:rsid w:val="009C5690"/>
    <w:rsid w:val="009C6394"/>
    <w:rsid w:val="009D0E2A"/>
    <w:rsid w:val="009D0F0E"/>
    <w:rsid w:val="009D1AAE"/>
    <w:rsid w:val="009D634E"/>
    <w:rsid w:val="009E1560"/>
    <w:rsid w:val="009F0F06"/>
    <w:rsid w:val="009F1220"/>
    <w:rsid w:val="009F28BC"/>
    <w:rsid w:val="009F4FC5"/>
    <w:rsid w:val="00A0152E"/>
    <w:rsid w:val="00A0572B"/>
    <w:rsid w:val="00A12B58"/>
    <w:rsid w:val="00A1427D"/>
    <w:rsid w:val="00A235F1"/>
    <w:rsid w:val="00A23F62"/>
    <w:rsid w:val="00A2460E"/>
    <w:rsid w:val="00A34B00"/>
    <w:rsid w:val="00A3777A"/>
    <w:rsid w:val="00A378DF"/>
    <w:rsid w:val="00A44269"/>
    <w:rsid w:val="00A50077"/>
    <w:rsid w:val="00A53982"/>
    <w:rsid w:val="00A54CA8"/>
    <w:rsid w:val="00A60196"/>
    <w:rsid w:val="00A6199C"/>
    <w:rsid w:val="00A61CB2"/>
    <w:rsid w:val="00A622AF"/>
    <w:rsid w:val="00A65F4A"/>
    <w:rsid w:val="00A66636"/>
    <w:rsid w:val="00A66C68"/>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B5BA9"/>
    <w:rsid w:val="00AC353B"/>
    <w:rsid w:val="00AC68C9"/>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08DA"/>
    <w:rsid w:val="00B22971"/>
    <w:rsid w:val="00B26710"/>
    <w:rsid w:val="00B26B3C"/>
    <w:rsid w:val="00B30179"/>
    <w:rsid w:val="00B304E1"/>
    <w:rsid w:val="00B3317B"/>
    <w:rsid w:val="00B41384"/>
    <w:rsid w:val="00B4398E"/>
    <w:rsid w:val="00B45BCD"/>
    <w:rsid w:val="00B46383"/>
    <w:rsid w:val="00B5392B"/>
    <w:rsid w:val="00B63370"/>
    <w:rsid w:val="00B666B2"/>
    <w:rsid w:val="00B71E2B"/>
    <w:rsid w:val="00B73DA8"/>
    <w:rsid w:val="00B74F7C"/>
    <w:rsid w:val="00B75E05"/>
    <w:rsid w:val="00B80D56"/>
    <w:rsid w:val="00B81E12"/>
    <w:rsid w:val="00B829E9"/>
    <w:rsid w:val="00B8396B"/>
    <w:rsid w:val="00B84AAC"/>
    <w:rsid w:val="00B877E1"/>
    <w:rsid w:val="00B90F54"/>
    <w:rsid w:val="00B91CC3"/>
    <w:rsid w:val="00B92A0C"/>
    <w:rsid w:val="00B93068"/>
    <w:rsid w:val="00BA02C3"/>
    <w:rsid w:val="00BB176D"/>
    <w:rsid w:val="00BB3B28"/>
    <w:rsid w:val="00BB4D66"/>
    <w:rsid w:val="00BC74E9"/>
    <w:rsid w:val="00BD2077"/>
    <w:rsid w:val="00BD562C"/>
    <w:rsid w:val="00BE1FF8"/>
    <w:rsid w:val="00BE382C"/>
    <w:rsid w:val="00BE50CA"/>
    <w:rsid w:val="00BE618E"/>
    <w:rsid w:val="00BF16FB"/>
    <w:rsid w:val="00BF670D"/>
    <w:rsid w:val="00C0263F"/>
    <w:rsid w:val="00C03B44"/>
    <w:rsid w:val="00C05987"/>
    <w:rsid w:val="00C13A85"/>
    <w:rsid w:val="00C17563"/>
    <w:rsid w:val="00C218A4"/>
    <w:rsid w:val="00C31519"/>
    <w:rsid w:val="00C36D37"/>
    <w:rsid w:val="00C415CF"/>
    <w:rsid w:val="00C463DD"/>
    <w:rsid w:val="00C46D5B"/>
    <w:rsid w:val="00C537D5"/>
    <w:rsid w:val="00C55EA1"/>
    <w:rsid w:val="00C62F76"/>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439"/>
    <w:rsid w:val="00CF778D"/>
    <w:rsid w:val="00D0631B"/>
    <w:rsid w:val="00D06C3A"/>
    <w:rsid w:val="00D1161B"/>
    <w:rsid w:val="00D164BA"/>
    <w:rsid w:val="00D16C2F"/>
    <w:rsid w:val="00D2031B"/>
    <w:rsid w:val="00D25E8C"/>
    <w:rsid w:val="00D25FE2"/>
    <w:rsid w:val="00D27E89"/>
    <w:rsid w:val="00D37E80"/>
    <w:rsid w:val="00D40730"/>
    <w:rsid w:val="00D43252"/>
    <w:rsid w:val="00D4541E"/>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2BE0"/>
    <w:rsid w:val="00D96248"/>
    <w:rsid w:val="00D96CC5"/>
    <w:rsid w:val="00D978C6"/>
    <w:rsid w:val="00D97B77"/>
    <w:rsid w:val="00DA6620"/>
    <w:rsid w:val="00DA67AD"/>
    <w:rsid w:val="00DA7D8F"/>
    <w:rsid w:val="00DB39FA"/>
    <w:rsid w:val="00DD1E65"/>
    <w:rsid w:val="00DD42A0"/>
    <w:rsid w:val="00DD725C"/>
    <w:rsid w:val="00DE236F"/>
    <w:rsid w:val="00DE3ECB"/>
    <w:rsid w:val="00DE41F2"/>
    <w:rsid w:val="00DE4785"/>
    <w:rsid w:val="00DE7267"/>
    <w:rsid w:val="00DF0A4D"/>
    <w:rsid w:val="00DF3039"/>
    <w:rsid w:val="00DF3A04"/>
    <w:rsid w:val="00DF4518"/>
    <w:rsid w:val="00DF69A6"/>
    <w:rsid w:val="00E01356"/>
    <w:rsid w:val="00E12DE0"/>
    <w:rsid w:val="00E130AB"/>
    <w:rsid w:val="00E1679E"/>
    <w:rsid w:val="00E2344C"/>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1FD6"/>
    <w:rsid w:val="00E631BA"/>
    <w:rsid w:val="00E631FE"/>
    <w:rsid w:val="00E63481"/>
    <w:rsid w:val="00E63DE8"/>
    <w:rsid w:val="00E6613A"/>
    <w:rsid w:val="00E71C1E"/>
    <w:rsid w:val="00E7260F"/>
    <w:rsid w:val="00E730D8"/>
    <w:rsid w:val="00E803F7"/>
    <w:rsid w:val="00E81230"/>
    <w:rsid w:val="00E8535A"/>
    <w:rsid w:val="00E859FF"/>
    <w:rsid w:val="00E864BE"/>
    <w:rsid w:val="00E90647"/>
    <w:rsid w:val="00E92EE6"/>
    <w:rsid w:val="00E96630"/>
    <w:rsid w:val="00EA0364"/>
    <w:rsid w:val="00EA04DA"/>
    <w:rsid w:val="00EA48C4"/>
    <w:rsid w:val="00EA772F"/>
    <w:rsid w:val="00EB2AE3"/>
    <w:rsid w:val="00EB4C06"/>
    <w:rsid w:val="00EB51D5"/>
    <w:rsid w:val="00EB65EF"/>
    <w:rsid w:val="00EB6832"/>
    <w:rsid w:val="00EB71BA"/>
    <w:rsid w:val="00EB798F"/>
    <w:rsid w:val="00EC14E9"/>
    <w:rsid w:val="00EC1F27"/>
    <w:rsid w:val="00EC271A"/>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21A22"/>
    <w:rsid w:val="00F22D71"/>
    <w:rsid w:val="00F2491D"/>
    <w:rsid w:val="00F257D1"/>
    <w:rsid w:val="00F30A8A"/>
    <w:rsid w:val="00F34267"/>
    <w:rsid w:val="00F3574D"/>
    <w:rsid w:val="00F40295"/>
    <w:rsid w:val="00F40E75"/>
    <w:rsid w:val="00F412D3"/>
    <w:rsid w:val="00F444E3"/>
    <w:rsid w:val="00F45B6F"/>
    <w:rsid w:val="00F5087E"/>
    <w:rsid w:val="00F510D1"/>
    <w:rsid w:val="00F51BAB"/>
    <w:rsid w:val="00F535BE"/>
    <w:rsid w:val="00F54674"/>
    <w:rsid w:val="00F54A16"/>
    <w:rsid w:val="00F56336"/>
    <w:rsid w:val="00F5743B"/>
    <w:rsid w:val="00F57685"/>
    <w:rsid w:val="00F6207A"/>
    <w:rsid w:val="00F64C95"/>
    <w:rsid w:val="00F75E96"/>
    <w:rsid w:val="00F87B50"/>
    <w:rsid w:val="00FA00A0"/>
    <w:rsid w:val="00FA032F"/>
    <w:rsid w:val="00FA1B95"/>
    <w:rsid w:val="00FA1BD3"/>
    <w:rsid w:val="00FA3FB7"/>
    <w:rsid w:val="00FB21ED"/>
    <w:rsid w:val="00FB2CDB"/>
    <w:rsid w:val="00FB5A37"/>
    <w:rsid w:val="00FB7793"/>
    <w:rsid w:val="00FC18AA"/>
    <w:rsid w:val="00FC215C"/>
    <w:rsid w:val="00FC68B7"/>
    <w:rsid w:val="00FD3C5D"/>
    <w:rsid w:val="00FD3E70"/>
    <w:rsid w:val="00FD6B2B"/>
    <w:rsid w:val="00FE3EEA"/>
    <w:rsid w:val="00FE6A50"/>
    <w:rsid w:val="00FF03BB"/>
    <w:rsid w:val="00FF071A"/>
    <w:rsid w:val="00FF2D01"/>
    <w:rsid w:val="00FF3684"/>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paragraph" w:styleId="NoSpacing">
    <w:name w:val="No Spacing"/>
    <w:uiPriority w:val="1"/>
    <w:qFormat/>
    <w:rsid w:val="00294085"/>
    <w:pPr>
      <w:suppressAutoHyphen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5F51-ED73-4C31-AF0A-9D60892160F5}">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cccb6d4-dbe5-46d2-b4d3-5733603d8cc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3394DE91-27C3-4A1F-BCB4-D35859D92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AAA9A-2255-4FA5-9DFA-F86D2B92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16</TotalTime>
  <Pages>2</Pages>
  <Words>681</Words>
  <Characters>3888</Characters>
  <Application>Microsoft Office Word</Application>
  <DocSecurity>0</DocSecurity>
  <Lines>32</Lines>
  <Paragraphs>9</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19</cp:revision>
  <cp:lastPrinted>2021-11-12T12:16:00Z</cp:lastPrinted>
  <dcterms:created xsi:type="dcterms:W3CDTF">2021-11-12T12:17:00Z</dcterms:created>
  <dcterms:modified xsi:type="dcterms:W3CDTF">2021-11-14T21:08:00Z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