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1F9C6EC5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22D0094" w14:textId="77777777" w:rsidR="00F35BAF" w:rsidRPr="00DB58B5" w:rsidRDefault="00F35BAF" w:rsidP="00385BB5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37C1AB5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B199600" w14:textId="56CE83BF" w:rsidR="00F35BAF" w:rsidRPr="00DB58B5" w:rsidRDefault="00385BB5" w:rsidP="00385BB5">
            <w:pPr>
              <w:jc w:val="right"/>
            </w:pPr>
            <w:r w:rsidRPr="00385BB5">
              <w:rPr>
                <w:sz w:val="40"/>
              </w:rPr>
              <w:t>ECE</w:t>
            </w:r>
            <w:r>
              <w:t>/TRANS/WP.29/GRPE/2022/4</w:t>
            </w:r>
          </w:p>
        </w:tc>
      </w:tr>
      <w:tr w:rsidR="00F35BAF" w:rsidRPr="00DB58B5" w14:paraId="543D4557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F523D47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3CED661B" wp14:editId="7A72DEAA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105B219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576D651" w14:textId="77777777" w:rsidR="00F35BAF" w:rsidRDefault="00385BB5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51B354C8" w14:textId="53B8F8C5" w:rsidR="00385BB5" w:rsidRDefault="00385BB5" w:rsidP="00385BB5">
            <w:pPr>
              <w:spacing w:line="240" w:lineRule="exact"/>
            </w:pPr>
            <w:r>
              <w:t>26 octobre 2021</w:t>
            </w:r>
          </w:p>
          <w:p w14:paraId="19ECB60D" w14:textId="77777777" w:rsidR="00385BB5" w:rsidRDefault="00385BB5" w:rsidP="00385BB5">
            <w:pPr>
              <w:spacing w:line="240" w:lineRule="exact"/>
            </w:pPr>
            <w:r>
              <w:t>Français</w:t>
            </w:r>
          </w:p>
          <w:p w14:paraId="728E32BC" w14:textId="06D5C114" w:rsidR="00385BB5" w:rsidRPr="00DB58B5" w:rsidRDefault="00385BB5" w:rsidP="00385BB5">
            <w:pPr>
              <w:spacing w:line="240" w:lineRule="exact"/>
            </w:pPr>
            <w:r>
              <w:t>Original : anglais</w:t>
            </w:r>
          </w:p>
        </w:tc>
      </w:tr>
    </w:tbl>
    <w:p w14:paraId="4D99FBF0" w14:textId="79E34FD4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385BB5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2762FE28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006EB568" w14:textId="157CACDB" w:rsidR="00385BB5" w:rsidRDefault="00385BB5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3231FAAC" w14:textId="7A542684" w:rsidR="00385BB5" w:rsidRDefault="00385BB5" w:rsidP="00F9573C">
      <w:pPr>
        <w:spacing w:before="120" w:after="120" w:line="240" w:lineRule="exact"/>
        <w:rPr>
          <w:b/>
        </w:rPr>
      </w:pPr>
      <w:bookmarkStart w:id="0" w:name="_GoBack"/>
      <w:bookmarkEnd w:id="0"/>
      <w:r>
        <w:rPr>
          <w:b/>
        </w:rPr>
        <w:t xml:space="preserve">Groupe de travail </w:t>
      </w:r>
      <w:r w:rsidRPr="009208D1">
        <w:rPr>
          <w:b/>
          <w:bCs/>
          <w:lang w:val="fr-FR"/>
        </w:rPr>
        <w:t>de la pollution et de l</w:t>
      </w:r>
      <w:r>
        <w:rPr>
          <w:b/>
          <w:bCs/>
          <w:lang w:val="fr-FR"/>
        </w:rPr>
        <w:t>’</w:t>
      </w:r>
      <w:r w:rsidRPr="009208D1">
        <w:rPr>
          <w:b/>
          <w:bCs/>
          <w:lang w:val="fr-FR"/>
        </w:rPr>
        <w:t>énergie</w:t>
      </w:r>
    </w:p>
    <w:p w14:paraId="2CB469FA" w14:textId="77777777" w:rsidR="00385BB5" w:rsidRPr="009208D1" w:rsidRDefault="00385BB5" w:rsidP="00385BB5">
      <w:pPr>
        <w:rPr>
          <w:b/>
          <w:lang w:val="fr-FR"/>
        </w:rPr>
      </w:pPr>
      <w:r w:rsidRPr="009208D1">
        <w:rPr>
          <w:b/>
          <w:bCs/>
          <w:lang w:val="fr-FR"/>
        </w:rPr>
        <w:t>Quatre-vingt-cinquième session</w:t>
      </w:r>
    </w:p>
    <w:p w14:paraId="205269D3" w14:textId="77777777" w:rsidR="00385BB5" w:rsidRPr="009208D1" w:rsidRDefault="00385BB5" w:rsidP="00385BB5">
      <w:pPr>
        <w:rPr>
          <w:lang w:val="fr-FR"/>
        </w:rPr>
      </w:pPr>
      <w:r w:rsidRPr="009208D1">
        <w:rPr>
          <w:lang w:val="fr-FR"/>
        </w:rPr>
        <w:t>Genève, 11-14 janvier 2022</w:t>
      </w:r>
    </w:p>
    <w:p w14:paraId="14B27A81" w14:textId="58B19AF3" w:rsidR="00385BB5" w:rsidRPr="009208D1" w:rsidRDefault="00385BB5" w:rsidP="00385BB5">
      <w:pPr>
        <w:rPr>
          <w:lang w:val="fr-FR"/>
        </w:rPr>
      </w:pPr>
      <w:r w:rsidRPr="009208D1">
        <w:rPr>
          <w:lang w:val="fr-FR"/>
        </w:rPr>
        <w:t>Point 5 de l</w:t>
      </w:r>
      <w:r>
        <w:rPr>
          <w:lang w:val="fr-FR"/>
        </w:rPr>
        <w:t>’</w:t>
      </w:r>
      <w:r w:rsidRPr="009208D1">
        <w:rPr>
          <w:lang w:val="fr-FR"/>
        </w:rPr>
        <w:t>ordre du jour provisoire</w:t>
      </w:r>
    </w:p>
    <w:p w14:paraId="12043FB8" w14:textId="1F7592BA" w:rsidR="00F9573C" w:rsidRDefault="00385BB5" w:rsidP="00385BB5">
      <w:pPr>
        <w:rPr>
          <w:b/>
          <w:bCs/>
          <w:lang w:val="fr-FR"/>
        </w:rPr>
      </w:pPr>
      <w:r w:rsidRPr="009208D1">
        <w:rPr>
          <w:b/>
          <w:bCs/>
          <w:lang w:val="fr-FR"/>
        </w:rPr>
        <w:t xml:space="preserve">Règlements ONU </w:t>
      </w:r>
      <w:r w:rsidRPr="00385BB5">
        <w:rPr>
          <w:rFonts w:eastAsia="MS Mincho"/>
          <w:b/>
          <w:bCs/>
          <w:szCs w:val="22"/>
          <w:lang w:val="fr-FR"/>
        </w:rPr>
        <w:t>n</w:t>
      </w:r>
      <w:r w:rsidRPr="00385BB5">
        <w:rPr>
          <w:rFonts w:eastAsia="MS Mincho"/>
          <w:b/>
          <w:bCs/>
          <w:szCs w:val="22"/>
          <w:vertAlign w:val="superscript"/>
          <w:lang w:val="fr-FR"/>
        </w:rPr>
        <w:t>o</w:t>
      </w:r>
      <w:r>
        <w:rPr>
          <w:rFonts w:eastAsia="MS Mincho"/>
          <w:b/>
          <w:bCs/>
          <w:szCs w:val="22"/>
          <w:vertAlign w:val="superscript"/>
          <w:lang w:val="fr-FR"/>
        </w:rPr>
        <w:t>s</w:t>
      </w:r>
      <w:r>
        <w:rPr>
          <w:b/>
          <w:bCs/>
          <w:lang w:val="fr-FR"/>
        </w:rPr>
        <w:t> </w:t>
      </w:r>
      <w:r w:rsidRPr="009208D1">
        <w:rPr>
          <w:b/>
          <w:bCs/>
          <w:lang w:val="fr-FR"/>
        </w:rPr>
        <w:t xml:space="preserve">24 (Émissions de polluants visibles, </w:t>
      </w:r>
      <w:r>
        <w:rPr>
          <w:b/>
          <w:bCs/>
          <w:lang w:val="fr-FR"/>
        </w:rPr>
        <w:br/>
      </w:r>
      <w:r w:rsidRPr="009208D1">
        <w:rPr>
          <w:b/>
          <w:bCs/>
          <w:lang w:val="fr-FR"/>
        </w:rPr>
        <w:t xml:space="preserve">mesure de la puissance des moteurs à allumage par compression </w:t>
      </w:r>
      <w:r>
        <w:rPr>
          <w:b/>
          <w:bCs/>
          <w:lang w:val="fr-FR"/>
        </w:rPr>
        <w:br/>
      </w:r>
      <w:r w:rsidRPr="009208D1">
        <w:rPr>
          <w:b/>
          <w:bCs/>
          <w:lang w:val="fr-FR"/>
        </w:rPr>
        <w:t xml:space="preserve">(fumées des moteurs diesel)), 85 (Mesure de la puissance nette), </w:t>
      </w:r>
      <w:r>
        <w:rPr>
          <w:b/>
          <w:bCs/>
          <w:lang w:val="fr-FR"/>
        </w:rPr>
        <w:br/>
      </w:r>
      <w:r w:rsidRPr="009208D1">
        <w:rPr>
          <w:b/>
          <w:bCs/>
          <w:lang w:val="fr-FR"/>
        </w:rPr>
        <w:t>115 (Systèmes d</w:t>
      </w:r>
      <w:r>
        <w:rPr>
          <w:b/>
          <w:bCs/>
          <w:lang w:val="fr-FR"/>
        </w:rPr>
        <w:t>’</w:t>
      </w:r>
      <w:r w:rsidRPr="009208D1">
        <w:rPr>
          <w:b/>
          <w:bCs/>
          <w:lang w:val="fr-FR"/>
        </w:rPr>
        <w:t xml:space="preserve">adaptation au GPL et au GNC), 133 (Aptitude </w:t>
      </w:r>
      <w:r>
        <w:rPr>
          <w:b/>
          <w:bCs/>
          <w:lang w:val="fr-FR"/>
        </w:rPr>
        <w:br/>
      </w:r>
      <w:r w:rsidRPr="009208D1">
        <w:rPr>
          <w:b/>
          <w:bCs/>
          <w:lang w:val="fr-FR"/>
        </w:rPr>
        <w:t>au recyclage des véhicules automobiles) et 143 (Systèmes d</w:t>
      </w:r>
      <w:r>
        <w:rPr>
          <w:b/>
          <w:bCs/>
          <w:lang w:val="fr-FR"/>
        </w:rPr>
        <w:t>’</w:t>
      </w:r>
      <w:r w:rsidRPr="009208D1">
        <w:rPr>
          <w:b/>
          <w:bCs/>
          <w:lang w:val="fr-FR"/>
        </w:rPr>
        <w:t>adaptation</w:t>
      </w:r>
      <w:r>
        <w:rPr>
          <w:b/>
          <w:bCs/>
          <w:lang w:val="fr-FR"/>
        </w:rPr>
        <w:br/>
      </w:r>
      <w:r w:rsidRPr="009208D1">
        <w:rPr>
          <w:b/>
          <w:bCs/>
          <w:lang w:val="fr-FR"/>
        </w:rPr>
        <w:t>des moteurs de véhicules utilitaires lourds à la bicarburation)</w:t>
      </w:r>
    </w:p>
    <w:p w14:paraId="43B7CD75" w14:textId="6E023828" w:rsidR="00385BB5" w:rsidRDefault="00385BB5" w:rsidP="00385BB5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9208D1">
        <w:rPr>
          <w:lang w:val="fr-FR"/>
        </w:rPr>
        <w:t xml:space="preserve">Proposition de nouveau complément à la série 03 </w:t>
      </w:r>
      <w:r w:rsidRPr="009208D1">
        <w:rPr>
          <w:lang w:val="fr-FR"/>
        </w:rPr>
        <w:tab/>
        <w:t>d</w:t>
      </w:r>
      <w:r>
        <w:rPr>
          <w:lang w:val="fr-FR"/>
        </w:rPr>
        <w:t>’</w:t>
      </w:r>
      <w:r w:rsidRPr="009208D1">
        <w:rPr>
          <w:lang w:val="fr-FR"/>
        </w:rPr>
        <w:t xml:space="preserve">amendements au Règlement ONU </w:t>
      </w:r>
      <w:r w:rsidRPr="00385BB5">
        <w:rPr>
          <w:rFonts w:eastAsia="MS Mincho"/>
          <w:szCs w:val="22"/>
          <w:lang w:val="fr-FR"/>
        </w:rPr>
        <w:t>n</w:t>
      </w:r>
      <w:r w:rsidRPr="00385BB5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9208D1">
        <w:rPr>
          <w:lang w:val="fr-FR"/>
        </w:rPr>
        <w:t xml:space="preserve">24 (Émissions </w:t>
      </w:r>
      <w:r>
        <w:rPr>
          <w:lang w:val="fr-FR"/>
        </w:rPr>
        <w:br/>
      </w:r>
      <w:r w:rsidRPr="009208D1">
        <w:rPr>
          <w:lang w:val="fr-FR"/>
        </w:rPr>
        <w:t xml:space="preserve">de polluants visibles, mesure de la puissance des moteurs </w:t>
      </w:r>
      <w:r>
        <w:rPr>
          <w:lang w:val="fr-FR"/>
        </w:rPr>
        <w:br/>
      </w:r>
      <w:r w:rsidRPr="009208D1">
        <w:rPr>
          <w:lang w:val="fr-FR"/>
        </w:rPr>
        <w:t>à allumage par compression (fumées des moteurs diesel))</w:t>
      </w:r>
    </w:p>
    <w:p w14:paraId="1B713301" w14:textId="50D78BD2" w:rsidR="00385BB5" w:rsidRDefault="00385BB5" w:rsidP="00385BB5">
      <w:pPr>
        <w:pStyle w:val="H1G"/>
        <w:rPr>
          <w:b w:val="0"/>
          <w:bCs/>
          <w:sz w:val="20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9208D1">
        <w:rPr>
          <w:lang w:val="fr-FR"/>
        </w:rPr>
        <w:t>Communication de l</w:t>
      </w:r>
      <w:r>
        <w:rPr>
          <w:lang w:val="fr-FR"/>
        </w:rPr>
        <w:t>’</w:t>
      </w:r>
      <w:r w:rsidRPr="009208D1">
        <w:rPr>
          <w:lang w:val="fr-FR"/>
        </w:rPr>
        <w:t>expert de l</w:t>
      </w:r>
      <w:r>
        <w:rPr>
          <w:lang w:val="fr-FR"/>
        </w:rPr>
        <w:t>’</w:t>
      </w:r>
      <w:r w:rsidRPr="009208D1">
        <w:rPr>
          <w:lang w:val="fr-FR"/>
        </w:rPr>
        <w:t xml:space="preserve">Organisation internationale </w:t>
      </w:r>
      <w:r>
        <w:rPr>
          <w:lang w:val="fr-FR"/>
        </w:rPr>
        <w:br/>
      </w:r>
      <w:r w:rsidRPr="009208D1">
        <w:rPr>
          <w:lang w:val="fr-FR"/>
        </w:rPr>
        <w:t>des</w:t>
      </w:r>
      <w:r>
        <w:rPr>
          <w:lang w:val="fr-FR"/>
        </w:rPr>
        <w:t xml:space="preserve"> </w:t>
      </w:r>
      <w:r w:rsidRPr="009208D1">
        <w:rPr>
          <w:lang w:val="fr-FR"/>
        </w:rPr>
        <w:t>constructeurs d</w:t>
      </w:r>
      <w:r>
        <w:rPr>
          <w:lang w:val="fr-FR"/>
        </w:rPr>
        <w:t>’</w:t>
      </w:r>
      <w:r w:rsidRPr="009208D1">
        <w:rPr>
          <w:lang w:val="fr-FR"/>
        </w:rPr>
        <w:t>automobiles</w:t>
      </w:r>
      <w:r w:rsidRPr="00385BB5">
        <w:rPr>
          <w:b w:val="0"/>
          <w:bCs/>
          <w:sz w:val="20"/>
          <w:lang w:val="fr-FR"/>
        </w:rPr>
        <w:footnoteReference w:customMarkFollows="1" w:id="2"/>
        <w:t>*</w:t>
      </w:r>
    </w:p>
    <w:p w14:paraId="774FFF4F" w14:textId="3FF68F70" w:rsidR="00385BB5" w:rsidRDefault="00385BB5" w:rsidP="00385BB5">
      <w:pPr>
        <w:pStyle w:val="SingleTxtG"/>
        <w:ind w:firstLine="567"/>
        <w:rPr>
          <w:lang w:val="fr-FR"/>
        </w:rPr>
      </w:pPr>
      <w:r w:rsidRPr="009208D1">
        <w:rPr>
          <w:lang w:val="fr-FR"/>
        </w:rPr>
        <w:t>Le texte ci-après, établi par l</w:t>
      </w:r>
      <w:r>
        <w:rPr>
          <w:lang w:val="fr-FR"/>
        </w:rPr>
        <w:t>’</w:t>
      </w:r>
      <w:r w:rsidRPr="009208D1">
        <w:rPr>
          <w:lang w:val="fr-FR"/>
        </w:rPr>
        <w:t>expert de l</w:t>
      </w:r>
      <w:r>
        <w:rPr>
          <w:lang w:val="fr-FR"/>
        </w:rPr>
        <w:t>’</w:t>
      </w:r>
      <w:r w:rsidRPr="009208D1">
        <w:rPr>
          <w:lang w:val="fr-FR"/>
        </w:rPr>
        <w:t>Organisation internationale des constructeurs d</w:t>
      </w:r>
      <w:r>
        <w:rPr>
          <w:lang w:val="fr-FR"/>
        </w:rPr>
        <w:t>’</w:t>
      </w:r>
      <w:r w:rsidRPr="009208D1">
        <w:rPr>
          <w:lang w:val="fr-FR"/>
        </w:rPr>
        <w:t xml:space="preserve">automobiles (OICA), vise à harmoniser le Règlement ONU </w:t>
      </w:r>
      <w:r w:rsidRPr="00385BB5">
        <w:rPr>
          <w:rFonts w:eastAsia="MS Mincho"/>
          <w:szCs w:val="22"/>
          <w:lang w:val="fr-FR"/>
        </w:rPr>
        <w:t>n</w:t>
      </w:r>
      <w:r w:rsidRPr="00385BB5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9208D1">
        <w:rPr>
          <w:lang w:val="fr-FR"/>
        </w:rPr>
        <w:t>24 avec le Règlement ONU</w:t>
      </w:r>
      <w:r w:rsidR="00901A9D">
        <w:rPr>
          <w:lang w:val="fr-FR"/>
        </w:rPr>
        <w:t> </w:t>
      </w:r>
      <w:r w:rsidRPr="00385BB5">
        <w:rPr>
          <w:rFonts w:eastAsia="MS Mincho"/>
          <w:szCs w:val="22"/>
          <w:lang w:val="fr-FR"/>
        </w:rPr>
        <w:t>n</w:t>
      </w:r>
      <w:r w:rsidRPr="00385BB5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9208D1">
        <w:rPr>
          <w:lang w:val="fr-FR"/>
        </w:rPr>
        <w:t>85 et la norme ISO 1585:2020. Les modifications qu</w:t>
      </w:r>
      <w:r>
        <w:rPr>
          <w:lang w:val="fr-FR"/>
        </w:rPr>
        <w:t>’</w:t>
      </w:r>
      <w:r w:rsidRPr="009208D1">
        <w:rPr>
          <w:lang w:val="fr-FR"/>
        </w:rPr>
        <w:t>il est proposé d</w:t>
      </w:r>
      <w:r>
        <w:rPr>
          <w:lang w:val="fr-FR"/>
        </w:rPr>
        <w:t>’</w:t>
      </w:r>
      <w:r w:rsidRPr="009208D1">
        <w:rPr>
          <w:lang w:val="fr-FR"/>
        </w:rPr>
        <w:t>apporter au texte actuel du Règlement figurent en caractères gras pour les ajouts et biffés pour les suppressions.</w:t>
      </w:r>
    </w:p>
    <w:p w14:paraId="54784182" w14:textId="77777777" w:rsidR="00385BB5" w:rsidRDefault="00385BB5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530270D6" w14:textId="68CEF5E5" w:rsidR="00385BB5" w:rsidRPr="009208D1" w:rsidRDefault="00385BB5" w:rsidP="00385BB5">
      <w:pPr>
        <w:pStyle w:val="HChG"/>
        <w:rPr>
          <w:lang w:val="fr-FR"/>
        </w:rPr>
      </w:pPr>
      <w:r>
        <w:rPr>
          <w:lang w:val="fr-FR"/>
        </w:rPr>
        <w:lastRenderedPageBreak/>
        <w:tab/>
      </w:r>
      <w:r w:rsidRPr="009208D1">
        <w:rPr>
          <w:lang w:val="fr-FR"/>
        </w:rPr>
        <w:t>I.</w:t>
      </w:r>
      <w:r w:rsidRPr="009208D1">
        <w:rPr>
          <w:lang w:val="fr-FR"/>
        </w:rPr>
        <w:tab/>
        <w:t>Proposition</w:t>
      </w:r>
    </w:p>
    <w:p w14:paraId="1FAF9464" w14:textId="77777777" w:rsidR="00385BB5" w:rsidRPr="009208D1" w:rsidRDefault="00385BB5" w:rsidP="00385BB5">
      <w:pPr>
        <w:pStyle w:val="SingleTxtG"/>
        <w:rPr>
          <w:lang w:val="fr-FR"/>
        </w:rPr>
      </w:pPr>
      <w:r w:rsidRPr="009208D1">
        <w:rPr>
          <w:i/>
          <w:iCs/>
          <w:lang w:val="fr-FR"/>
        </w:rPr>
        <w:t>Annexe 4, paragraphe 3.1.5</w:t>
      </w:r>
      <w:r w:rsidRPr="009208D1">
        <w:rPr>
          <w:lang w:val="fr-FR"/>
        </w:rPr>
        <w:t>, lire :</w:t>
      </w:r>
    </w:p>
    <w:p w14:paraId="2DDC8138" w14:textId="07073B91" w:rsidR="00385BB5" w:rsidRDefault="00385BB5" w:rsidP="00385BB5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</w:t>
      </w:r>
      <w:r w:rsidRPr="009208D1">
        <w:rPr>
          <w:lang w:val="fr-FR"/>
        </w:rPr>
        <w:t>3.1.5</w:t>
      </w:r>
      <w:r w:rsidRPr="009208D1">
        <w:rPr>
          <w:lang w:val="fr-FR"/>
        </w:rPr>
        <w:tab/>
      </w:r>
      <w:r w:rsidRPr="00A933A9">
        <w:rPr>
          <w:lang w:val="fr-FR"/>
        </w:rPr>
        <w:t>En ce qui concerne la puissance du moteur mesurée au banc lors de l</w:t>
      </w:r>
      <w:r>
        <w:rPr>
          <w:lang w:val="fr-FR"/>
        </w:rPr>
        <w:t>’</w:t>
      </w:r>
      <w:r w:rsidRPr="00A933A9">
        <w:rPr>
          <w:lang w:val="fr-FR"/>
        </w:rPr>
        <w:t>essai en régimes stabilisés sur la courbe de pleine charge, on peut admettre les tolérances suivantes par rapport à la puissance déclarée par le constructeur</w:t>
      </w:r>
      <w:r>
        <w:rPr>
          <w:lang w:val="fr-FR"/>
        </w:rPr>
        <w:t xml:space="preserve"> </w:t>
      </w:r>
      <w:r w:rsidRPr="009208D1">
        <w:rPr>
          <w:lang w:val="fr-FR"/>
        </w:rPr>
        <w:t>:</w:t>
      </w:r>
    </w:p>
    <w:p w14:paraId="7F56005B" w14:textId="7224D4A9" w:rsidR="00385BB5" w:rsidRDefault="00385BB5" w:rsidP="00385BB5">
      <w:pPr>
        <w:spacing w:after="120"/>
        <w:ind w:left="2268" w:right="1134"/>
        <w:rPr>
          <w:lang w:val="fr-FR"/>
        </w:rPr>
      </w:pPr>
      <w:r>
        <w:rPr>
          <w:lang w:val="fr-FR"/>
        </w:rPr>
        <w:tab/>
      </w:r>
      <w:r w:rsidRPr="00A933A9">
        <w:rPr>
          <w:lang w:val="fr-FR"/>
        </w:rPr>
        <w:t>Puissance maximale</w:t>
      </w:r>
      <w:r>
        <w:rPr>
          <w:lang w:val="fr-FR"/>
        </w:rPr>
        <w:t xml:space="preserve"> </w:t>
      </w:r>
      <w:r w:rsidRPr="00A933A9">
        <w:rPr>
          <w:lang w:val="fr-FR"/>
        </w:rPr>
        <w:t>:</w:t>
      </w:r>
      <w:r>
        <w:rPr>
          <w:lang w:val="fr-FR"/>
        </w:rPr>
        <w:t xml:space="preserve"> </w:t>
      </w:r>
      <w:r w:rsidRPr="00385BB5">
        <w:rPr>
          <w:b/>
          <w:bCs/>
          <w:lang w:val="fr-FR"/>
        </w:rPr>
        <w:sym w:font="Symbol" w:char="F0B1"/>
      </w:r>
      <w:r w:rsidRPr="00A933A9">
        <w:rPr>
          <w:lang w:val="fr-FR"/>
        </w:rPr>
        <w:t>2</w:t>
      </w:r>
      <w:r>
        <w:rPr>
          <w:lang w:val="fr-FR"/>
        </w:rPr>
        <w:t> </w:t>
      </w:r>
      <w:r w:rsidRPr="00A933A9">
        <w:rPr>
          <w:lang w:val="fr-FR"/>
        </w:rPr>
        <w:t>%</w:t>
      </w:r>
    </w:p>
    <w:p w14:paraId="21589A0C" w14:textId="0419FE21" w:rsidR="00385BB5" w:rsidRPr="009208D1" w:rsidRDefault="00385BB5" w:rsidP="002649B8">
      <w:pPr>
        <w:spacing w:after="120"/>
        <w:ind w:left="2268" w:right="1134"/>
        <w:rPr>
          <w:lang w:val="fr-FR" w:eastAsia="ja-JP"/>
        </w:rPr>
      </w:pPr>
      <w:r>
        <w:rPr>
          <w:lang w:val="fr-FR"/>
        </w:rPr>
        <w:tab/>
      </w:r>
      <w:r w:rsidRPr="00A933A9">
        <w:rPr>
          <w:lang w:val="fr-FR"/>
        </w:rPr>
        <w:t>aux autres points de mesure:</w:t>
      </w:r>
      <w:r>
        <w:rPr>
          <w:lang w:val="fr-FR"/>
        </w:rPr>
        <w:t xml:space="preserve"> </w:t>
      </w:r>
      <w:r w:rsidRPr="00A933A9">
        <w:rPr>
          <w:strike/>
          <w:lang w:val="fr-FR"/>
        </w:rPr>
        <w:t>+6 %</w:t>
      </w:r>
      <w:r>
        <w:rPr>
          <w:lang w:val="fr-FR"/>
        </w:rPr>
        <w:t xml:space="preserve"> </w:t>
      </w:r>
      <w:r w:rsidRPr="00A933A9">
        <w:rPr>
          <w:strike/>
          <w:lang w:val="fr-FR"/>
        </w:rPr>
        <w:t>–2</w:t>
      </w:r>
      <w:r w:rsidR="002649B8">
        <w:rPr>
          <w:strike/>
          <w:lang w:val="fr-FR"/>
        </w:rPr>
        <w:t> </w:t>
      </w:r>
      <w:r w:rsidRPr="00A933A9">
        <w:rPr>
          <w:strike/>
          <w:lang w:val="fr-FR"/>
        </w:rPr>
        <w:t>%</w:t>
      </w:r>
      <w:r w:rsidRPr="002649B8">
        <w:rPr>
          <w:strike/>
          <w:lang w:val="fr-FR"/>
        </w:rPr>
        <w:t xml:space="preserve"> </w:t>
      </w:r>
      <w:r>
        <w:rPr>
          <w:b/>
          <w:bCs/>
          <w:lang w:val="fr-FR"/>
        </w:rPr>
        <w:sym w:font="Symbol" w:char="F0B1"/>
      </w:r>
      <w:r w:rsidRPr="009208D1">
        <w:rPr>
          <w:b/>
          <w:bCs/>
          <w:lang w:val="fr-FR"/>
        </w:rPr>
        <w:t>4</w:t>
      </w:r>
      <w:r w:rsidR="00E24179">
        <w:rPr>
          <w:b/>
          <w:bCs/>
          <w:lang w:val="fr-FR"/>
        </w:rPr>
        <w:t> </w:t>
      </w:r>
      <w:r w:rsidRPr="00A933A9">
        <w:rPr>
          <w:b/>
          <w:bCs/>
          <w:lang w:val="fr-FR"/>
        </w:rPr>
        <w:t>%</w:t>
      </w:r>
      <w:r w:rsidRPr="009208D1">
        <w:rPr>
          <w:lang w:val="fr-FR"/>
        </w:rPr>
        <w:t>.</w:t>
      </w:r>
      <w:r w:rsidR="00E24179">
        <w:rPr>
          <w:lang w:val="fr-FR"/>
        </w:rPr>
        <w:t> ».</w:t>
      </w:r>
    </w:p>
    <w:p w14:paraId="5F1A82EB" w14:textId="77777777" w:rsidR="00385BB5" w:rsidRPr="009208D1" w:rsidRDefault="00385BB5" w:rsidP="00E24179">
      <w:pPr>
        <w:pStyle w:val="SingleTxtG"/>
        <w:rPr>
          <w:i/>
          <w:lang w:val="fr-FR" w:eastAsia="ja-JP"/>
        </w:rPr>
      </w:pPr>
      <w:r w:rsidRPr="009208D1">
        <w:rPr>
          <w:i/>
          <w:lang w:val="fr-FR"/>
        </w:rPr>
        <w:t>Annexe 10, paragraphe 4.7</w:t>
      </w:r>
      <w:r w:rsidRPr="00901A9D">
        <w:rPr>
          <w:iCs/>
          <w:lang w:val="fr-FR" w:eastAsia="ja-JP"/>
        </w:rPr>
        <w:t xml:space="preserve">, </w:t>
      </w:r>
      <w:r w:rsidRPr="009208D1">
        <w:rPr>
          <w:lang w:val="fr-FR" w:eastAsia="ja-JP"/>
        </w:rPr>
        <w:t>lire :</w:t>
      </w:r>
    </w:p>
    <w:p w14:paraId="171D52EE" w14:textId="73C8FFEE" w:rsidR="00385BB5" w:rsidRPr="009208D1" w:rsidRDefault="00E24179" w:rsidP="00E24179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</w:t>
      </w:r>
      <w:r w:rsidR="00385BB5" w:rsidRPr="009208D1">
        <w:rPr>
          <w:lang w:val="fr-FR"/>
        </w:rPr>
        <w:t xml:space="preserve">4.7 </w:t>
      </w:r>
      <w:r w:rsidR="00385BB5" w:rsidRPr="009208D1">
        <w:rPr>
          <w:lang w:val="fr-FR"/>
        </w:rPr>
        <w:tab/>
      </w:r>
      <w:r w:rsidR="00385BB5" w:rsidRPr="009208D1">
        <w:rPr>
          <w:lang w:val="fr-FR"/>
        </w:rPr>
        <w:tab/>
      </w:r>
      <w:proofErr w:type="spellStart"/>
      <w:r w:rsidR="00385BB5" w:rsidRPr="00A86DF0">
        <w:rPr>
          <w:strike/>
          <w:lang w:val="fr-FR"/>
        </w:rPr>
        <w:t>Pression</w:t>
      </w:r>
      <w:r w:rsidR="00385BB5" w:rsidRPr="00A86DF0">
        <w:rPr>
          <w:b/>
          <w:bCs/>
          <w:lang w:val="fr-FR"/>
        </w:rPr>
        <w:t>D</w:t>
      </w:r>
      <w:r w:rsidR="002649B8">
        <w:rPr>
          <w:b/>
          <w:bCs/>
          <w:lang w:val="fr-FR"/>
        </w:rPr>
        <w:t>é</w:t>
      </w:r>
      <w:r w:rsidR="00385BB5" w:rsidRPr="00A86DF0">
        <w:rPr>
          <w:b/>
          <w:bCs/>
          <w:lang w:val="fr-FR"/>
        </w:rPr>
        <w:t>pression</w:t>
      </w:r>
      <w:proofErr w:type="spellEnd"/>
      <w:r w:rsidR="00385BB5" w:rsidRPr="00A86DF0">
        <w:rPr>
          <w:lang w:val="fr-FR"/>
        </w:rPr>
        <w:t xml:space="preserve"> dans le système d</w:t>
      </w:r>
      <w:r w:rsidR="00385BB5">
        <w:rPr>
          <w:lang w:val="fr-FR"/>
        </w:rPr>
        <w:t>’</w:t>
      </w:r>
      <w:r w:rsidR="00385BB5" w:rsidRPr="00A86DF0">
        <w:rPr>
          <w:lang w:val="fr-FR"/>
        </w:rPr>
        <w:t xml:space="preserve">admission </w:t>
      </w:r>
      <w:r w:rsidR="00901A9D">
        <w:rPr>
          <w:lang w:val="fr-FR"/>
        </w:rPr>
        <w:t>(</w:t>
      </w:r>
      <w:r w:rsidR="00385BB5" w:rsidRPr="00A86DF0">
        <w:rPr>
          <w:lang w:val="fr-FR"/>
        </w:rPr>
        <w:t xml:space="preserve">voir note </w:t>
      </w:r>
      <w:proofErr w:type="spellStart"/>
      <w:r w:rsidR="00385BB5" w:rsidRPr="00A86DF0">
        <w:rPr>
          <w:lang w:val="fr-FR"/>
        </w:rPr>
        <w:t>l</w:t>
      </w:r>
      <w:r w:rsidR="00385BB5">
        <w:rPr>
          <w:lang w:val="fr-FR"/>
        </w:rPr>
        <w:t xml:space="preserve"> </w:t>
      </w:r>
      <w:r w:rsidR="00385BB5" w:rsidRPr="00A86DF0">
        <w:rPr>
          <w:lang w:val="fr-FR"/>
        </w:rPr>
        <w:t>a</w:t>
      </w:r>
      <w:proofErr w:type="spellEnd"/>
      <w:r w:rsidR="00385BB5" w:rsidRPr="00A86DF0">
        <w:rPr>
          <w:lang w:val="fr-FR"/>
        </w:rPr>
        <w:t xml:space="preserve"> du tableau 1</w:t>
      </w:r>
      <w:r w:rsidR="00901A9D">
        <w:rPr>
          <w:lang w:val="fr-FR"/>
        </w:rPr>
        <w:t>)</w:t>
      </w:r>
    </w:p>
    <w:p w14:paraId="5B033AF8" w14:textId="16F63688" w:rsidR="00385BB5" w:rsidRDefault="00E24179" w:rsidP="00385BB5">
      <w:pPr>
        <w:spacing w:after="120"/>
        <w:ind w:left="2300" w:right="1134"/>
        <w:jc w:val="both"/>
        <w:rPr>
          <w:lang w:val="fr-FR"/>
        </w:rPr>
      </w:pPr>
      <w:r>
        <w:rPr>
          <w:lang w:val="fr-FR"/>
        </w:rPr>
        <w:sym w:font="Symbol" w:char="F0B1"/>
      </w:r>
      <w:r w:rsidR="00385BB5" w:rsidRPr="009208D1">
        <w:rPr>
          <w:lang w:val="fr-FR"/>
        </w:rPr>
        <w:t>50 Pa</w:t>
      </w:r>
      <w:r>
        <w:rPr>
          <w:lang w:val="fr-FR"/>
        </w:rPr>
        <w:t> ».</w:t>
      </w:r>
    </w:p>
    <w:p w14:paraId="25FA1303" w14:textId="1390A7CE" w:rsidR="00385BB5" w:rsidRPr="009208D1" w:rsidRDefault="00E24179" w:rsidP="00E24179">
      <w:pPr>
        <w:pStyle w:val="HChG"/>
        <w:rPr>
          <w:lang w:val="fr-FR"/>
        </w:rPr>
      </w:pPr>
      <w:r>
        <w:rPr>
          <w:lang w:val="fr-FR"/>
        </w:rPr>
        <w:tab/>
      </w:r>
      <w:r w:rsidR="00385BB5" w:rsidRPr="009208D1">
        <w:rPr>
          <w:lang w:val="fr-FR"/>
        </w:rPr>
        <w:t>II.</w:t>
      </w:r>
      <w:r w:rsidR="00385BB5" w:rsidRPr="009208D1">
        <w:rPr>
          <w:lang w:val="fr-FR"/>
        </w:rPr>
        <w:tab/>
        <w:t>Justification</w:t>
      </w:r>
    </w:p>
    <w:p w14:paraId="05B8288B" w14:textId="3B448485" w:rsidR="00385BB5" w:rsidRPr="009208D1" w:rsidRDefault="00385BB5" w:rsidP="00E24179">
      <w:pPr>
        <w:pStyle w:val="SingleTxtG"/>
        <w:rPr>
          <w:lang w:val="fr-FR"/>
        </w:rPr>
      </w:pPr>
      <w:bookmarkStart w:id="1" w:name="_Hlk85456648"/>
      <w:bookmarkEnd w:id="1"/>
      <w:r w:rsidRPr="009208D1">
        <w:rPr>
          <w:lang w:val="fr-FR" w:eastAsia="ja-JP"/>
        </w:rPr>
        <w:t>1.</w:t>
      </w:r>
      <w:r w:rsidRPr="009208D1">
        <w:rPr>
          <w:lang w:val="fr-FR" w:eastAsia="ja-JP"/>
        </w:rPr>
        <w:tab/>
      </w:r>
      <w:r w:rsidRPr="00017D9C">
        <w:rPr>
          <w:lang w:val="fr-FR" w:eastAsia="ja-JP"/>
        </w:rPr>
        <w:t xml:space="preserve">Harmonisation avec le Règlement ONU </w:t>
      </w:r>
      <w:r w:rsidR="00E24179" w:rsidRPr="00E24179">
        <w:rPr>
          <w:rFonts w:eastAsia="MS Mincho"/>
          <w:szCs w:val="22"/>
          <w:lang w:val="fr-FR" w:eastAsia="ja-JP"/>
        </w:rPr>
        <w:t>n</w:t>
      </w:r>
      <w:r w:rsidR="00E24179" w:rsidRPr="00E24179">
        <w:rPr>
          <w:rFonts w:eastAsia="MS Mincho"/>
          <w:szCs w:val="22"/>
          <w:vertAlign w:val="superscript"/>
          <w:lang w:val="fr-FR" w:eastAsia="ja-JP"/>
        </w:rPr>
        <w:t>o</w:t>
      </w:r>
      <w:r w:rsidR="00E24179">
        <w:rPr>
          <w:lang w:val="fr-FR" w:eastAsia="ja-JP"/>
        </w:rPr>
        <w:t> </w:t>
      </w:r>
      <w:r w:rsidRPr="00017D9C">
        <w:rPr>
          <w:lang w:val="fr-FR" w:eastAsia="ja-JP"/>
        </w:rPr>
        <w:t xml:space="preserve">85 : </w:t>
      </w:r>
      <w:bookmarkStart w:id="2" w:name="_Hlk87356685"/>
      <w:r w:rsidR="00E24179">
        <w:rPr>
          <w:lang w:val="fr-FR" w:eastAsia="ja-JP"/>
        </w:rPr>
        <w:sym w:font="Symbol" w:char="F0B1"/>
      </w:r>
      <w:bookmarkEnd w:id="2"/>
      <w:r w:rsidRPr="00017D9C">
        <w:rPr>
          <w:lang w:val="fr-FR" w:eastAsia="ja-JP"/>
        </w:rPr>
        <w:t>2</w:t>
      </w:r>
      <w:r w:rsidR="00E24179">
        <w:rPr>
          <w:lang w:val="fr-FR" w:eastAsia="ja-JP"/>
        </w:rPr>
        <w:t> </w:t>
      </w:r>
      <w:r w:rsidRPr="00017D9C">
        <w:rPr>
          <w:lang w:val="fr-FR" w:eastAsia="ja-JP"/>
        </w:rPr>
        <w:t xml:space="preserve">% à la puissance maximale et </w:t>
      </w:r>
      <w:r w:rsidR="00E24179">
        <w:rPr>
          <w:lang w:val="fr-FR" w:eastAsia="ja-JP"/>
        </w:rPr>
        <w:sym w:font="Symbol" w:char="F0B1"/>
      </w:r>
      <w:r w:rsidRPr="00017D9C">
        <w:rPr>
          <w:lang w:val="fr-FR" w:eastAsia="ja-JP"/>
        </w:rPr>
        <w:t>4</w:t>
      </w:r>
      <w:r w:rsidR="00E24179">
        <w:rPr>
          <w:lang w:val="fr-FR" w:eastAsia="ja-JP"/>
        </w:rPr>
        <w:t> </w:t>
      </w:r>
      <w:r w:rsidRPr="00017D9C">
        <w:rPr>
          <w:lang w:val="fr-FR" w:eastAsia="ja-JP"/>
        </w:rPr>
        <w:t>% aux autres points de mesure.</w:t>
      </w:r>
    </w:p>
    <w:p w14:paraId="56C78AC9" w14:textId="0458089C" w:rsidR="00385BB5" w:rsidRDefault="00385BB5" w:rsidP="00E24179">
      <w:pPr>
        <w:pStyle w:val="SingleTxtG"/>
        <w:rPr>
          <w:lang w:val="fr-FR" w:eastAsia="ja-JP"/>
        </w:rPr>
      </w:pPr>
      <w:r w:rsidRPr="009208D1">
        <w:rPr>
          <w:lang w:val="fr-FR" w:eastAsia="ja-JP"/>
        </w:rPr>
        <w:t>2.</w:t>
      </w:r>
      <w:r w:rsidRPr="009208D1">
        <w:rPr>
          <w:lang w:val="fr-FR" w:eastAsia="ja-JP"/>
        </w:rPr>
        <w:tab/>
      </w:r>
      <w:r w:rsidR="00E24179">
        <w:rPr>
          <w:lang w:val="fr-FR" w:eastAsia="ja-JP"/>
        </w:rPr>
        <w:t>« </w:t>
      </w:r>
      <w:r w:rsidRPr="00017D9C">
        <w:rPr>
          <w:lang w:val="fr-FR"/>
        </w:rPr>
        <w:t>Harmonisation</w:t>
      </w:r>
      <w:r w:rsidR="00E24179">
        <w:rPr>
          <w:lang w:val="fr-FR"/>
        </w:rPr>
        <w:t> »</w:t>
      </w:r>
      <w:r w:rsidRPr="009208D1">
        <w:rPr>
          <w:lang w:val="fr-FR" w:eastAsia="ja-JP"/>
        </w:rPr>
        <w:t xml:space="preserve"> </w:t>
      </w:r>
      <w:r w:rsidRPr="00017D9C">
        <w:rPr>
          <w:lang w:val="fr-FR" w:eastAsia="ja-JP"/>
        </w:rPr>
        <w:t xml:space="preserve">avec </w:t>
      </w:r>
      <w:r>
        <w:rPr>
          <w:lang w:val="fr-FR" w:eastAsia="ja-JP"/>
        </w:rPr>
        <w:t xml:space="preserve">la norme </w:t>
      </w:r>
      <w:r w:rsidRPr="009208D1">
        <w:rPr>
          <w:lang w:val="fr-FR" w:eastAsia="ja-JP"/>
        </w:rPr>
        <w:t>ISO 1585:2020</w:t>
      </w:r>
      <w:r>
        <w:rPr>
          <w:lang w:val="fr-FR" w:eastAsia="ja-JP"/>
        </w:rPr>
        <w:t xml:space="preserve"> </w:t>
      </w:r>
      <w:r w:rsidRPr="009117FC">
        <w:rPr>
          <w:lang w:val="fr-FR" w:eastAsia="ja-JP"/>
        </w:rPr>
        <w:t xml:space="preserve">: on utilise le terme </w:t>
      </w:r>
      <w:r w:rsidR="00E24179">
        <w:rPr>
          <w:lang w:val="fr-FR" w:eastAsia="ja-JP"/>
        </w:rPr>
        <w:t>« </w:t>
      </w:r>
      <w:r w:rsidRPr="009117FC">
        <w:rPr>
          <w:lang w:val="fr-FR" w:eastAsia="ja-JP"/>
        </w:rPr>
        <w:t>dépression</w:t>
      </w:r>
      <w:r w:rsidR="00E24179">
        <w:rPr>
          <w:lang w:val="fr-FR" w:eastAsia="ja-JP"/>
        </w:rPr>
        <w:t> »</w:t>
      </w:r>
      <w:r w:rsidRPr="009117FC">
        <w:rPr>
          <w:lang w:val="fr-FR" w:eastAsia="ja-JP"/>
        </w:rPr>
        <w:t xml:space="preserve"> pour préciser que le point de mesure est </w:t>
      </w:r>
      <w:r>
        <w:rPr>
          <w:lang w:val="fr-FR" w:eastAsia="ja-JP"/>
        </w:rPr>
        <w:t xml:space="preserve">différent </w:t>
      </w:r>
      <w:r w:rsidR="00E24179">
        <w:rPr>
          <w:lang w:val="fr-FR" w:eastAsia="ja-JP"/>
        </w:rPr>
        <w:t>selon que</w:t>
      </w:r>
      <w:r>
        <w:rPr>
          <w:lang w:val="fr-FR" w:eastAsia="ja-JP"/>
        </w:rPr>
        <w:t xml:space="preserve"> le moteur fonctionne avec la méthode d</w:t>
      </w:r>
      <w:r>
        <w:rPr>
          <w:lang w:val="fr-FR" w:eastAsia="ja-JP"/>
        </w:rPr>
        <w:t>’</w:t>
      </w:r>
      <w:r w:rsidRPr="009117FC">
        <w:rPr>
          <w:lang w:val="fr-FR" w:eastAsia="ja-JP"/>
        </w:rPr>
        <w:t>aspiration naturelle</w:t>
      </w:r>
      <w:r>
        <w:rPr>
          <w:lang w:val="fr-FR" w:eastAsia="ja-JP"/>
        </w:rPr>
        <w:t xml:space="preserve"> ou de </w:t>
      </w:r>
      <w:r w:rsidRPr="009117FC">
        <w:rPr>
          <w:lang w:val="fr-FR" w:eastAsia="ja-JP"/>
        </w:rPr>
        <w:t>suralimentation.</w:t>
      </w:r>
    </w:p>
    <w:p w14:paraId="065CA18D" w14:textId="40A61282" w:rsidR="00385BB5" w:rsidRPr="00385BB5" w:rsidRDefault="00385BB5" w:rsidP="00385BB5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385BB5" w:rsidRPr="00385BB5" w:rsidSect="00385BB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5C75E" w14:textId="77777777" w:rsidR="00B84EBA" w:rsidRDefault="00B84EBA" w:rsidP="00F95C08">
      <w:pPr>
        <w:spacing w:line="240" w:lineRule="auto"/>
      </w:pPr>
    </w:p>
  </w:endnote>
  <w:endnote w:type="continuationSeparator" w:id="0">
    <w:p w14:paraId="41439176" w14:textId="77777777" w:rsidR="00B84EBA" w:rsidRPr="00AC3823" w:rsidRDefault="00B84EBA" w:rsidP="00AC3823">
      <w:pPr>
        <w:pStyle w:val="Pieddepage"/>
      </w:pPr>
    </w:p>
  </w:endnote>
  <w:endnote w:type="continuationNotice" w:id="1">
    <w:p w14:paraId="4DBFA475" w14:textId="77777777" w:rsidR="00B84EBA" w:rsidRDefault="00B84E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396BC" w14:textId="30317EEE" w:rsidR="00385BB5" w:rsidRPr="00385BB5" w:rsidRDefault="00385BB5" w:rsidP="00385BB5">
    <w:pPr>
      <w:pStyle w:val="Pieddepage"/>
      <w:tabs>
        <w:tab w:val="right" w:pos="9638"/>
      </w:tabs>
    </w:pPr>
    <w:r w:rsidRPr="00385BB5">
      <w:rPr>
        <w:b/>
        <w:sz w:val="18"/>
      </w:rPr>
      <w:fldChar w:fldCharType="begin"/>
    </w:r>
    <w:r w:rsidRPr="00385BB5">
      <w:rPr>
        <w:b/>
        <w:sz w:val="18"/>
      </w:rPr>
      <w:instrText xml:space="preserve"> PAGE  \* MERGEFORMAT </w:instrText>
    </w:r>
    <w:r w:rsidRPr="00385BB5">
      <w:rPr>
        <w:b/>
        <w:sz w:val="18"/>
      </w:rPr>
      <w:fldChar w:fldCharType="separate"/>
    </w:r>
    <w:r w:rsidRPr="00385BB5">
      <w:rPr>
        <w:b/>
        <w:noProof/>
        <w:sz w:val="18"/>
      </w:rPr>
      <w:t>2</w:t>
    </w:r>
    <w:r w:rsidRPr="00385BB5">
      <w:rPr>
        <w:b/>
        <w:sz w:val="18"/>
      </w:rPr>
      <w:fldChar w:fldCharType="end"/>
    </w:r>
    <w:r>
      <w:rPr>
        <w:b/>
        <w:sz w:val="18"/>
      </w:rPr>
      <w:tab/>
    </w:r>
    <w:r>
      <w:t>GE.21-15413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F57B" w14:textId="4699A47A" w:rsidR="00385BB5" w:rsidRPr="00385BB5" w:rsidRDefault="00385BB5" w:rsidP="00385BB5">
    <w:pPr>
      <w:pStyle w:val="Pieddepage"/>
      <w:tabs>
        <w:tab w:val="right" w:pos="9638"/>
      </w:tabs>
      <w:rPr>
        <w:b/>
        <w:sz w:val="18"/>
      </w:rPr>
    </w:pPr>
    <w:r>
      <w:t>GE.21-15413</w:t>
    </w:r>
    <w:r>
      <w:tab/>
    </w:r>
    <w:r w:rsidRPr="00385BB5">
      <w:rPr>
        <w:b/>
        <w:sz w:val="18"/>
      </w:rPr>
      <w:fldChar w:fldCharType="begin"/>
    </w:r>
    <w:r w:rsidRPr="00385BB5">
      <w:rPr>
        <w:b/>
        <w:sz w:val="18"/>
      </w:rPr>
      <w:instrText xml:space="preserve"> PAGE  \* MERGEFORMAT </w:instrText>
    </w:r>
    <w:r w:rsidRPr="00385BB5">
      <w:rPr>
        <w:b/>
        <w:sz w:val="18"/>
      </w:rPr>
      <w:fldChar w:fldCharType="separate"/>
    </w:r>
    <w:r w:rsidRPr="00385BB5">
      <w:rPr>
        <w:b/>
        <w:noProof/>
        <w:sz w:val="18"/>
      </w:rPr>
      <w:t>3</w:t>
    </w:r>
    <w:r w:rsidRPr="00385BB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8608" w14:textId="55277406" w:rsidR="007F20FA" w:rsidRPr="00385BB5" w:rsidRDefault="00385BB5" w:rsidP="00385BB5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3F5679B" wp14:editId="352E53A5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21-15413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2509E9D" wp14:editId="3AA417AB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091121    091121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51D31" w14:textId="77777777" w:rsidR="00B84EBA" w:rsidRPr="00AC3823" w:rsidRDefault="00B84EB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725B4D0" w14:textId="77777777" w:rsidR="00B84EBA" w:rsidRPr="00AC3823" w:rsidRDefault="00B84EB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C48E049" w14:textId="77777777" w:rsidR="00B84EBA" w:rsidRPr="00AC3823" w:rsidRDefault="00B84EBA">
      <w:pPr>
        <w:spacing w:line="240" w:lineRule="auto"/>
        <w:rPr>
          <w:sz w:val="2"/>
          <w:szCs w:val="2"/>
        </w:rPr>
      </w:pPr>
    </w:p>
  </w:footnote>
  <w:footnote w:id="2">
    <w:p w14:paraId="45A1A3FB" w14:textId="032187CB" w:rsidR="00385BB5" w:rsidRPr="00012C26" w:rsidRDefault="00385BB5" w:rsidP="00385BB5">
      <w:pPr>
        <w:pStyle w:val="Notedebasdepage"/>
        <w:rPr>
          <w:lang w:val="fr-FR"/>
        </w:rPr>
      </w:pPr>
      <w:r>
        <w:rPr>
          <w:lang w:val="fr-FR"/>
        </w:rPr>
        <w:tab/>
      </w:r>
      <w:r w:rsidRPr="00385BB5">
        <w:rPr>
          <w:sz w:val="20"/>
          <w:lang w:val="fr-FR"/>
        </w:rPr>
        <w:t>*</w:t>
      </w:r>
      <w:r>
        <w:rPr>
          <w:lang w:val="fr-FR"/>
        </w:rPr>
        <w:tab/>
        <w:t>Conformément au programme de travail du Comité des transports intérieurs pour 2022 tel qu</w:t>
      </w:r>
      <w:r>
        <w:rPr>
          <w:lang w:val="fr-FR"/>
        </w:rPr>
        <w:t>’</w:t>
      </w:r>
      <w:r>
        <w:rPr>
          <w:lang w:val="fr-FR"/>
        </w:rPr>
        <w:t>il figure dans le projet de budget-programme pour 2022 (A/76/6 (Sect. 20), par. 20.76), le Forum mondial a pour mission d</w:t>
      </w:r>
      <w:r>
        <w:rPr>
          <w:lang w:val="fr-FR"/>
        </w:rPr>
        <w:t>’</w:t>
      </w:r>
      <w:r>
        <w:rPr>
          <w:lang w:val="fr-FR"/>
        </w:rPr>
        <w:t>élaborer, d</w:t>
      </w:r>
      <w:r>
        <w:rPr>
          <w:lang w:val="fr-FR"/>
        </w:rPr>
        <w:t>’</w:t>
      </w:r>
      <w:r>
        <w:rPr>
          <w:lang w:val="fr-FR"/>
        </w:rPr>
        <w:t>harmoniser et de mettre à jour les Règlements ONU en vue d</w:t>
      </w:r>
      <w:r>
        <w:rPr>
          <w:lang w:val="fr-FR"/>
        </w:rPr>
        <w:t>’</w:t>
      </w:r>
      <w:r>
        <w:rPr>
          <w:lang w:val="fr-FR"/>
        </w:rPr>
        <w:t>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3B3A" w14:textId="72A122B7" w:rsidR="00385BB5" w:rsidRPr="00385BB5" w:rsidRDefault="00385BB5">
    <w:pPr>
      <w:pStyle w:val="En-tte"/>
    </w:pPr>
    <w:fldSimple w:instr=" TITLE  \* MERGEFORMAT ">
      <w:r w:rsidR="00D070FF">
        <w:t>ECE/TRANS/WP.29/GRPE/2022/4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939A" w14:textId="4A5FBD38" w:rsidR="00385BB5" w:rsidRPr="00385BB5" w:rsidRDefault="00385BB5" w:rsidP="00385BB5">
    <w:pPr>
      <w:pStyle w:val="En-tte"/>
      <w:jc w:val="right"/>
    </w:pPr>
    <w:fldSimple w:instr=" TITLE  \* MERGEFORMAT ">
      <w:r w:rsidR="00D070FF">
        <w:t>ECE/TRANS/WP.29/GRPE/2022/4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attachedTemplate r:id="rId1"/>
  <w:defaultTabStop w:val="567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BA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B387A"/>
    <w:rsid w:val="001F525A"/>
    <w:rsid w:val="00201148"/>
    <w:rsid w:val="00223272"/>
    <w:rsid w:val="0024779E"/>
    <w:rsid w:val="00257168"/>
    <w:rsid w:val="002649B8"/>
    <w:rsid w:val="002744B8"/>
    <w:rsid w:val="002832AC"/>
    <w:rsid w:val="002D7C93"/>
    <w:rsid w:val="00305801"/>
    <w:rsid w:val="00385BB5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816CE"/>
    <w:rsid w:val="00706FF6"/>
    <w:rsid w:val="0071601D"/>
    <w:rsid w:val="007A62E6"/>
    <w:rsid w:val="007F20FA"/>
    <w:rsid w:val="0080684C"/>
    <w:rsid w:val="00871C75"/>
    <w:rsid w:val="008776DC"/>
    <w:rsid w:val="008D5EF9"/>
    <w:rsid w:val="00901A9D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60A97"/>
    <w:rsid w:val="00B765F7"/>
    <w:rsid w:val="00B77993"/>
    <w:rsid w:val="00B84EBA"/>
    <w:rsid w:val="00BA0CA9"/>
    <w:rsid w:val="00C02897"/>
    <w:rsid w:val="00C97039"/>
    <w:rsid w:val="00D070FF"/>
    <w:rsid w:val="00D3439C"/>
    <w:rsid w:val="00D7622E"/>
    <w:rsid w:val="00DB1831"/>
    <w:rsid w:val="00DD3BFD"/>
    <w:rsid w:val="00DF6678"/>
    <w:rsid w:val="00E0299A"/>
    <w:rsid w:val="00E24179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CD4979"/>
  <w15:docId w15:val="{C43C35E4-093A-4C6F-971D-5D8D584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385BB5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292</Words>
  <Characters>2044</Characters>
  <Application>Microsoft Office Word</Application>
  <DocSecurity>0</DocSecurity>
  <Lines>170</Lines>
  <Paragraphs>93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ECE/TRANS/WP.29/GRPE/2022/4</vt:lpstr>
      <vt:lpstr>    Proposition de nouveau complément à la série 03 	d’amendements au Règlement ON</vt:lpstr>
      <vt:lpstr>        Communication de l’expert de l’Organisation internationale  des constructeurs </vt:lpstr>
      <vt:lpstr>    I.	Proposition</vt:lpstr>
      <vt:lpstr>    II.	Justification</vt:lpstr>
    </vt:vector>
  </TitlesOfParts>
  <Company>DCM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ECE/TRANS/WP.29/GRPE/2022/4</dc:title>
  <dc:subject/>
  <dc:creator>Corinne ROBERT</dc:creator>
  <cp:keywords/>
  <cp:lastModifiedBy>Corinne ROBERT</cp:lastModifiedBy>
  <cp:revision>2</cp:revision>
  <cp:lastPrinted>2021-11-09T12:36:00Z</cp:lastPrinted>
  <dcterms:created xsi:type="dcterms:W3CDTF">2021-11-09T12:36:00Z</dcterms:created>
  <dcterms:modified xsi:type="dcterms:W3CDTF">2021-11-09T12:36:00Z</dcterms:modified>
</cp:coreProperties>
</file>