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42B8FD6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663A3B">
              <w:rPr>
                <w:b/>
                <w:sz w:val="40"/>
                <w:szCs w:val="40"/>
              </w:rPr>
              <w:t>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6478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3F23909A" w:rsidR="00645A0B" w:rsidRPr="006478B5" w:rsidRDefault="00645A0B" w:rsidP="00EE2966">
            <w:pPr>
              <w:tabs>
                <w:tab w:val="right" w:pos="9214"/>
              </w:tabs>
            </w:pPr>
            <w:r w:rsidRPr="006478B5">
              <w:rPr>
                <w:b/>
                <w:sz w:val="24"/>
                <w:szCs w:val="24"/>
              </w:rPr>
              <w:t>Committee of Experts on the Transport of Dangerous Goods</w:t>
            </w:r>
            <w:r w:rsidRPr="006478B5">
              <w:rPr>
                <w:b/>
                <w:sz w:val="24"/>
                <w:szCs w:val="24"/>
              </w:rPr>
              <w:tab/>
            </w:r>
            <w:r w:rsidRPr="006478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78B5">
              <w:rPr>
                <w:b/>
                <w:sz w:val="24"/>
                <w:szCs w:val="24"/>
              </w:rPr>
              <w:br/>
              <w:t>and Labelling of Chemicals</w:t>
            </w:r>
            <w:r w:rsidRPr="006478B5">
              <w:rPr>
                <w:b/>
              </w:rPr>
              <w:tab/>
            </w:r>
            <w:r w:rsidR="0011676D">
              <w:rPr>
                <w:b/>
              </w:rPr>
              <w:t>1</w:t>
            </w:r>
            <w:r w:rsidR="00663A3B">
              <w:rPr>
                <w:b/>
              </w:rPr>
              <w:t>9</w:t>
            </w:r>
            <w:r w:rsidR="00EB6BA6" w:rsidRPr="006478B5">
              <w:rPr>
                <w:b/>
              </w:rPr>
              <w:t xml:space="preserve"> </w:t>
            </w:r>
            <w:r w:rsidR="0011676D">
              <w:rPr>
                <w:b/>
              </w:rPr>
              <w:t>October</w:t>
            </w:r>
            <w:r w:rsidR="00AD7C5F" w:rsidRPr="006478B5">
              <w:rPr>
                <w:b/>
              </w:rPr>
              <w:t xml:space="preserve"> 2021</w:t>
            </w:r>
          </w:p>
        </w:tc>
      </w:tr>
      <w:tr w:rsidR="00006E29" w:rsidRPr="006478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6478B5" w:rsidRDefault="00006E29" w:rsidP="00D73803">
            <w:pPr>
              <w:spacing w:before="40"/>
              <w:rPr>
                <w:b/>
              </w:rPr>
            </w:pPr>
            <w:r w:rsidRPr="006478B5">
              <w:rPr>
                <w:b/>
              </w:rPr>
              <w:t xml:space="preserve">Sub-Committee of Experts on the Transport of Dangerous Goods </w:t>
            </w:r>
          </w:p>
          <w:p w14:paraId="613C7C0F" w14:textId="078AC2BA" w:rsidR="00006E29" w:rsidRPr="006478B5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6478B5">
              <w:rPr>
                <w:b/>
              </w:rPr>
              <w:t>Fifty-</w:t>
            </w:r>
            <w:r w:rsidR="00560BC2">
              <w:rPr>
                <w:b/>
              </w:rPr>
              <w:t>nine</w:t>
            </w:r>
            <w:r w:rsidRPr="006478B5">
              <w:rPr>
                <w:b/>
              </w:rPr>
              <w:t>th session</w:t>
            </w:r>
          </w:p>
          <w:p w14:paraId="3BDE97DE" w14:textId="1ECE19D5" w:rsidR="00006E29" w:rsidRPr="006478B5" w:rsidRDefault="00006E29" w:rsidP="00597048">
            <w:pPr>
              <w:rPr>
                <w:b/>
              </w:rPr>
            </w:pPr>
            <w:r w:rsidRPr="006478B5">
              <w:t>Geneva, 2</w:t>
            </w:r>
            <w:r w:rsidR="00560BC2">
              <w:t>9</w:t>
            </w:r>
            <w:r w:rsidRPr="006478B5">
              <w:t xml:space="preserve"> </w:t>
            </w:r>
            <w:r w:rsidR="00560BC2">
              <w:t>November</w:t>
            </w:r>
            <w:r w:rsidRPr="006478B5">
              <w:t>-</w:t>
            </w:r>
            <w:r w:rsidR="00560BC2">
              <w:t>8</w:t>
            </w:r>
            <w:r w:rsidRPr="006478B5">
              <w:t xml:space="preserve"> </w:t>
            </w:r>
            <w:r w:rsidR="00560BC2">
              <w:t>December</w:t>
            </w:r>
            <w:r w:rsidRPr="006478B5">
              <w:t xml:space="preserve"> 2021</w:t>
            </w:r>
            <w:r w:rsidRPr="006478B5">
              <w:br/>
              <w:t xml:space="preserve">Item </w:t>
            </w:r>
            <w:r w:rsidR="009C5A99">
              <w:t>6</w:t>
            </w:r>
            <w:r w:rsidR="00D05A99">
              <w:t xml:space="preserve"> </w:t>
            </w:r>
            <w:r w:rsidR="00560BC2">
              <w:t>(</w:t>
            </w:r>
            <w:r w:rsidR="009C5A99">
              <w:t>d</w:t>
            </w:r>
            <w:r w:rsidR="00560BC2">
              <w:t>)</w:t>
            </w:r>
            <w:r w:rsidRPr="006478B5">
              <w:t xml:space="preserve"> of the provisional agenda</w:t>
            </w:r>
            <w:r w:rsidRPr="006478B5">
              <w:br/>
            </w:r>
            <w:r w:rsidR="00D47425" w:rsidRPr="002B4A3F">
              <w:rPr>
                <w:b/>
                <w:bCs/>
              </w:rPr>
              <w:t xml:space="preserve">Miscellaneous proposals for amendments to the Model Regulations </w:t>
            </w:r>
            <w:r w:rsidR="00360AA6" w:rsidRPr="002B4A3F">
              <w:rPr>
                <w:b/>
                <w:bCs/>
              </w:rPr>
              <w:br/>
            </w:r>
            <w:r w:rsidR="00D47425" w:rsidRPr="002B4A3F">
              <w:rPr>
                <w:b/>
                <w:bCs/>
              </w:rPr>
              <w:t>on the Transport of Dangerous Goods</w:t>
            </w:r>
            <w:r w:rsidR="00360AA6" w:rsidRPr="002B4A3F">
              <w:rPr>
                <w:b/>
                <w:bCs/>
              </w:rPr>
              <w:t xml:space="preserve">: </w:t>
            </w:r>
            <w:r w:rsidR="002B4A3F" w:rsidRPr="002B4A3F">
              <w:rPr>
                <w:b/>
                <w:bCs/>
              </w:rPr>
              <w:t>other miscellaneous proposals</w:t>
            </w:r>
            <w:r w:rsidR="00D47425" w:rsidRPr="002B4A3F">
              <w:rPr>
                <w:b/>
                <w:bCs/>
              </w:rPr>
              <w:t xml:space="preserve"> </w:t>
            </w:r>
            <w:r w:rsidR="00D47425" w:rsidRPr="002B4A3F">
              <w:rPr>
                <w:b/>
                <w:bCs/>
              </w:rPr>
              <w:br/>
            </w:r>
          </w:p>
        </w:tc>
      </w:tr>
    </w:tbl>
    <w:p w14:paraId="008259D2" w14:textId="518C65FB" w:rsidR="00FD347B" w:rsidRPr="00E2344C" w:rsidRDefault="002B4A3F" w:rsidP="00FD347B">
      <w:pPr>
        <w:pStyle w:val="HChG"/>
        <w:spacing w:before="120"/>
        <w:rPr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FD347B">
        <w:rPr>
          <w:rFonts w:eastAsia="Arial Unicode MS"/>
          <w:lang w:val="en-US"/>
        </w:rPr>
        <w:t>Deletion of transitional measures</w:t>
      </w:r>
    </w:p>
    <w:p w14:paraId="23BC90E0" w14:textId="77777777" w:rsidR="00FD347B" w:rsidRPr="00372A88" w:rsidRDefault="00FD347B" w:rsidP="00FD347B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Pr="004E2CEA">
        <w:rPr>
          <w:rFonts w:eastAsia="Arial Unicode MS"/>
        </w:rPr>
        <w:t>Transmitted</w:t>
      </w:r>
      <w:r w:rsidRPr="00372A88">
        <w:rPr>
          <w:rFonts w:eastAsia="Arial Unicode MS"/>
          <w:lang w:val="en-US"/>
        </w:rPr>
        <w:t xml:space="preserve"> by the expert from </w:t>
      </w:r>
      <w:r>
        <w:rPr>
          <w:rFonts w:eastAsia="Arial Unicode MS"/>
          <w:lang w:val="en-US"/>
        </w:rPr>
        <w:t>Spain</w:t>
      </w:r>
    </w:p>
    <w:p w14:paraId="140EB513" w14:textId="77777777" w:rsidR="00FD347B" w:rsidRPr="00372A88" w:rsidRDefault="00FD347B" w:rsidP="00FD347B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4E2CEA">
        <w:t>Introduction</w:t>
      </w:r>
    </w:p>
    <w:p w14:paraId="134554C3" w14:textId="2CC84967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 xml:space="preserve">Several marks, placards and labels appearing in the </w:t>
      </w:r>
      <w:r w:rsidR="00F51B40">
        <w:rPr>
          <w:lang w:val="en-US"/>
        </w:rPr>
        <w:t xml:space="preserve">UN </w:t>
      </w:r>
      <w:r>
        <w:rPr>
          <w:lang w:val="en-US"/>
        </w:rPr>
        <w:t>Model Regulations have transitional measures included through a note to the relevant text parts that allow the use of the previous marks or labels until 31 December 2016. As the relevant date</w:t>
      </w:r>
      <w:r w:rsidR="00FD6EEC">
        <w:rPr>
          <w:lang w:val="en-US"/>
        </w:rPr>
        <w:t>s</w:t>
      </w:r>
      <w:r>
        <w:rPr>
          <w:lang w:val="en-US"/>
        </w:rPr>
        <w:t xml:space="preserve"> for the use of the previous marks, placards and labels have passed, these notes should be deleted.</w:t>
      </w:r>
    </w:p>
    <w:p w14:paraId="65D1772B" w14:textId="05E9C135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 w:rsidRPr="00B208DA">
        <w:rPr>
          <w:lang w:val="en-US"/>
        </w:rPr>
        <w:t xml:space="preserve">Marking of packages containing limited quantities and </w:t>
      </w:r>
      <w:r>
        <w:rPr>
          <w:lang w:val="en-US"/>
        </w:rPr>
        <w:t>m</w:t>
      </w:r>
      <w:r w:rsidRPr="00B208DA">
        <w:rPr>
          <w:lang w:val="en-US"/>
        </w:rPr>
        <w:t>arking of packages containing limited quantities conforming to Part 3</w:t>
      </w:r>
      <w:r w:rsidR="003A1865">
        <w:rPr>
          <w:lang w:val="en-US"/>
        </w:rPr>
        <w:t>,</w:t>
      </w:r>
      <w:r w:rsidRPr="00B208DA">
        <w:rPr>
          <w:lang w:val="en-US"/>
        </w:rPr>
        <w:t xml:space="preserve"> Chapter 4 of</w:t>
      </w:r>
      <w:r>
        <w:rPr>
          <w:lang w:val="en-US"/>
        </w:rPr>
        <w:t xml:space="preserve"> </w:t>
      </w:r>
      <w:r w:rsidRPr="00B208DA">
        <w:rPr>
          <w:lang w:val="en-US"/>
        </w:rPr>
        <w:t>the ICAO Technical Instructions for the Safe Transport of Dangerous Goods by Air</w:t>
      </w:r>
      <w:r>
        <w:rPr>
          <w:lang w:val="en-US"/>
        </w:rPr>
        <w:t xml:space="preserve"> both contain a note under 3.4.7.2 and 3.4.8.2, that allows for the use of the previous marks until 31 December 2016. As that date has passed, both notes should be deleted.</w:t>
      </w:r>
    </w:p>
    <w:p w14:paraId="2FD5A944" w14:textId="75605FA1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>Provisions for o</w:t>
      </w:r>
      <w:r w:rsidRPr="00710F53">
        <w:rPr>
          <w:lang w:val="en-US"/>
        </w:rPr>
        <w:t>verpacks</w:t>
      </w:r>
      <w:r>
        <w:rPr>
          <w:lang w:val="en-US"/>
        </w:rPr>
        <w:t xml:space="preserve"> used in </w:t>
      </w:r>
      <w:r w:rsidRPr="00710F53">
        <w:rPr>
          <w:lang w:val="en-US"/>
        </w:rPr>
        <w:t>excepted quantities</w:t>
      </w:r>
      <w:r>
        <w:rPr>
          <w:lang w:val="en-US"/>
        </w:rPr>
        <w:t xml:space="preserve"> contain a note to 3.5.4.3 that allows for the use of the previous marks until 31 December 2016. As that date has passed, this note should be deleted.</w:t>
      </w:r>
    </w:p>
    <w:p w14:paraId="32CB626E" w14:textId="605DB10A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>Packing instructions P650 and P904 both contain a note to the mark tha</w:t>
      </w:r>
      <w:r w:rsidR="004A3312">
        <w:rPr>
          <w:lang w:val="en-US"/>
        </w:rPr>
        <w:t>t</w:t>
      </w:r>
      <w:r>
        <w:rPr>
          <w:lang w:val="en-US"/>
        </w:rPr>
        <w:t xml:space="preserve"> </w:t>
      </w:r>
      <w:r w:rsidR="004A3312">
        <w:rPr>
          <w:lang w:val="en-US"/>
        </w:rPr>
        <w:t>shall</w:t>
      </w:r>
      <w:r>
        <w:rPr>
          <w:lang w:val="en-US"/>
        </w:rPr>
        <w:t xml:space="preserve"> be used, allow</w:t>
      </w:r>
      <w:r w:rsidR="00A50E65">
        <w:rPr>
          <w:lang w:val="en-US"/>
        </w:rPr>
        <w:t xml:space="preserve">ing </w:t>
      </w:r>
      <w:r>
        <w:rPr>
          <w:lang w:val="en-US"/>
        </w:rPr>
        <w:t>the use of the previous mark until 31 December 2016. As that date has passed, both notes should be deleted.</w:t>
      </w:r>
    </w:p>
    <w:p w14:paraId="3F8BEFCD" w14:textId="34207B25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 w:rsidRPr="00C55EA1">
        <w:rPr>
          <w:lang w:val="en-US"/>
        </w:rPr>
        <w:t>Special marking provisions for environmentally hazardous substances</w:t>
      </w:r>
      <w:r>
        <w:rPr>
          <w:lang w:val="en-US"/>
        </w:rPr>
        <w:t xml:space="preserve"> allow in note number two of 5.2.1.6.3 for the use of the previous marks until 31 December 2016. As that date has passed, this note should be deleted.</w:t>
      </w:r>
    </w:p>
    <w:p w14:paraId="767B5D24" w14:textId="17BA00C6" w:rsidR="00FD347B" w:rsidRPr="004F774F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 w:rsidRPr="004F774F">
        <w:rPr>
          <w:lang w:val="en-US"/>
        </w:rPr>
        <w:t>Provisions for labels ha</w:t>
      </w:r>
      <w:r w:rsidR="00246BD2">
        <w:rPr>
          <w:lang w:val="en-US"/>
        </w:rPr>
        <w:t>ve</w:t>
      </w:r>
      <w:r w:rsidRPr="004F774F">
        <w:rPr>
          <w:lang w:val="en-US"/>
        </w:rPr>
        <w:t xml:space="preserve"> a note in 5.2.2.</w:t>
      </w:r>
      <w:r w:rsidR="00246BD2">
        <w:rPr>
          <w:lang w:val="en-US"/>
        </w:rPr>
        <w:t>2.</w:t>
      </w:r>
      <w:r w:rsidRPr="004F774F">
        <w:rPr>
          <w:lang w:val="en-US"/>
        </w:rPr>
        <w:t>1.1.3 that allows for the use of the previous labels until 31 December 2016. As that date has passed, the note should be deleted.</w:t>
      </w:r>
    </w:p>
    <w:p w14:paraId="75B12DD4" w14:textId="0023DD73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>In the s</w:t>
      </w:r>
      <w:r w:rsidRPr="00C55EA1">
        <w:rPr>
          <w:lang w:val="en-US"/>
        </w:rPr>
        <w:t>pecifications for placards</w:t>
      </w:r>
      <w:r>
        <w:rPr>
          <w:lang w:val="en-US"/>
        </w:rPr>
        <w:t xml:space="preserve"> a note </w:t>
      </w:r>
      <w:r w:rsidR="00B54B2E">
        <w:rPr>
          <w:lang w:val="en-US"/>
        </w:rPr>
        <w:t>in</w:t>
      </w:r>
      <w:r>
        <w:rPr>
          <w:lang w:val="en-US"/>
        </w:rPr>
        <w:t xml:space="preserve"> the</w:t>
      </w:r>
      <w:r w:rsidRPr="002B5FC8">
        <w:rPr>
          <w:lang w:val="en-US"/>
        </w:rPr>
        <w:t xml:space="preserve"> provisions of</w:t>
      </w:r>
      <w:r>
        <w:rPr>
          <w:lang w:val="en-US"/>
        </w:rPr>
        <w:t xml:space="preserve"> </w:t>
      </w:r>
      <w:r w:rsidRPr="002B5FC8">
        <w:rPr>
          <w:lang w:val="en-US"/>
        </w:rPr>
        <w:t>5.3.1.2.1</w:t>
      </w:r>
      <w:r>
        <w:rPr>
          <w:lang w:val="en-US"/>
        </w:rPr>
        <w:t xml:space="preserve"> allows for the use of the previous placards until 31 December 2016. As that date has passed, the note should be deleted.</w:t>
      </w:r>
    </w:p>
    <w:p w14:paraId="293812AE" w14:textId="64685393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>Provisions for e</w:t>
      </w:r>
      <w:r w:rsidRPr="002B5FC8">
        <w:rPr>
          <w:lang w:val="en-US"/>
        </w:rPr>
        <w:t>levated temperature substance mark</w:t>
      </w:r>
      <w:r>
        <w:rPr>
          <w:lang w:val="en-US"/>
        </w:rPr>
        <w:t xml:space="preserve">s include a note in 5.3.2.2 on the </w:t>
      </w:r>
      <w:r w:rsidR="006D0308">
        <w:rPr>
          <w:lang w:val="en-US"/>
        </w:rPr>
        <w:t>mark</w:t>
      </w:r>
      <w:r>
        <w:rPr>
          <w:lang w:val="en-US"/>
        </w:rPr>
        <w:t xml:space="preserve"> tha</w:t>
      </w:r>
      <w:r w:rsidR="00316BE7">
        <w:rPr>
          <w:lang w:val="en-US"/>
        </w:rPr>
        <w:t>t</w:t>
      </w:r>
      <w:r>
        <w:rPr>
          <w:lang w:val="en-US"/>
        </w:rPr>
        <w:t xml:space="preserve"> </w:t>
      </w:r>
      <w:r w:rsidR="00A61066">
        <w:rPr>
          <w:lang w:val="en-US"/>
        </w:rPr>
        <w:t>shall</w:t>
      </w:r>
      <w:r>
        <w:rPr>
          <w:lang w:val="en-US"/>
        </w:rPr>
        <w:t xml:space="preserve"> be used, allow</w:t>
      </w:r>
      <w:r w:rsidR="00316BE7">
        <w:rPr>
          <w:lang w:val="en-US"/>
        </w:rPr>
        <w:t>ing</w:t>
      </w:r>
      <w:r>
        <w:rPr>
          <w:lang w:val="en-US"/>
        </w:rPr>
        <w:t xml:space="preserve"> the use of the previous marks until 31 December 2016. As that date has passed, the note should be deleted.</w:t>
      </w:r>
    </w:p>
    <w:p w14:paraId="67317001" w14:textId="4BC257D7" w:rsidR="00FD347B" w:rsidRDefault="00FD347B" w:rsidP="00FD347B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 w:rsidRPr="002C36D8">
        <w:rPr>
          <w:lang w:val="en-US"/>
        </w:rPr>
        <w:t>Marking and placarding</w:t>
      </w:r>
      <w:r>
        <w:rPr>
          <w:lang w:val="en-US"/>
        </w:rPr>
        <w:t xml:space="preserve"> of f</w:t>
      </w:r>
      <w:r w:rsidRPr="002C36D8">
        <w:rPr>
          <w:lang w:val="en-US"/>
        </w:rPr>
        <w:t>umigation warning mark</w:t>
      </w:r>
      <w:r>
        <w:rPr>
          <w:lang w:val="en-US"/>
        </w:rPr>
        <w:t xml:space="preserve"> has a note under 5.5.2.3.2 </w:t>
      </w:r>
      <w:r w:rsidRPr="002C36D8">
        <w:rPr>
          <w:lang w:val="en-US"/>
        </w:rPr>
        <w:t xml:space="preserve">that allows for the use of the previous marks until 31 December 2016. As that date has passed, </w:t>
      </w:r>
      <w:r>
        <w:rPr>
          <w:lang w:val="en-US"/>
        </w:rPr>
        <w:t>the note</w:t>
      </w:r>
      <w:r w:rsidRPr="002C36D8">
        <w:rPr>
          <w:lang w:val="en-US"/>
        </w:rPr>
        <w:t xml:space="preserve"> should be deleted</w:t>
      </w:r>
      <w:r>
        <w:rPr>
          <w:lang w:val="en-US"/>
        </w:rPr>
        <w:t>.</w:t>
      </w:r>
    </w:p>
    <w:p w14:paraId="03BF3582" w14:textId="77777777" w:rsidR="002B4A3F" w:rsidRDefault="002B4A3F">
      <w:pPr>
        <w:suppressAutoHyphens w:val="0"/>
        <w:spacing w:line="240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6EA2CB8C" w14:textId="12312E05" w:rsidR="00FD347B" w:rsidRPr="00FB5674" w:rsidRDefault="00FD347B" w:rsidP="00FD347B">
      <w:pPr>
        <w:pStyle w:val="HChG"/>
        <w:ind w:firstLine="0"/>
        <w:jc w:val="both"/>
        <w:rPr>
          <w:sz w:val="24"/>
          <w:szCs w:val="24"/>
          <w:lang w:val="en-GB"/>
        </w:rPr>
      </w:pPr>
      <w:r w:rsidRPr="00FB5674">
        <w:rPr>
          <w:szCs w:val="28"/>
          <w:lang w:val="en-GB"/>
        </w:rPr>
        <w:lastRenderedPageBreak/>
        <w:t>Proposal</w:t>
      </w:r>
      <w:r>
        <w:rPr>
          <w:szCs w:val="28"/>
          <w:lang w:val="en-GB"/>
        </w:rPr>
        <w:t>s</w:t>
      </w:r>
    </w:p>
    <w:p w14:paraId="7667BD5B" w14:textId="7777777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>Delete the notes in 3.4.7.2 and in 3.4.8.2.</w:t>
      </w:r>
    </w:p>
    <w:p w14:paraId="04D843DF" w14:textId="7777777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Delete the note in 3.5.4.3.</w:t>
      </w:r>
    </w:p>
    <w:p w14:paraId="77B08691" w14:textId="559D4F7D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12</w:t>
      </w:r>
      <w:r w:rsidR="00F809F2">
        <w:rPr>
          <w:lang w:val="en-US"/>
        </w:rPr>
        <w:t>.</w:t>
      </w:r>
      <w:r>
        <w:rPr>
          <w:lang w:val="en-US"/>
        </w:rPr>
        <w:tab/>
        <w:t xml:space="preserve">Delete the notes in </w:t>
      </w:r>
      <w:r w:rsidR="00A27945">
        <w:rPr>
          <w:lang w:val="en-US"/>
        </w:rPr>
        <w:t>packing ins</w:t>
      </w:r>
      <w:r w:rsidR="005002CA">
        <w:rPr>
          <w:lang w:val="en-US"/>
        </w:rPr>
        <w:t xml:space="preserve">tructions </w:t>
      </w:r>
      <w:r>
        <w:rPr>
          <w:lang w:val="en-US"/>
        </w:rPr>
        <w:t>P650</w:t>
      </w:r>
      <w:r w:rsidR="00F809F2">
        <w:rPr>
          <w:lang w:val="en-US"/>
        </w:rPr>
        <w:t xml:space="preserve"> </w:t>
      </w:r>
      <w:r>
        <w:rPr>
          <w:lang w:val="en-US"/>
        </w:rPr>
        <w:t>under (4) and P904 under (2)(b).</w:t>
      </w:r>
    </w:p>
    <w:p w14:paraId="4A277098" w14:textId="6667976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 xml:space="preserve">Delete </w:t>
      </w:r>
      <w:r w:rsidR="00F809F2" w:rsidRPr="00AE4773">
        <w:rPr>
          <w:i/>
          <w:iCs/>
          <w:lang w:val="en-US"/>
        </w:rPr>
        <w:t>Note 2</w:t>
      </w:r>
      <w:r>
        <w:rPr>
          <w:lang w:val="en-US"/>
        </w:rPr>
        <w:t xml:space="preserve"> in 5.2.1.6.3.</w:t>
      </w:r>
    </w:p>
    <w:p w14:paraId="6617643D" w14:textId="7777777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Delete the note in 5.2.2.2.1.1.3.</w:t>
      </w:r>
    </w:p>
    <w:p w14:paraId="2A6D5D04" w14:textId="17B7887C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>Delete the note in 5.3.1.2.1.</w:t>
      </w:r>
    </w:p>
    <w:p w14:paraId="409628A9" w14:textId="7777777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Delete the note in 5.3.2.2.</w:t>
      </w:r>
    </w:p>
    <w:p w14:paraId="5BA2BCCD" w14:textId="77777777" w:rsidR="00FD347B" w:rsidRDefault="00FD347B" w:rsidP="00FD347B">
      <w:pPr>
        <w:pStyle w:val="SingleTxtG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  <w:t>Delete the note in 5.5.2.3.2.</w:t>
      </w:r>
    </w:p>
    <w:p w14:paraId="0D31E369" w14:textId="77777777" w:rsidR="00FD347B" w:rsidRPr="004E2CEA" w:rsidRDefault="00FD347B" w:rsidP="00FD34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D423DD" w14:textId="77777777" w:rsidR="00FD347B" w:rsidRPr="00FD347B" w:rsidRDefault="00FD347B" w:rsidP="00FD347B">
      <w:pPr>
        <w:rPr>
          <w:lang w:val="x-none"/>
        </w:rPr>
      </w:pPr>
    </w:p>
    <w:sectPr w:rsidR="00FD347B" w:rsidRPr="00FD347B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EE11" w14:textId="77777777" w:rsidR="0018403C" w:rsidRDefault="0018403C"/>
  </w:endnote>
  <w:endnote w:type="continuationSeparator" w:id="0">
    <w:p w14:paraId="05534482" w14:textId="77777777" w:rsidR="0018403C" w:rsidRDefault="0018403C"/>
  </w:endnote>
  <w:endnote w:type="continuationNotice" w:id="1">
    <w:p w14:paraId="1D7DC4E1" w14:textId="77777777" w:rsidR="0018403C" w:rsidRDefault="00184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DDD4" w14:textId="77777777" w:rsidR="0018403C" w:rsidRPr="000B175B" w:rsidRDefault="001840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75334" w14:textId="77777777" w:rsidR="0018403C" w:rsidRPr="00FC68B7" w:rsidRDefault="001840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5E5541" w14:textId="77777777" w:rsidR="0018403C" w:rsidRDefault="00184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266AD779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273E5B">
      <w:rPr>
        <w:b/>
        <w:bCs/>
        <w:sz w:val="18"/>
        <w:szCs w:val="18"/>
      </w:rPr>
      <w:t>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7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0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0"/>
  </w:num>
  <w:num w:numId="14">
    <w:abstractNumId w:val="29"/>
  </w:num>
  <w:num w:numId="15">
    <w:abstractNumId w:val="31"/>
  </w:num>
  <w:num w:numId="16">
    <w:abstractNumId w:val="11"/>
  </w:num>
  <w:num w:numId="17">
    <w:abstractNumId w:val="17"/>
  </w:num>
  <w:num w:numId="18">
    <w:abstractNumId w:val="18"/>
  </w:num>
  <w:num w:numId="19">
    <w:abstractNumId w:val="15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19"/>
  </w:num>
  <w:num w:numId="25">
    <w:abstractNumId w:val="30"/>
  </w:num>
  <w:num w:numId="26">
    <w:abstractNumId w:val="2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16"/>
  </w:num>
  <w:num w:numId="33">
    <w:abstractNumId w:val="28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4402"/>
    <w:rsid w:val="00064AED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04E49"/>
    <w:rsid w:val="001072D1"/>
    <w:rsid w:val="001146AD"/>
    <w:rsid w:val="00114BFD"/>
    <w:rsid w:val="00115303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55D0"/>
    <w:rsid w:val="001E797C"/>
    <w:rsid w:val="002015A3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896"/>
    <w:rsid w:val="00280EB7"/>
    <w:rsid w:val="00281F8C"/>
    <w:rsid w:val="00282699"/>
    <w:rsid w:val="00290234"/>
    <w:rsid w:val="002905C1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CDA"/>
    <w:rsid w:val="002B2B5B"/>
    <w:rsid w:val="002B4A3F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043"/>
    <w:rsid w:val="003107FA"/>
    <w:rsid w:val="00311991"/>
    <w:rsid w:val="00311B04"/>
    <w:rsid w:val="00313AC2"/>
    <w:rsid w:val="00313B8C"/>
    <w:rsid w:val="00315D73"/>
    <w:rsid w:val="00316BE7"/>
    <w:rsid w:val="00316FF9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517C3"/>
    <w:rsid w:val="0035235A"/>
    <w:rsid w:val="00353ADD"/>
    <w:rsid w:val="00355502"/>
    <w:rsid w:val="00356BC7"/>
    <w:rsid w:val="00357A20"/>
    <w:rsid w:val="00360AA6"/>
    <w:rsid w:val="00360AC5"/>
    <w:rsid w:val="00365AA6"/>
    <w:rsid w:val="003661A1"/>
    <w:rsid w:val="00370E40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1865"/>
    <w:rsid w:val="003A1EC2"/>
    <w:rsid w:val="003A3667"/>
    <w:rsid w:val="003A52D7"/>
    <w:rsid w:val="003A5A16"/>
    <w:rsid w:val="003A753E"/>
    <w:rsid w:val="003B0C98"/>
    <w:rsid w:val="003B236E"/>
    <w:rsid w:val="003B4EAD"/>
    <w:rsid w:val="003B5166"/>
    <w:rsid w:val="003C0657"/>
    <w:rsid w:val="003C18C9"/>
    <w:rsid w:val="003C2CC4"/>
    <w:rsid w:val="003C4369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05C1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28DC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3312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3A49"/>
    <w:rsid w:val="004C4F1A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3D5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478B5"/>
    <w:rsid w:val="006500BA"/>
    <w:rsid w:val="006506DB"/>
    <w:rsid w:val="006531D5"/>
    <w:rsid w:val="0065465F"/>
    <w:rsid w:val="00655474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F63"/>
    <w:rsid w:val="006D3560"/>
    <w:rsid w:val="006E2DD6"/>
    <w:rsid w:val="006E3B65"/>
    <w:rsid w:val="006E4E78"/>
    <w:rsid w:val="006E564B"/>
    <w:rsid w:val="006E6B76"/>
    <w:rsid w:val="007012EF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40036"/>
    <w:rsid w:val="00940F46"/>
    <w:rsid w:val="00941ECC"/>
    <w:rsid w:val="00941FFD"/>
    <w:rsid w:val="00942487"/>
    <w:rsid w:val="00943C7D"/>
    <w:rsid w:val="00945A5D"/>
    <w:rsid w:val="009461B4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78B2"/>
    <w:rsid w:val="009C09C9"/>
    <w:rsid w:val="009C3A32"/>
    <w:rsid w:val="009C5690"/>
    <w:rsid w:val="009C5A99"/>
    <w:rsid w:val="009C6394"/>
    <w:rsid w:val="009C6FE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33BB"/>
    <w:rsid w:val="00A235F1"/>
    <w:rsid w:val="00A23983"/>
    <w:rsid w:val="00A23F62"/>
    <w:rsid w:val="00A2460E"/>
    <w:rsid w:val="00A27945"/>
    <w:rsid w:val="00A34B00"/>
    <w:rsid w:val="00A35D0C"/>
    <w:rsid w:val="00A3777A"/>
    <w:rsid w:val="00A378DF"/>
    <w:rsid w:val="00A43D4D"/>
    <w:rsid w:val="00A44269"/>
    <w:rsid w:val="00A44DD6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4EA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792D"/>
    <w:rsid w:val="00AF04FA"/>
    <w:rsid w:val="00AF0878"/>
    <w:rsid w:val="00AF112B"/>
    <w:rsid w:val="00AF2F9D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4B2E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D6D5A"/>
    <w:rsid w:val="00BE1FF8"/>
    <w:rsid w:val="00BE382C"/>
    <w:rsid w:val="00BE50CA"/>
    <w:rsid w:val="00BE618E"/>
    <w:rsid w:val="00BF16FB"/>
    <w:rsid w:val="00BF1F83"/>
    <w:rsid w:val="00C015FE"/>
    <w:rsid w:val="00C0263F"/>
    <w:rsid w:val="00C03B44"/>
    <w:rsid w:val="00C045C1"/>
    <w:rsid w:val="00C05987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172D"/>
    <w:rsid w:val="00C36D37"/>
    <w:rsid w:val="00C40803"/>
    <w:rsid w:val="00C415CF"/>
    <w:rsid w:val="00C42730"/>
    <w:rsid w:val="00C463DD"/>
    <w:rsid w:val="00C4684B"/>
    <w:rsid w:val="00C46D5B"/>
    <w:rsid w:val="00C476A8"/>
    <w:rsid w:val="00C502DB"/>
    <w:rsid w:val="00C52899"/>
    <w:rsid w:val="00C537D5"/>
    <w:rsid w:val="00C57EF0"/>
    <w:rsid w:val="00C61EEF"/>
    <w:rsid w:val="00C62F76"/>
    <w:rsid w:val="00C63D9D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B6A"/>
    <w:rsid w:val="00CE74ED"/>
    <w:rsid w:val="00CF02AD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38FF"/>
    <w:rsid w:val="00D35123"/>
    <w:rsid w:val="00D35907"/>
    <w:rsid w:val="00D35ACD"/>
    <w:rsid w:val="00D37E80"/>
    <w:rsid w:val="00D40730"/>
    <w:rsid w:val="00D40D94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60"/>
    <w:rsid w:val="00E07210"/>
    <w:rsid w:val="00E076A6"/>
    <w:rsid w:val="00E12162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A0364"/>
    <w:rsid w:val="00EA04DA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1D7F"/>
    <w:rsid w:val="00EF4AAC"/>
    <w:rsid w:val="00EF5645"/>
    <w:rsid w:val="00EF7E61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2D71"/>
    <w:rsid w:val="00F257D1"/>
    <w:rsid w:val="00F30A8A"/>
    <w:rsid w:val="00F33F83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09F2"/>
    <w:rsid w:val="00F87B50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24662-796E-45EE-8426-BF8B88FB7C27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2021-10-18T08:23:00Z</dcterms:created>
  <dcterms:modified xsi:type="dcterms:W3CDTF">2021-10-19T07:50:00Z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