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wmf" ContentType="image/x-wmf"/>
  <Default Extension="xml" ContentType="application/xml"/>
  <Default Extension="gif" ContentType="image/gif"/>
  <Override PartName="/word/document.xml" ContentType="application/vnd.openxmlformats-officedocument.wordprocessingml.document.main+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132EA9" w:rsidRPr="00DB58B5" w14:paraId="6B40B9B7" w14:textId="77777777" w:rsidTr="00F01738">
        <w:trPr>
          <w:trHeight w:hRule="exact" w:val="851"/>
        </w:trPr>
        <w:tc>
          <w:tcPr>
            <w:tcW w:w="1276" w:type="dxa"/>
            <w:tcBorders>
              <w:bottom w:val="single" w:sz="4" w:space="0" w:color="auto"/>
            </w:tcBorders>
          </w:tcPr>
          <w:p w14:paraId="30B04F8C" w14:textId="77777777" w:rsidR="00132EA9" w:rsidRPr="00DB58B5" w:rsidRDefault="00132EA9" w:rsidP="004C242A"/>
        </w:tc>
        <w:tc>
          <w:tcPr>
            <w:tcW w:w="2268" w:type="dxa"/>
            <w:tcBorders>
              <w:bottom w:val="single" w:sz="4" w:space="0" w:color="auto"/>
            </w:tcBorders>
            <w:vAlign w:val="bottom"/>
          </w:tcPr>
          <w:p w14:paraId="76E879D5" w14:textId="77777777" w:rsidR="00132EA9" w:rsidRPr="00DB58B5" w:rsidRDefault="00132EA9" w:rsidP="00F01738">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4F96E7A0" w14:textId="08734EC2" w:rsidR="00132EA9" w:rsidRPr="00DB58B5" w:rsidRDefault="004C242A" w:rsidP="004C242A">
            <w:pPr>
              <w:jc w:val="right"/>
            </w:pPr>
            <w:r w:rsidRPr="004C242A">
              <w:rPr>
                <w:sz w:val="40"/>
              </w:rPr>
              <w:t>ST</w:t>
            </w:r>
            <w:r>
              <w:t>/SG/AC.10/C.3/2021/39</w:t>
            </w:r>
          </w:p>
        </w:tc>
      </w:tr>
      <w:tr w:rsidR="00132EA9" w:rsidRPr="00DB58B5" w14:paraId="6F6AB3AB" w14:textId="77777777" w:rsidTr="00F01738">
        <w:trPr>
          <w:trHeight w:hRule="exact" w:val="2835"/>
        </w:trPr>
        <w:tc>
          <w:tcPr>
            <w:tcW w:w="1276" w:type="dxa"/>
            <w:tcBorders>
              <w:top w:val="single" w:sz="4" w:space="0" w:color="auto"/>
              <w:bottom w:val="single" w:sz="12" w:space="0" w:color="auto"/>
            </w:tcBorders>
          </w:tcPr>
          <w:p w14:paraId="2D21A475" w14:textId="77777777" w:rsidR="00132EA9" w:rsidRPr="00DB58B5" w:rsidRDefault="00132EA9" w:rsidP="00F01738">
            <w:pPr>
              <w:spacing w:before="120"/>
              <w:jc w:val="center"/>
            </w:pPr>
            <w:r>
              <w:rPr>
                <w:noProof/>
                <w:lang w:eastAsia="fr-CH"/>
              </w:rPr>
              <w:drawing>
                <wp:inline distT="0" distB="0" distL="0" distR="0" wp14:anchorId="7F81A77B" wp14:editId="2C032846">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7EAEE375" w14:textId="77777777" w:rsidR="00132EA9" w:rsidRPr="00740562" w:rsidRDefault="00132EA9" w:rsidP="00F01738">
            <w:pPr>
              <w:spacing w:before="120" w:line="420" w:lineRule="exact"/>
              <w:rPr>
                <w:b/>
                <w:sz w:val="40"/>
                <w:szCs w:val="40"/>
              </w:rPr>
            </w:pPr>
            <w:r w:rsidRPr="00A55C22">
              <w:rPr>
                <w:b/>
                <w:sz w:val="40"/>
                <w:szCs w:val="40"/>
              </w:rPr>
              <w:t>Secrétariat</w:t>
            </w:r>
          </w:p>
        </w:tc>
        <w:tc>
          <w:tcPr>
            <w:tcW w:w="2835" w:type="dxa"/>
            <w:tcBorders>
              <w:top w:val="single" w:sz="4" w:space="0" w:color="auto"/>
              <w:bottom w:val="single" w:sz="12" w:space="0" w:color="auto"/>
            </w:tcBorders>
          </w:tcPr>
          <w:p w14:paraId="40540148" w14:textId="77777777" w:rsidR="00132EA9" w:rsidRDefault="004C242A" w:rsidP="00F01738">
            <w:pPr>
              <w:spacing w:before="240"/>
            </w:pPr>
            <w:r>
              <w:t xml:space="preserve">Distr. </w:t>
            </w:r>
            <w:proofErr w:type="gramStart"/>
            <w:r>
              <w:t>générale</w:t>
            </w:r>
            <w:proofErr w:type="gramEnd"/>
          </w:p>
          <w:p w14:paraId="659A7E70" w14:textId="77777777" w:rsidR="004C242A" w:rsidRDefault="004C242A" w:rsidP="004C242A">
            <w:pPr>
              <w:spacing w:line="240" w:lineRule="exact"/>
            </w:pPr>
            <w:r>
              <w:t>14 septembre 2021</w:t>
            </w:r>
          </w:p>
          <w:p w14:paraId="121BE4A2" w14:textId="77777777" w:rsidR="004C242A" w:rsidRDefault="004C242A" w:rsidP="004C242A">
            <w:pPr>
              <w:spacing w:line="240" w:lineRule="exact"/>
            </w:pPr>
            <w:r>
              <w:t>Français</w:t>
            </w:r>
          </w:p>
          <w:p w14:paraId="1659003C" w14:textId="600F1BFD" w:rsidR="004C242A" w:rsidRPr="00DB58B5" w:rsidRDefault="004C242A" w:rsidP="004C242A">
            <w:pPr>
              <w:spacing w:line="240" w:lineRule="exact"/>
            </w:pPr>
            <w:r>
              <w:t>Original : anglais</w:t>
            </w:r>
          </w:p>
        </w:tc>
      </w:tr>
    </w:tbl>
    <w:p w14:paraId="6F67D2DE" w14:textId="320A131D" w:rsidR="004C242A" w:rsidRPr="00CA0680" w:rsidRDefault="004C242A" w:rsidP="000305D3">
      <w:pPr>
        <w:spacing w:before="120"/>
        <w:rPr>
          <w:b/>
          <w:sz w:val="24"/>
          <w:szCs w:val="24"/>
        </w:rPr>
      </w:pPr>
      <w:r w:rsidRPr="00CA0680">
        <w:rPr>
          <w:b/>
          <w:sz w:val="24"/>
          <w:szCs w:val="24"/>
        </w:rPr>
        <w:t>Comité d</w:t>
      </w:r>
      <w:r w:rsidR="004962C9">
        <w:rPr>
          <w:b/>
          <w:sz w:val="24"/>
          <w:szCs w:val="24"/>
        </w:rPr>
        <w:t>’</w:t>
      </w:r>
      <w:r w:rsidRPr="00CA0680">
        <w:rPr>
          <w:b/>
          <w:sz w:val="24"/>
          <w:szCs w:val="24"/>
        </w:rPr>
        <w:t>experts du transport</w:t>
      </w:r>
      <w:r>
        <w:rPr>
          <w:b/>
          <w:sz w:val="24"/>
          <w:szCs w:val="24"/>
        </w:rPr>
        <w:t xml:space="preserve"> </w:t>
      </w:r>
      <w:r w:rsidRPr="00CA0680">
        <w:rPr>
          <w:b/>
          <w:sz w:val="24"/>
          <w:szCs w:val="24"/>
        </w:rPr>
        <w:t>des marchandises dangereuses</w:t>
      </w:r>
      <w:r>
        <w:rPr>
          <w:b/>
          <w:sz w:val="24"/>
          <w:szCs w:val="24"/>
        </w:rPr>
        <w:br/>
      </w:r>
      <w:r w:rsidRPr="00CA0680">
        <w:rPr>
          <w:b/>
          <w:sz w:val="24"/>
          <w:szCs w:val="24"/>
        </w:rPr>
        <w:t>et</w:t>
      </w:r>
      <w:r>
        <w:rPr>
          <w:b/>
          <w:sz w:val="24"/>
          <w:szCs w:val="24"/>
        </w:rPr>
        <w:t xml:space="preserve"> </w:t>
      </w:r>
      <w:r w:rsidRPr="00CA0680">
        <w:rPr>
          <w:b/>
          <w:sz w:val="24"/>
          <w:szCs w:val="24"/>
        </w:rPr>
        <w:t xml:space="preserve">du </w:t>
      </w:r>
      <w:r>
        <w:rPr>
          <w:b/>
          <w:sz w:val="24"/>
          <w:szCs w:val="24"/>
        </w:rPr>
        <w:t>S</w:t>
      </w:r>
      <w:r w:rsidRPr="00CA0680">
        <w:rPr>
          <w:b/>
          <w:sz w:val="24"/>
          <w:szCs w:val="24"/>
        </w:rPr>
        <w:t>ystème général harmonisé</w:t>
      </w:r>
      <w:r>
        <w:rPr>
          <w:b/>
          <w:sz w:val="24"/>
          <w:szCs w:val="24"/>
        </w:rPr>
        <w:t xml:space="preserve"> </w:t>
      </w:r>
      <w:r w:rsidRPr="00CA0680">
        <w:rPr>
          <w:b/>
          <w:sz w:val="24"/>
          <w:szCs w:val="24"/>
        </w:rPr>
        <w:t>de classification</w:t>
      </w:r>
      <w:r>
        <w:rPr>
          <w:b/>
          <w:sz w:val="24"/>
          <w:szCs w:val="24"/>
        </w:rPr>
        <w:br/>
      </w:r>
      <w:r w:rsidRPr="00CA0680">
        <w:rPr>
          <w:b/>
          <w:sz w:val="24"/>
          <w:szCs w:val="24"/>
        </w:rPr>
        <w:t>et d</w:t>
      </w:r>
      <w:r w:rsidR="004962C9">
        <w:rPr>
          <w:b/>
          <w:sz w:val="24"/>
          <w:szCs w:val="24"/>
        </w:rPr>
        <w:t>’</w:t>
      </w:r>
      <w:r w:rsidRPr="00CA0680">
        <w:rPr>
          <w:b/>
          <w:sz w:val="24"/>
          <w:szCs w:val="24"/>
        </w:rPr>
        <w:t>étiquetage</w:t>
      </w:r>
      <w:r>
        <w:rPr>
          <w:b/>
          <w:sz w:val="24"/>
          <w:szCs w:val="24"/>
        </w:rPr>
        <w:t xml:space="preserve"> </w:t>
      </w:r>
      <w:r w:rsidRPr="00CA0680">
        <w:rPr>
          <w:b/>
          <w:sz w:val="24"/>
          <w:szCs w:val="24"/>
        </w:rPr>
        <w:t>des produits chimiques</w:t>
      </w:r>
    </w:p>
    <w:p w14:paraId="7D117380" w14:textId="64F586B3" w:rsidR="004C242A" w:rsidRPr="00CA0680" w:rsidRDefault="004C242A" w:rsidP="000305D3">
      <w:pPr>
        <w:spacing w:before="120"/>
        <w:rPr>
          <w:b/>
        </w:rPr>
      </w:pPr>
      <w:r w:rsidRPr="00CA0680">
        <w:rPr>
          <w:b/>
        </w:rPr>
        <w:t>Sous</w:t>
      </w:r>
      <w:r>
        <w:rPr>
          <w:b/>
        </w:rPr>
        <w:t>-</w:t>
      </w:r>
      <w:r w:rsidRPr="00CA0680">
        <w:rPr>
          <w:b/>
        </w:rPr>
        <w:t>Comité d</w:t>
      </w:r>
      <w:r w:rsidR="004962C9">
        <w:rPr>
          <w:b/>
        </w:rPr>
        <w:t>’</w:t>
      </w:r>
      <w:r w:rsidRPr="00CA0680">
        <w:rPr>
          <w:b/>
        </w:rPr>
        <w:t>experts du transport des marchandises dangereuses</w:t>
      </w:r>
    </w:p>
    <w:p w14:paraId="2188E239" w14:textId="20A5C884" w:rsidR="004C242A" w:rsidRDefault="004C242A" w:rsidP="000305D3">
      <w:pPr>
        <w:spacing w:before="120"/>
        <w:rPr>
          <w:b/>
        </w:rPr>
      </w:pPr>
      <w:r w:rsidRPr="00B376AE">
        <w:rPr>
          <w:b/>
          <w:bCs/>
        </w:rPr>
        <w:t>Cinquante-neuvième</w:t>
      </w:r>
      <w:r>
        <w:rPr>
          <w:b/>
        </w:rPr>
        <w:t xml:space="preserve"> </w:t>
      </w:r>
      <w:r w:rsidRPr="00CA0680">
        <w:rPr>
          <w:b/>
        </w:rPr>
        <w:t>session</w:t>
      </w:r>
    </w:p>
    <w:p w14:paraId="1B5B6DC4" w14:textId="01838E9C" w:rsidR="004C242A" w:rsidRDefault="004C242A" w:rsidP="000305D3">
      <w:r>
        <w:t xml:space="preserve">Genève, </w:t>
      </w:r>
      <w:r w:rsidRPr="00B376AE">
        <w:t>29 novembre-8 décembre 2021</w:t>
      </w:r>
    </w:p>
    <w:p w14:paraId="1D8EAF81" w14:textId="626B9EEF" w:rsidR="004C242A" w:rsidRDefault="004C242A" w:rsidP="000305D3">
      <w:r>
        <w:t>Point 3 de l</w:t>
      </w:r>
      <w:r w:rsidR="004962C9">
        <w:t>’</w:t>
      </w:r>
      <w:r>
        <w:t>ordre du jour provisoire</w:t>
      </w:r>
    </w:p>
    <w:p w14:paraId="27257FD7" w14:textId="77777777" w:rsidR="004C242A" w:rsidRPr="00B376AE" w:rsidRDefault="004C242A" w:rsidP="004C242A">
      <w:pPr>
        <w:rPr>
          <w:b/>
          <w:bCs/>
        </w:rPr>
      </w:pPr>
      <w:r w:rsidRPr="00B376AE">
        <w:rPr>
          <w:b/>
          <w:bCs/>
        </w:rPr>
        <w:t>Inscription, classement et emballage</w:t>
      </w:r>
    </w:p>
    <w:p w14:paraId="64A612ED" w14:textId="66BBA0EE" w:rsidR="004C242A" w:rsidRPr="00B376AE" w:rsidRDefault="004C242A" w:rsidP="00E92772">
      <w:pPr>
        <w:pStyle w:val="HChG"/>
      </w:pPr>
      <w:r w:rsidRPr="00B376AE">
        <w:tab/>
      </w:r>
      <w:r w:rsidRPr="00B376AE">
        <w:tab/>
      </w:r>
      <w:r w:rsidRPr="0090564C">
        <w:t xml:space="preserve">Nouvelle rubrique ONU pour la dioxime de quinone (également appelée 1,4-benzoquinone dioxime, </w:t>
      </w:r>
      <w:r w:rsidR="00E92772">
        <w:br/>
      </w:r>
      <w:r w:rsidRPr="0090564C">
        <w:t>ou p-benzoquinone dioxime</w:t>
      </w:r>
      <w:r w:rsidR="004962C9">
        <w:t> </w:t>
      </w:r>
      <w:r w:rsidRPr="0090564C">
        <w:t>; n</w:t>
      </w:r>
      <w:r w:rsidR="004962C9" w:rsidRPr="004962C9">
        <w:rPr>
          <w:vertAlign w:val="superscript"/>
        </w:rPr>
        <w:t>o</w:t>
      </w:r>
      <w:r w:rsidR="004962C9">
        <w:t> </w:t>
      </w:r>
      <w:r w:rsidRPr="0090564C">
        <w:t>CAS 105-11-3)</w:t>
      </w:r>
    </w:p>
    <w:p w14:paraId="5230F44D" w14:textId="11F1F23A" w:rsidR="004C242A" w:rsidRPr="00B376AE" w:rsidRDefault="004C242A" w:rsidP="00E92772">
      <w:pPr>
        <w:pStyle w:val="H1G"/>
      </w:pPr>
      <w:r w:rsidRPr="00B376AE">
        <w:tab/>
      </w:r>
      <w:r w:rsidRPr="00B376AE">
        <w:tab/>
        <w:t xml:space="preserve">Communication du Council on Safe Transportation </w:t>
      </w:r>
      <w:r w:rsidR="004962C9">
        <w:br/>
      </w:r>
      <w:r w:rsidRPr="00B376AE">
        <w:t>of Hazardous Articles (COSTHA)</w:t>
      </w:r>
      <w:r w:rsidR="00E92772" w:rsidRPr="00E92772">
        <w:rPr>
          <w:rStyle w:val="FootnoteReference"/>
          <w:b w:val="0"/>
          <w:bCs/>
          <w:sz w:val="20"/>
          <w:vertAlign w:val="baseline"/>
        </w:rPr>
        <w:footnoteReference w:customMarkFollows="1" w:id="2"/>
        <w:t>*</w:t>
      </w:r>
    </w:p>
    <w:p w14:paraId="3B18FE85" w14:textId="77777777" w:rsidR="004C242A" w:rsidRPr="00B376AE" w:rsidRDefault="004C242A" w:rsidP="00E92772">
      <w:pPr>
        <w:pStyle w:val="HChG"/>
      </w:pPr>
      <w:r w:rsidRPr="00B376AE">
        <w:tab/>
      </w:r>
      <w:r w:rsidRPr="00B376AE">
        <w:tab/>
        <w:t>Introduction</w:t>
      </w:r>
    </w:p>
    <w:p w14:paraId="48E91845" w14:textId="356FEF49" w:rsidR="004C242A" w:rsidRPr="00B376AE" w:rsidRDefault="00E92772" w:rsidP="00E92772">
      <w:pPr>
        <w:pStyle w:val="SingleTxtG"/>
      </w:pPr>
      <w:r>
        <w:t>1.</w:t>
      </w:r>
      <w:r>
        <w:tab/>
      </w:r>
      <w:r w:rsidR="004C242A" w:rsidRPr="00B376AE">
        <w:t>La dioxime de quinone (Chemical Abstracts Service (CAS) n</w:t>
      </w:r>
      <w:r w:rsidR="004C242A" w:rsidRPr="00B376AE">
        <w:rPr>
          <w:vertAlign w:val="superscript"/>
        </w:rPr>
        <w:t>o</w:t>
      </w:r>
      <w:r w:rsidR="004C242A" w:rsidRPr="00B376AE">
        <w:t> 105-11-3) est un</w:t>
      </w:r>
      <w:r w:rsidR="004C242A">
        <w:t>e matière</w:t>
      </w:r>
      <w:r w:rsidR="004C242A" w:rsidRPr="00B376AE">
        <w:t xml:space="preserve"> solide fabriqué</w:t>
      </w:r>
      <w:r w:rsidR="004C242A">
        <w:t>e</w:t>
      </w:r>
      <w:r w:rsidR="004C242A" w:rsidRPr="00B376AE">
        <w:t xml:space="preserve"> dans le monde entier par une quarantaine d</w:t>
      </w:r>
      <w:r w:rsidR="004962C9">
        <w:t>’</w:t>
      </w:r>
      <w:r w:rsidR="004C242A" w:rsidRPr="00B376AE">
        <w:t>entreprises et classé</w:t>
      </w:r>
      <w:r w:rsidR="004C242A">
        <w:t>e</w:t>
      </w:r>
      <w:r w:rsidR="004C242A" w:rsidRPr="00B376AE">
        <w:t xml:space="preserve"> </w:t>
      </w:r>
      <w:r w:rsidR="004C242A">
        <w:t xml:space="preserve">parmi les matières </w:t>
      </w:r>
      <w:r w:rsidR="004C242A" w:rsidRPr="00B376AE">
        <w:t>non réglementé</w:t>
      </w:r>
      <w:r w:rsidR="004C242A">
        <w:t>es,</w:t>
      </w:r>
      <w:r w:rsidR="004C242A" w:rsidRPr="00B376AE">
        <w:t xml:space="preserve"> </w:t>
      </w:r>
      <w:r w:rsidR="004C242A">
        <w:t xml:space="preserve">ou bien </w:t>
      </w:r>
      <w:r w:rsidR="004C242A" w:rsidRPr="00B376AE">
        <w:t>affecté</w:t>
      </w:r>
      <w:r w:rsidR="004C242A">
        <w:t>e</w:t>
      </w:r>
      <w:r w:rsidR="004C242A" w:rsidRPr="00B376AE">
        <w:t xml:space="preserve"> à la division 4.1</w:t>
      </w:r>
      <w:r w:rsidR="004C242A">
        <w:t xml:space="preserve"> et aux</w:t>
      </w:r>
      <w:r w:rsidR="004C242A" w:rsidRPr="00B376AE">
        <w:t xml:space="preserve"> groupes d</w:t>
      </w:r>
      <w:r w:rsidR="004962C9">
        <w:t>’</w:t>
      </w:r>
      <w:r w:rsidR="004C242A" w:rsidRPr="00B376AE">
        <w:t xml:space="preserve">emballage GE II ou GE III, comme le confirme </w:t>
      </w:r>
      <w:r w:rsidR="004C242A">
        <w:t xml:space="preserve">la nomenclature </w:t>
      </w:r>
      <w:r w:rsidR="004C242A" w:rsidRPr="00B376AE">
        <w:t>actuelle de l</w:t>
      </w:r>
      <w:r w:rsidR="004962C9">
        <w:t>’</w:t>
      </w:r>
      <w:r w:rsidR="004C242A" w:rsidRPr="00B376AE">
        <w:t>Agence européenne des produits chimiques (ECHA)</w:t>
      </w:r>
      <w:r>
        <w:rPr>
          <w:rStyle w:val="FootnoteReference"/>
        </w:rPr>
        <w:footnoteReference w:id="3"/>
      </w:r>
      <w:r w:rsidR="004C242A">
        <w:t>.</w:t>
      </w:r>
    </w:p>
    <w:p w14:paraId="3154F4BF" w14:textId="223B8F33" w:rsidR="004C242A" w:rsidRPr="00B376AE" w:rsidRDefault="00E92772" w:rsidP="00E92772">
      <w:pPr>
        <w:pStyle w:val="SingleTxtG"/>
      </w:pPr>
      <w:r>
        <w:t>2.</w:t>
      </w:r>
      <w:r>
        <w:tab/>
      </w:r>
      <w:r w:rsidR="004C242A" w:rsidRPr="00B376AE">
        <w:t>Brevetée pour la première fois en 1945, la dioxime de quinone a été fabriquée et transportée en toute sécurité depuis 1956, sans qu</w:t>
      </w:r>
      <w:r w:rsidR="004962C9">
        <w:t>’</w:t>
      </w:r>
      <w:r w:rsidR="004C242A" w:rsidRPr="00B376AE">
        <w:t>aucun incident n</w:t>
      </w:r>
      <w:r w:rsidR="004962C9">
        <w:t>’</w:t>
      </w:r>
      <w:r w:rsidR="004C242A" w:rsidRPr="00B376AE">
        <w:t xml:space="preserve">ait été signalé </w:t>
      </w:r>
      <w:r w:rsidR="004C242A">
        <w:t xml:space="preserve">durant </w:t>
      </w:r>
      <w:r w:rsidR="004C242A" w:rsidRPr="00B376AE">
        <w:t>plus de soixante ans. Elle sert principalement à la fabrication de pneumatiques. C</w:t>
      </w:r>
      <w:r w:rsidR="004962C9">
        <w:t>’</w:t>
      </w:r>
      <w:r w:rsidR="004C242A" w:rsidRPr="00B376AE">
        <w:t xml:space="preserve">est un agent de </w:t>
      </w:r>
      <w:r w:rsidR="004C242A">
        <w:t>réticulation</w:t>
      </w:r>
      <w:r w:rsidR="004C242A" w:rsidRPr="00B376AE">
        <w:t xml:space="preserve"> et un accélérateur de la vulcanisation du caoutchouc qui présente des propriétés uniques. La dioxime de quinone joue un rôle important dans la sécurité des pneumatiques et, partant,</w:t>
      </w:r>
      <w:r w:rsidR="004C242A">
        <w:t xml:space="preserve"> dans</w:t>
      </w:r>
      <w:r w:rsidR="004C242A" w:rsidRPr="00B376AE">
        <w:t xml:space="preserve"> la sécurité des transports, car elle confère au caoutchouc des pneumatiques une grande imperméabilité grâce à une réticulation polymérique ou moléculaire de haute densité et une bonne résistance à la rupture de ces liaisons en cas d</w:t>
      </w:r>
      <w:r w:rsidR="004962C9">
        <w:t>’</w:t>
      </w:r>
      <w:r w:rsidR="004C242A" w:rsidRPr="00B376AE">
        <w:t>exposition à la chaleur ou aux produits chimiques. Ces propriétés bénéficient également à d</w:t>
      </w:r>
      <w:r w:rsidR="004962C9">
        <w:t>’</w:t>
      </w:r>
      <w:r w:rsidR="004C242A" w:rsidRPr="00B376AE">
        <w:t xml:space="preserve">autres secteurs essentiels, comme la fabrication de bouchons de </w:t>
      </w:r>
      <w:r w:rsidR="004C242A">
        <w:t>flacons médicaux</w:t>
      </w:r>
      <w:r w:rsidR="004C242A" w:rsidRPr="00B376AE">
        <w:t>, d</w:t>
      </w:r>
      <w:r w:rsidR="004962C9">
        <w:t>’</w:t>
      </w:r>
      <w:r w:rsidR="004C242A" w:rsidRPr="00B376AE">
        <w:t>équipements de protection individuelle contre les produits chimiques</w:t>
      </w:r>
      <w:r w:rsidR="004C242A">
        <w:t xml:space="preserve"> ou </w:t>
      </w:r>
      <w:r w:rsidR="004C242A" w:rsidRPr="00B376AE">
        <w:t>d</w:t>
      </w:r>
      <w:r w:rsidR="004962C9">
        <w:t>’</w:t>
      </w:r>
      <w:r w:rsidR="004C242A" w:rsidRPr="00B376AE">
        <w:t>isolateurs haute tension, ou encore la production de produits pharmaceutiques.</w:t>
      </w:r>
    </w:p>
    <w:p w14:paraId="233E0986" w14:textId="71A7C26A" w:rsidR="004C242A" w:rsidRPr="00B376AE" w:rsidRDefault="00E92772" w:rsidP="00E92772">
      <w:pPr>
        <w:pStyle w:val="SingleTxtG"/>
      </w:pPr>
      <w:r>
        <w:t>3.</w:t>
      </w:r>
      <w:r>
        <w:tab/>
      </w:r>
      <w:r w:rsidR="004C242A" w:rsidRPr="00B376AE">
        <w:t>On estime</w:t>
      </w:r>
      <w:r w:rsidR="004C242A">
        <w:t xml:space="preserve"> que</w:t>
      </w:r>
      <w:r w:rsidR="004C242A" w:rsidRPr="00B376AE">
        <w:t xml:space="preserve"> plus de 1 350 tonnes de dioxime de quinone sont produites chaque année</w:t>
      </w:r>
      <w:r w:rsidR="004C242A">
        <w:t xml:space="preserve"> dans le monde</w:t>
      </w:r>
      <w:r w:rsidR="004C242A" w:rsidRPr="00B376AE">
        <w:t>. Les sites de fabrication connus se trouvent en Allemagne, en Chine, aux États-Unis d</w:t>
      </w:r>
      <w:r w:rsidR="004962C9">
        <w:t>’</w:t>
      </w:r>
      <w:r w:rsidR="004C242A" w:rsidRPr="00B376AE">
        <w:t>Amérique, en Fédération de Russie et en Inde.</w:t>
      </w:r>
    </w:p>
    <w:p w14:paraId="1E000DC2" w14:textId="00B4BF44" w:rsidR="004C242A" w:rsidRPr="00B376AE" w:rsidRDefault="00E92772" w:rsidP="00E92772">
      <w:pPr>
        <w:pStyle w:val="SingleTxtG"/>
        <w:rPr>
          <w:b/>
          <w:bCs/>
        </w:rPr>
      </w:pPr>
      <w:r>
        <w:lastRenderedPageBreak/>
        <w:t>4.</w:t>
      </w:r>
      <w:r>
        <w:tab/>
      </w:r>
      <w:r w:rsidR="004C242A" w:rsidRPr="00B376AE">
        <w:t xml:space="preserve">Une incertitude quant </w:t>
      </w:r>
      <w:r w:rsidR="004C242A">
        <w:t>au classement</w:t>
      </w:r>
      <w:r w:rsidR="004C242A" w:rsidRPr="00B376AE">
        <w:t xml:space="preserve"> </w:t>
      </w:r>
      <w:r w:rsidR="004C242A">
        <w:t>de la</w:t>
      </w:r>
      <w:r w:rsidR="004C242A" w:rsidRPr="00B376AE">
        <w:t xml:space="preserve"> dioxime de quinone s</w:t>
      </w:r>
      <w:r w:rsidR="004962C9">
        <w:t>’</w:t>
      </w:r>
      <w:r w:rsidR="004C242A" w:rsidRPr="00B376AE">
        <w:t>est récemment faite jour à la suite d</w:t>
      </w:r>
      <w:r w:rsidR="004962C9">
        <w:t>’</w:t>
      </w:r>
      <w:r w:rsidR="004C242A" w:rsidRPr="00B376AE">
        <w:t>analyses REACH ayant montré que cette matière répondait aux critères de la série d</w:t>
      </w:r>
      <w:r w:rsidR="004962C9">
        <w:t>’</w:t>
      </w:r>
      <w:r w:rsidR="004C242A" w:rsidRPr="00B376AE">
        <w:t>épreuves 6 c). Il est plus que probable que de nombreuses matières classées comme liquides ou solides inflammables présentent une réaction au feu plus intense</w:t>
      </w:r>
      <w:r w:rsidR="004C242A">
        <w:t>,</w:t>
      </w:r>
      <w:r w:rsidR="004C242A" w:rsidRPr="00B376AE">
        <w:t xml:space="preserve"> ou analogue à celle </w:t>
      </w:r>
      <w:r w:rsidR="004C242A">
        <w:t>de la</w:t>
      </w:r>
      <w:r w:rsidR="004C242A" w:rsidRPr="00B376AE">
        <w:t xml:space="preserve"> dioxime de quinone, notamment lorsqu</w:t>
      </w:r>
      <w:r w:rsidR="004962C9">
        <w:t>’</w:t>
      </w:r>
      <w:r w:rsidR="004C242A" w:rsidRPr="00B376AE">
        <w:t>elles sont évaluées uniquement en fonction du flux thermique.</w:t>
      </w:r>
    </w:p>
    <w:p w14:paraId="031C882C" w14:textId="13F3D515" w:rsidR="004C242A" w:rsidRPr="00B376AE" w:rsidRDefault="004C242A" w:rsidP="00E92772">
      <w:pPr>
        <w:pStyle w:val="SingleTxtG"/>
      </w:pPr>
      <w:r w:rsidRPr="00B376AE">
        <w:t>5.</w:t>
      </w:r>
      <w:r w:rsidRPr="00B376AE">
        <w:tab/>
        <w:t>Comme expliqué plus en détail ci-dessous, la dioxime de quinone n</w:t>
      </w:r>
      <w:r w:rsidR="004962C9">
        <w:t>’</w:t>
      </w:r>
      <w:r w:rsidRPr="00B376AE">
        <w:t>a pas été conçue pour son effet explosif ou pyrotechnique. En cela, elle ne risque pas de provoquer « ... des dégâts dans la zone environnante » par explosion et il n</w:t>
      </w:r>
      <w:r w:rsidR="004962C9">
        <w:t>’</w:t>
      </w:r>
      <w:r w:rsidRPr="00B376AE">
        <w:t>est donc pas justifié de la classer comme matière explosible au sens du 2.1.1.3 a) du Règlement type de l</w:t>
      </w:r>
      <w:r w:rsidR="004962C9">
        <w:t>’</w:t>
      </w:r>
      <w:r w:rsidRPr="00B376AE">
        <w:t>ONU. L</w:t>
      </w:r>
      <w:r w:rsidR="004962C9">
        <w:t>’</w:t>
      </w:r>
      <w:r w:rsidRPr="00B376AE">
        <w:t xml:space="preserve">affectation de la dioxime de quinone </w:t>
      </w:r>
      <w:r>
        <w:t>à</w:t>
      </w:r>
      <w:r w:rsidRPr="00B376AE">
        <w:t xml:space="preserve"> la classe 1 des matières et objets explosibles reviendrait à donner une description inexacte du danger principal qu</w:t>
      </w:r>
      <w:r w:rsidR="004962C9">
        <w:t>’</w:t>
      </w:r>
      <w:r w:rsidRPr="00B376AE">
        <w:t>elle présente en tant que matière solide inflammable, au sens du 2.1.1.1 a)</w:t>
      </w:r>
      <w:r>
        <w:t> </w:t>
      </w:r>
      <w:r w:rsidRPr="00B376AE">
        <w:t>: « ... à l</w:t>
      </w:r>
      <w:r w:rsidR="004962C9">
        <w:t>’</w:t>
      </w:r>
      <w:r w:rsidRPr="00B376AE">
        <w:t>exception... de celles dont le danger principal relève d</w:t>
      </w:r>
      <w:r w:rsidR="004962C9">
        <w:t>’</w:t>
      </w:r>
      <w:r w:rsidRPr="00B376AE">
        <w:t>une autre classe ».</w:t>
      </w:r>
    </w:p>
    <w:p w14:paraId="78A0B867" w14:textId="15D8468A" w:rsidR="004C242A" w:rsidRPr="00B376AE" w:rsidRDefault="004C242A" w:rsidP="00E92772">
      <w:pPr>
        <w:pStyle w:val="SingleTxtG"/>
      </w:pPr>
      <w:r w:rsidRPr="00B376AE">
        <w:t>6.</w:t>
      </w:r>
      <w:r w:rsidRPr="00B376AE">
        <w:tab/>
        <w:t>Il est proposé d</w:t>
      </w:r>
      <w:r w:rsidR="004962C9">
        <w:t>’</w:t>
      </w:r>
      <w:r w:rsidRPr="00B376AE">
        <w:t>attribuer un numéro ONU et une désignation officielle de transport à la dioxime de quinone pour résoudre l</w:t>
      </w:r>
      <w:r w:rsidR="004962C9">
        <w:t>’</w:t>
      </w:r>
      <w:r w:rsidRPr="00B376AE">
        <w:t xml:space="preserve">incertitude actuelle concernant </w:t>
      </w:r>
      <w:r>
        <w:t>son classement</w:t>
      </w:r>
      <w:r w:rsidRPr="00B376AE">
        <w:t>. La</w:t>
      </w:r>
      <w:r w:rsidR="00C10DD0">
        <w:t> </w:t>
      </w:r>
      <w:r w:rsidRPr="00B376AE">
        <w:t>présente proposition vise à arrêter un classement normalisé pour la dioxime de quinone en tant que matière solide inflammable relevant du groupe d</w:t>
      </w:r>
      <w:r w:rsidR="004962C9">
        <w:t>’</w:t>
      </w:r>
      <w:r w:rsidRPr="00B376AE">
        <w:t>emballage II et de la division</w:t>
      </w:r>
      <w:r w:rsidR="00C10DD0">
        <w:t> </w:t>
      </w:r>
      <w:r w:rsidRPr="00B376AE">
        <w:t>4.1. Une formule de renseignements complétée figure dans l</w:t>
      </w:r>
      <w:r w:rsidR="004962C9">
        <w:t>’</w:t>
      </w:r>
      <w:r w:rsidRPr="00B376AE">
        <w:t>annexe du présent document.</w:t>
      </w:r>
    </w:p>
    <w:p w14:paraId="48CF3F01" w14:textId="77777777" w:rsidR="004C242A" w:rsidRPr="00B376AE" w:rsidRDefault="004C242A" w:rsidP="00E92772">
      <w:pPr>
        <w:pStyle w:val="H23G"/>
      </w:pPr>
      <w:r w:rsidRPr="00B376AE">
        <w:tab/>
      </w:r>
      <w:r w:rsidRPr="00B376AE">
        <w:tab/>
        <w:t>Class</w:t>
      </w:r>
      <w:r>
        <w:t>ement</w:t>
      </w:r>
      <w:r w:rsidRPr="00B376AE">
        <w:t xml:space="preserve"> des matières non conçues pour leur effet explosif</w:t>
      </w:r>
    </w:p>
    <w:p w14:paraId="51B0F662" w14:textId="15C84ADD" w:rsidR="004C242A" w:rsidRPr="00B376AE" w:rsidRDefault="004C242A" w:rsidP="00E92772">
      <w:pPr>
        <w:pStyle w:val="SingleTxtG"/>
      </w:pPr>
      <w:r w:rsidRPr="00B376AE">
        <w:t>7.</w:t>
      </w:r>
      <w:r w:rsidRPr="00B376AE">
        <w:tab/>
        <w:t>Le Règlement type définit des matières qui, bien qu</w:t>
      </w:r>
      <w:r w:rsidR="004962C9">
        <w:t>’</w:t>
      </w:r>
      <w:r w:rsidRPr="00B376AE">
        <w:t>elles ne soient pas conçues pour leur effet explosif, doivent être considérées comme des matières explosibles. Selon le 2.1.1.3 a), une matière est considérée comme explosible même lorsqu</w:t>
      </w:r>
      <w:r w:rsidR="004962C9">
        <w:t>’</w:t>
      </w:r>
      <w:r w:rsidRPr="00B376AE">
        <w:t>elle n</w:t>
      </w:r>
      <w:r w:rsidR="004962C9">
        <w:t>’</w:t>
      </w:r>
      <w:r w:rsidRPr="00B376AE">
        <w:t>a pas été conçue pour son effet explosi</w:t>
      </w:r>
      <w:r>
        <w:t>f</w:t>
      </w:r>
      <w:r w:rsidRPr="00B376AE">
        <w:t xml:space="preserve"> si elle :</w:t>
      </w:r>
    </w:p>
    <w:p w14:paraId="0CE8F275" w14:textId="7AE0A1A8" w:rsidR="004C242A" w:rsidRPr="00B376AE" w:rsidRDefault="004C242A" w:rsidP="00E92772">
      <w:pPr>
        <w:pStyle w:val="SingleTxtG"/>
        <w:ind w:left="1701"/>
      </w:pPr>
      <w:r w:rsidRPr="00B376AE">
        <w:t>« </w:t>
      </w:r>
      <w:proofErr w:type="gramStart"/>
      <w:r w:rsidRPr="00B376AE">
        <w:rPr>
          <w:u w:val="single"/>
        </w:rPr>
        <w:t>est</w:t>
      </w:r>
      <w:proofErr w:type="gramEnd"/>
      <w:r w:rsidRPr="00B376AE">
        <w:rPr>
          <w:u w:val="single"/>
        </w:rPr>
        <w:t xml:space="preserve"> en soi susceptible, par réaction chimique, de dégager des gaz à une température et une pression et à une vitesse telles qu</w:t>
      </w:r>
      <w:r w:rsidR="004962C9">
        <w:rPr>
          <w:u w:val="single"/>
        </w:rPr>
        <w:t>’</w:t>
      </w:r>
      <w:r w:rsidRPr="00B376AE">
        <w:rPr>
          <w:u w:val="single"/>
        </w:rPr>
        <w:t>il en résulte des dégâts dans la zone environnante</w:t>
      </w:r>
      <w:r w:rsidRPr="00B376AE">
        <w:t>. »</w:t>
      </w:r>
    </w:p>
    <w:p w14:paraId="5FAA38B6" w14:textId="14420183" w:rsidR="004C242A" w:rsidRPr="00B376AE" w:rsidRDefault="004C242A" w:rsidP="00E92772">
      <w:pPr>
        <w:pStyle w:val="SingleTxtG"/>
      </w:pPr>
      <w:r w:rsidRPr="00B376AE">
        <w:t>En outre, selon le 2.1.1.1 a), les matières « dont le danger principal relève d</w:t>
      </w:r>
      <w:r w:rsidR="004962C9">
        <w:t>’</w:t>
      </w:r>
      <w:r w:rsidRPr="00B376AE">
        <w:t>une autre classe » sont exclues de la classe 1.</w:t>
      </w:r>
    </w:p>
    <w:p w14:paraId="204E7F87" w14:textId="6309E669" w:rsidR="004C242A" w:rsidRPr="00B376AE" w:rsidRDefault="004C242A" w:rsidP="00E92772">
      <w:pPr>
        <w:pStyle w:val="SingleTxtG"/>
      </w:pPr>
      <w:r w:rsidRPr="00B376AE">
        <w:t>8.</w:t>
      </w:r>
      <w:r w:rsidRPr="00B376AE">
        <w:tab/>
      </w:r>
      <w:r>
        <w:t>D</w:t>
      </w:r>
      <w:r w:rsidR="004962C9">
        <w:t>’</w:t>
      </w:r>
      <w:r>
        <w:t>autres</w:t>
      </w:r>
      <w:r w:rsidRPr="00B376AE">
        <w:t xml:space="preserve"> r</w:t>
      </w:r>
      <w:r>
        <w:t>è</w:t>
      </w:r>
      <w:r w:rsidRPr="00B376AE">
        <w:t xml:space="preserve">glements </w:t>
      </w:r>
      <w:r>
        <w:t xml:space="preserve">donnent </w:t>
      </w:r>
      <w:r w:rsidRPr="00B376AE">
        <w:t>une définition analogue des matières explosibles.</w:t>
      </w:r>
    </w:p>
    <w:p w14:paraId="7E7F169C" w14:textId="064D14AB" w:rsidR="004C242A" w:rsidRPr="00B376AE" w:rsidRDefault="004C242A" w:rsidP="00E92772">
      <w:pPr>
        <w:pStyle w:val="SingleTxtG"/>
        <w:ind w:firstLine="567"/>
      </w:pPr>
      <w:r w:rsidRPr="00B376AE">
        <w:t>a)</w:t>
      </w:r>
      <w:r w:rsidRPr="00B376AE">
        <w:tab/>
        <w:t>Au sens de l</w:t>
      </w:r>
      <w:r w:rsidR="004962C9">
        <w:t>’</w:t>
      </w:r>
      <w:r w:rsidRPr="00B376AE">
        <w:t>ADR</w:t>
      </w:r>
      <w:r>
        <w:t>,</w:t>
      </w:r>
      <w:r w:rsidRPr="00B376AE">
        <w:t xml:space="preserve"> il s</w:t>
      </w:r>
      <w:r w:rsidR="004962C9">
        <w:t>’</w:t>
      </w:r>
      <w:r w:rsidRPr="00B376AE">
        <w:t>agit de « matières solides ou liquides (ou mélanges de matières) qui sont susceptibles, par réaction chimique, de dégager des gaz à une température, à une pression et à une vitesse telles qu</w:t>
      </w:r>
      <w:r w:rsidR="004962C9">
        <w:t>’</w:t>
      </w:r>
      <w:r w:rsidRPr="00B376AE">
        <w:t>il peut en résulter des dommages aux alentours ».</w:t>
      </w:r>
    </w:p>
    <w:p w14:paraId="26DB2163" w14:textId="77777777" w:rsidR="00C10DD0" w:rsidRDefault="004C242A" w:rsidP="00E92772">
      <w:pPr>
        <w:pStyle w:val="SingleTxtG"/>
        <w:ind w:firstLine="567"/>
      </w:pPr>
      <w:r w:rsidRPr="00B376AE">
        <w:t>b)</w:t>
      </w:r>
      <w:r w:rsidRPr="00B376AE">
        <w:tab/>
        <w:t>La réglementation du Département des transports des États-Unis d</w:t>
      </w:r>
      <w:r w:rsidR="004962C9">
        <w:t>’</w:t>
      </w:r>
      <w:r w:rsidRPr="00B376AE">
        <w:t>Amérique définit les matières explosibles comme englobant</w:t>
      </w:r>
      <w:r>
        <w:t xml:space="preserve"> </w:t>
      </w:r>
    </w:p>
    <w:p w14:paraId="6C936431" w14:textId="2C355514" w:rsidR="004C242A" w:rsidRPr="00B376AE" w:rsidRDefault="00C10DD0" w:rsidP="00C10DD0">
      <w:pPr>
        <w:pStyle w:val="SingleTxtG"/>
        <w:ind w:left="1701"/>
      </w:pPr>
      <w:r>
        <w:t>« </w:t>
      </w:r>
      <w:proofErr w:type="gramStart"/>
      <w:r w:rsidR="004C242A" w:rsidRPr="00B376AE">
        <w:t>toutes</w:t>
      </w:r>
      <w:proofErr w:type="gramEnd"/>
      <w:r w:rsidR="004C242A" w:rsidRPr="00B376AE">
        <w:t xml:space="preserve"> les matières et tous les objets, y compris les dispositifs, qui sont conçus pour fonctionner par explosion (à savoir un dégagement extrêmement rapide de gaz et de chaleur) </w:t>
      </w:r>
      <w:r w:rsidR="004C242A" w:rsidRPr="00C10DD0">
        <w:rPr>
          <w:u w:val="single"/>
        </w:rPr>
        <w:t>ou qui, par réaction chimique intrinsèque, sont capables de réagir d</w:t>
      </w:r>
      <w:r w:rsidR="004962C9" w:rsidRPr="00C10DD0">
        <w:rPr>
          <w:u w:val="single"/>
        </w:rPr>
        <w:t>’</w:t>
      </w:r>
      <w:r w:rsidR="004C242A" w:rsidRPr="00C10DD0">
        <w:rPr>
          <w:u w:val="single"/>
        </w:rPr>
        <w:t>une manière analogue même s</w:t>
      </w:r>
      <w:r w:rsidR="004962C9" w:rsidRPr="00C10DD0">
        <w:rPr>
          <w:u w:val="single"/>
        </w:rPr>
        <w:t>’</w:t>
      </w:r>
      <w:r w:rsidR="004C242A" w:rsidRPr="00C10DD0">
        <w:rPr>
          <w:u w:val="single"/>
        </w:rPr>
        <w:t>ils n</w:t>
      </w:r>
      <w:r w:rsidR="004962C9" w:rsidRPr="00C10DD0">
        <w:rPr>
          <w:u w:val="single"/>
        </w:rPr>
        <w:t>’</w:t>
      </w:r>
      <w:r w:rsidR="004C242A" w:rsidRPr="00C10DD0">
        <w:rPr>
          <w:u w:val="single"/>
        </w:rPr>
        <w:t>ont pas été conçus pour exploser, à moins qu</w:t>
      </w:r>
      <w:r w:rsidR="004962C9" w:rsidRPr="00C10DD0">
        <w:rPr>
          <w:u w:val="single"/>
        </w:rPr>
        <w:t>’</w:t>
      </w:r>
      <w:r w:rsidR="004C242A" w:rsidRPr="00C10DD0">
        <w:rPr>
          <w:u w:val="single"/>
        </w:rPr>
        <w:t>ils ne relèvent d</w:t>
      </w:r>
      <w:r w:rsidR="004962C9" w:rsidRPr="00C10DD0">
        <w:rPr>
          <w:u w:val="single"/>
        </w:rPr>
        <w:t>’</w:t>
      </w:r>
      <w:r w:rsidR="004C242A" w:rsidRPr="00C10DD0">
        <w:rPr>
          <w:u w:val="single"/>
        </w:rPr>
        <w:t>une autre classe au titre des dispositions du sous-chapitre concerné</w:t>
      </w:r>
      <w:r>
        <w:t> »</w:t>
      </w:r>
      <w:r w:rsidR="004C242A" w:rsidRPr="00B376AE">
        <w:t>.</w:t>
      </w:r>
    </w:p>
    <w:p w14:paraId="6D77A003" w14:textId="5F7CBE40" w:rsidR="004C242A" w:rsidRPr="00B376AE" w:rsidRDefault="004C242A" w:rsidP="00E92772">
      <w:pPr>
        <w:pStyle w:val="SingleTxtG"/>
        <w:ind w:firstLine="567"/>
      </w:pPr>
      <w:r w:rsidRPr="00B376AE">
        <w:t>c)</w:t>
      </w:r>
      <w:r w:rsidRPr="00B376AE">
        <w:tab/>
        <w:t xml:space="preserve">De même, le Règlement du Canada sur le transport des marchandises dangereuses englobe les matières </w:t>
      </w:r>
      <w:r>
        <w:t>qui n</w:t>
      </w:r>
      <w:r w:rsidR="004962C9">
        <w:t>’</w:t>
      </w:r>
      <w:r>
        <w:t>ont pas été conçues pour leur effet explosif,</w:t>
      </w:r>
      <w:r w:rsidRPr="00B376AE">
        <w:t xml:space="preserve"> </w:t>
      </w:r>
      <w:r>
        <w:t>lesquelles</w:t>
      </w:r>
      <w:r w:rsidR="004962C9">
        <w:t> </w:t>
      </w:r>
      <w:r>
        <w:t>:</w:t>
      </w:r>
    </w:p>
    <w:p w14:paraId="214288CE" w14:textId="4C90DF89" w:rsidR="004C242A" w:rsidRPr="00B376AE" w:rsidRDefault="004C242A" w:rsidP="00E92772">
      <w:pPr>
        <w:pStyle w:val="SingleTxtG"/>
        <w:ind w:left="1701"/>
      </w:pPr>
      <w:r w:rsidRPr="00B376AE">
        <w:t>«</w:t>
      </w:r>
      <w:r>
        <w:t xml:space="preserve"> (…) </w:t>
      </w:r>
      <w:r w:rsidRPr="00B376AE">
        <w:t>par réaction chimique, peuvent émettre des gaz à une température, une pression et une vitesse telles qu</w:t>
      </w:r>
      <w:r w:rsidR="004962C9">
        <w:t>’</w:t>
      </w:r>
      <w:r w:rsidRPr="00B376AE">
        <w:t>il en résulte des dégâts dans la zone environnante ».</w:t>
      </w:r>
    </w:p>
    <w:p w14:paraId="1087081A" w14:textId="77777777" w:rsidR="004C242A" w:rsidRPr="00B376AE" w:rsidRDefault="004C242A" w:rsidP="00E92772">
      <w:pPr>
        <w:pStyle w:val="SingleTxtG"/>
      </w:pPr>
      <w:r w:rsidRPr="00B376AE">
        <w:t>9.</w:t>
      </w:r>
      <w:r w:rsidRPr="00B376AE">
        <w:tab/>
        <w:t>À la lecture des extraits ci-dessus, on constate que les règlements relatifs au transport excluent systématiquement les matières non destinées à réagir comme des matières explosibles, sauf si elles sont :</w:t>
      </w:r>
    </w:p>
    <w:p w14:paraId="274E88F1" w14:textId="5C7178D6" w:rsidR="004C242A" w:rsidRPr="00B376AE" w:rsidRDefault="004C242A" w:rsidP="00E92772">
      <w:pPr>
        <w:pStyle w:val="SingleTxtG"/>
        <w:ind w:left="1701"/>
      </w:pPr>
      <w:r w:rsidRPr="00B376AE">
        <w:t>«</w:t>
      </w:r>
      <w:r w:rsidR="00E92772">
        <w:t> </w:t>
      </w:r>
      <w:proofErr w:type="gramStart"/>
      <w:r w:rsidRPr="00B376AE">
        <w:t>en</w:t>
      </w:r>
      <w:proofErr w:type="gramEnd"/>
      <w:r w:rsidRPr="00B376AE">
        <w:t xml:space="preserve"> soi susceptible[s], par réaction chimique, de dégager des gaz à une température et une pression et à une vitesse telles qu</w:t>
      </w:r>
      <w:r w:rsidR="004962C9">
        <w:t>’</w:t>
      </w:r>
      <w:r w:rsidRPr="00B376AE">
        <w:t>il en résulte des dégâts dans la zone environnante ».</w:t>
      </w:r>
    </w:p>
    <w:p w14:paraId="0AE84192" w14:textId="32EFC306" w:rsidR="004C242A" w:rsidRPr="00B376AE" w:rsidRDefault="004C242A" w:rsidP="00E92772">
      <w:pPr>
        <w:pStyle w:val="SingleTxtG"/>
      </w:pPr>
      <w:r w:rsidRPr="00B376AE">
        <w:t>10.</w:t>
      </w:r>
      <w:r w:rsidRPr="00B376AE">
        <w:tab/>
        <w:t>Dans l</w:t>
      </w:r>
      <w:r w:rsidR="004962C9">
        <w:t>’</w:t>
      </w:r>
      <w:r w:rsidRPr="00B376AE">
        <w:t>ensemble, il n</w:t>
      </w:r>
      <w:r w:rsidR="004962C9">
        <w:t>’</w:t>
      </w:r>
      <w:r w:rsidRPr="00B376AE">
        <w:t>existe aucun critère indiquant qu</w:t>
      </w:r>
      <w:r w:rsidR="004962C9">
        <w:t>’</w:t>
      </w:r>
      <w:r w:rsidRPr="00B376AE">
        <w:t xml:space="preserve">une matière </w:t>
      </w:r>
      <w:r>
        <w:t>qui n</w:t>
      </w:r>
      <w:r w:rsidR="004962C9">
        <w:t>’</w:t>
      </w:r>
      <w:r>
        <w:t>a pas été conçue pour son effet explosif</w:t>
      </w:r>
      <w:r w:rsidRPr="00B376AE">
        <w:t xml:space="preserve"> doi</w:t>
      </w:r>
      <w:r>
        <w:t>ve</w:t>
      </w:r>
      <w:r w:rsidRPr="00B376AE">
        <w:t xml:space="preserve"> être considérée comme une matière explosible lorsqu</w:t>
      </w:r>
      <w:r w:rsidR="004962C9">
        <w:t>’</w:t>
      </w:r>
      <w:r w:rsidRPr="00B376AE">
        <w:t>elle présente des caractéristiques de combustion</w:t>
      </w:r>
      <w:r>
        <w:t xml:space="preserve"> ordinaires</w:t>
      </w:r>
      <w:r w:rsidRPr="00B376AE">
        <w:t xml:space="preserve"> </w:t>
      </w:r>
      <w:r w:rsidRPr="00B376AE">
        <w:rPr>
          <w:u w:val="single"/>
        </w:rPr>
        <w:t>sans dégager</w:t>
      </w:r>
      <w:r w:rsidRPr="00B376AE">
        <w:t xml:space="preserve"> « des gaz à une température et une </w:t>
      </w:r>
      <w:r w:rsidRPr="00C10DD0">
        <w:t>pression et à une vitesse telles qu</w:t>
      </w:r>
      <w:r w:rsidR="004962C9" w:rsidRPr="00C10DD0">
        <w:t>’</w:t>
      </w:r>
      <w:r w:rsidRPr="00C10DD0">
        <w:t>il</w:t>
      </w:r>
      <w:r w:rsidRPr="00B376AE">
        <w:t xml:space="preserve"> en résulte des dégâts dans la zone environnante ». </w:t>
      </w:r>
      <w:r>
        <w:t>Au lieu de cela, l</w:t>
      </w:r>
      <w:r w:rsidRPr="00B376AE">
        <w:t xml:space="preserve">es matières dont le </w:t>
      </w:r>
      <w:r>
        <w:t>« </w:t>
      </w:r>
      <w:r w:rsidRPr="00B376AE">
        <w:t>danger principal</w:t>
      </w:r>
      <w:r>
        <w:t> »</w:t>
      </w:r>
      <w:r w:rsidRPr="00B376AE">
        <w:t xml:space="preserve"> est une combustion ordinaire sont affectées à d</w:t>
      </w:r>
      <w:r w:rsidR="004962C9">
        <w:t>’</w:t>
      </w:r>
      <w:r w:rsidRPr="00B376AE">
        <w:t>autres classes (par exemple, les classes 2.1, 3 et 4), selon le cas. D</w:t>
      </w:r>
      <w:r w:rsidR="004962C9">
        <w:t>’</w:t>
      </w:r>
      <w:r w:rsidRPr="00B376AE">
        <w:t>autres matières, qui ont des propriétés énergétiques, peuvent être classées parmi les matières autoréactives ou les peroxydes organiques.</w:t>
      </w:r>
    </w:p>
    <w:p w14:paraId="0B28447A" w14:textId="76451DB0" w:rsidR="004C242A" w:rsidRPr="00B376AE" w:rsidRDefault="004C242A" w:rsidP="00CC7B46">
      <w:pPr>
        <w:pStyle w:val="H23G"/>
      </w:pPr>
      <w:r w:rsidRPr="00B376AE">
        <w:tab/>
      </w:r>
      <w:r w:rsidRPr="00B376AE">
        <w:tab/>
      </w:r>
      <w:r>
        <w:t>Mise à l</w:t>
      </w:r>
      <w:r w:rsidR="004962C9">
        <w:t>’</w:t>
      </w:r>
      <w:r>
        <w:t xml:space="preserve">épreuve </w:t>
      </w:r>
      <w:r w:rsidRPr="00B376AE">
        <w:t>et classement</w:t>
      </w:r>
      <w:r>
        <w:t xml:space="preserve"> de</w:t>
      </w:r>
      <w:r w:rsidRPr="00B376AE">
        <w:t xml:space="preserve"> la dioxime de quinone</w:t>
      </w:r>
    </w:p>
    <w:p w14:paraId="22D7A5E8" w14:textId="40FF450B" w:rsidR="004C242A" w:rsidRPr="00B376AE" w:rsidRDefault="004C242A" w:rsidP="00E92772">
      <w:pPr>
        <w:pStyle w:val="SingleTxtG"/>
      </w:pPr>
      <w:r w:rsidRPr="00B376AE">
        <w:t>11.</w:t>
      </w:r>
      <w:r w:rsidRPr="00B376AE">
        <w:tab/>
      </w:r>
      <w:r w:rsidRPr="00B376AE">
        <w:rPr>
          <w:i/>
          <w:iCs/>
        </w:rPr>
        <w:t>Réaction au feu de la dioxime de quinone</w:t>
      </w:r>
      <w:r>
        <w:rPr>
          <w:i/>
          <w:iCs/>
        </w:rPr>
        <w:t>.</w:t>
      </w:r>
      <w:r w:rsidRPr="00B376AE">
        <w:t xml:space="preserve"> En soumettant un échantillon de dioxime de quinone d</w:t>
      </w:r>
      <w:r w:rsidR="004962C9">
        <w:t>’</w:t>
      </w:r>
      <w:r w:rsidRPr="00B376AE">
        <w:t>une masse supérieure à 135,2 kg, disposé dans trois fûts en carton de 45 kg, à une épreuve d</w:t>
      </w:r>
      <w:r w:rsidR="004962C9">
        <w:t>’</w:t>
      </w:r>
      <w:r w:rsidRPr="00B376AE">
        <w:t>exposition au feu, conformément à la série 6 c) du Manuel d</w:t>
      </w:r>
      <w:r w:rsidR="004962C9">
        <w:t>’</w:t>
      </w:r>
      <w:r w:rsidRPr="00B376AE">
        <w:t>épreuves et de critères, on obtient un rayon de flamme de 2 mètres (voir figure 1).</w:t>
      </w:r>
    </w:p>
    <w:p w14:paraId="75AD125D" w14:textId="76DD6726" w:rsidR="0082025A" w:rsidRDefault="004C242A" w:rsidP="00CC7B46">
      <w:pPr>
        <w:pStyle w:val="Heading1"/>
      </w:pPr>
      <w:r w:rsidRPr="0082025A">
        <w:rPr>
          <w:b/>
          <w:bCs/>
        </w:rPr>
        <w:t>Figure 1</w:t>
      </w:r>
      <w:r w:rsidR="00E0178A">
        <w:rPr>
          <w:b/>
          <w:bCs/>
        </w:rPr>
        <w:t>.</w:t>
      </w:r>
      <w:r w:rsidRPr="0082025A">
        <w:rPr>
          <w:b/>
          <w:bCs/>
        </w:rPr>
        <w:t xml:space="preserve"> Épreuve du feu extérieur</w:t>
      </w:r>
      <w:r w:rsidR="00CC7B46">
        <w:t xml:space="preserve"> </w:t>
      </w:r>
    </w:p>
    <w:p w14:paraId="36DC967B" w14:textId="604A877D" w:rsidR="004C242A" w:rsidRPr="00B376AE" w:rsidRDefault="004C242A" w:rsidP="00E662CC">
      <w:pPr>
        <w:pStyle w:val="SingleTxtG"/>
        <w:spacing w:before="120"/>
      </w:pPr>
      <w:r w:rsidRPr="00B376AE">
        <w:t>Des copeaux de bois sont introduits entre des lattes de bois et imbibés d</w:t>
      </w:r>
      <w:r w:rsidR="004962C9">
        <w:t>’</w:t>
      </w:r>
      <w:r w:rsidRPr="00B376AE">
        <w:t>un mélange essence/gazole.</w:t>
      </w:r>
    </w:p>
    <w:p w14:paraId="4785AFD2" w14:textId="77777777" w:rsidR="004C242A" w:rsidRPr="00B376AE" w:rsidRDefault="004C242A" w:rsidP="0082025A">
      <w:pPr>
        <w:pStyle w:val="SingleTxtG"/>
      </w:pPr>
      <w:r w:rsidRPr="00B376AE">
        <w:rPr>
          <w:noProof/>
        </w:rPr>
        <w:drawing>
          <wp:inline distT="0" distB="0" distL="0" distR="0" wp14:anchorId="77633815" wp14:editId="6415BC0B">
            <wp:extent cx="4501662" cy="2482948"/>
            <wp:effectExtent l="0" t="0" r="0" b="0"/>
            <wp:docPr id="41" name="image12.jpeg" descr="A picture containing text, ground, outdoor, dirt&#10;&#10;Description automatically generated"/>
            <wp:cNvGraphicFramePr/>
            <a:graphic xmlns:a="http://schemas.openxmlformats.org/drawingml/2006/main">
              <a:graphicData uri="http://schemas.openxmlformats.org/drawingml/2006/picture">
                <pic:pic xmlns:pic="http://schemas.openxmlformats.org/drawingml/2006/picture">
                  <pic:nvPicPr>
                    <pic:cNvPr id="41" name="image12.jpeg" descr="A picture containing text, ground, outdoor, dirt&#10;&#10;Description automatically generated"/>
                    <pic:cNvPicPr/>
                  </pic:nvPicPr>
                  <pic:blipFill>
                    <a:blip r:embed="rId8" cstate="print"/>
                    <a:stretch>
                      <a:fillRect/>
                    </a:stretch>
                  </pic:blipFill>
                  <pic:spPr>
                    <a:xfrm>
                      <a:off x="0" y="0"/>
                      <a:ext cx="4632738" cy="2555245"/>
                    </a:xfrm>
                    <a:prstGeom prst="rect">
                      <a:avLst/>
                    </a:prstGeom>
                  </pic:spPr>
                </pic:pic>
              </a:graphicData>
            </a:graphic>
          </wp:inline>
        </w:drawing>
      </w:r>
      <w:r w:rsidRPr="00B376AE">
        <w:rPr>
          <w:noProof/>
        </w:rPr>
        <w:drawing>
          <wp:inline distT="0" distB="0" distL="0" distR="0" wp14:anchorId="1AB0272A" wp14:editId="5FE20BDF">
            <wp:extent cx="4501662" cy="2328203"/>
            <wp:effectExtent l="0" t="0" r="0" b="0"/>
            <wp:docPr id="43" name="image13.jpeg" descr="A picture containing outdoor, tree, grass, weapon&#10;&#10;Description automatically generated"/>
            <wp:cNvGraphicFramePr/>
            <a:graphic xmlns:a="http://schemas.openxmlformats.org/drawingml/2006/main">
              <a:graphicData uri="http://schemas.openxmlformats.org/drawingml/2006/picture">
                <pic:pic xmlns:pic="http://schemas.openxmlformats.org/drawingml/2006/picture">
                  <pic:nvPicPr>
                    <pic:cNvPr id="43" name="image13.jpeg" descr="A picture containing outdoor, tree, grass, weapon&#10;&#10;Description automatically generated"/>
                    <pic:cNvPicPr/>
                  </pic:nvPicPr>
                  <pic:blipFill>
                    <a:blip r:embed="rId9" cstate="print"/>
                    <a:stretch>
                      <a:fillRect/>
                    </a:stretch>
                  </pic:blipFill>
                  <pic:spPr>
                    <a:xfrm>
                      <a:off x="0" y="0"/>
                      <a:ext cx="4613982" cy="2386293"/>
                    </a:xfrm>
                    <a:prstGeom prst="rect">
                      <a:avLst/>
                    </a:prstGeom>
                  </pic:spPr>
                </pic:pic>
              </a:graphicData>
            </a:graphic>
          </wp:inline>
        </w:drawing>
      </w:r>
    </w:p>
    <w:p w14:paraId="6EB6DB89" w14:textId="27F30D8E" w:rsidR="004C242A" w:rsidRPr="00B376AE" w:rsidRDefault="004C242A" w:rsidP="00E662CC">
      <w:pPr>
        <w:pStyle w:val="SingleTxtG"/>
        <w:spacing w:before="120"/>
      </w:pPr>
      <w:r w:rsidRPr="00B376AE">
        <w:t>Dispositif pour l</w:t>
      </w:r>
      <w:r w:rsidR="004962C9">
        <w:t>’</w:t>
      </w:r>
      <w:r w:rsidRPr="00B376AE">
        <w:t>épreuve du feu extérieur, phase de flamme maximale après l</w:t>
      </w:r>
      <w:r w:rsidR="004962C9">
        <w:t>’</w:t>
      </w:r>
      <w:r w:rsidRPr="00B376AE">
        <w:t>allumage</w:t>
      </w:r>
    </w:p>
    <w:p w14:paraId="78110536" w14:textId="0CE5E824" w:rsidR="004C242A" w:rsidRPr="00B376AE" w:rsidRDefault="004C242A" w:rsidP="00E92772">
      <w:pPr>
        <w:pStyle w:val="SingleTxtG"/>
      </w:pPr>
      <w:r w:rsidRPr="00B376AE">
        <w:t>12.</w:t>
      </w:r>
      <w:r w:rsidRPr="00B376AE">
        <w:tab/>
        <w:t>Comme on peut le voir sur les photographies (voir figure 1), la réaction au feu de la dioxime de quinone en présence de copeaux de bois imbibés d</w:t>
      </w:r>
      <w:r w:rsidR="004962C9">
        <w:t>’</w:t>
      </w:r>
      <w:r w:rsidRPr="00B376AE">
        <w:t>un mélange essence/gazole et de bois est moins intense que celle qu</w:t>
      </w:r>
      <w:r w:rsidR="004962C9">
        <w:t>’</w:t>
      </w:r>
      <w:r w:rsidRPr="00B376AE">
        <w:t>on pourrait escompter de nombreux liquides inflammables (par exemple, le gazole) éprouvés dans des conditions similaires. En outre, l</w:t>
      </w:r>
      <w:r w:rsidR="004962C9">
        <w:t>’</w:t>
      </w:r>
      <w:r w:rsidRPr="00B376AE">
        <w:t>intensité du feu n</w:t>
      </w:r>
      <w:r w:rsidR="004962C9">
        <w:t>’</w:t>
      </w:r>
      <w:r w:rsidRPr="00B376AE">
        <w:t>est même pas un critère de classement applicable aux marchandises dangereuses autres que les matières ou objets qui sont conçus pour leur effet explosif.</w:t>
      </w:r>
    </w:p>
    <w:p w14:paraId="4001DEEE" w14:textId="18D76547" w:rsidR="004C242A" w:rsidRPr="00B376AE" w:rsidRDefault="004C242A" w:rsidP="00E92772">
      <w:pPr>
        <w:pStyle w:val="SingleTxtG"/>
      </w:pPr>
      <w:r w:rsidRPr="00B376AE">
        <w:t>13.</w:t>
      </w:r>
      <w:r w:rsidRPr="00B376AE">
        <w:tab/>
        <w:t xml:space="preserve">Cette réaction au feu est </w:t>
      </w:r>
      <w:r>
        <w:t>comparable à</w:t>
      </w:r>
      <w:r w:rsidRPr="00B376AE">
        <w:t xml:space="preserve"> celle que présentent de nombreux liquides et solides inflammables </w:t>
      </w:r>
      <w:r>
        <w:t>pour lesquels</w:t>
      </w:r>
      <w:r w:rsidRPr="00B376AE">
        <w:t xml:space="preserve"> la classe de danger appropriée </w:t>
      </w:r>
      <w:r>
        <w:t>n</w:t>
      </w:r>
      <w:r w:rsidR="004962C9">
        <w:t>’</w:t>
      </w:r>
      <w:r>
        <w:t xml:space="preserve">est pas </w:t>
      </w:r>
      <w:r w:rsidRPr="00B376AE">
        <w:t>la classe 1. La</w:t>
      </w:r>
      <w:r w:rsidR="00E0178A">
        <w:t> </w:t>
      </w:r>
      <w:r w:rsidRPr="00B376AE">
        <w:t>dioxime de quinone n</w:t>
      </w:r>
      <w:r w:rsidR="004962C9">
        <w:t>’</w:t>
      </w:r>
      <w:r w:rsidRPr="00B376AE">
        <w:t>explose pas lorsqu</w:t>
      </w:r>
      <w:r w:rsidR="004962C9">
        <w:t>’</w:t>
      </w:r>
      <w:r w:rsidRPr="00B376AE">
        <w:t>elle est soumise à l</w:t>
      </w:r>
      <w:r w:rsidR="004962C9">
        <w:t>’</w:t>
      </w:r>
      <w:r w:rsidRPr="00B376AE">
        <w:t>épreuve d</w:t>
      </w:r>
      <w:r w:rsidR="004962C9">
        <w:t>’</w:t>
      </w:r>
      <w:r w:rsidRPr="00B376AE">
        <w:t xml:space="preserve">amorçage de la détonation de la série 1, qui est plus </w:t>
      </w:r>
      <w:r>
        <w:t>exigeante</w:t>
      </w:r>
      <w:r w:rsidRPr="00B376AE">
        <w:t xml:space="preserve"> que l</w:t>
      </w:r>
      <w:r w:rsidR="004962C9">
        <w:t>’</w:t>
      </w:r>
      <w:r w:rsidRPr="00B376AE">
        <w:t xml:space="preserve">épreuve requise pour </w:t>
      </w:r>
      <w:r>
        <w:t xml:space="preserve">faire admettre une matière au </w:t>
      </w:r>
      <w:r w:rsidRPr="00B376AE">
        <w:t>transport. Il est important de noter qu</w:t>
      </w:r>
      <w:r>
        <w:t xml:space="preserve">e, </w:t>
      </w:r>
      <w:r w:rsidRPr="00B376AE">
        <w:t xml:space="preserve">à la lumière des épreuves, rien ne porte à croire </w:t>
      </w:r>
      <w:r>
        <w:t>que cette matière</w:t>
      </w:r>
      <w:r w:rsidRPr="00B376AE">
        <w:t xml:space="preserve"> risque de « dégager des gaz à une température et une pression et à une vitesse telles qu</w:t>
      </w:r>
      <w:r w:rsidR="004962C9">
        <w:t>’</w:t>
      </w:r>
      <w:r w:rsidRPr="00B376AE">
        <w:t>il en résulte des dégâts dans la zone environnante ». Il n</w:t>
      </w:r>
      <w:r w:rsidR="004962C9">
        <w:t>’</w:t>
      </w:r>
      <w:r w:rsidRPr="00B376AE">
        <w:t>y a donc pas lieu de la considérer comme une matière explosible dans la mesure où, en tant que matière non conçue pour son effet explosif, elle ne répond pas à la définition correspondante énoncée au</w:t>
      </w:r>
      <w:r w:rsidR="00E662CC">
        <w:t> </w:t>
      </w:r>
      <w:r w:rsidRPr="00B376AE">
        <w:t>2.1.1.3.</w:t>
      </w:r>
    </w:p>
    <w:p w14:paraId="22D2231C" w14:textId="73C77C16" w:rsidR="004C242A" w:rsidRPr="00B376AE" w:rsidRDefault="004C242A" w:rsidP="00E92772">
      <w:pPr>
        <w:pStyle w:val="SingleTxtG"/>
      </w:pPr>
      <w:r w:rsidRPr="00B376AE">
        <w:t>14.</w:t>
      </w:r>
      <w:r w:rsidRPr="00B376AE">
        <w:tab/>
      </w:r>
      <w:r w:rsidRPr="00B376AE">
        <w:rPr>
          <w:i/>
          <w:iCs/>
        </w:rPr>
        <w:t>TDAA de la dioxime de quinone</w:t>
      </w:r>
      <w:r>
        <w:rPr>
          <w:i/>
          <w:iCs/>
        </w:rPr>
        <w:t>.</w:t>
      </w:r>
      <w:r w:rsidRPr="00B376AE">
        <w:t xml:space="preserve"> Un échantillon de dioxime de quinone a été éprouvé par un laboratoire allemand, qui a déterminé que sa température de décomposition auto</w:t>
      </w:r>
      <w:r w:rsidR="00E0178A">
        <w:noBreakHyphen/>
      </w:r>
      <w:r w:rsidRPr="00B376AE">
        <w:t>accélérée (TDAA) était supérieure à 75</w:t>
      </w:r>
      <w:r w:rsidR="00E0178A">
        <w:t> </w:t>
      </w:r>
      <w:r w:rsidRPr="00B376AE">
        <w:t xml:space="preserve">°C </w:t>
      </w:r>
      <w:r>
        <w:t xml:space="preserve">dans </w:t>
      </w:r>
      <w:r w:rsidRPr="00B376AE">
        <w:t>l</w:t>
      </w:r>
      <w:r w:rsidR="004962C9">
        <w:t>’</w:t>
      </w:r>
      <w:r w:rsidRPr="00B376AE">
        <w:t xml:space="preserve">épreuve de stockage avec accumulation de chaleur </w:t>
      </w:r>
      <w:r w:rsidRPr="005F149D">
        <w:t>(H.4, Manuel d</w:t>
      </w:r>
      <w:r w:rsidR="004962C9" w:rsidRPr="005F149D">
        <w:t>’</w:t>
      </w:r>
      <w:r w:rsidRPr="005F149D">
        <w:t>épreuves et de critères)</w:t>
      </w:r>
      <w:r w:rsidRPr="00B376AE">
        <w:t>. En outre, il a été déterminé que la dioxime de quinone commençait à se décomposer à une température de 227 °C. Selon</w:t>
      </w:r>
      <w:r w:rsidR="00E0178A">
        <w:t> </w:t>
      </w:r>
      <w:r w:rsidRPr="00B376AE">
        <w:t>les nouvelles dispositions du Manuel d</w:t>
      </w:r>
      <w:r w:rsidR="004962C9">
        <w:t>’</w:t>
      </w:r>
      <w:r w:rsidRPr="00B376AE">
        <w:t>épreuves et de critères de l</w:t>
      </w:r>
      <w:r w:rsidR="004962C9">
        <w:t>’</w:t>
      </w:r>
      <w:r w:rsidRPr="00B376AE">
        <w:t>ONU (voir le paragraphe 20.3.4 de la septième édition révisée, tel que modifié par la série 1 d</w:t>
      </w:r>
      <w:r w:rsidR="004962C9">
        <w:t>’</w:t>
      </w:r>
      <w:r w:rsidRPr="00B376AE">
        <w:t>amendements), sa TDAA est donc nettement plus élevée (de l</w:t>
      </w:r>
      <w:r w:rsidR="004962C9">
        <w:t>’</w:t>
      </w:r>
      <w:r w:rsidRPr="00B376AE">
        <w:t>ordre de 120 °C ou plus). En tout état de cause, elle ne peut être considérée comme une matière autoréactive relevant de la division 4.1.</w:t>
      </w:r>
    </w:p>
    <w:p w14:paraId="7299AA0F" w14:textId="7BB98822" w:rsidR="004C242A" w:rsidRPr="00B376AE" w:rsidRDefault="004C242A" w:rsidP="00E92772">
      <w:pPr>
        <w:pStyle w:val="SingleTxtG"/>
        <w:rPr>
          <w:b/>
          <w:bCs/>
        </w:rPr>
      </w:pPr>
      <w:r w:rsidRPr="00B376AE">
        <w:t>15.</w:t>
      </w:r>
      <w:r w:rsidRPr="00B376AE">
        <w:tab/>
      </w:r>
      <w:r w:rsidRPr="00B376AE">
        <w:rPr>
          <w:i/>
          <w:iCs/>
        </w:rPr>
        <w:t xml:space="preserve">Division 4.1 </w:t>
      </w:r>
      <w:r w:rsidR="00E0178A">
        <w:rPr>
          <w:i/>
          <w:iCs/>
        </w:rPr>
        <w:t>−</w:t>
      </w:r>
      <w:r>
        <w:rPr>
          <w:i/>
          <w:iCs/>
        </w:rPr>
        <w:t xml:space="preserve"> </w:t>
      </w:r>
      <w:r w:rsidRPr="00B376AE">
        <w:rPr>
          <w:i/>
          <w:iCs/>
        </w:rPr>
        <w:t>Épreuve de matières solides inflammables</w:t>
      </w:r>
      <w:r>
        <w:rPr>
          <w:i/>
          <w:iCs/>
        </w:rPr>
        <w:t>.</w:t>
      </w:r>
      <w:r w:rsidRPr="00B376AE">
        <w:t xml:space="preserve"> La dioxime de quinone a été soumise à l</w:t>
      </w:r>
      <w:r w:rsidR="004962C9">
        <w:t>’</w:t>
      </w:r>
      <w:r w:rsidRPr="00B376AE">
        <w:t>épreuve de vitesse de combustion pour les matières solides inflammables et il a été déterminé qu</w:t>
      </w:r>
      <w:r w:rsidR="004962C9">
        <w:t>’</w:t>
      </w:r>
      <w:r w:rsidRPr="00B376AE">
        <w:t xml:space="preserve">elle répondait aux critères </w:t>
      </w:r>
      <w:r>
        <w:t xml:space="preserve">correspondant à </w:t>
      </w:r>
      <w:r w:rsidRPr="00B376AE">
        <w:t>une matière solide inflammable relevant du groupe d</w:t>
      </w:r>
      <w:r w:rsidR="004962C9">
        <w:t>’</w:t>
      </w:r>
      <w:r w:rsidRPr="00B376AE">
        <w:t xml:space="preserve">emballage II, </w:t>
      </w:r>
      <w:r>
        <w:t>sa</w:t>
      </w:r>
      <w:r w:rsidRPr="00B376AE">
        <w:t xml:space="preserve"> durée de combustion </w:t>
      </w:r>
      <w:r>
        <w:t xml:space="preserve">ayant été </w:t>
      </w:r>
      <w:r w:rsidRPr="00B376AE">
        <w:t>de 2</w:t>
      </w:r>
      <w:r w:rsidR="00E0178A">
        <w:t> </w:t>
      </w:r>
      <w:r w:rsidRPr="00B376AE">
        <w:t>secondes</w:t>
      </w:r>
      <w:r>
        <w:t xml:space="preserve"> et</w:t>
      </w:r>
      <w:r w:rsidRPr="00B376AE">
        <w:t xml:space="preserve"> la flamme </w:t>
      </w:r>
      <w:r>
        <w:t>ayant dépassé</w:t>
      </w:r>
      <w:r w:rsidRPr="00B376AE">
        <w:t xml:space="preserve"> la zone humidifiée.</w:t>
      </w:r>
    </w:p>
    <w:p w14:paraId="722D23B6" w14:textId="77777777" w:rsidR="004C242A" w:rsidRPr="00B376AE" w:rsidRDefault="004C242A" w:rsidP="00E662CC">
      <w:pPr>
        <w:pStyle w:val="HChG"/>
      </w:pPr>
      <w:r w:rsidRPr="00B376AE">
        <w:tab/>
      </w:r>
      <w:r w:rsidRPr="00B376AE">
        <w:tab/>
        <w:t>Proposition</w:t>
      </w:r>
    </w:p>
    <w:p w14:paraId="48BFEF02" w14:textId="7DEE52D5" w:rsidR="004C242A" w:rsidRDefault="004C242A" w:rsidP="00E92772">
      <w:pPr>
        <w:pStyle w:val="SingleTxtG"/>
      </w:pPr>
      <w:r w:rsidRPr="00B376AE">
        <w:t>16.</w:t>
      </w:r>
      <w:r w:rsidRPr="00B376AE">
        <w:tab/>
        <w:t>Sur la base de ce qui précède, il est proposé de modifier la liste des marchandises dangereuses figurant au chapitre 3.2 du Règlement type en ajoutant, pour la dioxime de quinone, une nouvelle rubrique ONU relevant de la division 4.1, comme suit :</w:t>
      </w:r>
    </w:p>
    <w:tbl>
      <w:tblPr>
        <w:tblStyle w:val="TableGrid"/>
        <w:tblW w:w="10348" w:type="dxa"/>
        <w:tblLayout w:type="fixed"/>
        <w:tblLook w:val="04A0" w:firstRow="1" w:lastRow="0" w:firstColumn="1" w:lastColumn="0" w:noHBand="0" w:noVBand="1"/>
      </w:tblPr>
      <w:tblGrid>
        <w:gridCol w:w="1413"/>
        <w:gridCol w:w="567"/>
        <w:gridCol w:w="850"/>
        <w:gridCol w:w="993"/>
        <w:gridCol w:w="992"/>
        <w:gridCol w:w="425"/>
        <w:gridCol w:w="567"/>
        <w:gridCol w:w="1134"/>
        <w:gridCol w:w="1134"/>
        <w:gridCol w:w="1134"/>
        <w:gridCol w:w="1139"/>
      </w:tblGrid>
      <w:tr w:rsidR="00E662CC" w:rsidRPr="007B7D28" w14:paraId="1B6621C0" w14:textId="77777777" w:rsidTr="004E3594">
        <w:trPr>
          <w:trHeight w:val="338"/>
        </w:trPr>
        <w:tc>
          <w:tcPr>
            <w:tcW w:w="1413" w:type="dxa"/>
            <w:vMerge w:val="restart"/>
            <w:vAlign w:val="center"/>
          </w:tcPr>
          <w:p w14:paraId="78ABCC9F" w14:textId="77777777" w:rsidR="00E662CC" w:rsidRDefault="00E662CC" w:rsidP="00E662CC">
            <w:pPr>
              <w:pStyle w:val="SingleTxtG"/>
              <w:ind w:left="0" w:right="19"/>
              <w:jc w:val="center"/>
              <w:rPr>
                <w:sz w:val="18"/>
                <w:szCs w:val="18"/>
                <w:lang w:val="fr-FR"/>
              </w:rPr>
            </w:pPr>
            <w:r w:rsidRPr="008E2DF6">
              <w:rPr>
                <w:sz w:val="18"/>
                <w:szCs w:val="18"/>
                <w:lang w:val="fr-FR"/>
              </w:rPr>
              <w:t>N° ONU</w:t>
            </w:r>
          </w:p>
          <w:p w14:paraId="76E39DFE" w14:textId="1994B336" w:rsidR="00E662CC" w:rsidRPr="008E2DF6" w:rsidRDefault="00E662CC" w:rsidP="00E662CC">
            <w:pPr>
              <w:pStyle w:val="SingleTxtG"/>
              <w:ind w:left="0" w:right="19"/>
              <w:jc w:val="center"/>
              <w:rPr>
                <w:sz w:val="18"/>
                <w:szCs w:val="18"/>
                <w:lang w:val="fr-FR"/>
              </w:rPr>
            </w:pPr>
            <w:r>
              <w:rPr>
                <w:sz w:val="18"/>
                <w:szCs w:val="18"/>
                <w:lang w:val="fr-FR"/>
              </w:rPr>
              <w:t>Matière</w:t>
            </w:r>
          </w:p>
        </w:tc>
        <w:tc>
          <w:tcPr>
            <w:tcW w:w="567" w:type="dxa"/>
            <w:vMerge w:val="restart"/>
            <w:vAlign w:val="center"/>
          </w:tcPr>
          <w:p w14:paraId="14301729" w14:textId="3E61917A" w:rsidR="00E662CC" w:rsidRPr="008E2DF6" w:rsidRDefault="00E662CC" w:rsidP="000A0630">
            <w:pPr>
              <w:pStyle w:val="SingleTxtG"/>
              <w:ind w:left="0" w:right="0"/>
              <w:jc w:val="center"/>
              <w:rPr>
                <w:sz w:val="18"/>
                <w:szCs w:val="18"/>
                <w:lang w:val="fr-FR"/>
              </w:rPr>
            </w:pPr>
            <w:r w:rsidRPr="008E2DF6">
              <w:rPr>
                <w:sz w:val="18"/>
                <w:szCs w:val="18"/>
                <w:lang w:val="fr-FR"/>
              </w:rPr>
              <w:t xml:space="preserve">Classe </w:t>
            </w:r>
          </w:p>
        </w:tc>
        <w:tc>
          <w:tcPr>
            <w:tcW w:w="850" w:type="dxa"/>
            <w:vMerge w:val="restart"/>
            <w:vAlign w:val="center"/>
          </w:tcPr>
          <w:p w14:paraId="13F5456E" w14:textId="77777777" w:rsidR="00E662CC" w:rsidRPr="008E2DF6" w:rsidRDefault="00E662CC" w:rsidP="000A0630">
            <w:pPr>
              <w:pStyle w:val="SingleTxtG"/>
              <w:tabs>
                <w:tab w:val="left" w:pos="0"/>
              </w:tabs>
              <w:ind w:left="0" w:right="0"/>
              <w:jc w:val="center"/>
              <w:rPr>
                <w:sz w:val="18"/>
                <w:szCs w:val="18"/>
                <w:lang w:val="fr-FR"/>
              </w:rPr>
            </w:pPr>
            <w:r w:rsidRPr="001B1DE9">
              <w:rPr>
                <w:sz w:val="18"/>
                <w:szCs w:val="18"/>
                <w:lang w:val="fr-FR"/>
              </w:rPr>
              <w:t>Danger subsidiaire</w:t>
            </w:r>
          </w:p>
        </w:tc>
        <w:tc>
          <w:tcPr>
            <w:tcW w:w="993" w:type="dxa"/>
            <w:vMerge w:val="restart"/>
            <w:vAlign w:val="center"/>
          </w:tcPr>
          <w:p w14:paraId="43755604" w14:textId="0CA9D1AE" w:rsidR="00E662CC" w:rsidRPr="008E2DF6" w:rsidRDefault="00E662CC" w:rsidP="000A0630">
            <w:pPr>
              <w:pStyle w:val="SingleTxtG"/>
              <w:ind w:left="0" w:right="0"/>
              <w:jc w:val="center"/>
              <w:rPr>
                <w:sz w:val="18"/>
                <w:szCs w:val="18"/>
                <w:lang w:val="fr-FR"/>
              </w:rPr>
            </w:pPr>
            <w:r w:rsidRPr="001B1DE9">
              <w:rPr>
                <w:sz w:val="18"/>
                <w:szCs w:val="18"/>
                <w:lang w:val="fr-FR"/>
              </w:rPr>
              <w:t>Groupe d</w:t>
            </w:r>
            <w:r w:rsidR="004962C9">
              <w:rPr>
                <w:sz w:val="18"/>
                <w:szCs w:val="18"/>
                <w:lang w:val="fr-FR"/>
              </w:rPr>
              <w:t>’</w:t>
            </w:r>
            <w:r w:rsidRPr="001B1DE9">
              <w:rPr>
                <w:sz w:val="18"/>
                <w:szCs w:val="18"/>
                <w:lang w:val="fr-FR"/>
              </w:rPr>
              <w:t>emballage</w:t>
            </w:r>
          </w:p>
        </w:tc>
        <w:tc>
          <w:tcPr>
            <w:tcW w:w="992" w:type="dxa"/>
            <w:vMerge w:val="restart"/>
            <w:vAlign w:val="center"/>
          </w:tcPr>
          <w:p w14:paraId="0771B51E" w14:textId="77777777" w:rsidR="00E662CC" w:rsidRPr="008E2DF6" w:rsidRDefault="00E662CC" w:rsidP="000A0630">
            <w:pPr>
              <w:pStyle w:val="SingleTxtG"/>
              <w:ind w:left="0" w:right="0"/>
              <w:jc w:val="center"/>
              <w:rPr>
                <w:sz w:val="18"/>
                <w:szCs w:val="18"/>
                <w:lang w:val="fr-FR"/>
              </w:rPr>
            </w:pPr>
            <w:r w:rsidRPr="001B1DE9">
              <w:rPr>
                <w:sz w:val="18"/>
                <w:szCs w:val="18"/>
                <w:lang w:val="fr-FR"/>
              </w:rPr>
              <w:t xml:space="preserve">Dispositions </w:t>
            </w:r>
            <w:r w:rsidRPr="008E2DF6">
              <w:rPr>
                <w:sz w:val="18"/>
                <w:szCs w:val="18"/>
                <w:lang w:val="fr-FR"/>
              </w:rPr>
              <w:t>spéciales</w:t>
            </w:r>
          </w:p>
        </w:tc>
        <w:tc>
          <w:tcPr>
            <w:tcW w:w="992" w:type="dxa"/>
            <w:gridSpan w:val="2"/>
            <w:vMerge w:val="restart"/>
            <w:vAlign w:val="center"/>
          </w:tcPr>
          <w:p w14:paraId="303DF553" w14:textId="77777777" w:rsidR="00E662CC" w:rsidRPr="008E2DF6" w:rsidRDefault="00E662CC" w:rsidP="000A0630">
            <w:pPr>
              <w:pStyle w:val="SingleTxtG"/>
              <w:ind w:left="0" w:right="0"/>
              <w:jc w:val="center"/>
              <w:rPr>
                <w:sz w:val="18"/>
                <w:szCs w:val="18"/>
                <w:lang w:val="fr-FR"/>
              </w:rPr>
            </w:pPr>
            <w:r w:rsidRPr="008E2DF6">
              <w:rPr>
                <w:sz w:val="18"/>
                <w:szCs w:val="18"/>
                <w:lang w:val="fr-FR"/>
              </w:rPr>
              <w:t xml:space="preserve">Quantités limitées et </w:t>
            </w:r>
            <w:r>
              <w:rPr>
                <w:sz w:val="18"/>
                <w:szCs w:val="18"/>
                <w:lang w:val="fr-FR"/>
              </w:rPr>
              <w:t xml:space="preserve">quantités </w:t>
            </w:r>
            <w:r w:rsidRPr="008E2DF6">
              <w:rPr>
                <w:sz w:val="18"/>
                <w:szCs w:val="18"/>
                <w:lang w:val="fr-FR"/>
              </w:rPr>
              <w:t>exceptées</w:t>
            </w:r>
          </w:p>
        </w:tc>
        <w:tc>
          <w:tcPr>
            <w:tcW w:w="2268" w:type="dxa"/>
            <w:gridSpan w:val="2"/>
            <w:vAlign w:val="center"/>
          </w:tcPr>
          <w:p w14:paraId="53F9382F" w14:textId="77777777" w:rsidR="00E662CC" w:rsidRPr="008E2DF6" w:rsidRDefault="00E662CC" w:rsidP="000A0630">
            <w:pPr>
              <w:pStyle w:val="SingleTxtG"/>
              <w:tabs>
                <w:tab w:val="left" w:pos="0"/>
              </w:tabs>
              <w:ind w:left="0" w:right="0"/>
              <w:jc w:val="center"/>
              <w:rPr>
                <w:sz w:val="18"/>
                <w:szCs w:val="18"/>
                <w:lang w:val="fr-FR"/>
              </w:rPr>
            </w:pPr>
            <w:r w:rsidRPr="008E2DF6">
              <w:rPr>
                <w:sz w:val="18"/>
                <w:szCs w:val="18"/>
                <w:lang w:val="fr-FR"/>
              </w:rPr>
              <w:t xml:space="preserve">Emballages et </w:t>
            </w:r>
            <w:r>
              <w:rPr>
                <w:sz w:val="18"/>
                <w:szCs w:val="18"/>
                <w:lang w:val="fr-FR"/>
              </w:rPr>
              <w:t>GRV</w:t>
            </w:r>
          </w:p>
        </w:tc>
        <w:tc>
          <w:tcPr>
            <w:tcW w:w="2273" w:type="dxa"/>
            <w:gridSpan w:val="2"/>
            <w:vAlign w:val="center"/>
          </w:tcPr>
          <w:p w14:paraId="1AED4469" w14:textId="77777777" w:rsidR="00E662CC" w:rsidRPr="008E2DF6" w:rsidRDefault="00E662CC" w:rsidP="000A0630">
            <w:pPr>
              <w:pStyle w:val="SingleTxtG"/>
              <w:ind w:left="0" w:right="0"/>
              <w:jc w:val="center"/>
              <w:rPr>
                <w:sz w:val="18"/>
                <w:szCs w:val="18"/>
                <w:lang w:val="fr-FR"/>
              </w:rPr>
            </w:pPr>
            <w:r w:rsidRPr="008E2DF6">
              <w:rPr>
                <w:sz w:val="18"/>
                <w:szCs w:val="18"/>
                <w:lang w:val="fr-FR"/>
              </w:rPr>
              <w:t>Citernes mobiles et conteneurs pour vrac</w:t>
            </w:r>
          </w:p>
        </w:tc>
      </w:tr>
      <w:tr w:rsidR="004E3594" w:rsidRPr="008E2DF6" w14:paraId="1F3D1DB6" w14:textId="77777777" w:rsidTr="004E3594">
        <w:trPr>
          <w:trHeight w:val="338"/>
        </w:trPr>
        <w:tc>
          <w:tcPr>
            <w:tcW w:w="1413" w:type="dxa"/>
            <w:vMerge/>
            <w:tcBorders>
              <w:bottom w:val="single" w:sz="4" w:space="0" w:color="auto"/>
            </w:tcBorders>
            <w:vAlign w:val="center"/>
          </w:tcPr>
          <w:p w14:paraId="38297FAB" w14:textId="77777777" w:rsidR="00E662CC" w:rsidRPr="008E2DF6" w:rsidRDefault="00E662CC" w:rsidP="000A0630">
            <w:pPr>
              <w:pStyle w:val="SingleTxtG"/>
              <w:ind w:left="0" w:right="19"/>
              <w:jc w:val="center"/>
              <w:rPr>
                <w:sz w:val="18"/>
                <w:szCs w:val="18"/>
                <w:lang w:val="fr-FR"/>
              </w:rPr>
            </w:pPr>
          </w:p>
        </w:tc>
        <w:tc>
          <w:tcPr>
            <w:tcW w:w="567" w:type="dxa"/>
            <w:vMerge/>
            <w:tcBorders>
              <w:bottom w:val="single" w:sz="4" w:space="0" w:color="auto"/>
            </w:tcBorders>
            <w:vAlign w:val="center"/>
          </w:tcPr>
          <w:p w14:paraId="289950A3" w14:textId="77777777" w:rsidR="00E662CC" w:rsidRPr="008E2DF6" w:rsidRDefault="00E662CC" w:rsidP="000A0630">
            <w:pPr>
              <w:pStyle w:val="SingleTxtG"/>
              <w:ind w:left="0" w:right="0"/>
              <w:jc w:val="center"/>
              <w:rPr>
                <w:sz w:val="18"/>
                <w:szCs w:val="18"/>
                <w:lang w:val="fr-FR"/>
              </w:rPr>
            </w:pPr>
          </w:p>
        </w:tc>
        <w:tc>
          <w:tcPr>
            <w:tcW w:w="850" w:type="dxa"/>
            <w:vMerge/>
            <w:tcBorders>
              <w:bottom w:val="single" w:sz="4" w:space="0" w:color="auto"/>
            </w:tcBorders>
            <w:vAlign w:val="center"/>
          </w:tcPr>
          <w:p w14:paraId="1CB75449" w14:textId="77777777" w:rsidR="00E662CC" w:rsidRPr="008E2DF6" w:rsidRDefault="00E662CC" w:rsidP="000A0630">
            <w:pPr>
              <w:pStyle w:val="SingleTxtG"/>
              <w:tabs>
                <w:tab w:val="left" w:pos="0"/>
              </w:tabs>
              <w:ind w:left="0" w:right="0"/>
              <w:jc w:val="center"/>
              <w:rPr>
                <w:sz w:val="18"/>
                <w:szCs w:val="18"/>
                <w:lang w:val="fr-FR"/>
              </w:rPr>
            </w:pPr>
          </w:p>
        </w:tc>
        <w:tc>
          <w:tcPr>
            <w:tcW w:w="993" w:type="dxa"/>
            <w:vMerge/>
            <w:tcBorders>
              <w:bottom w:val="single" w:sz="4" w:space="0" w:color="auto"/>
            </w:tcBorders>
            <w:vAlign w:val="center"/>
          </w:tcPr>
          <w:p w14:paraId="40292A8B" w14:textId="77777777" w:rsidR="00E662CC" w:rsidRPr="008E2DF6" w:rsidRDefault="00E662CC" w:rsidP="000A0630">
            <w:pPr>
              <w:pStyle w:val="SingleTxtG"/>
              <w:ind w:left="0" w:right="0"/>
              <w:jc w:val="center"/>
              <w:rPr>
                <w:sz w:val="18"/>
                <w:szCs w:val="18"/>
                <w:lang w:val="fr-FR"/>
              </w:rPr>
            </w:pPr>
          </w:p>
        </w:tc>
        <w:tc>
          <w:tcPr>
            <w:tcW w:w="992" w:type="dxa"/>
            <w:vMerge/>
            <w:tcBorders>
              <w:bottom w:val="single" w:sz="4" w:space="0" w:color="auto"/>
            </w:tcBorders>
            <w:vAlign w:val="center"/>
          </w:tcPr>
          <w:p w14:paraId="0651EEEA" w14:textId="77777777" w:rsidR="00E662CC" w:rsidRPr="008E2DF6" w:rsidRDefault="00E662CC" w:rsidP="000A0630">
            <w:pPr>
              <w:pStyle w:val="SingleTxtG"/>
              <w:ind w:left="0" w:right="0"/>
              <w:jc w:val="center"/>
              <w:rPr>
                <w:sz w:val="18"/>
                <w:szCs w:val="18"/>
                <w:lang w:val="fr-FR"/>
              </w:rPr>
            </w:pPr>
          </w:p>
        </w:tc>
        <w:tc>
          <w:tcPr>
            <w:tcW w:w="992" w:type="dxa"/>
            <w:gridSpan w:val="2"/>
            <w:vMerge/>
            <w:tcBorders>
              <w:bottom w:val="single" w:sz="4" w:space="0" w:color="auto"/>
            </w:tcBorders>
            <w:vAlign w:val="center"/>
          </w:tcPr>
          <w:p w14:paraId="10474760" w14:textId="77777777" w:rsidR="00E662CC" w:rsidRPr="008E2DF6" w:rsidRDefault="00E662CC" w:rsidP="000A0630">
            <w:pPr>
              <w:pStyle w:val="SingleTxtG"/>
              <w:ind w:left="0" w:right="0"/>
              <w:jc w:val="center"/>
              <w:rPr>
                <w:sz w:val="18"/>
                <w:szCs w:val="18"/>
                <w:lang w:val="fr-FR"/>
              </w:rPr>
            </w:pPr>
          </w:p>
        </w:tc>
        <w:tc>
          <w:tcPr>
            <w:tcW w:w="1134" w:type="dxa"/>
            <w:tcBorders>
              <w:bottom w:val="single" w:sz="4" w:space="0" w:color="auto"/>
            </w:tcBorders>
            <w:vAlign w:val="center"/>
          </w:tcPr>
          <w:p w14:paraId="1989E27A" w14:textId="7740AFC1" w:rsidR="00E662CC" w:rsidRPr="008E2DF6" w:rsidRDefault="00E662CC" w:rsidP="000A0630">
            <w:pPr>
              <w:pStyle w:val="SingleTxtG"/>
              <w:tabs>
                <w:tab w:val="left" w:pos="0"/>
              </w:tabs>
              <w:ind w:left="0" w:right="0"/>
              <w:jc w:val="center"/>
              <w:rPr>
                <w:sz w:val="18"/>
                <w:szCs w:val="18"/>
                <w:lang w:val="fr-FR"/>
              </w:rPr>
            </w:pPr>
            <w:r w:rsidRPr="008E2DF6">
              <w:rPr>
                <w:sz w:val="18"/>
                <w:szCs w:val="18"/>
                <w:lang w:val="fr-FR"/>
              </w:rPr>
              <w:t>Instructions d</w:t>
            </w:r>
            <w:r w:rsidR="004962C9">
              <w:rPr>
                <w:sz w:val="18"/>
                <w:szCs w:val="18"/>
                <w:lang w:val="fr-FR"/>
              </w:rPr>
              <w:t>’</w:t>
            </w:r>
            <w:r w:rsidRPr="008E2DF6">
              <w:rPr>
                <w:sz w:val="18"/>
                <w:szCs w:val="18"/>
                <w:lang w:val="fr-FR"/>
              </w:rPr>
              <w:t>emballage</w:t>
            </w:r>
          </w:p>
        </w:tc>
        <w:tc>
          <w:tcPr>
            <w:tcW w:w="1134" w:type="dxa"/>
            <w:tcBorders>
              <w:bottom w:val="single" w:sz="4" w:space="0" w:color="auto"/>
            </w:tcBorders>
            <w:vAlign w:val="center"/>
          </w:tcPr>
          <w:p w14:paraId="59C2296D" w14:textId="77777777" w:rsidR="00E662CC" w:rsidRPr="008E2DF6" w:rsidRDefault="00E662CC" w:rsidP="000A0630">
            <w:pPr>
              <w:pStyle w:val="SingleTxtG"/>
              <w:tabs>
                <w:tab w:val="left" w:pos="0"/>
              </w:tabs>
              <w:ind w:left="0" w:right="0"/>
              <w:jc w:val="center"/>
              <w:rPr>
                <w:sz w:val="18"/>
                <w:szCs w:val="18"/>
                <w:lang w:val="fr-FR"/>
              </w:rPr>
            </w:pPr>
            <w:r w:rsidRPr="008E2DF6">
              <w:rPr>
                <w:sz w:val="18"/>
                <w:szCs w:val="18"/>
                <w:lang w:val="fr-FR"/>
              </w:rPr>
              <w:t xml:space="preserve">Dispositions spéciales </w:t>
            </w:r>
          </w:p>
        </w:tc>
        <w:tc>
          <w:tcPr>
            <w:tcW w:w="1134" w:type="dxa"/>
            <w:tcBorders>
              <w:bottom w:val="single" w:sz="4" w:space="0" w:color="auto"/>
            </w:tcBorders>
            <w:vAlign w:val="center"/>
          </w:tcPr>
          <w:p w14:paraId="08BC22E7" w14:textId="4016B9F4" w:rsidR="00E662CC" w:rsidRPr="008E2DF6" w:rsidRDefault="00E662CC" w:rsidP="000A0630">
            <w:pPr>
              <w:pStyle w:val="SingleTxtG"/>
              <w:ind w:left="0" w:right="0"/>
              <w:jc w:val="center"/>
              <w:rPr>
                <w:sz w:val="18"/>
                <w:szCs w:val="18"/>
                <w:lang w:val="fr-FR"/>
              </w:rPr>
            </w:pPr>
            <w:r w:rsidRPr="008E2DF6">
              <w:rPr>
                <w:sz w:val="18"/>
                <w:szCs w:val="18"/>
                <w:lang w:val="fr-FR"/>
              </w:rPr>
              <w:t>Instructions</w:t>
            </w:r>
            <w:r>
              <w:t xml:space="preserve"> </w:t>
            </w:r>
          </w:p>
        </w:tc>
        <w:tc>
          <w:tcPr>
            <w:tcW w:w="1139" w:type="dxa"/>
            <w:tcBorders>
              <w:bottom w:val="single" w:sz="4" w:space="0" w:color="auto"/>
            </w:tcBorders>
            <w:vAlign w:val="center"/>
          </w:tcPr>
          <w:p w14:paraId="3493A567" w14:textId="77777777" w:rsidR="00E662CC" w:rsidRPr="008E2DF6" w:rsidRDefault="00E662CC" w:rsidP="000A0630">
            <w:pPr>
              <w:pStyle w:val="SingleTxtG"/>
              <w:ind w:left="0" w:right="0"/>
              <w:jc w:val="center"/>
              <w:rPr>
                <w:sz w:val="18"/>
                <w:szCs w:val="18"/>
                <w:lang w:val="fr-FR"/>
              </w:rPr>
            </w:pPr>
            <w:r w:rsidRPr="008E2DF6">
              <w:rPr>
                <w:sz w:val="18"/>
                <w:szCs w:val="18"/>
                <w:lang w:val="fr-FR"/>
              </w:rPr>
              <w:t xml:space="preserve">Dispositions </w:t>
            </w:r>
            <w:r w:rsidRPr="001B1DE9">
              <w:rPr>
                <w:sz w:val="18"/>
                <w:szCs w:val="18"/>
                <w:lang w:val="fr-FR"/>
              </w:rPr>
              <w:t>spéciales</w:t>
            </w:r>
          </w:p>
        </w:tc>
      </w:tr>
      <w:tr w:rsidR="004E3594" w:rsidRPr="008E2DF6" w14:paraId="09EDBC7A" w14:textId="77777777" w:rsidTr="004E3594">
        <w:tc>
          <w:tcPr>
            <w:tcW w:w="1413" w:type="dxa"/>
          </w:tcPr>
          <w:p w14:paraId="332287DA" w14:textId="77777777" w:rsidR="004E3594" w:rsidRPr="004E3594" w:rsidRDefault="004E3594" w:rsidP="004E3594">
            <w:pPr>
              <w:pStyle w:val="SingleTxtG"/>
              <w:ind w:left="0" w:right="19"/>
              <w:jc w:val="center"/>
              <w:rPr>
                <w:rFonts w:eastAsia="Times New Roman"/>
                <w:sz w:val="18"/>
                <w:szCs w:val="18"/>
              </w:rPr>
            </w:pPr>
            <w:r w:rsidRPr="004E3594">
              <w:rPr>
                <w:sz w:val="18"/>
                <w:szCs w:val="18"/>
              </w:rPr>
              <w:t>XXXX</w:t>
            </w:r>
          </w:p>
          <w:p w14:paraId="06A998ED" w14:textId="4EC27B47" w:rsidR="00E662CC" w:rsidRPr="008E2DF6" w:rsidRDefault="004E3594" w:rsidP="004E3594">
            <w:pPr>
              <w:pStyle w:val="SingleTxtG"/>
              <w:ind w:left="0" w:right="19"/>
              <w:jc w:val="center"/>
              <w:rPr>
                <w:sz w:val="18"/>
                <w:szCs w:val="18"/>
                <w:lang w:val="fr-FR"/>
              </w:rPr>
            </w:pPr>
            <w:r w:rsidRPr="004E3594">
              <w:rPr>
                <w:sz w:val="18"/>
                <w:szCs w:val="18"/>
              </w:rPr>
              <w:t>DIOXIME DE QUINONE</w:t>
            </w:r>
          </w:p>
        </w:tc>
        <w:tc>
          <w:tcPr>
            <w:tcW w:w="567" w:type="dxa"/>
          </w:tcPr>
          <w:p w14:paraId="7BB591A2" w14:textId="1FBDC76E" w:rsidR="00E662CC" w:rsidRPr="008E2DF6" w:rsidRDefault="004E3594" w:rsidP="000A0630">
            <w:pPr>
              <w:pStyle w:val="SingleTxtG"/>
              <w:ind w:left="0" w:right="19"/>
              <w:jc w:val="center"/>
              <w:rPr>
                <w:sz w:val="18"/>
                <w:szCs w:val="18"/>
                <w:lang w:val="fr-FR"/>
              </w:rPr>
            </w:pPr>
            <w:r>
              <w:rPr>
                <w:sz w:val="18"/>
                <w:szCs w:val="18"/>
                <w:lang w:val="fr-FR"/>
              </w:rPr>
              <w:t>4.1</w:t>
            </w:r>
          </w:p>
        </w:tc>
        <w:tc>
          <w:tcPr>
            <w:tcW w:w="850" w:type="dxa"/>
          </w:tcPr>
          <w:p w14:paraId="7FA0E4FD" w14:textId="4E987C02" w:rsidR="00E662CC" w:rsidRPr="008E2DF6" w:rsidRDefault="00E662CC" w:rsidP="000A0630">
            <w:pPr>
              <w:pStyle w:val="SingleTxtG"/>
              <w:ind w:left="0" w:right="19"/>
              <w:jc w:val="center"/>
              <w:rPr>
                <w:sz w:val="18"/>
                <w:szCs w:val="18"/>
                <w:lang w:val="fr-FR"/>
              </w:rPr>
            </w:pPr>
          </w:p>
        </w:tc>
        <w:tc>
          <w:tcPr>
            <w:tcW w:w="993" w:type="dxa"/>
          </w:tcPr>
          <w:p w14:paraId="5A7DC8E7" w14:textId="6E61B40B" w:rsidR="00E662CC" w:rsidRPr="008E2DF6" w:rsidRDefault="004E3594" w:rsidP="000A0630">
            <w:pPr>
              <w:pStyle w:val="SingleTxtG"/>
              <w:ind w:left="0" w:right="19"/>
              <w:jc w:val="center"/>
              <w:rPr>
                <w:sz w:val="18"/>
                <w:szCs w:val="18"/>
                <w:lang w:val="fr-FR"/>
              </w:rPr>
            </w:pPr>
            <w:r>
              <w:rPr>
                <w:sz w:val="18"/>
                <w:szCs w:val="18"/>
                <w:lang w:val="fr-FR"/>
              </w:rPr>
              <w:t>II</w:t>
            </w:r>
          </w:p>
        </w:tc>
        <w:tc>
          <w:tcPr>
            <w:tcW w:w="992" w:type="dxa"/>
          </w:tcPr>
          <w:p w14:paraId="26911DA9" w14:textId="3544FEE3" w:rsidR="00E662CC" w:rsidRPr="008E2DF6" w:rsidRDefault="00E662CC" w:rsidP="000A0630">
            <w:pPr>
              <w:pStyle w:val="SingleTxtG"/>
              <w:ind w:left="0" w:right="19"/>
              <w:jc w:val="center"/>
              <w:rPr>
                <w:sz w:val="18"/>
                <w:szCs w:val="18"/>
                <w:lang w:val="fr-FR"/>
              </w:rPr>
            </w:pPr>
          </w:p>
        </w:tc>
        <w:tc>
          <w:tcPr>
            <w:tcW w:w="425" w:type="dxa"/>
          </w:tcPr>
          <w:p w14:paraId="282BAAC5" w14:textId="4E7AD08C" w:rsidR="00E662CC" w:rsidRPr="008E2DF6" w:rsidRDefault="004E3594" w:rsidP="000A0630">
            <w:pPr>
              <w:pStyle w:val="SingleTxtG"/>
              <w:ind w:left="0" w:right="19"/>
              <w:jc w:val="center"/>
              <w:rPr>
                <w:sz w:val="18"/>
                <w:szCs w:val="18"/>
                <w:lang w:val="fr-FR"/>
              </w:rPr>
            </w:pPr>
            <w:r>
              <w:rPr>
                <w:sz w:val="18"/>
                <w:szCs w:val="18"/>
                <w:lang w:val="fr-FR"/>
              </w:rPr>
              <w:t>1 kg</w:t>
            </w:r>
          </w:p>
        </w:tc>
        <w:tc>
          <w:tcPr>
            <w:tcW w:w="567" w:type="dxa"/>
          </w:tcPr>
          <w:p w14:paraId="2E432142" w14:textId="30C58BDD" w:rsidR="00E662CC" w:rsidRPr="008E2DF6" w:rsidRDefault="004E3594" w:rsidP="000A0630">
            <w:pPr>
              <w:pStyle w:val="SingleTxtG"/>
              <w:ind w:left="0" w:right="19"/>
              <w:jc w:val="center"/>
              <w:rPr>
                <w:sz w:val="18"/>
                <w:szCs w:val="18"/>
                <w:lang w:val="fr-FR"/>
              </w:rPr>
            </w:pPr>
            <w:r>
              <w:rPr>
                <w:sz w:val="18"/>
                <w:szCs w:val="18"/>
                <w:lang w:val="fr-FR"/>
              </w:rPr>
              <w:t>E2</w:t>
            </w:r>
          </w:p>
        </w:tc>
        <w:tc>
          <w:tcPr>
            <w:tcW w:w="1134" w:type="dxa"/>
          </w:tcPr>
          <w:p w14:paraId="605FA4B6" w14:textId="19138E52" w:rsidR="00E662CC" w:rsidRPr="008E2DF6" w:rsidRDefault="004E3594" w:rsidP="000A0630">
            <w:pPr>
              <w:pStyle w:val="SingleTxtG"/>
              <w:ind w:left="0" w:right="19"/>
              <w:jc w:val="center"/>
              <w:rPr>
                <w:sz w:val="18"/>
                <w:szCs w:val="18"/>
                <w:lang w:val="fr-FR"/>
              </w:rPr>
            </w:pPr>
            <w:r>
              <w:rPr>
                <w:sz w:val="18"/>
                <w:szCs w:val="18"/>
                <w:lang w:val="fr-FR"/>
              </w:rPr>
              <w:t>P002</w:t>
            </w:r>
          </w:p>
        </w:tc>
        <w:tc>
          <w:tcPr>
            <w:tcW w:w="1134" w:type="dxa"/>
          </w:tcPr>
          <w:p w14:paraId="503EBBC0" w14:textId="1E4799B6" w:rsidR="00E662CC" w:rsidRPr="008E2DF6" w:rsidRDefault="00E662CC" w:rsidP="000A0630">
            <w:pPr>
              <w:pStyle w:val="SingleTxtG"/>
              <w:ind w:left="0" w:right="19"/>
              <w:jc w:val="center"/>
              <w:rPr>
                <w:sz w:val="18"/>
                <w:szCs w:val="18"/>
                <w:lang w:val="fr-FR"/>
              </w:rPr>
            </w:pPr>
          </w:p>
        </w:tc>
        <w:tc>
          <w:tcPr>
            <w:tcW w:w="1134" w:type="dxa"/>
          </w:tcPr>
          <w:p w14:paraId="11B5823B" w14:textId="3BE09E41" w:rsidR="00E662CC" w:rsidRPr="008E2DF6" w:rsidRDefault="00E662CC" w:rsidP="000A0630">
            <w:pPr>
              <w:pStyle w:val="SingleTxtG"/>
              <w:ind w:left="0" w:right="19"/>
              <w:jc w:val="center"/>
              <w:rPr>
                <w:sz w:val="18"/>
                <w:szCs w:val="18"/>
                <w:lang w:val="fr-FR"/>
              </w:rPr>
            </w:pPr>
          </w:p>
        </w:tc>
        <w:tc>
          <w:tcPr>
            <w:tcW w:w="1139" w:type="dxa"/>
          </w:tcPr>
          <w:p w14:paraId="7B51BDDD" w14:textId="3323F3DD" w:rsidR="00E662CC" w:rsidRPr="008E2DF6" w:rsidRDefault="00E662CC" w:rsidP="000A0630">
            <w:pPr>
              <w:pStyle w:val="SingleTxtG"/>
              <w:ind w:left="0" w:right="19"/>
              <w:jc w:val="center"/>
              <w:rPr>
                <w:sz w:val="18"/>
                <w:szCs w:val="18"/>
                <w:lang w:val="fr-FR"/>
              </w:rPr>
            </w:pPr>
          </w:p>
        </w:tc>
      </w:tr>
    </w:tbl>
    <w:p w14:paraId="6B7B97F6" w14:textId="2BA8EDC8" w:rsidR="004C242A" w:rsidRDefault="004C242A" w:rsidP="00AC3823"/>
    <w:p w14:paraId="07A34C29" w14:textId="4D043378" w:rsidR="004C242A" w:rsidRDefault="004C242A" w:rsidP="00AC3823">
      <w:r>
        <w:br w:type="page"/>
      </w:r>
    </w:p>
    <w:p w14:paraId="295A6F0E" w14:textId="77777777" w:rsidR="004C242A" w:rsidRPr="00B376AE" w:rsidRDefault="004C242A" w:rsidP="00786A7C">
      <w:pPr>
        <w:pStyle w:val="HChG"/>
      </w:pPr>
      <w:r w:rsidRPr="00B376AE">
        <w:t>Annexe</w:t>
      </w:r>
    </w:p>
    <w:p w14:paraId="0D6342B5" w14:textId="3E3C9A79" w:rsidR="004C242A" w:rsidRPr="00B376AE" w:rsidRDefault="004C242A" w:rsidP="00786A7C">
      <w:pPr>
        <w:pStyle w:val="HChG"/>
      </w:pPr>
      <w:r w:rsidRPr="00B376AE">
        <w:tab/>
      </w:r>
      <w:r w:rsidRPr="00B376AE">
        <w:tab/>
        <w:t>Formule de renseignements à communiquer à l</w:t>
      </w:r>
      <w:r w:rsidR="004962C9">
        <w:t>’</w:t>
      </w:r>
      <w:r w:rsidRPr="00B376AE">
        <w:t>ONU en vue du classement ou du reclassement d</w:t>
      </w:r>
      <w:r w:rsidR="004962C9">
        <w:t>’</w:t>
      </w:r>
      <w:r w:rsidRPr="00B376AE">
        <w:t>une matière</w:t>
      </w:r>
    </w:p>
    <w:p w14:paraId="21E3CCA9" w14:textId="798DC376" w:rsidR="0040737F" w:rsidRPr="00B376AE" w:rsidRDefault="0040737F" w:rsidP="00E0178A">
      <w:pPr>
        <w:widowControl w:val="0"/>
        <w:tabs>
          <w:tab w:val="left" w:leader="dot" w:pos="1418"/>
          <w:tab w:val="left" w:leader="dot" w:pos="6237"/>
          <w:tab w:val="left" w:pos="6804"/>
          <w:tab w:val="right" w:leader="dot" w:pos="9639"/>
        </w:tabs>
        <w:suppressAutoHyphens w:val="0"/>
        <w:spacing w:line="240" w:lineRule="auto"/>
        <w:jc w:val="both"/>
      </w:pPr>
      <w:r w:rsidRPr="00B376AE">
        <w:rPr>
          <w:b/>
          <w:bCs/>
        </w:rPr>
        <w:t>Soumise par</w:t>
      </w:r>
      <w:r w:rsidR="004962C9">
        <w:t> </w:t>
      </w:r>
      <w:r w:rsidRPr="00B376AE">
        <w:t>: COSTHA</w:t>
      </w:r>
      <w:r w:rsidR="00E0178A">
        <w:tab/>
      </w:r>
      <w:r w:rsidRPr="00B376AE">
        <w:t xml:space="preserve"> </w:t>
      </w:r>
      <w:r w:rsidRPr="00B376AE">
        <w:rPr>
          <w:b/>
          <w:bCs/>
        </w:rPr>
        <w:t>Date </w:t>
      </w:r>
      <w:r w:rsidRPr="00B376AE">
        <w:t xml:space="preserve">: 16 juillet </w:t>
      </w:r>
      <w:r w:rsidRPr="00E0178A">
        <w:rPr>
          <w:rFonts w:eastAsia="SimSun"/>
          <w:snapToGrid w:val="0"/>
          <w:sz w:val="22"/>
          <w:lang w:val="en-GB" w:eastAsia="zh-CN"/>
        </w:rPr>
        <w:t>2021</w:t>
      </w:r>
    </w:p>
    <w:p w14:paraId="3B2F34EE" w14:textId="77777777" w:rsidR="0040737F" w:rsidRPr="00B376AE" w:rsidRDefault="0040737F" w:rsidP="0040737F">
      <w:pPr>
        <w:pStyle w:val="ListParagraph"/>
        <w:spacing w:after="120"/>
        <w:ind w:left="0"/>
        <w:rPr>
          <w:rFonts w:ascii="Times New Roman" w:hAnsi="Times New Roman" w:cs="Times New Roman"/>
          <w:b/>
          <w:bCs/>
          <w:sz w:val="20"/>
          <w:szCs w:val="20"/>
          <w:lang w:val="fr-CH"/>
        </w:rPr>
      </w:pPr>
    </w:p>
    <w:p w14:paraId="1D0E5785" w14:textId="77777777" w:rsidR="0040737F" w:rsidRPr="00B376AE" w:rsidRDefault="0040737F" w:rsidP="0040737F">
      <w:pPr>
        <w:pStyle w:val="ListParagraph"/>
        <w:spacing w:after="120"/>
        <w:ind w:left="0"/>
        <w:rPr>
          <w:rFonts w:ascii="Times New Roman" w:hAnsi="Times New Roman" w:cs="Times New Roman"/>
          <w:b/>
          <w:bCs/>
          <w:sz w:val="20"/>
          <w:szCs w:val="20"/>
          <w:lang w:val="fr-CH"/>
        </w:rPr>
      </w:pPr>
      <w:r w:rsidRPr="00B376AE">
        <w:rPr>
          <w:rFonts w:ascii="Times New Roman" w:hAnsi="Times New Roman" w:cs="Times New Roman"/>
          <w:b/>
          <w:bCs/>
          <w:sz w:val="20"/>
          <w:szCs w:val="20"/>
          <w:lang w:val="fr-CH"/>
        </w:rPr>
        <w:t>Section 1.</w:t>
      </w:r>
      <w:r w:rsidRPr="00B376AE">
        <w:rPr>
          <w:rFonts w:ascii="Times New Roman" w:hAnsi="Times New Roman" w:cs="Times New Roman"/>
          <w:sz w:val="20"/>
          <w:szCs w:val="20"/>
          <w:lang w:val="fr-CH"/>
        </w:rPr>
        <w:t xml:space="preserve"> </w:t>
      </w:r>
      <w:r w:rsidRPr="00B376AE">
        <w:rPr>
          <w:rFonts w:ascii="Times New Roman" w:hAnsi="Times New Roman" w:cs="Times New Roman"/>
          <w:b/>
          <w:bCs/>
          <w:sz w:val="20"/>
          <w:szCs w:val="20"/>
          <w:lang w:val="fr-CH"/>
        </w:rPr>
        <w:t>IDENTIFICATION DE LA MATIÈRE</w:t>
      </w:r>
    </w:p>
    <w:p w14:paraId="4A40409D" w14:textId="0E73A616" w:rsidR="0040737F" w:rsidRPr="00B376AE" w:rsidRDefault="0040737F" w:rsidP="0040737F">
      <w:pPr>
        <w:pStyle w:val="ListParagraph"/>
        <w:spacing w:after="120"/>
        <w:rPr>
          <w:rFonts w:ascii="Times New Roman" w:hAnsi="Times New Roman" w:cs="Times New Roman"/>
          <w:sz w:val="20"/>
          <w:szCs w:val="20"/>
          <w:lang w:val="fr-CH"/>
        </w:rPr>
      </w:pPr>
      <w:r w:rsidRPr="00B376AE">
        <w:rPr>
          <w:rFonts w:ascii="Times New Roman" w:hAnsi="Times New Roman" w:cs="Times New Roman"/>
          <w:sz w:val="20"/>
          <w:szCs w:val="20"/>
          <w:lang w:val="fr-CH"/>
        </w:rPr>
        <w:t>1.1</w:t>
      </w:r>
      <w:r w:rsidR="00E0178A">
        <w:rPr>
          <w:rFonts w:ascii="Times New Roman" w:hAnsi="Times New Roman" w:cs="Times New Roman"/>
          <w:sz w:val="20"/>
          <w:szCs w:val="20"/>
          <w:lang w:val="fr-CH"/>
        </w:rPr>
        <w:tab/>
      </w:r>
      <w:r w:rsidRPr="00B376AE">
        <w:rPr>
          <w:rFonts w:ascii="Times New Roman" w:hAnsi="Times New Roman" w:cs="Times New Roman"/>
          <w:sz w:val="20"/>
          <w:szCs w:val="20"/>
          <w:lang w:val="fr-CH"/>
        </w:rPr>
        <w:t xml:space="preserve">Nom chimique : </w:t>
      </w:r>
      <w:r w:rsidR="00E0178A">
        <w:rPr>
          <w:rFonts w:ascii="Times New Roman" w:hAnsi="Times New Roman" w:cs="Times New Roman"/>
          <w:sz w:val="20"/>
          <w:szCs w:val="20"/>
          <w:lang w:val="fr-CH"/>
        </w:rPr>
        <w:tab/>
      </w:r>
      <w:r w:rsidRPr="00B376AE">
        <w:rPr>
          <w:rFonts w:ascii="Times New Roman" w:hAnsi="Times New Roman" w:cs="Times New Roman"/>
          <w:sz w:val="20"/>
          <w:szCs w:val="20"/>
          <w:lang w:val="fr-CH"/>
        </w:rPr>
        <w:t>1,4-benzoquinone dioxime</w:t>
      </w:r>
    </w:p>
    <w:p w14:paraId="1DFBA2D3" w14:textId="650C9BCA" w:rsidR="0040737F" w:rsidRDefault="0040737F" w:rsidP="0040737F">
      <w:pPr>
        <w:pStyle w:val="ListParagraph"/>
        <w:spacing w:after="120"/>
        <w:rPr>
          <w:rFonts w:ascii="Times New Roman" w:hAnsi="Times New Roman" w:cs="Times New Roman"/>
          <w:sz w:val="20"/>
          <w:szCs w:val="20"/>
          <w:vertAlign w:val="subscript"/>
          <w:lang w:val="fr-CH"/>
        </w:rPr>
      </w:pPr>
      <w:r w:rsidRPr="00B376AE">
        <w:rPr>
          <w:rFonts w:ascii="Times New Roman" w:hAnsi="Times New Roman" w:cs="Times New Roman"/>
          <w:sz w:val="20"/>
          <w:szCs w:val="20"/>
          <w:lang w:val="fr-CH"/>
        </w:rPr>
        <w:t>1.2</w:t>
      </w:r>
      <w:r w:rsidR="00E0178A">
        <w:rPr>
          <w:rFonts w:ascii="Times New Roman" w:hAnsi="Times New Roman" w:cs="Times New Roman"/>
          <w:sz w:val="20"/>
          <w:szCs w:val="20"/>
          <w:lang w:val="fr-CH"/>
        </w:rPr>
        <w:tab/>
      </w:r>
      <w:r w:rsidRPr="00B376AE">
        <w:rPr>
          <w:rFonts w:ascii="Times New Roman" w:hAnsi="Times New Roman" w:cs="Times New Roman"/>
          <w:sz w:val="20"/>
          <w:szCs w:val="20"/>
          <w:lang w:val="fr-CH"/>
        </w:rPr>
        <w:t xml:space="preserve">Formule chimique : </w:t>
      </w:r>
      <w:r w:rsidR="00E0178A">
        <w:rPr>
          <w:rFonts w:ascii="Times New Roman" w:hAnsi="Times New Roman" w:cs="Times New Roman"/>
          <w:sz w:val="20"/>
          <w:szCs w:val="20"/>
          <w:lang w:val="fr-CH"/>
        </w:rPr>
        <w:tab/>
      </w:r>
      <w:r w:rsidRPr="00B376AE">
        <w:rPr>
          <w:rFonts w:ascii="Times New Roman" w:hAnsi="Times New Roman" w:cs="Times New Roman"/>
          <w:sz w:val="20"/>
          <w:szCs w:val="20"/>
          <w:lang w:val="fr-CH"/>
        </w:rPr>
        <w:t>C</w:t>
      </w:r>
      <w:r w:rsidRPr="00B376AE">
        <w:rPr>
          <w:rFonts w:ascii="Times New Roman" w:hAnsi="Times New Roman" w:cs="Times New Roman"/>
          <w:sz w:val="20"/>
          <w:szCs w:val="20"/>
          <w:vertAlign w:val="subscript"/>
          <w:lang w:val="fr-CH"/>
        </w:rPr>
        <w:t>6</w:t>
      </w:r>
      <w:r w:rsidRPr="00B376AE">
        <w:rPr>
          <w:rFonts w:ascii="Times New Roman" w:hAnsi="Times New Roman" w:cs="Times New Roman"/>
          <w:sz w:val="20"/>
          <w:szCs w:val="20"/>
          <w:lang w:val="fr-CH"/>
        </w:rPr>
        <w:t>H</w:t>
      </w:r>
      <w:r w:rsidRPr="00B376AE">
        <w:rPr>
          <w:rFonts w:ascii="Times New Roman" w:hAnsi="Times New Roman" w:cs="Times New Roman"/>
          <w:sz w:val="20"/>
          <w:szCs w:val="20"/>
          <w:vertAlign w:val="subscript"/>
          <w:lang w:val="fr-CH"/>
        </w:rPr>
        <w:t>6</w:t>
      </w:r>
      <w:r w:rsidRPr="00B376AE">
        <w:rPr>
          <w:rFonts w:ascii="Times New Roman" w:hAnsi="Times New Roman" w:cs="Times New Roman"/>
          <w:sz w:val="20"/>
          <w:szCs w:val="20"/>
          <w:lang w:val="fr-CH"/>
        </w:rPr>
        <w:t>N</w:t>
      </w:r>
      <w:r w:rsidRPr="00B376AE">
        <w:rPr>
          <w:rFonts w:ascii="Times New Roman" w:hAnsi="Times New Roman" w:cs="Times New Roman"/>
          <w:sz w:val="20"/>
          <w:szCs w:val="20"/>
          <w:vertAlign w:val="subscript"/>
          <w:lang w:val="fr-CH"/>
        </w:rPr>
        <w:t>2</w:t>
      </w:r>
      <w:r w:rsidRPr="00B376AE">
        <w:rPr>
          <w:rFonts w:ascii="Times New Roman" w:hAnsi="Times New Roman" w:cs="Times New Roman"/>
          <w:sz w:val="20"/>
          <w:szCs w:val="20"/>
          <w:lang w:val="fr-CH"/>
        </w:rPr>
        <w:t>O</w:t>
      </w:r>
      <w:r w:rsidRPr="00B376AE">
        <w:rPr>
          <w:rFonts w:ascii="Times New Roman" w:hAnsi="Times New Roman" w:cs="Times New Roman"/>
          <w:sz w:val="20"/>
          <w:szCs w:val="20"/>
          <w:vertAlign w:val="subscript"/>
          <w:lang w:val="fr-CH"/>
        </w:rPr>
        <w:t>2</w:t>
      </w:r>
    </w:p>
    <w:p w14:paraId="59A23FAF" w14:textId="2C54DF5F" w:rsidR="0040737F" w:rsidRPr="00B376AE" w:rsidRDefault="0040737F" w:rsidP="0040737F">
      <w:pPr>
        <w:pStyle w:val="ListParagraph"/>
        <w:spacing w:before="120" w:after="120" w:line="257" w:lineRule="auto"/>
        <w:rPr>
          <w:rFonts w:ascii="Times New Roman" w:hAnsi="Times New Roman" w:cs="Times New Roman"/>
          <w:sz w:val="20"/>
          <w:szCs w:val="20"/>
          <w:lang w:val="fr-CH"/>
        </w:rPr>
      </w:pPr>
      <w:r w:rsidRPr="00B376AE">
        <w:rPr>
          <w:rFonts w:ascii="Times New Roman" w:hAnsi="Times New Roman" w:cs="Times New Roman"/>
          <w:sz w:val="20"/>
          <w:szCs w:val="20"/>
          <w:lang w:val="fr-CH"/>
        </w:rPr>
        <w:t>1.3</w:t>
      </w:r>
      <w:r w:rsidR="00E0178A">
        <w:rPr>
          <w:rFonts w:ascii="Times New Roman" w:hAnsi="Times New Roman" w:cs="Times New Roman"/>
          <w:sz w:val="20"/>
          <w:szCs w:val="20"/>
          <w:lang w:val="fr-CH"/>
        </w:rPr>
        <w:tab/>
      </w:r>
      <w:r w:rsidRPr="00B376AE">
        <w:rPr>
          <w:rFonts w:ascii="Times New Roman" w:hAnsi="Times New Roman" w:cs="Times New Roman"/>
          <w:sz w:val="20"/>
          <w:szCs w:val="20"/>
          <w:lang w:val="fr-CH"/>
        </w:rPr>
        <w:t>Autres noms/synonymes : p-benzoquinone dioxime</w:t>
      </w:r>
      <w:r w:rsidR="004962C9">
        <w:rPr>
          <w:rFonts w:ascii="Times New Roman" w:hAnsi="Times New Roman" w:cs="Times New Roman"/>
          <w:sz w:val="20"/>
          <w:szCs w:val="20"/>
          <w:lang w:val="fr-CH"/>
        </w:rPr>
        <w:t> </w:t>
      </w:r>
      <w:r w:rsidRPr="00B376AE">
        <w:rPr>
          <w:rFonts w:ascii="Times New Roman" w:hAnsi="Times New Roman" w:cs="Times New Roman"/>
          <w:sz w:val="20"/>
          <w:szCs w:val="20"/>
          <w:lang w:val="fr-CH"/>
        </w:rPr>
        <w:t>; 2,5-Cyclohexadiene-1,4-dione, 1,4-dioxime</w:t>
      </w:r>
    </w:p>
    <w:p w14:paraId="4071FDE8" w14:textId="4CDDF885" w:rsidR="0040737F" w:rsidRPr="00B376AE" w:rsidRDefault="0040737F" w:rsidP="0040737F">
      <w:pPr>
        <w:pStyle w:val="ListParagraph"/>
        <w:spacing w:after="120"/>
        <w:rPr>
          <w:rFonts w:ascii="Times New Roman" w:hAnsi="Times New Roman" w:cs="Times New Roman"/>
          <w:b/>
          <w:bCs/>
          <w:sz w:val="20"/>
          <w:szCs w:val="20"/>
          <w:lang w:val="fr-CH"/>
        </w:rPr>
      </w:pPr>
      <w:r w:rsidRPr="00B376AE">
        <w:rPr>
          <w:rFonts w:ascii="Times New Roman" w:hAnsi="Times New Roman" w:cs="Times New Roman"/>
          <w:sz w:val="20"/>
          <w:szCs w:val="20"/>
          <w:lang w:val="fr-CH"/>
        </w:rPr>
        <w:t>1.4.1</w:t>
      </w:r>
      <w:r w:rsidR="00E0178A">
        <w:rPr>
          <w:rFonts w:ascii="Times New Roman" w:hAnsi="Times New Roman" w:cs="Times New Roman"/>
          <w:sz w:val="20"/>
          <w:szCs w:val="20"/>
          <w:lang w:val="fr-CH"/>
        </w:rPr>
        <w:tab/>
      </w:r>
      <w:r w:rsidRPr="00B376AE">
        <w:rPr>
          <w:rFonts w:ascii="Times New Roman" w:hAnsi="Times New Roman" w:cs="Times New Roman"/>
          <w:sz w:val="20"/>
          <w:szCs w:val="20"/>
          <w:lang w:val="fr-CH"/>
        </w:rPr>
        <w:t xml:space="preserve">Numéro ONU : </w:t>
      </w:r>
      <w:r w:rsidRPr="00B376AE">
        <w:rPr>
          <w:rFonts w:ascii="Times New Roman" w:hAnsi="Times New Roman" w:cs="Times New Roman"/>
          <w:b/>
          <w:bCs/>
          <w:sz w:val="20"/>
          <w:szCs w:val="20"/>
          <w:lang w:val="fr-CH"/>
        </w:rPr>
        <w:t>1325</w:t>
      </w:r>
      <w:r w:rsidRPr="00B376AE">
        <w:rPr>
          <w:rFonts w:ascii="Times New Roman" w:hAnsi="Times New Roman" w:cs="Times New Roman"/>
          <w:sz w:val="20"/>
          <w:szCs w:val="20"/>
          <w:lang w:val="fr-CH"/>
        </w:rPr>
        <w:t xml:space="preserve">                                        1.4.2 Numéro CAS : </w:t>
      </w:r>
      <w:r w:rsidRPr="00B376AE">
        <w:rPr>
          <w:rFonts w:ascii="Times New Roman" w:hAnsi="Times New Roman" w:cs="Times New Roman"/>
          <w:b/>
          <w:bCs/>
          <w:sz w:val="20"/>
          <w:szCs w:val="20"/>
          <w:lang w:val="fr-CH"/>
        </w:rPr>
        <w:t>105-11-3</w:t>
      </w:r>
    </w:p>
    <w:p w14:paraId="7026853F" w14:textId="16D74706" w:rsidR="0040737F" w:rsidRPr="00B376AE" w:rsidRDefault="0040737F" w:rsidP="0040737F">
      <w:pPr>
        <w:pStyle w:val="ListParagraph"/>
        <w:spacing w:after="120"/>
        <w:rPr>
          <w:rFonts w:ascii="Times New Roman" w:hAnsi="Times New Roman" w:cs="Times New Roman"/>
          <w:sz w:val="20"/>
          <w:szCs w:val="20"/>
          <w:lang w:val="fr-CH"/>
        </w:rPr>
      </w:pPr>
      <w:r w:rsidRPr="00B376AE">
        <w:rPr>
          <w:rFonts w:ascii="Times New Roman" w:hAnsi="Times New Roman" w:cs="Times New Roman"/>
          <w:sz w:val="20"/>
          <w:szCs w:val="20"/>
          <w:lang w:val="fr-CH"/>
        </w:rPr>
        <w:t>1.5</w:t>
      </w:r>
      <w:r w:rsidR="00E0178A">
        <w:rPr>
          <w:rFonts w:ascii="Times New Roman" w:hAnsi="Times New Roman" w:cs="Times New Roman"/>
          <w:sz w:val="20"/>
          <w:szCs w:val="20"/>
          <w:lang w:val="fr-CH"/>
        </w:rPr>
        <w:tab/>
      </w:r>
      <w:r w:rsidRPr="00B376AE">
        <w:rPr>
          <w:rFonts w:ascii="Times New Roman" w:hAnsi="Times New Roman" w:cs="Times New Roman"/>
          <w:sz w:val="20"/>
          <w:szCs w:val="20"/>
          <w:lang w:val="fr-CH"/>
        </w:rPr>
        <w:t>Classement proposé dans les Recommandations</w:t>
      </w:r>
    </w:p>
    <w:p w14:paraId="10D2A52B" w14:textId="58A29150" w:rsidR="0040737F" w:rsidRPr="00B376AE" w:rsidRDefault="0040737F" w:rsidP="0040737F">
      <w:pPr>
        <w:pStyle w:val="ListParagraph"/>
        <w:spacing w:after="120"/>
        <w:ind w:left="1440"/>
        <w:rPr>
          <w:rFonts w:ascii="Times New Roman" w:hAnsi="Times New Roman" w:cs="Times New Roman"/>
          <w:b/>
          <w:bCs/>
          <w:sz w:val="20"/>
          <w:szCs w:val="20"/>
          <w:lang w:val="fr-CH"/>
        </w:rPr>
      </w:pPr>
      <w:r w:rsidRPr="00B376AE">
        <w:rPr>
          <w:rFonts w:ascii="Times New Roman" w:hAnsi="Times New Roman" w:cs="Times New Roman"/>
          <w:sz w:val="20"/>
          <w:szCs w:val="20"/>
          <w:lang w:val="fr-CH"/>
        </w:rPr>
        <w:t>1.5.1Désignation officielle de transport (3.1.2)</w:t>
      </w:r>
      <w:r w:rsidR="004962C9">
        <w:rPr>
          <w:rFonts w:ascii="Times New Roman" w:hAnsi="Times New Roman" w:cs="Times New Roman"/>
          <w:sz w:val="20"/>
          <w:szCs w:val="20"/>
          <w:lang w:val="fr-CH"/>
        </w:rPr>
        <w:t> </w:t>
      </w:r>
      <w:r w:rsidRPr="00B376AE">
        <w:rPr>
          <w:rFonts w:ascii="Times New Roman" w:hAnsi="Times New Roman" w:cs="Times New Roman"/>
          <w:sz w:val="20"/>
          <w:szCs w:val="20"/>
          <w:lang w:val="fr-CH"/>
        </w:rPr>
        <w:t xml:space="preserve">: </w:t>
      </w:r>
      <w:r w:rsidRPr="00B376AE">
        <w:rPr>
          <w:rFonts w:ascii="Times New Roman" w:hAnsi="Times New Roman" w:cs="Times New Roman"/>
          <w:b/>
          <w:bCs/>
          <w:sz w:val="20"/>
          <w:szCs w:val="20"/>
          <w:lang w:val="fr-CH"/>
        </w:rPr>
        <w:t>1,4-benzoquinone dioxime</w:t>
      </w:r>
    </w:p>
    <w:p w14:paraId="7C173005" w14:textId="0CE1E038" w:rsidR="0040737F" w:rsidRPr="00B376AE" w:rsidRDefault="0040737F" w:rsidP="0040737F">
      <w:pPr>
        <w:pStyle w:val="ListParagraph"/>
        <w:spacing w:after="120"/>
        <w:ind w:left="1440"/>
        <w:rPr>
          <w:rFonts w:ascii="Times New Roman" w:hAnsi="Times New Roman" w:cs="Times New Roman"/>
          <w:sz w:val="20"/>
          <w:szCs w:val="20"/>
          <w:lang w:val="fr-CH"/>
        </w:rPr>
      </w:pPr>
      <w:r w:rsidRPr="00B376AE">
        <w:rPr>
          <w:rFonts w:ascii="Times New Roman" w:hAnsi="Times New Roman" w:cs="Times New Roman"/>
          <w:sz w:val="20"/>
          <w:szCs w:val="20"/>
          <w:lang w:val="fr-CH"/>
        </w:rPr>
        <w:t xml:space="preserve">1.5.2 Classe/division : </w:t>
      </w:r>
      <w:r w:rsidRPr="00B376AE">
        <w:rPr>
          <w:rFonts w:ascii="Times New Roman" w:hAnsi="Times New Roman" w:cs="Times New Roman"/>
          <w:b/>
          <w:bCs/>
          <w:sz w:val="20"/>
          <w:szCs w:val="20"/>
          <w:lang w:val="fr-CH"/>
        </w:rPr>
        <w:t>4.1</w:t>
      </w:r>
      <w:r w:rsidRPr="00B376AE">
        <w:rPr>
          <w:rFonts w:ascii="Times New Roman" w:hAnsi="Times New Roman" w:cs="Times New Roman"/>
          <w:sz w:val="20"/>
          <w:szCs w:val="20"/>
          <w:lang w:val="fr-CH"/>
        </w:rPr>
        <w:tab/>
        <w:t xml:space="preserve">Danger(s) subsidiaire(s) : </w:t>
      </w:r>
      <w:r w:rsidRPr="00B376AE">
        <w:rPr>
          <w:rFonts w:ascii="Times New Roman" w:hAnsi="Times New Roman" w:cs="Times New Roman"/>
          <w:b/>
          <w:bCs/>
          <w:sz w:val="20"/>
          <w:szCs w:val="20"/>
          <w:lang w:val="fr-CH"/>
        </w:rPr>
        <w:t>Néant</w:t>
      </w:r>
      <w:r w:rsidRPr="00B376AE">
        <w:rPr>
          <w:rFonts w:ascii="Times New Roman" w:hAnsi="Times New Roman" w:cs="Times New Roman"/>
          <w:sz w:val="20"/>
          <w:szCs w:val="20"/>
          <w:lang w:val="fr-CH"/>
        </w:rPr>
        <w:tab/>
        <w:t>Groupe d</w:t>
      </w:r>
      <w:r w:rsidR="004962C9">
        <w:rPr>
          <w:rFonts w:ascii="Times New Roman" w:hAnsi="Times New Roman" w:cs="Times New Roman"/>
          <w:sz w:val="20"/>
          <w:szCs w:val="20"/>
          <w:lang w:val="fr-CH"/>
        </w:rPr>
        <w:t>’</w:t>
      </w:r>
      <w:r w:rsidRPr="00B376AE">
        <w:rPr>
          <w:rFonts w:ascii="Times New Roman" w:hAnsi="Times New Roman" w:cs="Times New Roman"/>
          <w:sz w:val="20"/>
          <w:szCs w:val="20"/>
          <w:lang w:val="fr-CH"/>
        </w:rPr>
        <w:t xml:space="preserve">emballage : </w:t>
      </w:r>
      <w:r w:rsidRPr="00B376AE">
        <w:rPr>
          <w:rFonts w:ascii="Times New Roman" w:hAnsi="Times New Roman" w:cs="Times New Roman"/>
          <w:b/>
          <w:bCs/>
          <w:sz w:val="20"/>
          <w:szCs w:val="20"/>
          <w:lang w:val="fr-CH"/>
        </w:rPr>
        <w:t>II</w:t>
      </w:r>
    </w:p>
    <w:p w14:paraId="209A2202" w14:textId="77777777" w:rsidR="0040737F" w:rsidRPr="00B376AE" w:rsidRDefault="0040737F" w:rsidP="0040737F">
      <w:pPr>
        <w:pStyle w:val="ListParagraph"/>
        <w:spacing w:after="120"/>
        <w:ind w:left="1440"/>
        <w:rPr>
          <w:rFonts w:ascii="Times New Roman" w:hAnsi="Times New Roman" w:cs="Times New Roman"/>
          <w:sz w:val="20"/>
          <w:szCs w:val="20"/>
          <w:lang w:val="fr-CH"/>
        </w:rPr>
      </w:pPr>
      <w:r w:rsidRPr="00B376AE">
        <w:rPr>
          <w:rFonts w:ascii="Times New Roman" w:hAnsi="Times New Roman" w:cs="Times New Roman"/>
          <w:sz w:val="20"/>
          <w:szCs w:val="20"/>
          <w:lang w:val="fr-CH"/>
        </w:rPr>
        <w:t xml:space="preserve">1.5.3 Dispositions spéciales proposées, le cas échéant : </w:t>
      </w:r>
      <w:r w:rsidRPr="00B376AE">
        <w:rPr>
          <w:rFonts w:ascii="Times New Roman" w:hAnsi="Times New Roman" w:cs="Times New Roman"/>
          <w:b/>
          <w:bCs/>
          <w:sz w:val="20"/>
          <w:szCs w:val="20"/>
          <w:lang w:val="fr-CH"/>
        </w:rPr>
        <w:t>Néant</w:t>
      </w:r>
    </w:p>
    <w:p w14:paraId="541779AC" w14:textId="15656908" w:rsidR="0040737F" w:rsidRPr="00B376AE" w:rsidRDefault="0040737F" w:rsidP="0040737F">
      <w:pPr>
        <w:pStyle w:val="ListParagraph"/>
        <w:spacing w:after="120"/>
        <w:ind w:left="1440"/>
        <w:rPr>
          <w:rFonts w:ascii="Times New Roman" w:hAnsi="Times New Roman" w:cs="Times New Roman"/>
          <w:sz w:val="20"/>
          <w:szCs w:val="20"/>
          <w:lang w:val="fr-CH"/>
        </w:rPr>
      </w:pPr>
      <w:r w:rsidRPr="00B376AE">
        <w:rPr>
          <w:rFonts w:ascii="Times New Roman" w:hAnsi="Times New Roman" w:cs="Times New Roman"/>
          <w:sz w:val="20"/>
          <w:szCs w:val="20"/>
          <w:lang w:val="fr-CH"/>
        </w:rPr>
        <w:t>1.5.4 Méthode d</w:t>
      </w:r>
      <w:r w:rsidR="004962C9">
        <w:rPr>
          <w:rFonts w:ascii="Times New Roman" w:hAnsi="Times New Roman" w:cs="Times New Roman"/>
          <w:sz w:val="20"/>
          <w:szCs w:val="20"/>
          <w:lang w:val="fr-CH"/>
        </w:rPr>
        <w:t>’</w:t>
      </w:r>
      <w:r w:rsidRPr="00B376AE">
        <w:rPr>
          <w:rFonts w:ascii="Times New Roman" w:hAnsi="Times New Roman" w:cs="Times New Roman"/>
          <w:sz w:val="20"/>
          <w:szCs w:val="20"/>
          <w:lang w:val="fr-CH"/>
        </w:rPr>
        <w:t>emballage propos</w:t>
      </w:r>
      <w:r>
        <w:rPr>
          <w:rFonts w:ascii="Times New Roman" w:hAnsi="Times New Roman" w:cs="Times New Roman"/>
          <w:sz w:val="20"/>
          <w:szCs w:val="20"/>
          <w:lang w:val="fr-CH"/>
        </w:rPr>
        <w:t>é</w:t>
      </w:r>
      <w:r w:rsidRPr="00B376AE">
        <w:rPr>
          <w:rFonts w:ascii="Times New Roman" w:hAnsi="Times New Roman" w:cs="Times New Roman"/>
          <w:sz w:val="20"/>
          <w:szCs w:val="20"/>
          <w:lang w:val="fr-CH"/>
        </w:rPr>
        <w:t xml:space="preserve">e : </w:t>
      </w:r>
      <w:r w:rsidRPr="00B376AE">
        <w:rPr>
          <w:rFonts w:ascii="Times New Roman" w:hAnsi="Times New Roman" w:cs="Times New Roman"/>
          <w:b/>
          <w:bCs/>
          <w:sz w:val="20"/>
          <w:szCs w:val="20"/>
          <w:lang w:val="fr-CH"/>
        </w:rPr>
        <w:t>P002</w:t>
      </w:r>
    </w:p>
    <w:p w14:paraId="23A3983F" w14:textId="77777777" w:rsidR="0040737F" w:rsidRPr="00B376AE" w:rsidRDefault="0040737F" w:rsidP="0040737F">
      <w:pPr>
        <w:pStyle w:val="ListParagraph"/>
        <w:spacing w:after="120"/>
        <w:ind w:left="0"/>
        <w:rPr>
          <w:rFonts w:ascii="Times New Roman" w:hAnsi="Times New Roman" w:cs="Times New Roman"/>
          <w:b/>
          <w:bCs/>
          <w:sz w:val="20"/>
          <w:szCs w:val="20"/>
          <w:lang w:val="fr-CH"/>
        </w:rPr>
      </w:pPr>
    </w:p>
    <w:p w14:paraId="56147DC8" w14:textId="77777777" w:rsidR="0040737F" w:rsidRPr="00B376AE" w:rsidRDefault="0040737F" w:rsidP="0040737F">
      <w:pPr>
        <w:pStyle w:val="ListParagraph"/>
        <w:spacing w:after="120"/>
        <w:ind w:left="0"/>
        <w:rPr>
          <w:rFonts w:ascii="Times New Roman" w:hAnsi="Times New Roman" w:cs="Times New Roman"/>
          <w:b/>
          <w:bCs/>
          <w:sz w:val="20"/>
          <w:szCs w:val="20"/>
          <w:lang w:val="fr-CH"/>
        </w:rPr>
      </w:pPr>
      <w:r w:rsidRPr="0090564C">
        <w:rPr>
          <w:rFonts w:ascii="Times New Roman" w:hAnsi="Times New Roman" w:cs="Times New Roman"/>
          <w:b/>
          <w:bCs/>
          <w:sz w:val="20"/>
          <w:szCs w:val="20"/>
          <w:lang w:val="fr-CH"/>
        </w:rPr>
        <w:t>Section 2.</w:t>
      </w:r>
      <w:r w:rsidRPr="00B376AE">
        <w:rPr>
          <w:rFonts w:ascii="Times New Roman" w:hAnsi="Times New Roman" w:cs="Times New Roman"/>
          <w:sz w:val="20"/>
          <w:szCs w:val="20"/>
          <w:lang w:val="fr-CH"/>
        </w:rPr>
        <w:t xml:space="preserve"> </w:t>
      </w:r>
      <w:r w:rsidRPr="00B376AE">
        <w:rPr>
          <w:rFonts w:ascii="Times New Roman" w:hAnsi="Times New Roman" w:cs="Times New Roman"/>
          <w:b/>
          <w:bCs/>
          <w:sz w:val="20"/>
          <w:szCs w:val="20"/>
          <w:lang w:val="fr-CH"/>
        </w:rPr>
        <w:t>PROPRIÉTÉS PHYSIQUES</w:t>
      </w:r>
    </w:p>
    <w:p w14:paraId="6B2A33C6" w14:textId="62B0DA2C" w:rsidR="0040737F" w:rsidRPr="00B376AE" w:rsidRDefault="0040737F" w:rsidP="0040737F">
      <w:pPr>
        <w:pStyle w:val="ListParagraph"/>
        <w:spacing w:after="120"/>
        <w:rPr>
          <w:rFonts w:ascii="Times New Roman" w:hAnsi="Times New Roman" w:cs="Times New Roman"/>
          <w:sz w:val="20"/>
          <w:szCs w:val="20"/>
          <w:lang w:val="fr-CH"/>
        </w:rPr>
      </w:pPr>
      <w:r w:rsidRPr="00B376AE">
        <w:rPr>
          <w:rFonts w:ascii="Times New Roman" w:hAnsi="Times New Roman" w:cs="Times New Roman"/>
          <w:sz w:val="20"/>
          <w:szCs w:val="20"/>
          <w:lang w:val="fr-CH"/>
        </w:rPr>
        <w:t>2.1</w:t>
      </w:r>
      <w:r w:rsidR="00EA468F">
        <w:rPr>
          <w:rFonts w:ascii="Times New Roman" w:hAnsi="Times New Roman" w:cs="Times New Roman"/>
          <w:sz w:val="20"/>
          <w:szCs w:val="20"/>
          <w:lang w:val="fr-CH"/>
        </w:rPr>
        <w:tab/>
      </w:r>
      <w:r w:rsidRPr="00B376AE">
        <w:rPr>
          <w:rFonts w:ascii="Times New Roman" w:hAnsi="Times New Roman" w:cs="Times New Roman"/>
          <w:sz w:val="20"/>
          <w:szCs w:val="20"/>
          <w:lang w:val="fr-CH"/>
        </w:rPr>
        <w:t>Point ou plage de fusion : Indéterminés</w:t>
      </w:r>
    </w:p>
    <w:p w14:paraId="4D113621" w14:textId="09A9F1FD" w:rsidR="0040737F" w:rsidRPr="00B376AE" w:rsidRDefault="0040737F" w:rsidP="0040737F">
      <w:pPr>
        <w:pStyle w:val="ListParagraph"/>
        <w:spacing w:after="120"/>
        <w:rPr>
          <w:rFonts w:ascii="Times New Roman" w:hAnsi="Times New Roman" w:cs="Times New Roman"/>
          <w:sz w:val="20"/>
          <w:szCs w:val="20"/>
          <w:lang w:val="fr-CH"/>
        </w:rPr>
      </w:pPr>
      <w:r w:rsidRPr="00B376AE">
        <w:rPr>
          <w:rFonts w:ascii="Times New Roman" w:hAnsi="Times New Roman" w:cs="Times New Roman"/>
          <w:sz w:val="20"/>
          <w:szCs w:val="20"/>
          <w:lang w:val="fr-CH"/>
        </w:rPr>
        <w:t>2.2</w:t>
      </w:r>
      <w:r w:rsidR="00EA468F">
        <w:rPr>
          <w:rFonts w:ascii="Times New Roman" w:hAnsi="Times New Roman" w:cs="Times New Roman"/>
          <w:sz w:val="20"/>
          <w:szCs w:val="20"/>
          <w:lang w:val="fr-CH"/>
        </w:rPr>
        <w:tab/>
      </w:r>
      <w:r w:rsidRPr="00B376AE">
        <w:rPr>
          <w:rFonts w:ascii="Times New Roman" w:hAnsi="Times New Roman" w:cs="Times New Roman"/>
          <w:sz w:val="20"/>
          <w:szCs w:val="20"/>
          <w:lang w:val="fr-CH"/>
        </w:rPr>
        <w:t>Point ou plage d</w:t>
      </w:r>
      <w:r w:rsidR="004962C9">
        <w:rPr>
          <w:rFonts w:ascii="Times New Roman" w:hAnsi="Times New Roman" w:cs="Times New Roman"/>
          <w:sz w:val="20"/>
          <w:szCs w:val="20"/>
          <w:lang w:val="fr-CH"/>
        </w:rPr>
        <w:t>’</w:t>
      </w:r>
      <w:r w:rsidRPr="00B376AE">
        <w:rPr>
          <w:rFonts w:ascii="Times New Roman" w:hAnsi="Times New Roman" w:cs="Times New Roman"/>
          <w:sz w:val="20"/>
          <w:szCs w:val="20"/>
          <w:lang w:val="fr-CH"/>
        </w:rPr>
        <w:t>ébullition : Indéterminés</w:t>
      </w:r>
    </w:p>
    <w:p w14:paraId="28566BED" w14:textId="5DABF82D" w:rsidR="0040737F" w:rsidRPr="00B376AE" w:rsidRDefault="0040737F" w:rsidP="0040737F">
      <w:pPr>
        <w:pStyle w:val="ListParagraph"/>
        <w:spacing w:after="120"/>
        <w:rPr>
          <w:rFonts w:ascii="Times New Roman" w:hAnsi="Times New Roman" w:cs="Times New Roman"/>
          <w:sz w:val="20"/>
          <w:szCs w:val="20"/>
          <w:lang w:val="fr-CH"/>
        </w:rPr>
      </w:pPr>
      <w:r w:rsidRPr="00B376AE">
        <w:rPr>
          <w:rFonts w:ascii="Times New Roman" w:hAnsi="Times New Roman" w:cs="Times New Roman"/>
          <w:sz w:val="20"/>
          <w:szCs w:val="20"/>
          <w:lang w:val="fr-CH"/>
        </w:rPr>
        <w:t>2.3</w:t>
      </w:r>
      <w:r w:rsidR="00EA468F">
        <w:rPr>
          <w:rFonts w:ascii="Times New Roman" w:hAnsi="Times New Roman" w:cs="Times New Roman"/>
          <w:sz w:val="20"/>
          <w:szCs w:val="20"/>
          <w:lang w:val="fr-CH"/>
        </w:rPr>
        <w:tab/>
      </w:r>
      <w:r w:rsidRPr="00B376AE">
        <w:rPr>
          <w:rFonts w:ascii="Times New Roman" w:hAnsi="Times New Roman" w:cs="Times New Roman"/>
          <w:sz w:val="20"/>
          <w:szCs w:val="20"/>
          <w:lang w:val="fr-CH"/>
        </w:rPr>
        <w:t>Densité relative/masse volumique :</w:t>
      </w:r>
    </w:p>
    <w:p w14:paraId="16773812" w14:textId="27C3F813" w:rsidR="0040737F" w:rsidRPr="00B376AE" w:rsidRDefault="0040737F" w:rsidP="0040737F">
      <w:pPr>
        <w:pStyle w:val="ListParagraph"/>
        <w:spacing w:after="120"/>
        <w:ind w:left="1440"/>
        <w:rPr>
          <w:rFonts w:ascii="Times New Roman" w:hAnsi="Times New Roman" w:cs="Times New Roman"/>
          <w:sz w:val="20"/>
          <w:szCs w:val="20"/>
          <w:lang w:val="fr-CH"/>
        </w:rPr>
      </w:pPr>
      <w:r w:rsidRPr="00B376AE">
        <w:rPr>
          <w:rFonts w:ascii="Times New Roman" w:hAnsi="Times New Roman" w:cs="Times New Roman"/>
          <w:sz w:val="20"/>
          <w:szCs w:val="20"/>
          <w:lang w:val="fr-CH"/>
        </w:rPr>
        <w:t>2.3.1 à 15 °C</w:t>
      </w:r>
      <w:r w:rsidR="004962C9">
        <w:rPr>
          <w:rFonts w:ascii="Times New Roman" w:hAnsi="Times New Roman" w:cs="Times New Roman"/>
          <w:sz w:val="20"/>
          <w:szCs w:val="20"/>
          <w:lang w:val="fr-CH"/>
        </w:rPr>
        <w:t> </w:t>
      </w:r>
      <w:r w:rsidRPr="00B376AE">
        <w:rPr>
          <w:rFonts w:ascii="Times New Roman" w:hAnsi="Times New Roman" w:cs="Times New Roman"/>
          <w:sz w:val="20"/>
          <w:szCs w:val="20"/>
          <w:lang w:val="fr-CH"/>
        </w:rPr>
        <w:t>: Indéterminée</w:t>
      </w:r>
    </w:p>
    <w:p w14:paraId="76AEBD43" w14:textId="2410CA12" w:rsidR="0040737F" w:rsidRPr="00B376AE" w:rsidRDefault="0040737F" w:rsidP="0040737F">
      <w:pPr>
        <w:pStyle w:val="ListParagraph"/>
        <w:spacing w:after="120"/>
        <w:ind w:left="1440"/>
        <w:rPr>
          <w:rFonts w:ascii="Times New Roman" w:hAnsi="Times New Roman" w:cs="Times New Roman"/>
          <w:sz w:val="20"/>
          <w:szCs w:val="20"/>
          <w:lang w:val="fr-CH"/>
        </w:rPr>
      </w:pPr>
      <w:r w:rsidRPr="00B376AE">
        <w:rPr>
          <w:rFonts w:ascii="Times New Roman" w:hAnsi="Times New Roman" w:cs="Times New Roman"/>
          <w:sz w:val="20"/>
          <w:szCs w:val="20"/>
          <w:lang w:val="fr-CH"/>
        </w:rPr>
        <w:t>2.3.2 à 20 °C</w:t>
      </w:r>
      <w:r w:rsidR="004962C9">
        <w:rPr>
          <w:rFonts w:ascii="Times New Roman" w:hAnsi="Times New Roman" w:cs="Times New Roman"/>
          <w:sz w:val="20"/>
          <w:szCs w:val="20"/>
          <w:lang w:val="fr-CH"/>
        </w:rPr>
        <w:t> </w:t>
      </w:r>
      <w:r w:rsidRPr="00B376AE">
        <w:rPr>
          <w:rFonts w:ascii="Times New Roman" w:hAnsi="Times New Roman" w:cs="Times New Roman"/>
          <w:sz w:val="20"/>
          <w:szCs w:val="20"/>
          <w:lang w:val="fr-CH"/>
        </w:rPr>
        <w:t>: 1,47 g/cm</w:t>
      </w:r>
      <w:proofErr w:type="gramStart"/>
      <w:r w:rsidRPr="00B376AE">
        <w:rPr>
          <w:rFonts w:ascii="Times New Roman" w:hAnsi="Times New Roman" w:cs="Times New Roman"/>
          <w:sz w:val="20"/>
          <w:szCs w:val="20"/>
          <w:vertAlign w:val="superscript"/>
          <w:lang w:val="fr-CH"/>
        </w:rPr>
        <w:t>3</w:t>
      </w:r>
      <w:r w:rsidRPr="00B376AE">
        <w:rPr>
          <w:rFonts w:ascii="Times New Roman" w:hAnsi="Times New Roman" w:cs="Times New Roman"/>
          <w:sz w:val="20"/>
          <w:szCs w:val="20"/>
          <w:lang w:val="fr-CH"/>
        </w:rPr>
        <w:t xml:space="preserve">  (</w:t>
      </w:r>
      <w:proofErr w:type="gramEnd"/>
      <w:r w:rsidRPr="00B376AE">
        <w:rPr>
          <w:rFonts w:ascii="Times New Roman" w:hAnsi="Times New Roman" w:cs="Times New Roman"/>
          <w:sz w:val="20"/>
          <w:szCs w:val="20"/>
          <w:lang w:val="fr-CH"/>
        </w:rPr>
        <w:t>12,26 lb/gal)</w:t>
      </w:r>
    </w:p>
    <w:p w14:paraId="289FB26C" w14:textId="3324CDDC" w:rsidR="0040737F" w:rsidRPr="00B376AE" w:rsidRDefault="0040737F" w:rsidP="0040737F">
      <w:pPr>
        <w:pStyle w:val="ListParagraph"/>
        <w:spacing w:after="120"/>
        <w:ind w:left="1440"/>
        <w:rPr>
          <w:rFonts w:ascii="Times New Roman" w:hAnsi="Times New Roman" w:cs="Times New Roman"/>
          <w:sz w:val="20"/>
          <w:szCs w:val="20"/>
          <w:lang w:val="fr-CH"/>
        </w:rPr>
      </w:pPr>
      <w:r w:rsidRPr="00B376AE">
        <w:rPr>
          <w:rFonts w:ascii="Times New Roman" w:hAnsi="Times New Roman" w:cs="Times New Roman"/>
          <w:sz w:val="20"/>
          <w:szCs w:val="20"/>
          <w:lang w:val="fr-CH"/>
        </w:rPr>
        <w:t>2.3.3 à 50 °C</w:t>
      </w:r>
      <w:r w:rsidR="004962C9">
        <w:rPr>
          <w:rFonts w:ascii="Times New Roman" w:hAnsi="Times New Roman" w:cs="Times New Roman"/>
          <w:sz w:val="20"/>
          <w:szCs w:val="20"/>
          <w:lang w:val="fr-CH"/>
        </w:rPr>
        <w:t> </w:t>
      </w:r>
      <w:r w:rsidRPr="00B376AE">
        <w:rPr>
          <w:rFonts w:ascii="Times New Roman" w:hAnsi="Times New Roman" w:cs="Times New Roman"/>
          <w:sz w:val="20"/>
          <w:szCs w:val="20"/>
          <w:lang w:val="fr-CH"/>
        </w:rPr>
        <w:t>: Indéterminée</w:t>
      </w:r>
    </w:p>
    <w:p w14:paraId="118C8F1C" w14:textId="66ABB2E8" w:rsidR="0040737F" w:rsidRPr="00B376AE" w:rsidRDefault="0040737F" w:rsidP="0040737F">
      <w:pPr>
        <w:pStyle w:val="ListParagraph"/>
        <w:spacing w:after="120"/>
        <w:rPr>
          <w:rFonts w:ascii="Times New Roman" w:hAnsi="Times New Roman" w:cs="Times New Roman"/>
          <w:sz w:val="20"/>
          <w:szCs w:val="20"/>
          <w:lang w:val="fr-CH"/>
        </w:rPr>
      </w:pPr>
      <w:r w:rsidRPr="00B376AE">
        <w:rPr>
          <w:rFonts w:ascii="Times New Roman" w:hAnsi="Times New Roman" w:cs="Times New Roman"/>
          <w:sz w:val="20"/>
          <w:szCs w:val="20"/>
          <w:lang w:val="fr-CH"/>
        </w:rPr>
        <w:t>2.4</w:t>
      </w:r>
      <w:r w:rsidR="00EA468F">
        <w:rPr>
          <w:rFonts w:ascii="Times New Roman" w:hAnsi="Times New Roman" w:cs="Times New Roman"/>
          <w:sz w:val="20"/>
          <w:szCs w:val="20"/>
          <w:lang w:val="fr-CH"/>
        </w:rPr>
        <w:tab/>
      </w:r>
      <w:r w:rsidRPr="00B376AE">
        <w:rPr>
          <w:rFonts w:ascii="Times New Roman" w:hAnsi="Times New Roman" w:cs="Times New Roman"/>
          <w:sz w:val="20"/>
          <w:szCs w:val="20"/>
          <w:lang w:val="fr-CH"/>
        </w:rPr>
        <w:t>Pression de vapeur à :</w:t>
      </w:r>
    </w:p>
    <w:p w14:paraId="585AEFA6" w14:textId="25FA490A" w:rsidR="0040737F" w:rsidRPr="00B376AE" w:rsidRDefault="0040737F" w:rsidP="0040737F">
      <w:pPr>
        <w:pStyle w:val="ListParagraph"/>
        <w:spacing w:after="120"/>
        <w:ind w:left="1440"/>
        <w:rPr>
          <w:rFonts w:ascii="Times New Roman" w:hAnsi="Times New Roman" w:cs="Times New Roman"/>
          <w:sz w:val="20"/>
          <w:szCs w:val="20"/>
          <w:lang w:val="fr-CH"/>
        </w:rPr>
      </w:pPr>
      <w:r w:rsidRPr="00B376AE">
        <w:rPr>
          <w:rFonts w:ascii="Times New Roman" w:hAnsi="Times New Roman" w:cs="Times New Roman"/>
          <w:sz w:val="20"/>
          <w:szCs w:val="20"/>
          <w:lang w:val="fr-CH"/>
        </w:rPr>
        <w:t>2.4.1 50 °C</w:t>
      </w:r>
      <w:r w:rsidR="004962C9">
        <w:rPr>
          <w:rFonts w:ascii="Times New Roman" w:hAnsi="Times New Roman" w:cs="Times New Roman"/>
          <w:sz w:val="20"/>
          <w:szCs w:val="20"/>
          <w:lang w:val="fr-CH"/>
        </w:rPr>
        <w:t> </w:t>
      </w:r>
      <w:r w:rsidRPr="00B376AE">
        <w:rPr>
          <w:rFonts w:ascii="Times New Roman" w:hAnsi="Times New Roman" w:cs="Times New Roman"/>
          <w:sz w:val="20"/>
          <w:szCs w:val="20"/>
          <w:lang w:val="fr-CH"/>
        </w:rPr>
        <w:t>: Indéterminée</w:t>
      </w:r>
    </w:p>
    <w:p w14:paraId="33A8A246" w14:textId="0DD0CF7D" w:rsidR="0040737F" w:rsidRPr="00B376AE" w:rsidRDefault="0040737F" w:rsidP="0040737F">
      <w:pPr>
        <w:pStyle w:val="ListParagraph"/>
        <w:spacing w:after="120"/>
        <w:ind w:left="1440"/>
        <w:rPr>
          <w:rFonts w:ascii="Times New Roman" w:hAnsi="Times New Roman" w:cs="Times New Roman"/>
          <w:sz w:val="20"/>
          <w:szCs w:val="20"/>
          <w:lang w:val="fr-CH"/>
        </w:rPr>
      </w:pPr>
      <w:r w:rsidRPr="00B376AE">
        <w:rPr>
          <w:rFonts w:ascii="Times New Roman" w:hAnsi="Times New Roman" w:cs="Times New Roman"/>
          <w:sz w:val="20"/>
          <w:szCs w:val="20"/>
          <w:lang w:val="fr-CH"/>
        </w:rPr>
        <w:t>2.4.2 65 °C</w:t>
      </w:r>
      <w:r w:rsidR="004962C9">
        <w:rPr>
          <w:rFonts w:ascii="Times New Roman" w:hAnsi="Times New Roman" w:cs="Times New Roman"/>
          <w:sz w:val="20"/>
          <w:szCs w:val="20"/>
          <w:lang w:val="fr-CH"/>
        </w:rPr>
        <w:t> </w:t>
      </w:r>
      <w:r w:rsidRPr="00B376AE">
        <w:rPr>
          <w:rFonts w:ascii="Times New Roman" w:hAnsi="Times New Roman" w:cs="Times New Roman"/>
          <w:sz w:val="20"/>
          <w:szCs w:val="20"/>
          <w:lang w:val="fr-CH"/>
        </w:rPr>
        <w:t>: Indéterminée</w:t>
      </w:r>
    </w:p>
    <w:p w14:paraId="676631A4" w14:textId="3B6C2F07" w:rsidR="0040737F" w:rsidRPr="00B376AE" w:rsidRDefault="0040737F" w:rsidP="0040737F">
      <w:pPr>
        <w:pStyle w:val="ListParagraph"/>
        <w:spacing w:after="120"/>
        <w:rPr>
          <w:rFonts w:ascii="Times New Roman" w:hAnsi="Times New Roman" w:cs="Times New Roman"/>
          <w:sz w:val="20"/>
          <w:szCs w:val="20"/>
          <w:lang w:val="fr-CH"/>
        </w:rPr>
      </w:pPr>
      <w:r w:rsidRPr="00B376AE">
        <w:rPr>
          <w:rFonts w:ascii="Times New Roman" w:hAnsi="Times New Roman" w:cs="Times New Roman"/>
          <w:sz w:val="20"/>
          <w:szCs w:val="20"/>
          <w:lang w:val="fr-CH"/>
        </w:rPr>
        <w:t>2.5</w:t>
      </w:r>
      <w:r w:rsidR="00EA468F">
        <w:rPr>
          <w:rFonts w:ascii="Times New Roman" w:hAnsi="Times New Roman" w:cs="Times New Roman"/>
          <w:sz w:val="20"/>
          <w:szCs w:val="20"/>
          <w:lang w:val="fr-CH"/>
        </w:rPr>
        <w:tab/>
      </w:r>
      <w:r w:rsidRPr="00B376AE">
        <w:rPr>
          <w:rFonts w:ascii="Times New Roman" w:hAnsi="Times New Roman" w:cs="Times New Roman"/>
          <w:sz w:val="20"/>
          <w:szCs w:val="20"/>
          <w:lang w:val="fr-CH"/>
        </w:rPr>
        <w:t>Viscosité à 20 °C</w:t>
      </w:r>
      <w:r w:rsidRPr="00B376AE">
        <w:rPr>
          <w:rStyle w:val="FootnoteReference"/>
          <w:rFonts w:cs="Times New Roman"/>
          <w:sz w:val="20"/>
          <w:szCs w:val="20"/>
        </w:rPr>
        <w:footnoteReference w:customMarkFollows="1" w:id="4"/>
        <w:t>2</w:t>
      </w:r>
      <w:r w:rsidR="004962C9" w:rsidRPr="004962C9">
        <w:rPr>
          <w:rStyle w:val="FootnoteReference"/>
          <w:rFonts w:cs="Times New Roman"/>
          <w:sz w:val="20"/>
          <w:szCs w:val="20"/>
          <w:vertAlign w:val="baseline"/>
        </w:rPr>
        <w:t> </w:t>
      </w:r>
      <w:r w:rsidRPr="00B376AE">
        <w:rPr>
          <w:rFonts w:ascii="Times New Roman" w:hAnsi="Times New Roman" w:cs="Times New Roman"/>
          <w:sz w:val="20"/>
          <w:szCs w:val="20"/>
          <w:lang w:val="fr-CH"/>
        </w:rPr>
        <w:t>: Indéterminée</w:t>
      </w:r>
    </w:p>
    <w:p w14:paraId="568B5517" w14:textId="15A56526" w:rsidR="0040737F" w:rsidRPr="00B376AE" w:rsidRDefault="0040737F" w:rsidP="0040737F">
      <w:pPr>
        <w:pStyle w:val="ListParagraph"/>
        <w:spacing w:after="120"/>
        <w:rPr>
          <w:rFonts w:ascii="Times New Roman" w:hAnsi="Times New Roman" w:cs="Times New Roman"/>
          <w:sz w:val="20"/>
          <w:szCs w:val="20"/>
          <w:lang w:val="fr-CH"/>
        </w:rPr>
      </w:pPr>
      <w:r w:rsidRPr="00B376AE">
        <w:rPr>
          <w:rFonts w:ascii="Times New Roman" w:hAnsi="Times New Roman" w:cs="Times New Roman"/>
          <w:sz w:val="20"/>
          <w:szCs w:val="20"/>
          <w:lang w:val="fr-CH"/>
        </w:rPr>
        <w:t>2.6</w:t>
      </w:r>
      <w:r w:rsidR="00EA468F">
        <w:rPr>
          <w:rFonts w:ascii="Times New Roman" w:hAnsi="Times New Roman" w:cs="Times New Roman"/>
          <w:sz w:val="20"/>
          <w:szCs w:val="20"/>
          <w:lang w:val="fr-CH"/>
        </w:rPr>
        <w:tab/>
      </w:r>
      <w:r w:rsidRPr="00B376AE">
        <w:rPr>
          <w:rFonts w:ascii="Times New Roman" w:hAnsi="Times New Roman" w:cs="Times New Roman"/>
          <w:sz w:val="20"/>
          <w:szCs w:val="20"/>
          <w:lang w:val="fr-CH"/>
        </w:rPr>
        <w:t>Solubilité dans l</w:t>
      </w:r>
      <w:r w:rsidR="004962C9">
        <w:rPr>
          <w:rFonts w:ascii="Times New Roman" w:hAnsi="Times New Roman" w:cs="Times New Roman"/>
          <w:sz w:val="20"/>
          <w:szCs w:val="20"/>
          <w:lang w:val="fr-CH"/>
        </w:rPr>
        <w:t>’</w:t>
      </w:r>
      <w:r w:rsidRPr="00B376AE">
        <w:rPr>
          <w:rFonts w:ascii="Times New Roman" w:hAnsi="Times New Roman" w:cs="Times New Roman"/>
          <w:sz w:val="20"/>
          <w:szCs w:val="20"/>
          <w:lang w:val="fr-CH"/>
        </w:rPr>
        <w:t>eau à 20 °C</w:t>
      </w:r>
      <w:r w:rsidR="004962C9">
        <w:rPr>
          <w:rFonts w:ascii="Times New Roman" w:hAnsi="Times New Roman" w:cs="Times New Roman"/>
          <w:sz w:val="20"/>
          <w:szCs w:val="20"/>
          <w:lang w:val="fr-CH"/>
        </w:rPr>
        <w:t> </w:t>
      </w:r>
      <w:r w:rsidRPr="00B376AE">
        <w:rPr>
          <w:rFonts w:ascii="Times New Roman" w:hAnsi="Times New Roman" w:cs="Times New Roman"/>
          <w:sz w:val="20"/>
          <w:szCs w:val="20"/>
          <w:lang w:val="fr-CH"/>
        </w:rPr>
        <w:t>: Insoluble</w:t>
      </w:r>
    </w:p>
    <w:p w14:paraId="3A4C3E81" w14:textId="2328A333" w:rsidR="0040737F" w:rsidRPr="00B376AE" w:rsidRDefault="0040737F" w:rsidP="0040737F">
      <w:pPr>
        <w:pStyle w:val="ListParagraph"/>
        <w:spacing w:after="120"/>
        <w:rPr>
          <w:rFonts w:ascii="Times New Roman" w:hAnsi="Times New Roman" w:cs="Times New Roman"/>
          <w:sz w:val="20"/>
          <w:szCs w:val="20"/>
          <w:lang w:val="fr-CH"/>
        </w:rPr>
      </w:pPr>
      <w:r w:rsidRPr="00B376AE">
        <w:rPr>
          <w:rFonts w:ascii="Times New Roman" w:hAnsi="Times New Roman" w:cs="Times New Roman"/>
          <w:sz w:val="20"/>
          <w:szCs w:val="20"/>
          <w:lang w:val="fr-CH"/>
        </w:rPr>
        <w:t>2.7</w:t>
      </w:r>
      <w:r w:rsidR="00EA468F">
        <w:rPr>
          <w:rFonts w:ascii="Times New Roman" w:hAnsi="Times New Roman" w:cs="Times New Roman"/>
          <w:sz w:val="20"/>
          <w:szCs w:val="20"/>
          <w:lang w:val="fr-CH"/>
        </w:rPr>
        <w:tab/>
      </w:r>
      <w:r w:rsidRPr="00B376AE">
        <w:rPr>
          <w:rFonts w:ascii="Times New Roman" w:hAnsi="Times New Roman" w:cs="Times New Roman"/>
          <w:sz w:val="20"/>
          <w:szCs w:val="20"/>
          <w:lang w:val="fr-CH"/>
        </w:rPr>
        <w:t>État physique à 20 °C (cf. 2.2.1.1) : Solide (solide/liquide/gazeux)</w:t>
      </w:r>
    </w:p>
    <w:p w14:paraId="1A06AAF7" w14:textId="2FD6BE7E" w:rsidR="0040737F" w:rsidRPr="00B376AE" w:rsidRDefault="0040737F" w:rsidP="0040737F">
      <w:pPr>
        <w:pStyle w:val="ListParagraph"/>
        <w:spacing w:after="120"/>
        <w:ind w:right="1134"/>
        <w:rPr>
          <w:rFonts w:ascii="Times New Roman" w:hAnsi="Times New Roman" w:cs="Times New Roman"/>
          <w:sz w:val="20"/>
          <w:szCs w:val="20"/>
          <w:lang w:val="fr-CH"/>
        </w:rPr>
      </w:pPr>
      <w:r w:rsidRPr="00B376AE">
        <w:rPr>
          <w:rFonts w:ascii="Times New Roman" w:hAnsi="Times New Roman" w:cs="Times New Roman"/>
          <w:sz w:val="20"/>
          <w:szCs w:val="20"/>
          <w:lang w:val="fr-CH"/>
        </w:rPr>
        <w:t>2.8</w:t>
      </w:r>
      <w:r w:rsidR="00EA468F">
        <w:rPr>
          <w:rFonts w:ascii="Times New Roman" w:hAnsi="Times New Roman" w:cs="Times New Roman"/>
          <w:sz w:val="20"/>
          <w:szCs w:val="20"/>
          <w:lang w:val="fr-CH"/>
        </w:rPr>
        <w:tab/>
      </w:r>
      <w:r w:rsidRPr="00B376AE">
        <w:rPr>
          <w:rFonts w:ascii="Times New Roman" w:hAnsi="Times New Roman" w:cs="Times New Roman"/>
          <w:sz w:val="20"/>
          <w:szCs w:val="20"/>
          <w:lang w:val="fr-CH"/>
        </w:rPr>
        <w:t>Aspect aux températures de transport normales, couleur, odeur, etc. :</w:t>
      </w:r>
    </w:p>
    <w:p w14:paraId="0CD97FE1" w14:textId="02A76EDC" w:rsidR="0040737F" w:rsidRPr="00B376AE" w:rsidRDefault="0040737F" w:rsidP="0040737F">
      <w:pPr>
        <w:pStyle w:val="ListParagraph"/>
        <w:spacing w:after="120"/>
        <w:ind w:right="1134"/>
        <w:rPr>
          <w:rFonts w:ascii="Times New Roman" w:hAnsi="Times New Roman" w:cs="Times New Roman"/>
          <w:sz w:val="20"/>
          <w:szCs w:val="20"/>
          <w:lang w:val="fr-CH"/>
        </w:rPr>
      </w:pPr>
      <w:r w:rsidRPr="00B376AE">
        <w:rPr>
          <w:rFonts w:ascii="Times New Roman" w:hAnsi="Times New Roman" w:cs="Times New Roman"/>
          <w:sz w:val="20"/>
          <w:szCs w:val="20"/>
          <w:lang w:val="fr-CH"/>
        </w:rPr>
        <w:t xml:space="preserve">Très légère odeur chimique, non agressive. Particules fines </w:t>
      </w:r>
      <w:r w:rsidR="00EA468F">
        <w:rPr>
          <w:rFonts w:ascii="Times New Roman" w:hAnsi="Times New Roman" w:cs="Times New Roman"/>
          <w:sz w:val="20"/>
          <w:szCs w:val="20"/>
          <w:lang w:val="fr-CH"/>
        </w:rPr>
        <w:t>−</w:t>
      </w:r>
      <w:r w:rsidRPr="00B376AE">
        <w:rPr>
          <w:rFonts w:ascii="Times New Roman" w:hAnsi="Times New Roman" w:cs="Times New Roman"/>
          <w:sz w:val="20"/>
          <w:szCs w:val="20"/>
          <w:lang w:val="fr-CH"/>
        </w:rPr>
        <w:t xml:space="preserve"> poudre brune.</w:t>
      </w:r>
    </w:p>
    <w:p w14:paraId="0F0B8C6B" w14:textId="04D3324B" w:rsidR="0040737F" w:rsidRPr="00B376AE" w:rsidRDefault="0040737F" w:rsidP="0040737F">
      <w:pPr>
        <w:ind w:firstLine="720"/>
      </w:pPr>
      <w:r w:rsidRPr="00B376AE">
        <w:t>2.9</w:t>
      </w:r>
      <w:r w:rsidR="00EA468F">
        <w:tab/>
      </w:r>
      <w:r w:rsidRPr="00B376AE">
        <w:t>Autres propriétés physiques pertinentes : sans objet</w:t>
      </w:r>
    </w:p>
    <w:p w14:paraId="4916A8C2" w14:textId="77777777" w:rsidR="0040737F" w:rsidRPr="00B376AE" w:rsidRDefault="0040737F" w:rsidP="0040737F">
      <w:pPr>
        <w:pStyle w:val="ListParagraph"/>
        <w:spacing w:after="120"/>
        <w:ind w:left="0"/>
        <w:rPr>
          <w:rFonts w:ascii="Times New Roman" w:hAnsi="Times New Roman" w:cs="Times New Roman"/>
          <w:b/>
          <w:bCs/>
          <w:sz w:val="20"/>
          <w:szCs w:val="20"/>
          <w:lang w:val="fr-CH"/>
        </w:rPr>
      </w:pPr>
    </w:p>
    <w:p w14:paraId="0554E3AF" w14:textId="77777777" w:rsidR="0040737F" w:rsidRPr="00B376AE" w:rsidRDefault="0040737F" w:rsidP="0040737F">
      <w:pPr>
        <w:pStyle w:val="ListParagraph"/>
        <w:spacing w:after="120"/>
        <w:ind w:left="0"/>
        <w:rPr>
          <w:rFonts w:ascii="Times New Roman" w:hAnsi="Times New Roman" w:cs="Times New Roman"/>
          <w:b/>
          <w:bCs/>
          <w:sz w:val="20"/>
          <w:szCs w:val="20"/>
          <w:lang w:val="fr-CH"/>
        </w:rPr>
      </w:pPr>
      <w:r w:rsidRPr="0090564C">
        <w:rPr>
          <w:rFonts w:ascii="Times New Roman" w:hAnsi="Times New Roman" w:cs="Times New Roman"/>
          <w:b/>
          <w:bCs/>
          <w:sz w:val="20"/>
          <w:szCs w:val="20"/>
          <w:lang w:val="fr-CH"/>
        </w:rPr>
        <w:t>Section 3.</w:t>
      </w:r>
      <w:r w:rsidRPr="00B376AE">
        <w:rPr>
          <w:rFonts w:ascii="Times New Roman" w:hAnsi="Times New Roman" w:cs="Times New Roman"/>
          <w:sz w:val="20"/>
          <w:szCs w:val="20"/>
          <w:lang w:val="fr-CH"/>
        </w:rPr>
        <w:t xml:space="preserve"> </w:t>
      </w:r>
      <w:r w:rsidRPr="00B376AE">
        <w:rPr>
          <w:rFonts w:ascii="Times New Roman" w:hAnsi="Times New Roman" w:cs="Times New Roman"/>
          <w:b/>
          <w:bCs/>
          <w:sz w:val="20"/>
          <w:szCs w:val="20"/>
          <w:lang w:val="fr-CH"/>
        </w:rPr>
        <w:t>INFLAMMABILITÉ</w:t>
      </w:r>
    </w:p>
    <w:p w14:paraId="24AF75CF" w14:textId="61C72B27" w:rsidR="0040737F" w:rsidRPr="00B376AE" w:rsidRDefault="0040737F" w:rsidP="0040737F">
      <w:pPr>
        <w:pStyle w:val="ListParagraph"/>
        <w:spacing w:after="120"/>
        <w:rPr>
          <w:rFonts w:ascii="Times New Roman" w:hAnsi="Times New Roman" w:cs="Times New Roman"/>
          <w:sz w:val="20"/>
          <w:szCs w:val="20"/>
          <w:lang w:val="fr-CH"/>
        </w:rPr>
      </w:pPr>
      <w:r w:rsidRPr="00B376AE">
        <w:rPr>
          <w:rFonts w:ascii="Times New Roman" w:hAnsi="Times New Roman" w:cs="Times New Roman"/>
          <w:sz w:val="20"/>
          <w:szCs w:val="20"/>
          <w:lang w:val="fr-CH"/>
        </w:rPr>
        <w:t>3.1</w:t>
      </w:r>
      <w:r w:rsidR="00EA468F">
        <w:rPr>
          <w:rFonts w:ascii="Times New Roman" w:hAnsi="Times New Roman" w:cs="Times New Roman"/>
          <w:sz w:val="20"/>
          <w:szCs w:val="20"/>
          <w:lang w:val="fr-CH"/>
        </w:rPr>
        <w:tab/>
      </w:r>
      <w:r w:rsidRPr="00B376AE">
        <w:rPr>
          <w:rFonts w:ascii="Times New Roman" w:hAnsi="Times New Roman" w:cs="Times New Roman"/>
          <w:sz w:val="20"/>
          <w:szCs w:val="20"/>
          <w:lang w:val="fr-CH"/>
        </w:rPr>
        <w:t>Vapeurs inflammables</w:t>
      </w:r>
    </w:p>
    <w:p w14:paraId="7A4759BE" w14:textId="7A7A10E5" w:rsidR="0040737F" w:rsidRPr="00B376AE" w:rsidRDefault="0040737F" w:rsidP="0040737F">
      <w:pPr>
        <w:pStyle w:val="ListParagraph"/>
        <w:spacing w:after="120"/>
        <w:ind w:left="1440"/>
        <w:rPr>
          <w:rFonts w:ascii="Times New Roman" w:hAnsi="Times New Roman" w:cs="Times New Roman"/>
          <w:sz w:val="20"/>
          <w:szCs w:val="20"/>
          <w:lang w:val="fr-CH"/>
        </w:rPr>
      </w:pPr>
      <w:r w:rsidRPr="00B376AE">
        <w:rPr>
          <w:rFonts w:ascii="Times New Roman" w:hAnsi="Times New Roman" w:cs="Times New Roman"/>
          <w:sz w:val="20"/>
          <w:szCs w:val="20"/>
          <w:lang w:val="fr-CH"/>
        </w:rPr>
        <w:t>3.1.1</w:t>
      </w:r>
      <w:r w:rsidR="00EA468F">
        <w:rPr>
          <w:rFonts w:ascii="Times New Roman" w:hAnsi="Times New Roman" w:cs="Times New Roman"/>
          <w:sz w:val="20"/>
          <w:szCs w:val="20"/>
          <w:lang w:val="fr-CH"/>
        </w:rPr>
        <w:t xml:space="preserve"> </w:t>
      </w:r>
      <w:r w:rsidRPr="00B376AE">
        <w:rPr>
          <w:rFonts w:ascii="Times New Roman" w:hAnsi="Times New Roman" w:cs="Times New Roman"/>
          <w:sz w:val="20"/>
          <w:szCs w:val="20"/>
          <w:lang w:val="fr-CH"/>
        </w:rPr>
        <w:t>Point d</w:t>
      </w:r>
      <w:r w:rsidR="004962C9">
        <w:rPr>
          <w:rFonts w:ascii="Times New Roman" w:hAnsi="Times New Roman" w:cs="Times New Roman"/>
          <w:sz w:val="20"/>
          <w:szCs w:val="20"/>
          <w:lang w:val="fr-CH"/>
        </w:rPr>
        <w:t>’</w:t>
      </w:r>
      <w:r w:rsidRPr="00B376AE">
        <w:rPr>
          <w:rFonts w:ascii="Times New Roman" w:hAnsi="Times New Roman" w:cs="Times New Roman"/>
          <w:sz w:val="20"/>
          <w:szCs w:val="20"/>
          <w:lang w:val="fr-CH"/>
        </w:rPr>
        <w:t xml:space="preserve">éclair (cf. 2.3.3) : &gt;/= 93 °C </w:t>
      </w:r>
      <w:r>
        <w:rPr>
          <w:rFonts w:ascii="Times New Roman" w:hAnsi="Times New Roman" w:cs="Times New Roman"/>
          <w:sz w:val="20"/>
          <w:szCs w:val="20"/>
          <w:lang w:val="fr-CH"/>
        </w:rPr>
        <w:t>creuset fermé</w:t>
      </w:r>
    </w:p>
    <w:p w14:paraId="1E4ABC2C" w14:textId="77777777" w:rsidR="0040737F" w:rsidRPr="00B376AE" w:rsidRDefault="0040737F" w:rsidP="0040737F">
      <w:pPr>
        <w:pStyle w:val="ListParagraph"/>
        <w:spacing w:after="120"/>
        <w:ind w:left="1440"/>
        <w:rPr>
          <w:rFonts w:ascii="Times New Roman" w:hAnsi="Times New Roman" w:cs="Times New Roman"/>
          <w:sz w:val="20"/>
          <w:szCs w:val="20"/>
          <w:lang w:val="fr-CH"/>
        </w:rPr>
      </w:pPr>
      <w:r w:rsidRPr="00B376AE">
        <w:rPr>
          <w:rFonts w:ascii="Times New Roman" w:hAnsi="Times New Roman" w:cs="Times New Roman"/>
          <w:sz w:val="20"/>
          <w:szCs w:val="20"/>
          <w:lang w:val="fr-CH"/>
        </w:rPr>
        <w:t>3.1.2 La matière entretient elle une combustion ? (</w:t>
      </w:r>
      <w:proofErr w:type="gramStart"/>
      <w:r w:rsidRPr="00B376AE">
        <w:rPr>
          <w:rFonts w:ascii="Times New Roman" w:hAnsi="Times New Roman" w:cs="Times New Roman"/>
          <w:sz w:val="20"/>
          <w:szCs w:val="20"/>
          <w:lang w:val="fr-CH"/>
        </w:rPr>
        <w:t>cf.</w:t>
      </w:r>
      <w:proofErr w:type="gramEnd"/>
      <w:r w:rsidRPr="00B376AE">
        <w:rPr>
          <w:rFonts w:ascii="Times New Roman" w:hAnsi="Times New Roman" w:cs="Times New Roman"/>
          <w:sz w:val="20"/>
          <w:szCs w:val="20"/>
          <w:lang w:val="fr-CH"/>
        </w:rPr>
        <w:t> 2.3.1.3) : Oui</w:t>
      </w:r>
    </w:p>
    <w:p w14:paraId="34219810" w14:textId="20E9F748" w:rsidR="0040737F" w:rsidRPr="00B376AE" w:rsidRDefault="0040737F" w:rsidP="0040737F">
      <w:pPr>
        <w:pStyle w:val="ListParagraph"/>
        <w:spacing w:after="120"/>
        <w:rPr>
          <w:rFonts w:ascii="Times New Roman" w:hAnsi="Times New Roman" w:cs="Times New Roman"/>
          <w:sz w:val="20"/>
          <w:szCs w:val="20"/>
          <w:lang w:val="fr-CH"/>
        </w:rPr>
      </w:pPr>
      <w:r w:rsidRPr="00B376AE">
        <w:rPr>
          <w:rFonts w:ascii="Times New Roman" w:hAnsi="Times New Roman" w:cs="Times New Roman"/>
          <w:sz w:val="20"/>
          <w:szCs w:val="20"/>
          <w:lang w:val="fr-CH"/>
        </w:rPr>
        <w:t>3.2</w:t>
      </w:r>
      <w:r w:rsidR="00EA468F">
        <w:rPr>
          <w:rFonts w:ascii="Times New Roman" w:hAnsi="Times New Roman" w:cs="Times New Roman"/>
          <w:sz w:val="20"/>
          <w:szCs w:val="20"/>
          <w:lang w:val="fr-CH"/>
        </w:rPr>
        <w:tab/>
      </w:r>
      <w:r w:rsidRPr="00B376AE">
        <w:rPr>
          <w:rFonts w:ascii="Times New Roman" w:hAnsi="Times New Roman" w:cs="Times New Roman"/>
          <w:sz w:val="20"/>
          <w:szCs w:val="20"/>
          <w:lang w:val="fr-CH"/>
        </w:rPr>
        <w:t>Température d</w:t>
      </w:r>
      <w:r w:rsidR="004962C9">
        <w:rPr>
          <w:rFonts w:ascii="Times New Roman" w:hAnsi="Times New Roman" w:cs="Times New Roman"/>
          <w:sz w:val="20"/>
          <w:szCs w:val="20"/>
          <w:lang w:val="fr-CH"/>
        </w:rPr>
        <w:t>’</w:t>
      </w:r>
      <w:r w:rsidRPr="00B376AE">
        <w:rPr>
          <w:rFonts w:ascii="Times New Roman" w:hAnsi="Times New Roman" w:cs="Times New Roman"/>
          <w:sz w:val="20"/>
          <w:szCs w:val="20"/>
          <w:lang w:val="fr-CH"/>
        </w:rPr>
        <w:t>auto</w:t>
      </w:r>
      <w:r>
        <w:rPr>
          <w:rFonts w:ascii="Times New Roman" w:hAnsi="Times New Roman" w:cs="Times New Roman"/>
          <w:sz w:val="20"/>
          <w:szCs w:val="20"/>
          <w:lang w:val="fr-CH"/>
        </w:rPr>
        <w:t>-</w:t>
      </w:r>
      <w:r w:rsidRPr="00B376AE">
        <w:rPr>
          <w:rFonts w:ascii="Times New Roman" w:hAnsi="Times New Roman" w:cs="Times New Roman"/>
          <w:sz w:val="20"/>
          <w:szCs w:val="20"/>
          <w:lang w:val="fr-CH"/>
        </w:rPr>
        <w:t>inflammation :&gt;/= 165,5 °C</w:t>
      </w:r>
    </w:p>
    <w:p w14:paraId="07D35A82" w14:textId="4F4BA25A" w:rsidR="0040737F" w:rsidRPr="00B376AE" w:rsidRDefault="0040737F" w:rsidP="0040737F">
      <w:pPr>
        <w:pStyle w:val="ListParagraph"/>
        <w:spacing w:after="120"/>
        <w:rPr>
          <w:rFonts w:ascii="Times New Roman" w:hAnsi="Times New Roman" w:cs="Times New Roman"/>
          <w:sz w:val="20"/>
          <w:szCs w:val="20"/>
          <w:lang w:val="fr-CH"/>
        </w:rPr>
      </w:pPr>
      <w:r w:rsidRPr="00B376AE">
        <w:rPr>
          <w:rFonts w:ascii="Times New Roman" w:hAnsi="Times New Roman" w:cs="Times New Roman"/>
          <w:sz w:val="20"/>
          <w:szCs w:val="20"/>
          <w:lang w:val="fr-CH"/>
        </w:rPr>
        <w:t>3.3</w:t>
      </w:r>
      <w:r w:rsidR="00EA468F">
        <w:rPr>
          <w:rFonts w:ascii="Times New Roman" w:hAnsi="Times New Roman" w:cs="Times New Roman"/>
          <w:sz w:val="20"/>
          <w:szCs w:val="20"/>
          <w:lang w:val="fr-CH"/>
        </w:rPr>
        <w:tab/>
      </w:r>
      <w:r w:rsidRPr="00B376AE">
        <w:rPr>
          <w:rFonts w:ascii="Times New Roman" w:hAnsi="Times New Roman" w:cs="Times New Roman"/>
          <w:sz w:val="20"/>
          <w:szCs w:val="20"/>
          <w:lang w:val="fr-CH"/>
        </w:rPr>
        <w:t>Limites d</w:t>
      </w:r>
      <w:r w:rsidR="004962C9">
        <w:rPr>
          <w:rFonts w:ascii="Times New Roman" w:hAnsi="Times New Roman" w:cs="Times New Roman"/>
          <w:sz w:val="20"/>
          <w:szCs w:val="20"/>
          <w:lang w:val="fr-CH"/>
        </w:rPr>
        <w:t>’</w:t>
      </w:r>
      <w:r w:rsidRPr="00B376AE">
        <w:rPr>
          <w:rFonts w:ascii="Times New Roman" w:hAnsi="Times New Roman" w:cs="Times New Roman"/>
          <w:sz w:val="20"/>
          <w:szCs w:val="20"/>
          <w:lang w:val="fr-CH"/>
        </w:rPr>
        <w:t>inflammabilité (LII/LSI) : Indéterminées</w:t>
      </w:r>
    </w:p>
    <w:p w14:paraId="5243E5A6" w14:textId="571EBF27" w:rsidR="0040737F" w:rsidRPr="00B376AE" w:rsidRDefault="0040737F" w:rsidP="0040737F">
      <w:pPr>
        <w:pStyle w:val="ListParagraph"/>
        <w:spacing w:after="120"/>
        <w:rPr>
          <w:rFonts w:ascii="Times New Roman" w:hAnsi="Times New Roman" w:cs="Times New Roman"/>
          <w:sz w:val="20"/>
          <w:szCs w:val="20"/>
          <w:lang w:val="fr-CH"/>
        </w:rPr>
      </w:pPr>
      <w:r w:rsidRPr="00B376AE">
        <w:rPr>
          <w:rFonts w:ascii="Times New Roman" w:hAnsi="Times New Roman" w:cs="Times New Roman"/>
          <w:sz w:val="20"/>
          <w:szCs w:val="20"/>
          <w:lang w:val="fr-CH"/>
        </w:rPr>
        <w:t>3.4</w:t>
      </w:r>
      <w:r w:rsidR="00EA468F">
        <w:rPr>
          <w:rFonts w:ascii="Times New Roman" w:hAnsi="Times New Roman" w:cs="Times New Roman"/>
          <w:sz w:val="20"/>
          <w:szCs w:val="20"/>
          <w:lang w:val="fr-CH"/>
        </w:rPr>
        <w:tab/>
      </w:r>
      <w:r w:rsidRPr="00B376AE">
        <w:rPr>
          <w:rFonts w:ascii="Times New Roman" w:hAnsi="Times New Roman" w:cs="Times New Roman"/>
          <w:sz w:val="20"/>
          <w:szCs w:val="20"/>
          <w:lang w:val="fr-CH"/>
        </w:rPr>
        <w:t>La matière est-elle une matière solide inflammable ? (</w:t>
      </w:r>
      <w:proofErr w:type="gramStart"/>
      <w:r w:rsidRPr="00B376AE">
        <w:rPr>
          <w:rFonts w:ascii="Times New Roman" w:hAnsi="Times New Roman" w:cs="Times New Roman"/>
          <w:sz w:val="20"/>
          <w:szCs w:val="20"/>
          <w:lang w:val="fr-CH"/>
        </w:rPr>
        <w:t>cf.</w:t>
      </w:r>
      <w:proofErr w:type="gramEnd"/>
      <w:r w:rsidRPr="00B376AE">
        <w:rPr>
          <w:rFonts w:ascii="Times New Roman" w:hAnsi="Times New Roman" w:cs="Times New Roman"/>
          <w:sz w:val="20"/>
          <w:szCs w:val="20"/>
          <w:lang w:val="fr-CH"/>
        </w:rPr>
        <w:t> 2.4.2) : OUI</w:t>
      </w:r>
    </w:p>
    <w:p w14:paraId="11CDE288" w14:textId="38A59544" w:rsidR="0040737F" w:rsidRPr="00B376AE" w:rsidRDefault="0040737F" w:rsidP="0040737F">
      <w:pPr>
        <w:pStyle w:val="ListParagraph"/>
        <w:spacing w:after="120"/>
        <w:ind w:left="1440" w:right="1134"/>
        <w:rPr>
          <w:rFonts w:ascii="Times New Roman" w:hAnsi="Times New Roman" w:cs="Times New Roman"/>
          <w:sz w:val="20"/>
          <w:szCs w:val="20"/>
          <w:lang w:val="fr-CH"/>
        </w:rPr>
      </w:pPr>
      <w:r w:rsidRPr="00B376AE">
        <w:rPr>
          <w:rFonts w:ascii="Times New Roman" w:hAnsi="Times New Roman" w:cs="Times New Roman"/>
          <w:sz w:val="20"/>
          <w:szCs w:val="20"/>
          <w:lang w:val="fr-CH"/>
        </w:rPr>
        <w:t>3.4.1 Dans l</w:t>
      </w:r>
      <w:r w:rsidR="004962C9">
        <w:rPr>
          <w:rFonts w:ascii="Times New Roman" w:hAnsi="Times New Roman" w:cs="Times New Roman"/>
          <w:sz w:val="20"/>
          <w:szCs w:val="20"/>
          <w:lang w:val="fr-CH"/>
        </w:rPr>
        <w:t>’</w:t>
      </w:r>
      <w:r w:rsidRPr="00B376AE">
        <w:rPr>
          <w:rFonts w:ascii="Times New Roman" w:hAnsi="Times New Roman" w:cs="Times New Roman"/>
          <w:sz w:val="20"/>
          <w:szCs w:val="20"/>
          <w:lang w:val="fr-CH"/>
        </w:rPr>
        <w:t xml:space="preserve">affirmative, donner des précisions : </w:t>
      </w:r>
      <w:r w:rsidRPr="00B376AE">
        <w:rPr>
          <w:rFonts w:ascii="Times New Roman" w:hAnsi="Times New Roman" w:cs="Times New Roman"/>
          <w:b/>
          <w:bCs/>
          <w:sz w:val="20"/>
          <w:szCs w:val="20"/>
          <w:lang w:val="fr-CH"/>
        </w:rPr>
        <w:t>L</w:t>
      </w:r>
      <w:r w:rsidR="004962C9">
        <w:rPr>
          <w:rFonts w:ascii="Times New Roman" w:hAnsi="Times New Roman" w:cs="Times New Roman"/>
          <w:b/>
          <w:bCs/>
          <w:sz w:val="20"/>
          <w:szCs w:val="20"/>
          <w:lang w:val="fr-CH"/>
        </w:rPr>
        <w:t>’</w:t>
      </w:r>
      <w:r w:rsidRPr="00B376AE">
        <w:rPr>
          <w:rFonts w:ascii="Times New Roman" w:hAnsi="Times New Roman" w:cs="Times New Roman"/>
          <w:b/>
          <w:bCs/>
          <w:sz w:val="20"/>
          <w:szCs w:val="20"/>
          <w:lang w:val="fr-CH"/>
        </w:rPr>
        <w:t>épreuve N.1 (Méthode d</w:t>
      </w:r>
      <w:r w:rsidR="004962C9">
        <w:rPr>
          <w:rFonts w:ascii="Times New Roman" w:hAnsi="Times New Roman" w:cs="Times New Roman"/>
          <w:b/>
          <w:bCs/>
          <w:sz w:val="20"/>
          <w:szCs w:val="20"/>
          <w:lang w:val="fr-CH"/>
        </w:rPr>
        <w:t>’</w:t>
      </w:r>
      <w:r w:rsidRPr="00B376AE">
        <w:rPr>
          <w:rFonts w:ascii="Times New Roman" w:hAnsi="Times New Roman" w:cs="Times New Roman"/>
          <w:b/>
          <w:bCs/>
          <w:sz w:val="20"/>
          <w:szCs w:val="20"/>
          <w:lang w:val="fr-CH"/>
        </w:rPr>
        <w:t xml:space="preserve">épreuve pour les matières solides facilement inflammables) a révélé que la </w:t>
      </w:r>
      <w:r w:rsidRPr="00AF4C16">
        <w:rPr>
          <w:rFonts w:ascii="Times New Roman" w:hAnsi="Times New Roman" w:cs="Times New Roman"/>
          <w:b/>
          <w:bCs/>
          <w:sz w:val="20"/>
          <w:szCs w:val="20"/>
          <w:lang w:val="fr-CH"/>
        </w:rPr>
        <w:t>1,4</w:t>
      </w:r>
      <w:r w:rsidR="00EA468F">
        <w:rPr>
          <w:rFonts w:ascii="Times New Roman" w:hAnsi="Times New Roman" w:cs="Times New Roman"/>
          <w:b/>
          <w:bCs/>
          <w:sz w:val="20"/>
          <w:szCs w:val="20"/>
          <w:lang w:val="fr-CH"/>
        </w:rPr>
        <w:noBreakHyphen/>
      </w:r>
      <w:r w:rsidRPr="00AF4C16">
        <w:rPr>
          <w:rFonts w:ascii="Times New Roman" w:hAnsi="Times New Roman" w:cs="Times New Roman"/>
          <w:b/>
          <w:bCs/>
          <w:sz w:val="20"/>
          <w:szCs w:val="20"/>
          <w:lang w:val="fr-CH"/>
        </w:rPr>
        <w:t xml:space="preserve">benzoquinone dioxime </w:t>
      </w:r>
      <w:r w:rsidRPr="00B376AE">
        <w:rPr>
          <w:rFonts w:ascii="Times New Roman" w:hAnsi="Times New Roman" w:cs="Times New Roman"/>
          <w:b/>
          <w:bCs/>
          <w:sz w:val="20"/>
          <w:szCs w:val="20"/>
          <w:lang w:val="fr-CH"/>
        </w:rPr>
        <w:t>propageait la combustion sur une longueur de 100 mm en moins de 45 secondes et que la flamme dépassait la zone humidifiée. Voir aussi le procès-verbal d</w:t>
      </w:r>
      <w:r w:rsidR="004962C9">
        <w:rPr>
          <w:rFonts w:ascii="Times New Roman" w:hAnsi="Times New Roman" w:cs="Times New Roman"/>
          <w:b/>
          <w:bCs/>
          <w:sz w:val="20"/>
          <w:szCs w:val="20"/>
          <w:lang w:val="fr-CH"/>
        </w:rPr>
        <w:t>’</w:t>
      </w:r>
      <w:r w:rsidRPr="00B376AE">
        <w:rPr>
          <w:rFonts w:ascii="Times New Roman" w:hAnsi="Times New Roman" w:cs="Times New Roman"/>
          <w:b/>
          <w:bCs/>
          <w:sz w:val="20"/>
          <w:szCs w:val="20"/>
          <w:lang w:val="fr-CH"/>
        </w:rPr>
        <w:t>épreuve #21048 ci-joint.</w:t>
      </w:r>
    </w:p>
    <w:p w14:paraId="22782AFD" w14:textId="77777777" w:rsidR="0040737F" w:rsidRPr="00B376AE" w:rsidRDefault="0040737F" w:rsidP="0040737F">
      <w:pPr>
        <w:pStyle w:val="ListParagraph"/>
        <w:spacing w:after="120"/>
        <w:ind w:left="0"/>
        <w:rPr>
          <w:rFonts w:ascii="Times New Roman" w:hAnsi="Times New Roman" w:cs="Times New Roman"/>
          <w:b/>
          <w:bCs/>
          <w:sz w:val="20"/>
          <w:szCs w:val="20"/>
          <w:lang w:val="fr-CH"/>
        </w:rPr>
      </w:pPr>
    </w:p>
    <w:p w14:paraId="7715EC7F" w14:textId="77777777" w:rsidR="0040737F" w:rsidRPr="00B376AE" w:rsidRDefault="0040737F" w:rsidP="0040737F">
      <w:pPr>
        <w:pStyle w:val="ListParagraph"/>
        <w:spacing w:after="120"/>
        <w:ind w:left="0"/>
        <w:rPr>
          <w:rFonts w:ascii="Times New Roman" w:hAnsi="Times New Roman" w:cs="Times New Roman"/>
          <w:b/>
          <w:bCs/>
          <w:sz w:val="20"/>
          <w:szCs w:val="20"/>
          <w:lang w:val="fr-CH"/>
        </w:rPr>
      </w:pPr>
      <w:r w:rsidRPr="00B376AE">
        <w:rPr>
          <w:rFonts w:ascii="Times New Roman" w:hAnsi="Times New Roman" w:cs="Times New Roman"/>
          <w:b/>
          <w:bCs/>
          <w:sz w:val="20"/>
          <w:szCs w:val="20"/>
          <w:lang w:val="fr-CH"/>
        </w:rPr>
        <w:t>Section 4. PROPRIÉTÉS CHIMIQUES</w:t>
      </w:r>
    </w:p>
    <w:p w14:paraId="1F1EB402" w14:textId="519EA894" w:rsidR="0040737F" w:rsidRPr="00B376AE" w:rsidRDefault="0040737F" w:rsidP="0040737F">
      <w:pPr>
        <w:pStyle w:val="ListParagraph"/>
        <w:spacing w:after="120"/>
        <w:ind w:right="1134"/>
        <w:rPr>
          <w:rFonts w:ascii="Times New Roman" w:hAnsi="Times New Roman" w:cs="Times New Roman"/>
          <w:sz w:val="20"/>
          <w:szCs w:val="20"/>
          <w:lang w:val="fr-CH"/>
        </w:rPr>
      </w:pPr>
      <w:r w:rsidRPr="00B376AE">
        <w:rPr>
          <w:rFonts w:ascii="Times New Roman" w:hAnsi="Times New Roman" w:cs="Times New Roman"/>
          <w:sz w:val="20"/>
          <w:szCs w:val="20"/>
          <w:lang w:val="fr-CH"/>
        </w:rPr>
        <w:t>4.1</w:t>
      </w:r>
      <w:r w:rsidR="00EA468F">
        <w:rPr>
          <w:rFonts w:ascii="Times New Roman" w:hAnsi="Times New Roman" w:cs="Times New Roman"/>
          <w:sz w:val="20"/>
          <w:szCs w:val="20"/>
          <w:lang w:val="fr-CH"/>
        </w:rPr>
        <w:tab/>
      </w:r>
      <w:r w:rsidRPr="00B376AE">
        <w:rPr>
          <w:rFonts w:ascii="Times New Roman" w:hAnsi="Times New Roman" w:cs="Times New Roman"/>
          <w:sz w:val="20"/>
          <w:szCs w:val="20"/>
          <w:lang w:val="fr-CH"/>
        </w:rPr>
        <w:t>La matière nécessite-t-elle une inhibition/stabilisation ou un autre traitement (transport sous atmosphère d</w:t>
      </w:r>
      <w:r w:rsidR="004962C9">
        <w:rPr>
          <w:rFonts w:ascii="Times New Roman" w:hAnsi="Times New Roman" w:cs="Times New Roman"/>
          <w:sz w:val="20"/>
          <w:szCs w:val="20"/>
          <w:lang w:val="fr-CH"/>
        </w:rPr>
        <w:t>’</w:t>
      </w:r>
      <w:r w:rsidRPr="00B376AE">
        <w:rPr>
          <w:rFonts w:ascii="Times New Roman" w:hAnsi="Times New Roman" w:cs="Times New Roman"/>
          <w:sz w:val="20"/>
          <w:szCs w:val="20"/>
          <w:lang w:val="fr-CH"/>
        </w:rPr>
        <w:t>azote par exemple) pour empêcher des réactions dangereuses ? Non</w:t>
      </w:r>
    </w:p>
    <w:p w14:paraId="77EC6B8B" w14:textId="3D0AF63E" w:rsidR="0040737F" w:rsidRPr="00B376AE" w:rsidRDefault="0040737F" w:rsidP="0040737F">
      <w:pPr>
        <w:pStyle w:val="ListParagraph"/>
        <w:spacing w:after="120"/>
        <w:rPr>
          <w:rFonts w:ascii="Times New Roman" w:hAnsi="Times New Roman" w:cs="Times New Roman"/>
          <w:sz w:val="20"/>
          <w:szCs w:val="20"/>
          <w:lang w:val="fr-CH"/>
        </w:rPr>
      </w:pPr>
      <w:r w:rsidRPr="00B376AE">
        <w:rPr>
          <w:rFonts w:ascii="Times New Roman" w:hAnsi="Times New Roman" w:cs="Times New Roman"/>
          <w:sz w:val="20"/>
          <w:szCs w:val="20"/>
          <w:lang w:val="fr-CH"/>
        </w:rPr>
        <w:t>4.2</w:t>
      </w:r>
      <w:r w:rsidR="00EA468F">
        <w:rPr>
          <w:rFonts w:ascii="Times New Roman" w:hAnsi="Times New Roman" w:cs="Times New Roman"/>
          <w:sz w:val="20"/>
          <w:szCs w:val="20"/>
          <w:lang w:val="fr-CH"/>
        </w:rPr>
        <w:tab/>
      </w:r>
      <w:r w:rsidRPr="00B376AE">
        <w:rPr>
          <w:rFonts w:ascii="Times New Roman" w:hAnsi="Times New Roman" w:cs="Times New Roman"/>
          <w:sz w:val="20"/>
          <w:szCs w:val="20"/>
          <w:lang w:val="fr-CH"/>
        </w:rPr>
        <w:t>La matière est-elle une matière explosible au sens du paragraphe 2.1.1.1 ? (</w:t>
      </w:r>
      <w:proofErr w:type="gramStart"/>
      <w:r w:rsidRPr="00B376AE">
        <w:rPr>
          <w:rFonts w:ascii="Times New Roman" w:hAnsi="Times New Roman" w:cs="Times New Roman"/>
          <w:sz w:val="20"/>
          <w:szCs w:val="20"/>
          <w:lang w:val="fr-CH"/>
        </w:rPr>
        <w:t>cf.</w:t>
      </w:r>
      <w:proofErr w:type="gramEnd"/>
      <w:r w:rsidRPr="00B376AE">
        <w:rPr>
          <w:rFonts w:ascii="Times New Roman" w:hAnsi="Times New Roman" w:cs="Times New Roman"/>
          <w:sz w:val="20"/>
          <w:szCs w:val="20"/>
          <w:lang w:val="fr-CH"/>
        </w:rPr>
        <w:t> 2.1) Non</w:t>
      </w:r>
    </w:p>
    <w:p w14:paraId="43E6A3E3" w14:textId="4B945180" w:rsidR="0040737F" w:rsidRPr="00B376AE" w:rsidRDefault="0040737F" w:rsidP="0040737F">
      <w:pPr>
        <w:pStyle w:val="ListParagraph"/>
        <w:spacing w:after="120"/>
        <w:rPr>
          <w:rFonts w:ascii="Times New Roman" w:hAnsi="Times New Roman" w:cs="Times New Roman"/>
          <w:sz w:val="20"/>
          <w:szCs w:val="20"/>
          <w:lang w:val="fr-CH"/>
        </w:rPr>
      </w:pPr>
      <w:r w:rsidRPr="00B376AE">
        <w:rPr>
          <w:rFonts w:ascii="Times New Roman" w:hAnsi="Times New Roman" w:cs="Times New Roman"/>
          <w:sz w:val="20"/>
          <w:szCs w:val="20"/>
          <w:lang w:val="fr-CH"/>
        </w:rPr>
        <w:t>4.3</w:t>
      </w:r>
      <w:r w:rsidR="00EA468F">
        <w:rPr>
          <w:rFonts w:ascii="Times New Roman" w:hAnsi="Times New Roman" w:cs="Times New Roman"/>
          <w:sz w:val="20"/>
          <w:szCs w:val="20"/>
          <w:lang w:val="fr-CH"/>
        </w:rPr>
        <w:tab/>
      </w:r>
      <w:r w:rsidRPr="00B376AE">
        <w:rPr>
          <w:rFonts w:ascii="Times New Roman" w:hAnsi="Times New Roman" w:cs="Times New Roman"/>
          <w:sz w:val="20"/>
          <w:szCs w:val="20"/>
          <w:lang w:val="fr-CH"/>
        </w:rPr>
        <w:t>La matière est-elle une matière explosible désensibilisée ? (</w:t>
      </w:r>
      <w:proofErr w:type="gramStart"/>
      <w:r w:rsidRPr="00B376AE">
        <w:rPr>
          <w:rFonts w:ascii="Times New Roman" w:hAnsi="Times New Roman" w:cs="Times New Roman"/>
          <w:sz w:val="20"/>
          <w:szCs w:val="20"/>
          <w:lang w:val="fr-CH"/>
        </w:rPr>
        <w:t>cf.</w:t>
      </w:r>
      <w:proofErr w:type="gramEnd"/>
      <w:r w:rsidRPr="00B376AE">
        <w:rPr>
          <w:rFonts w:ascii="Times New Roman" w:hAnsi="Times New Roman" w:cs="Times New Roman"/>
          <w:sz w:val="20"/>
          <w:szCs w:val="20"/>
          <w:lang w:val="fr-CH"/>
        </w:rPr>
        <w:t> 2.4.2.4) Non</w:t>
      </w:r>
    </w:p>
    <w:p w14:paraId="022A26FE" w14:textId="70ADC7D3" w:rsidR="0040737F" w:rsidRPr="00B376AE" w:rsidRDefault="0040737F" w:rsidP="0040737F">
      <w:pPr>
        <w:pStyle w:val="ListParagraph"/>
        <w:spacing w:after="120"/>
        <w:rPr>
          <w:rFonts w:ascii="Times New Roman" w:hAnsi="Times New Roman" w:cs="Times New Roman"/>
          <w:sz w:val="20"/>
          <w:szCs w:val="20"/>
          <w:lang w:val="fr-CH"/>
        </w:rPr>
      </w:pPr>
      <w:r w:rsidRPr="00B376AE">
        <w:rPr>
          <w:rFonts w:ascii="Times New Roman" w:hAnsi="Times New Roman" w:cs="Times New Roman"/>
          <w:sz w:val="20"/>
          <w:szCs w:val="20"/>
          <w:lang w:val="fr-CH"/>
        </w:rPr>
        <w:t>4.4</w:t>
      </w:r>
      <w:r w:rsidR="00EA468F">
        <w:rPr>
          <w:rFonts w:ascii="Times New Roman" w:hAnsi="Times New Roman" w:cs="Times New Roman"/>
          <w:sz w:val="20"/>
          <w:szCs w:val="20"/>
          <w:lang w:val="fr-CH"/>
        </w:rPr>
        <w:tab/>
      </w:r>
      <w:r w:rsidRPr="00B376AE">
        <w:rPr>
          <w:rFonts w:ascii="Times New Roman" w:hAnsi="Times New Roman" w:cs="Times New Roman"/>
          <w:sz w:val="20"/>
          <w:szCs w:val="20"/>
          <w:lang w:val="fr-CH"/>
        </w:rPr>
        <w:t>La matière est-elle une matière autoréactive ? (</w:t>
      </w:r>
      <w:proofErr w:type="gramStart"/>
      <w:r w:rsidRPr="00B376AE">
        <w:rPr>
          <w:rFonts w:ascii="Times New Roman" w:hAnsi="Times New Roman" w:cs="Times New Roman"/>
          <w:sz w:val="20"/>
          <w:szCs w:val="20"/>
          <w:lang w:val="fr-CH"/>
        </w:rPr>
        <w:t>cf.</w:t>
      </w:r>
      <w:proofErr w:type="gramEnd"/>
      <w:r w:rsidRPr="00B376AE">
        <w:rPr>
          <w:rFonts w:ascii="Times New Roman" w:hAnsi="Times New Roman" w:cs="Times New Roman"/>
          <w:sz w:val="20"/>
          <w:szCs w:val="20"/>
          <w:lang w:val="fr-CH"/>
        </w:rPr>
        <w:t> 2.4.1) Non</w:t>
      </w:r>
    </w:p>
    <w:p w14:paraId="2626847D" w14:textId="54730810" w:rsidR="0040737F" w:rsidRPr="00B376AE" w:rsidRDefault="0040737F" w:rsidP="0040737F">
      <w:pPr>
        <w:pStyle w:val="ListParagraph"/>
        <w:spacing w:after="120"/>
        <w:rPr>
          <w:rFonts w:ascii="Times New Roman" w:hAnsi="Times New Roman" w:cs="Times New Roman"/>
          <w:sz w:val="20"/>
          <w:szCs w:val="20"/>
          <w:lang w:val="fr-CH"/>
        </w:rPr>
      </w:pPr>
      <w:r w:rsidRPr="00B376AE">
        <w:rPr>
          <w:rFonts w:ascii="Times New Roman" w:hAnsi="Times New Roman" w:cs="Times New Roman"/>
          <w:sz w:val="20"/>
          <w:szCs w:val="20"/>
          <w:lang w:val="fr-CH"/>
        </w:rPr>
        <w:t>4.5</w:t>
      </w:r>
      <w:r w:rsidR="00EA468F">
        <w:rPr>
          <w:rFonts w:ascii="Times New Roman" w:hAnsi="Times New Roman" w:cs="Times New Roman"/>
          <w:sz w:val="20"/>
          <w:szCs w:val="20"/>
          <w:lang w:val="fr-CH"/>
        </w:rPr>
        <w:tab/>
      </w:r>
      <w:r w:rsidRPr="00B376AE">
        <w:rPr>
          <w:rFonts w:ascii="Times New Roman" w:hAnsi="Times New Roman" w:cs="Times New Roman"/>
          <w:sz w:val="20"/>
          <w:szCs w:val="20"/>
          <w:lang w:val="fr-CH"/>
        </w:rPr>
        <w:t>La matière est-elle pyrophorique ? (</w:t>
      </w:r>
      <w:proofErr w:type="gramStart"/>
      <w:r w:rsidRPr="00B376AE">
        <w:rPr>
          <w:rFonts w:ascii="Times New Roman" w:hAnsi="Times New Roman" w:cs="Times New Roman"/>
          <w:sz w:val="20"/>
          <w:szCs w:val="20"/>
          <w:lang w:val="fr-CH"/>
        </w:rPr>
        <w:t>cf.</w:t>
      </w:r>
      <w:proofErr w:type="gramEnd"/>
      <w:r w:rsidRPr="00B376AE">
        <w:rPr>
          <w:rFonts w:ascii="Times New Roman" w:hAnsi="Times New Roman" w:cs="Times New Roman"/>
          <w:sz w:val="20"/>
          <w:szCs w:val="20"/>
          <w:lang w:val="fr-CH"/>
        </w:rPr>
        <w:t> 2.4.3) Non</w:t>
      </w:r>
    </w:p>
    <w:p w14:paraId="2EB57B51" w14:textId="6A1CF6FB" w:rsidR="0040737F" w:rsidRPr="00B376AE" w:rsidRDefault="0040737F" w:rsidP="0040737F">
      <w:pPr>
        <w:pStyle w:val="ListParagraph"/>
        <w:spacing w:after="120"/>
        <w:rPr>
          <w:rFonts w:ascii="Times New Roman" w:hAnsi="Times New Roman" w:cs="Times New Roman"/>
          <w:sz w:val="20"/>
          <w:szCs w:val="20"/>
          <w:lang w:val="fr-CH"/>
        </w:rPr>
      </w:pPr>
      <w:r w:rsidRPr="00B376AE">
        <w:rPr>
          <w:rFonts w:ascii="Times New Roman" w:hAnsi="Times New Roman" w:cs="Times New Roman"/>
          <w:sz w:val="20"/>
          <w:szCs w:val="20"/>
          <w:lang w:val="fr-CH"/>
        </w:rPr>
        <w:t>4.6</w:t>
      </w:r>
      <w:r w:rsidR="00EA468F">
        <w:rPr>
          <w:rFonts w:ascii="Times New Roman" w:hAnsi="Times New Roman" w:cs="Times New Roman"/>
          <w:sz w:val="20"/>
          <w:szCs w:val="20"/>
          <w:lang w:val="fr-CH"/>
        </w:rPr>
        <w:tab/>
      </w:r>
      <w:r w:rsidRPr="00B376AE">
        <w:rPr>
          <w:rFonts w:ascii="Times New Roman" w:hAnsi="Times New Roman" w:cs="Times New Roman"/>
          <w:sz w:val="20"/>
          <w:szCs w:val="20"/>
          <w:lang w:val="fr-CH"/>
        </w:rPr>
        <w:t>La matière est-elle sujette à l</w:t>
      </w:r>
      <w:r w:rsidR="004962C9">
        <w:rPr>
          <w:rFonts w:ascii="Times New Roman" w:hAnsi="Times New Roman" w:cs="Times New Roman"/>
          <w:sz w:val="20"/>
          <w:szCs w:val="20"/>
          <w:lang w:val="fr-CH"/>
        </w:rPr>
        <w:t>’</w:t>
      </w:r>
      <w:r w:rsidRPr="00B376AE">
        <w:rPr>
          <w:rFonts w:ascii="Times New Roman" w:hAnsi="Times New Roman" w:cs="Times New Roman"/>
          <w:sz w:val="20"/>
          <w:szCs w:val="20"/>
          <w:lang w:val="fr-CH"/>
        </w:rPr>
        <w:t>auto-échauffement ? (</w:t>
      </w:r>
      <w:proofErr w:type="gramStart"/>
      <w:r w:rsidRPr="00B376AE">
        <w:rPr>
          <w:rFonts w:ascii="Times New Roman" w:hAnsi="Times New Roman" w:cs="Times New Roman"/>
          <w:sz w:val="20"/>
          <w:szCs w:val="20"/>
          <w:lang w:val="fr-CH"/>
        </w:rPr>
        <w:t>cf.</w:t>
      </w:r>
      <w:proofErr w:type="gramEnd"/>
      <w:r w:rsidRPr="00B376AE">
        <w:rPr>
          <w:rFonts w:ascii="Times New Roman" w:hAnsi="Times New Roman" w:cs="Times New Roman"/>
          <w:sz w:val="20"/>
          <w:szCs w:val="20"/>
          <w:lang w:val="fr-CH"/>
        </w:rPr>
        <w:t> 2.4.3) Non</w:t>
      </w:r>
    </w:p>
    <w:p w14:paraId="03489CFC" w14:textId="3739EF69" w:rsidR="0040737F" w:rsidRPr="00B376AE" w:rsidRDefault="0040737F" w:rsidP="0040737F">
      <w:pPr>
        <w:pStyle w:val="ListParagraph"/>
        <w:spacing w:after="120"/>
        <w:rPr>
          <w:rFonts w:ascii="Times New Roman" w:hAnsi="Times New Roman" w:cs="Times New Roman"/>
          <w:sz w:val="20"/>
          <w:szCs w:val="20"/>
          <w:lang w:val="fr-CH"/>
        </w:rPr>
      </w:pPr>
      <w:r w:rsidRPr="00B376AE">
        <w:rPr>
          <w:rFonts w:ascii="Times New Roman" w:hAnsi="Times New Roman" w:cs="Times New Roman"/>
          <w:sz w:val="20"/>
          <w:szCs w:val="20"/>
          <w:lang w:val="fr-CH"/>
        </w:rPr>
        <w:t>4.7</w:t>
      </w:r>
      <w:r w:rsidR="00EA468F">
        <w:rPr>
          <w:rFonts w:ascii="Times New Roman" w:hAnsi="Times New Roman" w:cs="Times New Roman"/>
          <w:sz w:val="20"/>
          <w:szCs w:val="20"/>
          <w:lang w:val="fr-CH"/>
        </w:rPr>
        <w:tab/>
      </w:r>
      <w:r w:rsidRPr="00B376AE">
        <w:rPr>
          <w:rFonts w:ascii="Times New Roman" w:hAnsi="Times New Roman" w:cs="Times New Roman"/>
          <w:sz w:val="20"/>
          <w:szCs w:val="20"/>
          <w:lang w:val="fr-CH"/>
        </w:rPr>
        <w:t>La matière est-elle un peroxyde organique ? (</w:t>
      </w:r>
      <w:proofErr w:type="gramStart"/>
      <w:r w:rsidRPr="00B376AE">
        <w:rPr>
          <w:rFonts w:ascii="Times New Roman" w:hAnsi="Times New Roman" w:cs="Times New Roman"/>
          <w:sz w:val="20"/>
          <w:szCs w:val="20"/>
          <w:lang w:val="fr-CH"/>
        </w:rPr>
        <w:t>cf.</w:t>
      </w:r>
      <w:proofErr w:type="gramEnd"/>
      <w:r w:rsidRPr="00B376AE">
        <w:rPr>
          <w:rFonts w:ascii="Times New Roman" w:hAnsi="Times New Roman" w:cs="Times New Roman"/>
          <w:sz w:val="20"/>
          <w:szCs w:val="20"/>
          <w:lang w:val="fr-CH"/>
        </w:rPr>
        <w:t> 2.5.1) Non</w:t>
      </w:r>
    </w:p>
    <w:p w14:paraId="13BB18C3" w14:textId="267CD364" w:rsidR="0040737F" w:rsidRPr="00B376AE" w:rsidRDefault="0040737F" w:rsidP="0040737F">
      <w:pPr>
        <w:pStyle w:val="ListParagraph"/>
        <w:spacing w:after="120"/>
        <w:rPr>
          <w:rFonts w:ascii="Times New Roman" w:hAnsi="Times New Roman" w:cs="Times New Roman"/>
          <w:sz w:val="20"/>
          <w:szCs w:val="20"/>
          <w:lang w:val="fr-CH"/>
        </w:rPr>
      </w:pPr>
      <w:r w:rsidRPr="00B376AE">
        <w:rPr>
          <w:rFonts w:ascii="Times New Roman" w:hAnsi="Times New Roman" w:cs="Times New Roman"/>
          <w:sz w:val="20"/>
          <w:szCs w:val="20"/>
          <w:lang w:val="fr-CH"/>
        </w:rPr>
        <w:t>4.8</w:t>
      </w:r>
      <w:r w:rsidR="00EA468F">
        <w:rPr>
          <w:rFonts w:ascii="Times New Roman" w:hAnsi="Times New Roman" w:cs="Times New Roman"/>
          <w:sz w:val="20"/>
          <w:szCs w:val="20"/>
          <w:lang w:val="fr-CH"/>
        </w:rPr>
        <w:tab/>
      </w:r>
      <w:r w:rsidRPr="00B376AE">
        <w:rPr>
          <w:rFonts w:ascii="Times New Roman" w:hAnsi="Times New Roman" w:cs="Times New Roman"/>
          <w:sz w:val="20"/>
          <w:szCs w:val="20"/>
          <w:lang w:val="fr-CH"/>
        </w:rPr>
        <w:t>La matière dégage-t-elle des gaz inflammables au contact de l</w:t>
      </w:r>
      <w:r w:rsidR="004962C9">
        <w:rPr>
          <w:rFonts w:ascii="Times New Roman" w:hAnsi="Times New Roman" w:cs="Times New Roman"/>
          <w:sz w:val="20"/>
          <w:szCs w:val="20"/>
          <w:lang w:val="fr-CH"/>
        </w:rPr>
        <w:t>’</w:t>
      </w:r>
      <w:r w:rsidRPr="00B376AE">
        <w:rPr>
          <w:rFonts w:ascii="Times New Roman" w:hAnsi="Times New Roman" w:cs="Times New Roman"/>
          <w:sz w:val="20"/>
          <w:szCs w:val="20"/>
          <w:lang w:val="fr-CH"/>
        </w:rPr>
        <w:t>eau ? (</w:t>
      </w:r>
      <w:proofErr w:type="gramStart"/>
      <w:r w:rsidRPr="00B376AE">
        <w:rPr>
          <w:rFonts w:ascii="Times New Roman" w:hAnsi="Times New Roman" w:cs="Times New Roman"/>
          <w:sz w:val="20"/>
          <w:szCs w:val="20"/>
          <w:lang w:val="fr-CH"/>
        </w:rPr>
        <w:t>cf.</w:t>
      </w:r>
      <w:proofErr w:type="gramEnd"/>
      <w:r w:rsidRPr="00B376AE">
        <w:rPr>
          <w:rFonts w:ascii="Times New Roman" w:hAnsi="Times New Roman" w:cs="Times New Roman"/>
          <w:sz w:val="20"/>
          <w:szCs w:val="20"/>
          <w:lang w:val="fr-CH"/>
        </w:rPr>
        <w:t> 2.4.4) Non</w:t>
      </w:r>
    </w:p>
    <w:p w14:paraId="0BB1A093" w14:textId="61B9F7EE" w:rsidR="0040737F" w:rsidRPr="00B376AE" w:rsidRDefault="0040737F" w:rsidP="0040737F">
      <w:pPr>
        <w:pStyle w:val="ListParagraph"/>
        <w:spacing w:after="120"/>
        <w:rPr>
          <w:rFonts w:ascii="Times New Roman" w:hAnsi="Times New Roman" w:cs="Times New Roman"/>
          <w:sz w:val="20"/>
          <w:szCs w:val="20"/>
          <w:lang w:val="fr-CH"/>
        </w:rPr>
      </w:pPr>
      <w:r w:rsidRPr="00B376AE">
        <w:rPr>
          <w:rFonts w:ascii="Times New Roman" w:hAnsi="Times New Roman" w:cs="Times New Roman"/>
          <w:sz w:val="20"/>
          <w:szCs w:val="20"/>
          <w:lang w:val="fr-CH"/>
        </w:rPr>
        <w:t>4.9</w:t>
      </w:r>
      <w:r w:rsidR="00EA468F">
        <w:rPr>
          <w:rFonts w:ascii="Times New Roman" w:hAnsi="Times New Roman" w:cs="Times New Roman"/>
          <w:sz w:val="20"/>
          <w:szCs w:val="20"/>
          <w:lang w:val="fr-CH"/>
        </w:rPr>
        <w:tab/>
      </w:r>
      <w:r w:rsidRPr="00B376AE">
        <w:rPr>
          <w:rFonts w:ascii="Times New Roman" w:hAnsi="Times New Roman" w:cs="Times New Roman"/>
          <w:sz w:val="20"/>
          <w:szCs w:val="20"/>
          <w:lang w:val="fr-CH"/>
        </w:rPr>
        <w:t>La matière a-t-elle des propriétés comburantes ? (</w:t>
      </w:r>
      <w:proofErr w:type="gramStart"/>
      <w:r w:rsidRPr="00B376AE">
        <w:rPr>
          <w:rFonts w:ascii="Times New Roman" w:hAnsi="Times New Roman" w:cs="Times New Roman"/>
          <w:sz w:val="20"/>
          <w:szCs w:val="20"/>
          <w:lang w:val="fr-CH"/>
        </w:rPr>
        <w:t>cf.</w:t>
      </w:r>
      <w:proofErr w:type="gramEnd"/>
      <w:r w:rsidRPr="00B376AE">
        <w:rPr>
          <w:rFonts w:ascii="Times New Roman" w:hAnsi="Times New Roman" w:cs="Times New Roman"/>
          <w:sz w:val="20"/>
          <w:szCs w:val="20"/>
          <w:lang w:val="fr-CH"/>
        </w:rPr>
        <w:t> 2.5.1) Non</w:t>
      </w:r>
    </w:p>
    <w:p w14:paraId="3869E691" w14:textId="5FF3BA8C" w:rsidR="0040737F" w:rsidRPr="00B376AE" w:rsidRDefault="0040737F" w:rsidP="0040737F">
      <w:pPr>
        <w:pStyle w:val="ListParagraph"/>
        <w:spacing w:after="120"/>
        <w:rPr>
          <w:rFonts w:ascii="Times New Roman" w:hAnsi="Times New Roman" w:cs="Times New Roman"/>
          <w:sz w:val="20"/>
          <w:szCs w:val="20"/>
          <w:lang w:val="fr-CH"/>
        </w:rPr>
      </w:pPr>
      <w:r w:rsidRPr="00B376AE">
        <w:rPr>
          <w:rFonts w:ascii="Times New Roman" w:hAnsi="Times New Roman" w:cs="Times New Roman"/>
          <w:sz w:val="20"/>
          <w:szCs w:val="20"/>
          <w:lang w:val="fr-CH"/>
        </w:rPr>
        <w:t>4.10</w:t>
      </w:r>
      <w:r w:rsidR="00EA468F">
        <w:rPr>
          <w:rFonts w:ascii="Times New Roman" w:hAnsi="Times New Roman" w:cs="Times New Roman"/>
          <w:sz w:val="20"/>
          <w:szCs w:val="20"/>
          <w:lang w:val="fr-CH"/>
        </w:rPr>
        <w:tab/>
      </w:r>
      <w:r w:rsidRPr="00B376AE">
        <w:rPr>
          <w:rFonts w:ascii="Times New Roman" w:hAnsi="Times New Roman" w:cs="Times New Roman"/>
          <w:sz w:val="20"/>
          <w:szCs w:val="20"/>
          <w:lang w:val="fr-CH"/>
        </w:rPr>
        <w:t xml:space="preserve">Action corrosive sur le matériau des emballages (cf. 2.8) : </w:t>
      </w:r>
      <w:r w:rsidRPr="00B376AE">
        <w:rPr>
          <w:rFonts w:ascii="Times New Roman" w:hAnsi="Times New Roman" w:cs="Times New Roman"/>
          <w:b/>
          <w:bCs/>
          <w:sz w:val="20"/>
          <w:szCs w:val="20"/>
          <w:lang w:val="fr-CH"/>
        </w:rPr>
        <w:t xml:space="preserve">Cette matière ne présente aucune propriété </w:t>
      </w:r>
      <w:r w:rsidR="00EA468F">
        <w:rPr>
          <w:rFonts w:ascii="Times New Roman" w:hAnsi="Times New Roman" w:cs="Times New Roman"/>
          <w:b/>
          <w:bCs/>
          <w:sz w:val="20"/>
          <w:szCs w:val="20"/>
          <w:lang w:val="fr-CH"/>
        </w:rPr>
        <w:tab/>
      </w:r>
      <w:r w:rsidRPr="00B376AE">
        <w:rPr>
          <w:rFonts w:ascii="Times New Roman" w:hAnsi="Times New Roman" w:cs="Times New Roman"/>
          <w:b/>
          <w:bCs/>
          <w:sz w:val="20"/>
          <w:szCs w:val="20"/>
          <w:lang w:val="fr-CH"/>
        </w:rPr>
        <w:t>corrosive.</w:t>
      </w:r>
    </w:p>
    <w:p w14:paraId="51BF273C" w14:textId="77777777" w:rsidR="0040737F" w:rsidRPr="00B376AE" w:rsidRDefault="0040737F" w:rsidP="0040737F">
      <w:pPr>
        <w:pStyle w:val="ListParagraph"/>
        <w:spacing w:after="120"/>
        <w:ind w:left="1440"/>
        <w:rPr>
          <w:rFonts w:ascii="Times New Roman" w:hAnsi="Times New Roman" w:cs="Times New Roman"/>
          <w:sz w:val="20"/>
          <w:szCs w:val="20"/>
          <w:lang w:val="fr-CH"/>
        </w:rPr>
      </w:pPr>
      <w:r w:rsidRPr="00B376AE">
        <w:rPr>
          <w:rFonts w:ascii="Times New Roman" w:hAnsi="Times New Roman" w:cs="Times New Roman"/>
          <w:sz w:val="20"/>
          <w:szCs w:val="20"/>
          <w:lang w:val="fr-CH"/>
        </w:rPr>
        <w:t>4.10.1 Acier doux ……</w:t>
      </w:r>
      <w:proofErr w:type="gramStart"/>
      <w:r w:rsidRPr="00B376AE">
        <w:rPr>
          <w:rFonts w:ascii="Times New Roman" w:hAnsi="Times New Roman" w:cs="Times New Roman"/>
          <w:sz w:val="20"/>
          <w:szCs w:val="20"/>
          <w:lang w:val="fr-CH"/>
        </w:rPr>
        <w:t>…….</w:t>
      </w:r>
      <w:proofErr w:type="gramEnd"/>
      <w:r w:rsidRPr="00B376AE">
        <w:rPr>
          <w:rFonts w:ascii="Times New Roman" w:hAnsi="Times New Roman" w:cs="Times New Roman"/>
          <w:sz w:val="20"/>
          <w:szCs w:val="20"/>
          <w:lang w:val="fr-CH"/>
        </w:rPr>
        <w:t>mm par an à ………………………………. °C sans objet</w:t>
      </w:r>
    </w:p>
    <w:p w14:paraId="2D510B7B" w14:textId="24486427" w:rsidR="0040737F" w:rsidRPr="00B376AE" w:rsidRDefault="0040737F" w:rsidP="0040737F">
      <w:pPr>
        <w:pStyle w:val="ListParagraph"/>
        <w:spacing w:after="120"/>
        <w:ind w:left="1440"/>
        <w:rPr>
          <w:rFonts w:ascii="Times New Roman" w:hAnsi="Times New Roman" w:cs="Times New Roman"/>
          <w:sz w:val="20"/>
          <w:szCs w:val="20"/>
          <w:lang w:val="fr-CH"/>
        </w:rPr>
      </w:pPr>
      <w:r w:rsidRPr="00B376AE">
        <w:rPr>
          <w:rFonts w:ascii="Times New Roman" w:hAnsi="Times New Roman" w:cs="Times New Roman"/>
          <w:sz w:val="20"/>
          <w:szCs w:val="20"/>
          <w:lang w:val="fr-CH"/>
        </w:rPr>
        <w:t>4.10.2 Aluminium ………… mm par an à ………………………………. °C sans objet</w:t>
      </w:r>
    </w:p>
    <w:p w14:paraId="193229A1" w14:textId="3FB24622" w:rsidR="0040737F" w:rsidRPr="00B376AE" w:rsidRDefault="0040737F" w:rsidP="0040737F">
      <w:pPr>
        <w:pStyle w:val="ListParagraph"/>
        <w:spacing w:after="120"/>
        <w:ind w:left="1440"/>
        <w:rPr>
          <w:rFonts w:ascii="Times New Roman" w:hAnsi="Times New Roman" w:cs="Times New Roman"/>
          <w:sz w:val="20"/>
          <w:szCs w:val="20"/>
          <w:lang w:val="fr-CH"/>
        </w:rPr>
      </w:pPr>
      <w:r w:rsidRPr="005F149D">
        <w:rPr>
          <w:rFonts w:ascii="Times New Roman" w:hAnsi="Times New Roman" w:cs="Times New Roman"/>
          <w:sz w:val="20"/>
          <w:szCs w:val="20"/>
          <w:lang w:val="fr-CH"/>
        </w:rPr>
        <w:t>4.10.3</w:t>
      </w:r>
      <w:r w:rsidR="00EA468F" w:rsidRPr="005F149D">
        <w:rPr>
          <w:rFonts w:ascii="Times New Roman" w:hAnsi="Times New Roman" w:cs="Times New Roman"/>
          <w:bCs/>
          <w:sz w:val="20"/>
          <w:szCs w:val="20"/>
          <w:lang w:val="fr-FR"/>
        </w:rPr>
        <w:t xml:space="preserve"> </w:t>
      </w:r>
      <w:r w:rsidRPr="005F149D">
        <w:rPr>
          <w:rFonts w:ascii="Times New Roman" w:hAnsi="Times New Roman" w:cs="Times New Roman"/>
          <w:sz w:val="20"/>
          <w:szCs w:val="20"/>
          <w:lang w:val="fr-CH"/>
        </w:rPr>
        <w:t>Autres matériaux d</w:t>
      </w:r>
      <w:r w:rsidR="004962C9" w:rsidRPr="005F149D">
        <w:rPr>
          <w:rFonts w:ascii="Times New Roman" w:hAnsi="Times New Roman" w:cs="Times New Roman"/>
          <w:sz w:val="20"/>
          <w:szCs w:val="20"/>
          <w:lang w:val="fr-CH"/>
        </w:rPr>
        <w:t>’</w:t>
      </w:r>
      <w:r w:rsidRPr="005F149D">
        <w:rPr>
          <w:rFonts w:ascii="Times New Roman" w:hAnsi="Times New Roman" w:cs="Times New Roman"/>
          <w:sz w:val="20"/>
          <w:szCs w:val="20"/>
          <w:lang w:val="fr-CH"/>
        </w:rPr>
        <w:t>emballage (à préciser)</w:t>
      </w:r>
    </w:p>
    <w:p w14:paraId="3473C4F4" w14:textId="77777777" w:rsidR="0040737F" w:rsidRPr="00B376AE" w:rsidRDefault="0040737F" w:rsidP="0040737F">
      <w:pPr>
        <w:pStyle w:val="ListParagraph"/>
        <w:spacing w:after="120"/>
        <w:ind w:left="2160"/>
        <w:rPr>
          <w:rFonts w:ascii="Times New Roman" w:hAnsi="Times New Roman" w:cs="Times New Roman"/>
          <w:sz w:val="20"/>
          <w:szCs w:val="20"/>
          <w:lang w:val="fr-CH"/>
        </w:rPr>
      </w:pPr>
      <w:r w:rsidRPr="00B376AE">
        <w:rPr>
          <w:rFonts w:ascii="Times New Roman" w:hAnsi="Times New Roman" w:cs="Times New Roman"/>
          <w:sz w:val="20"/>
          <w:szCs w:val="20"/>
          <w:lang w:val="fr-CH"/>
        </w:rPr>
        <w:t xml:space="preserve">………………. </w:t>
      </w:r>
      <w:proofErr w:type="gramStart"/>
      <w:r w:rsidRPr="00B376AE">
        <w:rPr>
          <w:rFonts w:ascii="Times New Roman" w:hAnsi="Times New Roman" w:cs="Times New Roman"/>
          <w:sz w:val="20"/>
          <w:szCs w:val="20"/>
          <w:lang w:val="fr-CH"/>
        </w:rPr>
        <w:t>mm</w:t>
      </w:r>
      <w:proofErr w:type="gramEnd"/>
      <w:r w:rsidRPr="00B376AE">
        <w:rPr>
          <w:rFonts w:ascii="Times New Roman" w:hAnsi="Times New Roman" w:cs="Times New Roman"/>
          <w:sz w:val="20"/>
          <w:szCs w:val="20"/>
          <w:lang w:val="fr-CH"/>
        </w:rPr>
        <w:t xml:space="preserve"> par an à ………………………………. °C</w:t>
      </w:r>
    </w:p>
    <w:p w14:paraId="585798B6" w14:textId="77777777" w:rsidR="0040737F" w:rsidRPr="00B376AE" w:rsidRDefault="0040737F" w:rsidP="0040737F">
      <w:pPr>
        <w:pStyle w:val="ListParagraph"/>
        <w:spacing w:after="120"/>
        <w:ind w:left="2160"/>
        <w:rPr>
          <w:rFonts w:ascii="Times New Roman" w:hAnsi="Times New Roman" w:cs="Times New Roman"/>
          <w:sz w:val="20"/>
          <w:szCs w:val="20"/>
          <w:lang w:val="fr-CH"/>
        </w:rPr>
      </w:pPr>
      <w:r w:rsidRPr="00B376AE">
        <w:rPr>
          <w:rFonts w:ascii="Times New Roman" w:hAnsi="Times New Roman" w:cs="Times New Roman"/>
          <w:sz w:val="20"/>
          <w:szCs w:val="20"/>
          <w:lang w:val="fr-CH"/>
        </w:rPr>
        <w:t xml:space="preserve">………………. </w:t>
      </w:r>
      <w:proofErr w:type="gramStart"/>
      <w:r w:rsidRPr="00B376AE">
        <w:rPr>
          <w:rFonts w:ascii="Times New Roman" w:hAnsi="Times New Roman" w:cs="Times New Roman"/>
          <w:sz w:val="20"/>
          <w:szCs w:val="20"/>
          <w:lang w:val="fr-CH"/>
        </w:rPr>
        <w:t>mm</w:t>
      </w:r>
      <w:proofErr w:type="gramEnd"/>
      <w:r w:rsidRPr="00B376AE">
        <w:rPr>
          <w:rFonts w:ascii="Times New Roman" w:hAnsi="Times New Roman" w:cs="Times New Roman"/>
          <w:sz w:val="20"/>
          <w:szCs w:val="20"/>
          <w:lang w:val="fr-CH"/>
        </w:rPr>
        <w:t xml:space="preserve"> par an à ………………………………. °C</w:t>
      </w:r>
    </w:p>
    <w:p w14:paraId="338A5051" w14:textId="77777777" w:rsidR="0040737F" w:rsidRPr="00B376AE" w:rsidRDefault="0040737F" w:rsidP="0040737F">
      <w:pPr>
        <w:pStyle w:val="ListParagraph"/>
        <w:spacing w:after="120"/>
        <w:rPr>
          <w:rFonts w:ascii="Times New Roman" w:hAnsi="Times New Roman" w:cs="Times New Roman"/>
          <w:sz w:val="20"/>
          <w:szCs w:val="20"/>
          <w:lang w:val="fr-CH"/>
        </w:rPr>
      </w:pPr>
      <w:r w:rsidRPr="00B376AE">
        <w:rPr>
          <w:rFonts w:ascii="Times New Roman" w:hAnsi="Times New Roman" w:cs="Times New Roman"/>
          <w:sz w:val="20"/>
          <w:szCs w:val="20"/>
          <w:lang w:val="fr-CH"/>
        </w:rPr>
        <w:t>4.11 Autres propriétés chimiques pertinentes : sans objet</w:t>
      </w:r>
    </w:p>
    <w:p w14:paraId="5C37F0DE" w14:textId="77777777" w:rsidR="0040737F" w:rsidRPr="00B376AE" w:rsidRDefault="0040737F" w:rsidP="0040737F">
      <w:pPr>
        <w:pStyle w:val="ListParagraph"/>
        <w:spacing w:after="120"/>
        <w:ind w:left="0"/>
        <w:rPr>
          <w:rFonts w:ascii="Times New Roman" w:hAnsi="Times New Roman" w:cs="Times New Roman"/>
          <w:b/>
          <w:bCs/>
          <w:sz w:val="20"/>
          <w:szCs w:val="20"/>
          <w:lang w:val="fr-CH"/>
        </w:rPr>
      </w:pPr>
    </w:p>
    <w:p w14:paraId="69204C63" w14:textId="77777777" w:rsidR="0040737F" w:rsidRPr="00B376AE" w:rsidRDefault="0040737F" w:rsidP="0040737F">
      <w:pPr>
        <w:pStyle w:val="ListParagraph"/>
        <w:spacing w:after="120"/>
        <w:ind w:left="0"/>
        <w:rPr>
          <w:rFonts w:ascii="Times New Roman" w:hAnsi="Times New Roman" w:cs="Times New Roman"/>
          <w:b/>
          <w:bCs/>
          <w:sz w:val="20"/>
          <w:szCs w:val="20"/>
          <w:lang w:val="fr-CH"/>
        </w:rPr>
      </w:pPr>
      <w:r w:rsidRPr="00B376AE">
        <w:rPr>
          <w:rFonts w:ascii="Times New Roman" w:hAnsi="Times New Roman" w:cs="Times New Roman"/>
          <w:b/>
          <w:bCs/>
          <w:sz w:val="20"/>
          <w:szCs w:val="20"/>
          <w:lang w:val="fr-CH"/>
        </w:rPr>
        <w:t>Section 5. EFFETS BIOLOGIQUES NOCIFS</w:t>
      </w:r>
    </w:p>
    <w:p w14:paraId="171F66B5" w14:textId="77459149" w:rsidR="0040737F" w:rsidRPr="00B376AE" w:rsidRDefault="0040737F" w:rsidP="0040737F">
      <w:pPr>
        <w:pStyle w:val="ListParagraph"/>
        <w:spacing w:after="120"/>
        <w:rPr>
          <w:rFonts w:ascii="Times New Roman" w:hAnsi="Times New Roman" w:cs="Times New Roman"/>
          <w:sz w:val="20"/>
          <w:szCs w:val="20"/>
          <w:lang w:val="fr-CH"/>
        </w:rPr>
      </w:pPr>
      <w:r w:rsidRPr="00B376AE">
        <w:rPr>
          <w:rFonts w:ascii="Times New Roman" w:hAnsi="Times New Roman" w:cs="Times New Roman"/>
          <w:sz w:val="20"/>
          <w:szCs w:val="20"/>
          <w:lang w:val="fr-CH"/>
        </w:rPr>
        <w:t>5.1</w:t>
      </w:r>
      <w:r w:rsidR="00EA468F">
        <w:rPr>
          <w:rFonts w:ascii="Times New Roman" w:hAnsi="Times New Roman" w:cs="Times New Roman"/>
          <w:sz w:val="20"/>
          <w:szCs w:val="20"/>
          <w:lang w:val="fr-CH"/>
        </w:rPr>
        <w:tab/>
      </w:r>
      <w:r w:rsidRPr="00B376AE">
        <w:rPr>
          <w:rFonts w:ascii="Times New Roman" w:hAnsi="Times New Roman" w:cs="Times New Roman"/>
          <w:sz w:val="20"/>
          <w:szCs w:val="20"/>
          <w:lang w:val="fr-CH"/>
        </w:rPr>
        <w:t>DL</w:t>
      </w:r>
      <w:proofErr w:type="gramStart"/>
      <w:r w:rsidRPr="00B376AE">
        <w:rPr>
          <w:rFonts w:ascii="Times New Roman" w:hAnsi="Times New Roman" w:cs="Times New Roman"/>
          <w:sz w:val="20"/>
          <w:szCs w:val="20"/>
          <w:lang w:val="fr-CH"/>
        </w:rPr>
        <w:t>50  à</w:t>
      </w:r>
      <w:proofErr w:type="gramEnd"/>
      <w:r w:rsidRPr="00B376AE">
        <w:rPr>
          <w:rFonts w:ascii="Times New Roman" w:hAnsi="Times New Roman" w:cs="Times New Roman"/>
          <w:sz w:val="20"/>
          <w:szCs w:val="20"/>
          <w:lang w:val="fr-CH"/>
        </w:rPr>
        <w:t xml:space="preserve"> l</w:t>
      </w:r>
      <w:r w:rsidR="004962C9">
        <w:rPr>
          <w:rFonts w:ascii="Times New Roman" w:hAnsi="Times New Roman" w:cs="Times New Roman"/>
          <w:sz w:val="20"/>
          <w:szCs w:val="20"/>
          <w:lang w:val="fr-CH"/>
        </w:rPr>
        <w:t>’</w:t>
      </w:r>
      <w:r w:rsidRPr="00B376AE">
        <w:rPr>
          <w:rFonts w:ascii="Times New Roman" w:hAnsi="Times New Roman" w:cs="Times New Roman"/>
          <w:sz w:val="20"/>
          <w:szCs w:val="20"/>
          <w:lang w:val="fr-CH"/>
        </w:rPr>
        <w:t>ingestion : (cf. 2.6.2.1.1) 464 mg/kg    animal : Rat</w:t>
      </w:r>
    </w:p>
    <w:p w14:paraId="2AB3E115" w14:textId="3093FA7A" w:rsidR="0040737F" w:rsidRPr="00B376AE" w:rsidRDefault="0040737F" w:rsidP="0040737F">
      <w:pPr>
        <w:pStyle w:val="ListParagraph"/>
        <w:spacing w:after="120"/>
        <w:rPr>
          <w:rFonts w:ascii="Times New Roman" w:hAnsi="Times New Roman" w:cs="Times New Roman"/>
          <w:sz w:val="20"/>
          <w:szCs w:val="20"/>
          <w:lang w:val="fr-CH"/>
        </w:rPr>
      </w:pPr>
      <w:r w:rsidRPr="00B376AE">
        <w:rPr>
          <w:rFonts w:ascii="Times New Roman" w:hAnsi="Times New Roman" w:cs="Times New Roman"/>
          <w:sz w:val="20"/>
          <w:szCs w:val="20"/>
          <w:lang w:val="fr-CH"/>
        </w:rPr>
        <w:t>5.2</w:t>
      </w:r>
      <w:r w:rsidR="00EA468F">
        <w:rPr>
          <w:rFonts w:ascii="Times New Roman" w:hAnsi="Times New Roman" w:cs="Times New Roman"/>
          <w:sz w:val="20"/>
          <w:szCs w:val="20"/>
          <w:lang w:val="fr-CH"/>
        </w:rPr>
        <w:tab/>
      </w:r>
      <w:r w:rsidRPr="00B376AE">
        <w:rPr>
          <w:rFonts w:ascii="Times New Roman" w:hAnsi="Times New Roman" w:cs="Times New Roman"/>
          <w:sz w:val="20"/>
          <w:szCs w:val="20"/>
          <w:lang w:val="fr-CH"/>
        </w:rPr>
        <w:t>DL</w:t>
      </w:r>
      <w:proofErr w:type="gramStart"/>
      <w:r w:rsidRPr="00B376AE">
        <w:rPr>
          <w:rFonts w:ascii="Times New Roman" w:hAnsi="Times New Roman" w:cs="Times New Roman"/>
          <w:sz w:val="20"/>
          <w:szCs w:val="20"/>
          <w:lang w:val="fr-CH"/>
        </w:rPr>
        <w:t>50  à</w:t>
      </w:r>
      <w:proofErr w:type="gramEnd"/>
      <w:r w:rsidRPr="00B376AE">
        <w:rPr>
          <w:rFonts w:ascii="Times New Roman" w:hAnsi="Times New Roman" w:cs="Times New Roman"/>
          <w:sz w:val="20"/>
          <w:szCs w:val="20"/>
          <w:lang w:val="fr-CH"/>
        </w:rPr>
        <w:t xml:space="preserve"> l</w:t>
      </w:r>
      <w:r w:rsidR="004962C9">
        <w:rPr>
          <w:rFonts w:ascii="Times New Roman" w:hAnsi="Times New Roman" w:cs="Times New Roman"/>
          <w:sz w:val="20"/>
          <w:szCs w:val="20"/>
          <w:lang w:val="fr-CH"/>
        </w:rPr>
        <w:t>’</w:t>
      </w:r>
      <w:r w:rsidRPr="00B376AE">
        <w:rPr>
          <w:rFonts w:ascii="Times New Roman" w:hAnsi="Times New Roman" w:cs="Times New Roman"/>
          <w:sz w:val="20"/>
          <w:szCs w:val="20"/>
          <w:lang w:val="fr-CH"/>
        </w:rPr>
        <w:t>absorption cutanée : (cf. 2.6.2.1.2) Indéterminée</w:t>
      </w:r>
    </w:p>
    <w:p w14:paraId="51CEA65D" w14:textId="7B1EDDDE" w:rsidR="0040737F" w:rsidRPr="00B376AE" w:rsidRDefault="0040737F" w:rsidP="0040737F">
      <w:pPr>
        <w:pStyle w:val="ListParagraph"/>
        <w:spacing w:after="120"/>
        <w:rPr>
          <w:rFonts w:ascii="Times New Roman" w:hAnsi="Times New Roman" w:cs="Times New Roman"/>
          <w:sz w:val="20"/>
          <w:szCs w:val="20"/>
          <w:lang w:val="fr-CH"/>
        </w:rPr>
      </w:pPr>
      <w:r w:rsidRPr="00B376AE">
        <w:rPr>
          <w:rFonts w:ascii="Times New Roman" w:hAnsi="Times New Roman" w:cs="Times New Roman"/>
          <w:sz w:val="20"/>
          <w:szCs w:val="20"/>
          <w:lang w:val="fr-CH"/>
        </w:rPr>
        <w:t>5.3</w:t>
      </w:r>
      <w:r w:rsidR="00EA468F">
        <w:rPr>
          <w:rFonts w:ascii="Times New Roman" w:hAnsi="Times New Roman" w:cs="Times New Roman"/>
          <w:sz w:val="20"/>
          <w:szCs w:val="20"/>
          <w:lang w:val="fr-CH"/>
        </w:rPr>
        <w:tab/>
      </w:r>
      <w:r w:rsidRPr="00B376AE">
        <w:rPr>
          <w:rFonts w:ascii="Times New Roman" w:hAnsi="Times New Roman" w:cs="Times New Roman"/>
          <w:sz w:val="20"/>
          <w:szCs w:val="20"/>
          <w:lang w:val="fr-CH"/>
        </w:rPr>
        <w:t>CL</w:t>
      </w:r>
      <w:proofErr w:type="gramStart"/>
      <w:r w:rsidRPr="00B376AE">
        <w:rPr>
          <w:rFonts w:ascii="Times New Roman" w:hAnsi="Times New Roman" w:cs="Times New Roman"/>
          <w:sz w:val="20"/>
          <w:szCs w:val="20"/>
          <w:lang w:val="fr-CH"/>
        </w:rPr>
        <w:t>50  à</w:t>
      </w:r>
      <w:proofErr w:type="gramEnd"/>
      <w:r w:rsidRPr="00B376AE">
        <w:rPr>
          <w:rFonts w:ascii="Times New Roman" w:hAnsi="Times New Roman" w:cs="Times New Roman"/>
          <w:sz w:val="20"/>
          <w:szCs w:val="20"/>
          <w:lang w:val="fr-CH"/>
        </w:rPr>
        <w:t xml:space="preserve"> l</w:t>
      </w:r>
      <w:r w:rsidR="004962C9">
        <w:rPr>
          <w:rFonts w:ascii="Times New Roman" w:hAnsi="Times New Roman" w:cs="Times New Roman"/>
          <w:sz w:val="20"/>
          <w:szCs w:val="20"/>
          <w:lang w:val="fr-CH"/>
        </w:rPr>
        <w:t>’</w:t>
      </w:r>
      <w:r w:rsidRPr="00B376AE">
        <w:rPr>
          <w:rFonts w:ascii="Times New Roman" w:hAnsi="Times New Roman" w:cs="Times New Roman"/>
          <w:sz w:val="20"/>
          <w:szCs w:val="20"/>
          <w:lang w:val="fr-CH"/>
        </w:rPr>
        <w:t>inhalation : (cf. 2.6.2.1.3) 55 mg/l   durée d</w:t>
      </w:r>
      <w:r w:rsidR="004962C9">
        <w:rPr>
          <w:rFonts w:ascii="Times New Roman" w:hAnsi="Times New Roman" w:cs="Times New Roman"/>
          <w:sz w:val="20"/>
          <w:szCs w:val="20"/>
          <w:lang w:val="fr-CH"/>
        </w:rPr>
        <w:t>’</w:t>
      </w:r>
      <w:r w:rsidRPr="00B376AE">
        <w:rPr>
          <w:rFonts w:ascii="Times New Roman" w:hAnsi="Times New Roman" w:cs="Times New Roman"/>
          <w:sz w:val="20"/>
          <w:szCs w:val="20"/>
          <w:lang w:val="fr-CH"/>
        </w:rPr>
        <w:t>exposition : Non indiquée</w:t>
      </w:r>
    </w:p>
    <w:p w14:paraId="7FD11F6A" w14:textId="3247810C" w:rsidR="0040737F" w:rsidRPr="00B376AE" w:rsidRDefault="0040737F" w:rsidP="0040737F">
      <w:pPr>
        <w:pStyle w:val="ListParagraph"/>
        <w:spacing w:after="120"/>
        <w:rPr>
          <w:rFonts w:ascii="Times New Roman" w:hAnsi="Times New Roman" w:cs="Times New Roman"/>
          <w:sz w:val="20"/>
          <w:szCs w:val="20"/>
          <w:lang w:val="fr-CH"/>
        </w:rPr>
      </w:pPr>
      <w:r w:rsidRPr="00B376AE">
        <w:rPr>
          <w:rFonts w:ascii="Times New Roman" w:hAnsi="Times New Roman" w:cs="Times New Roman"/>
          <w:sz w:val="20"/>
          <w:szCs w:val="20"/>
          <w:lang w:val="fr-CH"/>
        </w:rPr>
        <w:t>5.4</w:t>
      </w:r>
      <w:r w:rsidR="00EA468F">
        <w:rPr>
          <w:rFonts w:ascii="Times New Roman" w:hAnsi="Times New Roman" w:cs="Times New Roman"/>
          <w:sz w:val="20"/>
          <w:szCs w:val="20"/>
          <w:lang w:val="fr-CH"/>
        </w:rPr>
        <w:tab/>
      </w:r>
      <w:r w:rsidRPr="00B376AE">
        <w:rPr>
          <w:rFonts w:ascii="Times New Roman" w:hAnsi="Times New Roman" w:cs="Times New Roman"/>
          <w:sz w:val="20"/>
          <w:szCs w:val="20"/>
          <w:lang w:val="fr-CH"/>
        </w:rPr>
        <w:t>Concentration de vapeur saturée à 20 °C : (cf. 2.6.2.2.4.3) Indéterminée</w:t>
      </w:r>
    </w:p>
    <w:p w14:paraId="14AF195A" w14:textId="1DA8C181" w:rsidR="0040737F" w:rsidRPr="00B376AE" w:rsidRDefault="0040737F" w:rsidP="0040737F">
      <w:pPr>
        <w:pStyle w:val="ListParagraph"/>
        <w:spacing w:after="120"/>
        <w:rPr>
          <w:rFonts w:ascii="Times New Roman" w:hAnsi="Times New Roman" w:cs="Times New Roman"/>
          <w:sz w:val="20"/>
          <w:szCs w:val="20"/>
          <w:lang w:val="fr-CH"/>
        </w:rPr>
      </w:pPr>
      <w:r w:rsidRPr="00B376AE">
        <w:rPr>
          <w:rFonts w:ascii="Times New Roman" w:hAnsi="Times New Roman" w:cs="Times New Roman"/>
          <w:sz w:val="20"/>
          <w:szCs w:val="20"/>
          <w:lang w:val="fr-CH"/>
        </w:rPr>
        <w:t>5.5</w:t>
      </w:r>
      <w:r w:rsidR="00EA468F">
        <w:rPr>
          <w:rFonts w:ascii="Times New Roman" w:hAnsi="Times New Roman" w:cs="Times New Roman"/>
          <w:sz w:val="20"/>
          <w:szCs w:val="20"/>
          <w:lang w:val="fr-CH"/>
        </w:rPr>
        <w:tab/>
      </w:r>
      <w:r w:rsidRPr="00B376AE">
        <w:rPr>
          <w:rFonts w:ascii="Times New Roman" w:hAnsi="Times New Roman" w:cs="Times New Roman"/>
          <w:sz w:val="20"/>
          <w:szCs w:val="20"/>
          <w:lang w:val="fr-CH"/>
        </w:rPr>
        <w:t>Résultats des essais cutanés (cf. 2.8) : Indéterminés</w:t>
      </w:r>
    </w:p>
    <w:p w14:paraId="1C6C3E48" w14:textId="1AD453A3" w:rsidR="0040737F" w:rsidRPr="00B376AE" w:rsidRDefault="0040737F" w:rsidP="0040737F">
      <w:pPr>
        <w:pStyle w:val="ListParagraph"/>
        <w:spacing w:after="120"/>
        <w:rPr>
          <w:rFonts w:ascii="Times New Roman" w:hAnsi="Times New Roman" w:cs="Times New Roman"/>
          <w:sz w:val="20"/>
          <w:szCs w:val="20"/>
          <w:lang w:val="fr-CH"/>
        </w:rPr>
      </w:pPr>
      <w:r w:rsidRPr="00B376AE">
        <w:rPr>
          <w:rFonts w:ascii="Times New Roman" w:hAnsi="Times New Roman" w:cs="Times New Roman"/>
          <w:sz w:val="20"/>
          <w:szCs w:val="20"/>
          <w:lang w:val="fr-CH"/>
        </w:rPr>
        <w:t>5.6</w:t>
      </w:r>
      <w:r w:rsidR="00EA468F">
        <w:rPr>
          <w:rFonts w:ascii="Times New Roman" w:hAnsi="Times New Roman" w:cs="Times New Roman"/>
          <w:sz w:val="20"/>
          <w:szCs w:val="20"/>
          <w:lang w:val="fr-CH"/>
        </w:rPr>
        <w:tab/>
      </w:r>
      <w:r w:rsidRPr="00B376AE">
        <w:rPr>
          <w:rFonts w:ascii="Times New Roman" w:hAnsi="Times New Roman" w:cs="Times New Roman"/>
          <w:sz w:val="20"/>
          <w:szCs w:val="20"/>
          <w:lang w:val="fr-CH"/>
        </w:rPr>
        <w:t>Autres données : sans objet</w:t>
      </w:r>
    </w:p>
    <w:p w14:paraId="7F9E068D" w14:textId="3904271D" w:rsidR="0040737F" w:rsidRPr="00B376AE" w:rsidRDefault="0040737F" w:rsidP="0040737F">
      <w:pPr>
        <w:pStyle w:val="ListParagraph"/>
        <w:spacing w:after="120"/>
        <w:rPr>
          <w:rFonts w:ascii="Times New Roman" w:hAnsi="Times New Roman" w:cs="Times New Roman"/>
          <w:sz w:val="20"/>
          <w:szCs w:val="20"/>
          <w:lang w:val="fr-CH"/>
        </w:rPr>
      </w:pPr>
      <w:r w:rsidRPr="00B376AE">
        <w:rPr>
          <w:rFonts w:ascii="Times New Roman" w:hAnsi="Times New Roman" w:cs="Times New Roman"/>
          <w:sz w:val="20"/>
          <w:szCs w:val="20"/>
          <w:lang w:val="fr-CH"/>
        </w:rPr>
        <w:t>5.7</w:t>
      </w:r>
      <w:r w:rsidR="00EA468F">
        <w:rPr>
          <w:rFonts w:ascii="Times New Roman" w:hAnsi="Times New Roman" w:cs="Times New Roman"/>
          <w:sz w:val="20"/>
          <w:szCs w:val="20"/>
          <w:lang w:val="fr-CH"/>
        </w:rPr>
        <w:tab/>
      </w:r>
      <w:r w:rsidRPr="00B376AE">
        <w:rPr>
          <w:rFonts w:ascii="Times New Roman" w:hAnsi="Times New Roman" w:cs="Times New Roman"/>
          <w:sz w:val="20"/>
          <w:szCs w:val="20"/>
          <w:lang w:val="fr-CH"/>
        </w:rPr>
        <w:t>Effets sur l</w:t>
      </w:r>
      <w:r w:rsidR="004962C9">
        <w:rPr>
          <w:rFonts w:ascii="Times New Roman" w:hAnsi="Times New Roman" w:cs="Times New Roman"/>
          <w:sz w:val="20"/>
          <w:szCs w:val="20"/>
          <w:lang w:val="fr-CH"/>
        </w:rPr>
        <w:t>’</w:t>
      </w:r>
      <w:r w:rsidRPr="00B376AE">
        <w:rPr>
          <w:rFonts w:ascii="Times New Roman" w:hAnsi="Times New Roman" w:cs="Times New Roman"/>
          <w:sz w:val="20"/>
          <w:szCs w:val="20"/>
          <w:lang w:val="fr-CH"/>
        </w:rPr>
        <w:t>homme : Indéterminés</w:t>
      </w:r>
    </w:p>
    <w:p w14:paraId="6C6E4A7A" w14:textId="77777777" w:rsidR="0040737F" w:rsidRPr="00B376AE" w:rsidRDefault="0040737F" w:rsidP="0040737F">
      <w:pPr>
        <w:pStyle w:val="ListParagraph"/>
        <w:spacing w:after="120"/>
        <w:ind w:left="0"/>
        <w:rPr>
          <w:rFonts w:ascii="Times New Roman" w:hAnsi="Times New Roman" w:cs="Times New Roman"/>
          <w:b/>
          <w:bCs/>
          <w:sz w:val="20"/>
          <w:szCs w:val="20"/>
          <w:lang w:val="fr-CH"/>
        </w:rPr>
      </w:pPr>
    </w:p>
    <w:p w14:paraId="5E2C22E1" w14:textId="77777777" w:rsidR="0040737F" w:rsidRPr="00B376AE" w:rsidRDefault="0040737F" w:rsidP="0040737F">
      <w:pPr>
        <w:pStyle w:val="ListParagraph"/>
        <w:spacing w:after="120"/>
        <w:ind w:left="0"/>
        <w:rPr>
          <w:rFonts w:ascii="Times New Roman" w:hAnsi="Times New Roman" w:cs="Times New Roman"/>
          <w:b/>
          <w:bCs/>
          <w:sz w:val="20"/>
          <w:szCs w:val="20"/>
          <w:lang w:val="fr-CH"/>
        </w:rPr>
      </w:pPr>
      <w:r w:rsidRPr="00B376AE">
        <w:rPr>
          <w:rFonts w:ascii="Times New Roman" w:hAnsi="Times New Roman" w:cs="Times New Roman"/>
          <w:b/>
          <w:bCs/>
          <w:sz w:val="20"/>
          <w:szCs w:val="20"/>
          <w:lang w:val="fr-CH"/>
        </w:rPr>
        <w:t>Section 6. INFORMATIONS COMPLÉMENTAIRES</w:t>
      </w:r>
    </w:p>
    <w:p w14:paraId="5E42F59E" w14:textId="206EF2DD" w:rsidR="0040737F" w:rsidRPr="00B376AE" w:rsidRDefault="0040737F" w:rsidP="0040737F">
      <w:pPr>
        <w:pStyle w:val="ListParagraph"/>
        <w:spacing w:after="120"/>
        <w:rPr>
          <w:rFonts w:ascii="Times New Roman" w:hAnsi="Times New Roman" w:cs="Times New Roman"/>
          <w:sz w:val="20"/>
          <w:szCs w:val="20"/>
          <w:lang w:val="fr-CH"/>
        </w:rPr>
      </w:pPr>
      <w:r w:rsidRPr="00B376AE">
        <w:rPr>
          <w:rFonts w:ascii="Times New Roman" w:hAnsi="Times New Roman" w:cs="Times New Roman"/>
          <w:sz w:val="20"/>
          <w:szCs w:val="20"/>
          <w:lang w:val="fr-CH"/>
        </w:rPr>
        <w:t>6.1</w:t>
      </w:r>
      <w:r w:rsidR="00EA468F">
        <w:rPr>
          <w:rFonts w:ascii="Times New Roman" w:hAnsi="Times New Roman" w:cs="Times New Roman"/>
          <w:sz w:val="20"/>
          <w:szCs w:val="20"/>
          <w:lang w:val="fr-CH"/>
        </w:rPr>
        <w:tab/>
      </w:r>
      <w:r w:rsidRPr="00B376AE">
        <w:rPr>
          <w:rFonts w:ascii="Times New Roman" w:hAnsi="Times New Roman" w:cs="Times New Roman"/>
          <w:sz w:val="20"/>
          <w:szCs w:val="20"/>
          <w:lang w:val="fr-CH"/>
        </w:rPr>
        <w:t>Mesures recommandées en cas d</w:t>
      </w:r>
      <w:r w:rsidR="004962C9">
        <w:rPr>
          <w:rFonts w:ascii="Times New Roman" w:hAnsi="Times New Roman" w:cs="Times New Roman"/>
          <w:sz w:val="20"/>
          <w:szCs w:val="20"/>
          <w:lang w:val="fr-CH"/>
        </w:rPr>
        <w:t>’</w:t>
      </w:r>
      <w:r w:rsidRPr="00B376AE">
        <w:rPr>
          <w:rFonts w:ascii="Times New Roman" w:hAnsi="Times New Roman" w:cs="Times New Roman"/>
          <w:sz w:val="20"/>
          <w:szCs w:val="20"/>
          <w:lang w:val="fr-CH"/>
        </w:rPr>
        <w:t>urgence</w:t>
      </w:r>
    </w:p>
    <w:p w14:paraId="49D58D1C" w14:textId="5A3B953D" w:rsidR="0040737F" w:rsidRPr="00B376AE" w:rsidRDefault="0040737F" w:rsidP="0040737F">
      <w:pPr>
        <w:pStyle w:val="ListParagraph"/>
        <w:spacing w:after="120"/>
        <w:ind w:left="1440"/>
        <w:rPr>
          <w:rFonts w:ascii="Times New Roman" w:hAnsi="Times New Roman" w:cs="Times New Roman"/>
          <w:sz w:val="20"/>
          <w:szCs w:val="20"/>
          <w:lang w:val="fr-CH"/>
        </w:rPr>
      </w:pPr>
      <w:r w:rsidRPr="00B376AE">
        <w:rPr>
          <w:rFonts w:ascii="Times New Roman" w:hAnsi="Times New Roman" w:cs="Times New Roman"/>
          <w:sz w:val="20"/>
          <w:szCs w:val="20"/>
          <w:lang w:val="fr-CH"/>
        </w:rPr>
        <w:t>6.1.1Incendie (indiquer les agents d</w:t>
      </w:r>
      <w:r w:rsidR="004962C9">
        <w:rPr>
          <w:rFonts w:ascii="Times New Roman" w:hAnsi="Times New Roman" w:cs="Times New Roman"/>
          <w:sz w:val="20"/>
          <w:szCs w:val="20"/>
          <w:lang w:val="fr-CH"/>
        </w:rPr>
        <w:t>’</w:t>
      </w:r>
      <w:r w:rsidRPr="00B376AE">
        <w:rPr>
          <w:rFonts w:ascii="Times New Roman" w:hAnsi="Times New Roman" w:cs="Times New Roman"/>
          <w:sz w:val="20"/>
          <w:szCs w:val="20"/>
          <w:lang w:val="fr-CH"/>
        </w:rPr>
        <w:t>extinction appropriés et ceux à ne pas utiliser) : dioxyde de carbone, produit chimique sec, mousse, brouillard d</w:t>
      </w:r>
      <w:r w:rsidR="004962C9">
        <w:rPr>
          <w:rFonts w:ascii="Times New Roman" w:hAnsi="Times New Roman" w:cs="Times New Roman"/>
          <w:sz w:val="20"/>
          <w:szCs w:val="20"/>
          <w:lang w:val="fr-CH"/>
        </w:rPr>
        <w:t>’</w:t>
      </w:r>
      <w:r w:rsidRPr="00B376AE">
        <w:rPr>
          <w:rFonts w:ascii="Times New Roman" w:hAnsi="Times New Roman" w:cs="Times New Roman"/>
          <w:sz w:val="20"/>
          <w:szCs w:val="20"/>
          <w:lang w:val="fr-CH"/>
        </w:rPr>
        <w:t>eau</w:t>
      </w:r>
    </w:p>
    <w:p w14:paraId="2093356E" w14:textId="0250C75D" w:rsidR="0040737F" w:rsidRPr="00B376AE" w:rsidRDefault="0040737F" w:rsidP="0040737F">
      <w:pPr>
        <w:pStyle w:val="ListParagraph"/>
        <w:spacing w:after="120"/>
        <w:ind w:left="1440"/>
        <w:rPr>
          <w:rFonts w:ascii="Times New Roman" w:hAnsi="Times New Roman" w:cs="Times New Roman"/>
          <w:sz w:val="20"/>
          <w:szCs w:val="20"/>
          <w:lang w:val="fr-CH"/>
        </w:rPr>
      </w:pPr>
      <w:r w:rsidRPr="00B376AE">
        <w:rPr>
          <w:rFonts w:ascii="Times New Roman" w:hAnsi="Times New Roman" w:cs="Times New Roman"/>
          <w:sz w:val="20"/>
          <w:szCs w:val="20"/>
          <w:lang w:val="fr-CH"/>
        </w:rPr>
        <w:t xml:space="preserve">6.1.2 </w:t>
      </w:r>
      <w:r w:rsidRPr="002A07EA">
        <w:rPr>
          <w:rFonts w:ascii="Times New Roman" w:hAnsi="Times New Roman" w:cs="Times New Roman"/>
          <w:sz w:val="20"/>
          <w:szCs w:val="20"/>
          <w:lang w:val="fr-CH"/>
        </w:rPr>
        <w:t>Fuite de matière</w:t>
      </w:r>
      <w:r>
        <w:rPr>
          <w:rFonts w:ascii="Times New Roman" w:hAnsi="Times New Roman" w:cs="Times New Roman"/>
          <w:sz w:val="20"/>
          <w:szCs w:val="20"/>
          <w:lang w:val="fr-CH"/>
        </w:rPr>
        <w:t> </w:t>
      </w:r>
      <w:r w:rsidRPr="00B376AE">
        <w:rPr>
          <w:rFonts w:ascii="Times New Roman" w:hAnsi="Times New Roman" w:cs="Times New Roman"/>
          <w:sz w:val="20"/>
          <w:szCs w:val="20"/>
          <w:lang w:val="fr-CH"/>
        </w:rPr>
        <w:t xml:space="preserve">: </w:t>
      </w:r>
      <w:r>
        <w:rPr>
          <w:rFonts w:ascii="Times New Roman" w:hAnsi="Times New Roman" w:cs="Times New Roman"/>
          <w:sz w:val="20"/>
          <w:szCs w:val="20"/>
          <w:lang w:val="fr-CH"/>
        </w:rPr>
        <w:t>Supprimer toutes les</w:t>
      </w:r>
      <w:r w:rsidRPr="00B376AE">
        <w:rPr>
          <w:rFonts w:ascii="Times New Roman" w:hAnsi="Times New Roman" w:cs="Times New Roman"/>
          <w:sz w:val="20"/>
          <w:szCs w:val="20"/>
          <w:lang w:val="fr-CH"/>
        </w:rPr>
        <w:t xml:space="preserve"> sources </w:t>
      </w:r>
      <w:r>
        <w:rPr>
          <w:rFonts w:ascii="Times New Roman" w:hAnsi="Times New Roman" w:cs="Times New Roman"/>
          <w:sz w:val="20"/>
          <w:szCs w:val="20"/>
          <w:lang w:val="fr-CH"/>
        </w:rPr>
        <w:t>d</w:t>
      </w:r>
      <w:r w:rsidR="004962C9">
        <w:rPr>
          <w:rFonts w:ascii="Times New Roman" w:hAnsi="Times New Roman" w:cs="Times New Roman"/>
          <w:sz w:val="20"/>
          <w:szCs w:val="20"/>
          <w:lang w:val="fr-CH"/>
        </w:rPr>
        <w:t>’</w:t>
      </w:r>
      <w:r>
        <w:rPr>
          <w:rFonts w:ascii="Times New Roman" w:hAnsi="Times New Roman" w:cs="Times New Roman"/>
          <w:sz w:val="20"/>
          <w:szCs w:val="20"/>
          <w:lang w:val="fr-CH"/>
        </w:rPr>
        <w:t>inflammation</w:t>
      </w:r>
      <w:r w:rsidRPr="00B376AE">
        <w:rPr>
          <w:rFonts w:ascii="Times New Roman" w:hAnsi="Times New Roman" w:cs="Times New Roman"/>
          <w:sz w:val="20"/>
          <w:szCs w:val="20"/>
          <w:lang w:val="fr-CH"/>
        </w:rPr>
        <w:t xml:space="preserve">. </w:t>
      </w:r>
      <w:r>
        <w:rPr>
          <w:rFonts w:ascii="Times New Roman" w:hAnsi="Times New Roman" w:cs="Times New Roman"/>
          <w:sz w:val="20"/>
          <w:szCs w:val="20"/>
          <w:lang w:val="fr-CH"/>
        </w:rPr>
        <w:t>Éviter de respirer les poussières et les maintenir au plus bas niveau possible</w:t>
      </w:r>
      <w:r w:rsidRPr="00B376AE">
        <w:rPr>
          <w:rFonts w:ascii="Times New Roman" w:hAnsi="Times New Roman" w:cs="Times New Roman"/>
          <w:sz w:val="20"/>
          <w:szCs w:val="20"/>
          <w:lang w:val="fr-CH"/>
        </w:rPr>
        <w:t xml:space="preserve">. </w:t>
      </w:r>
      <w:r>
        <w:rPr>
          <w:rFonts w:ascii="Times New Roman" w:hAnsi="Times New Roman" w:cs="Times New Roman"/>
          <w:sz w:val="20"/>
          <w:szCs w:val="20"/>
          <w:lang w:val="fr-CH"/>
        </w:rPr>
        <w:t>Humidifier avec de l</w:t>
      </w:r>
      <w:r w:rsidR="004962C9">
        <w:rPr>
          <w:rFonts w:ascii="Times New Roman" w:hAnsi="Times New Roman" w:cs="Times New Roman"/>
          <w:sz w:val="20"/>
          <w:szCs w:val="20"/>
          <w:lang w:val="fr-CH"/>
        </w:rPr>
        <w:t>’</w:t>
      </w:r>
      <w:r>
        <w:rPr>
          <w:rFonts w:ascii="Times New Roman" w:hAnsi="Times New Roman" w:cs="Times New Roman"/>
          <w:sz w:val="20"/>
          <w:szCs w:val="20"/>
          <w:lang w:val="fr-CH"/>
        </w:rPr>
        <w:t>eau si nécessaire</w:t>
      </w:r>
      <w:r w:rsidRPr="00B376AE">
        <w:rPr>
          <w:rFonts w:ascii="Times New Roman" w:hAnsi="Times New Roman" w:cs="Times New Roman"/>
          <w:sz w:val="20"/>
          <w:szCs w:val="20"/>
          <w:lang w:val="fr-CH"/>
        </w:rPr>
        <w:t xml:space="preserve">. </w:t>
      </w:r>
      <w:r>
        <w:rPr>
          <w:rFonts w:ascii="Times New Roman" w:hAnsi="Times New Roman" w:cs="Times New Roman"/>
          <w:sz w:val="20"/>
          <w:szCs w:val="20"/>
          <w:lang w:val="fr-CH"/>
        </w:rPr>
        <w:t>Maîtriser et éliminer</w:t>
      </w:r>
      <w:r w:rsidRPr="00B376AE">
        <w:rPr>
          <w:rFonts w:ascii="Times New Roman" w:hAnsi="Times New Roman" w:cs="Times New Roman"/>
          <w:sz w:val="20"/>
          <w:szCs w:val="20"/>
          <w:lang w:val="fr-CH"/>
        </w:rPr>
        <w:t xml:space="preserve"> </w:t>
      </w:r>
      <w:r>
        <w:rPr>
          <w:rFonts w:ascii="Times New Roman" w:hAnsi="Times New Roman" w:cs="Times New Roman"/>
          <w:sz w:val="20"/>
          <w:szCs w:val="20"/>
          <w:lang w:val="fr-CH"/>
        </w:rPr>
        <w:t>à l</w:t>
      </w:r>
      <w:r w:rsidR="004962C9">
        <w:rPr>
          <w:rFonts w:ascii="Times New Roman" w:hAnsi="Times New Roman" w:cs="Times New Roman"/>
          <w:sz w:val="20"/>
          <w:szCs w:val="20"/>
          <w:lang w:val="fr-CH"/>
        </w:rPr>
        <w:t>’</w:t>
      </w:r>
      <w:r>
        <w:rPr>
          <w:rFonts w:ascii="Times New Roman" w:hAnsi="Times New Roman" w:cs="Times New Roman"/>
          <w:sz w:val="20"/>
          <w:szCs w:val="20"/>
          <w:lang w:val="fr-CH"/>
        </w:rPr>
        <w:t>aide d</w:t>
      </w:r>
      <w:r w:rsidR="004962C9">
        <w:rPr>
          <w:rFonts w:ascii="Times New Roman" w:hAnsi="Times New Roman" w:cs="Times New Roman"/>
          <w:sz w:val="20"/>
          <w:szCs w:val="20"/>
          <w:lang w:val="fr-CH"/>
        </w:rPr>
        <w:t>’</w:t>
      </w:r>
      <w:r>
        <w:rPr>
          <w:rFonts w:ascii="Times New Roman" w:hAnsi="Times New Roman" w:cs="Times New Roman"/>
          <w:sz w:val="20"/>
          <w:szCs w:val="20"/>
          <w:lang w:val="fr-CH"/>
        </w:rPr>
        <w:t>un balai et d</w:t>
      </w:r>
      <w:r w:rsidR="004962C9">
        <w:rPr>
          <w:rFonts w:ascii="Times New Roman" w:hAnsi="Times New Roman" w:cs="Times New Roman"/>
          <w:sz w:val="20"/>
          <w:szCs w:val="20"/>
          <w:lang w:val="fr-CH"/>
        </w:rPr>
        <w:t>’</w:t>
      </w:r>
      <w:r>
        <w:rPr>
          <w:rFonts w:ascii="Times New Roman" w:hAnsi="Times New Roman" w:cs="Times New Roman"/>
          <w:sz w:val="20"/>
          <w:szCs w:val="20"/>
          <w:lang w:val="fr-CH"/>
        </w:rPr>
        <w:t>outils qui ne produisent pas d</w:t>
      </w:r>
      <w:r w:rsidR="004962C9">
        <w:rPr>
          <w:rFonts w:ascii="Times New Roman" w:hAnsi="Times New Roman" w:cs="Times New Roman"/>
          <w:sz w:val="20"/>
          <w:szCs w:val="20"/>
          <w:lang w:val="fr-CH"/>
        </w:rPr>
        <w:t>’</w:t>
      </w:r>
      <w:r>
        <w:rPr>
          <w:rFonts w:ascii="Times New Roman" w:hAnsi="Times New Roman" w:cs="Times New Roman"/>
          <w:sz w:val="20"/>
          <w:szCs w:val="20"/>
          <w:lang w:val="fr-CH"/>
        </w:rPr>
        <w:t>étincelles</w:t>
      </w:r>
      <w:r w:rsidRPr="00B376AE">
        <w:rPr>
          <w:rFonts w:ascii="Times New Roman" w:hAnsi="Times New Roman" w:cs="Times New Roman"/>
          <w:sz w:val="20"/>
          <w:szCs w:val="20"/>
          <w:lang w:val="fr-CH"/>
        </w:rPr>
        <w:t>.</w:t>
      </w:r>
    </w:p>
    <w:p w14:paraId="4A7570A9" w14:textId="392D1063" w:rsidR="0040737F" w:rsidRPr="00B376AE" w:rsidRDefault="0040737F" w:rsidP="0040737F">
      <w:pPr>
        <w:pStyle w:val="ListParagraph"/>
        <w:spacing w:after="120"/>
        <w:rPr>
          <w:rFonts w:ascii="Times New Roman" w:hAnsi="Times New Roman" w:cs="Times New Roman"/>
          <w:sz w:val="20"/>
          <w:szCs w:val="20"/>
          <w:lang w:val="fr-CH"/>
        </w:rPr>
      </w:pPr>
      <w:r w:rsidRPr="00B376AE">
        <w:rPr>
          <w:rFonts w:ascii="Times New Roman" w:hAnsi="Times New Roman" w:cs="Times New Roman"/>
          <w:sz w:val="20"/>
          <w:szCs w:val="20"/>
          <w:lang w:val="fr-CH"/>
        </w:rPr>
        <w:t>6.2</w:t>
      </w:r>
      <w:r w:rsidR="00EA468F">
        <w:rPr>
          <w:rFonts w:ascii="Times New Roman" w:hAnsi="Times New Roman" w:cs="Times New Roman"/>
          <w:sz w:val="20"/>
          <w:szCs w:val="20"/>
          <w:lang w:val="fr-CH"/>
        </w:rPr>
        <w:tab/>
      </w:r>
      <w:r w:rsidRPr="00803986">
        <w:rPr>
          <w:rFonts w:ascii="Times New Roman" w:hAnsi="Times New Roman" w:cs="Times New Roman"/>
          <w:sz w:val="20"/>
          <w:szCs w:val="20"/>
          <w:lang w:val="fr-CH"/>
        </w:rPr>
        <w:t>Est-il prévu de transporter la matière en</w:t>
      </w:r>
    </w:p>
    <w:p w14:paraId="166FE9F9" w14:textId="77777777" w:rsidR="0040737F" w:rsidRPr="00B376AE" w:rsidRDefault="0040737F" w:rsidP="0040737F">
      <w:pPr>
        <w:pStyle w:val="ListParagraph"/>
        <w:spacing w:after="120"/>
        <w:ind w:left="1440"/>
        <w:rPr>
          <w:rFonts w:ascii="Times New Roman" w:hAnsi="Times New Roman" w:cs="Times New Roman"/>
          <w:sz w:val="20"/>
          <w:szCs w:val="20"/>
          <w:lang w:val="fr-CH"/>
        </w:rPr>
      </w:pPr>
      <w:r w:rsidRPr="00B376AE">
        <w:rPr>
          <w:rFonts w:ascii="Times New Roman" w:hAnsi="Times New Roman" w:cs="Times New Roman"/>
          <w:sz w:val="20"/>
          <w:szCs w:val="20"/>
          <w:lang w:val="fr-CH"/>
        </w:rPr>
        <w:t xml:space="preserve">6.2.1 </w:t>
      </w:r>
      <w:r w:rsidRPr="00803986">
        <w:rPr>
          <w:rFonts w:ascii="Times New Roman" w:hAnsi="Times New Roman" w:cs="Times New Roman"/>
          <w:sz w:val="20"/>
          <w:szCs w:val="20"/>
          <w:lang w:val="fr-CH"/>
        </w:rPr>
        <w:t xml:space="preserve">Conteneurs pour vrac </w:t>
      </w:r>
      <w:r w:rsidRPr="00B376AE">
        <w:rPr>
          <w:rFonts w:ascii="Times New Roman" w:hAnsi="Times New Roman" w:cs="Times New Roman"/>
          <w:sz w:val="20"/>
          <w:szCs w:val="20"/>
          <w:lang w:val="fr-CH"/>
        </w:rPr>
        <w:t>(cf. 6.8) No</w:t>
      </w:r>
      <w:r>
        <w:rPr>
          <w:rFonts w:ascii="Times New Roman" w:hAnsi="Times New Roman" w:cs="Times New Roman"/>
          <w:sz w:val="20"/>
          <w:szCs w:val="20"/>
          <w:lang w:val="fr-CH"/>
        </w:rPr>
        <w:t>n</w:t>
      </w:r>
    </w:p>
    <w:p w14:paraId="5E6FC27B" w14:textId="77777777" w:rsidR="0040737F" w:rsidRPr="00B376AE" w:rsidRDefault="0040737F" w:rsidP="0040737F">
      <w:pPr>
        <w:pStyle w:val="ListParagraph"/>
        <w:spacing w:after="120"/>
        <w:ind w:left="1440"/>
        <w:rPr>
          <w:rFonts w:ascii="Times New Roman" w:hAnsi="Times New Roman" w:cs="Times New Roman"/>
          <w:sz w:val="20"/>
          <w:szCs w:val="20"/>
          <w:lang w:val="fr-CH"/>
        </w:rPr>
      </w:pPr>
      <w:r w:rsidRPr="00B376AE">
        <w:rPr>
          <w:rFonts w:ascii="Times New Roman" w:hAnsi="Times New Roman" w:cs="Times New Roman"/>
          <w:sz w:val="20"/>
          <w:szCs w:val="20"/>
          <w:lang w:val="fr-CH"/>
        </w:rPr>
        <w:t xml:space="preserve">6.2.2 </w:t>
      </w:r>
      <w:r w:rsidRPr="00803986">
        <w:rPr>
          <w:rFonts w:ascii="Times New Roman" w:hAnsi="Times New Roman" w:cs="Times New Roman"/>
          <w:sz w:val="20"/>
          <w:szCs w:val="20"/>
          <w:lang w:val="fr-CH"/>
        </w:rPr>
        <w:t xml:space="preserve">Grands récipients pour vrac </w:t>
      </w:r>
      <w:r w:rsidRPr="00B376AE">
        <w:rPr>
          <w:rFonts w:ascii="Times New Roman" w:hAnsi="Times New Roman" w:cs="Times New Roman"/>
          <w:sz w:val="20"/>
          <w:szCs w:val="20"/>
          <w:lang w:val="fr-CH"/>
        </w:rPr>
        <w:t>(cf. 6.5) No</w:t>
      </w:r>
      <w:r>
        <w:rPr>
          <w:rFonts w:ascii="Times New Roman" w:hAnsi="Times New Roman" w:cs="Times New Roman"/>
          <w:sz w:val="20"/>
          <w:szCs w:val="20"/>
          <w:lang w:val="fr-CH"/>
        </w:rPr>
        <w:t>n</w:t>
      </w:r>
    </w:p>
    <w:p w14:paraId="0084DE66" w14:textId="77777777" w:rsidR="0040737F" w:rsidRPr="00B376AE" w:rsidRDefault="0040737F" w:rsidP="0040737F">
      <w:pPr>
        <w:pStyle w:val="ListParagraph"/>
        <w:spacing w:after="120"/>
        <w:ind w:left="1440"/>
        <w:rPr>
          <w:rFonts w:ascii="Times New Roman" w:hAnsi="Times New Roman" w:cs="Times New Roman"/>
          <w:sz w:val="20"/>
          <w:szCs w:val="20"/>
          <w:lang w:val="fr-CH"/>
        </w:rPr>
      </w:pPr>
      <w:r w:rsidRPr="00B376AE">
        <w:rPr>
          <w:rFonts w:ascii="Times New Roman" w:hAnsi="Times New Roman" w:cs="Times New Roman"/>
          <w:sz w:val="20"/>
          <w:szCs w:val="20"/>
          <w:lang w:val="fr-CH"/>
        </w:rPr>
        <w:t xml:space="preserve">6.2.3 </w:t>
      </w:r>
      <w:r w:rsidRPr="00803986">
        <w:rPr>
          <w:rFonts w:ascii="Times New Roman" w:hAnsi="Times New Roman" w:cs="Times New Roman"/>
          <w:sz w:val="20"/>
          <w:szCs w:val="20"/>
          <w:lang w:val="fr-CH"/>
        </w:rPr>
        <w:t xml:space="preserve">Citernes mobiles </w:t>
      </w:r>
      <w:r w:rsidRPr="00B376AE">
        <w:rPr>
          <w:rFonts w:ascii="Times New Roman" w:hAnsi="Times New Roman" w:cs="Times New Roman"/>
          <w:sz w:val="20"/>
          <w:szCs w:val="20"/>
          <w:lang w:val="fr-CH"/>
        </w:rPr>
        <w:t>(cf. 6.7) No</w:t>
      </w:r>
      <w:r>
        <w:rPr>
          <w:rFonts w:ascii="Times New Roman" w:hAnsi="Times New Roman" w:cs="Times New Roman"/>
          <w:sz w:val="20"/>
          <w:szCs w:val="20"/>
          <w:lang w:val="fr-CH"/>
        </w:rPr>
        <w:t>n</w:t>
      </w:r>
    </w:p>
    <w:p w14:paraId="0454B03F" w14:textId="63F9F6C5" w:rsidR="0040737F" w:rsidRPr="00B376AE" w:rsidRDefault="0040737F" w:rsidP="0040737F">
      <w:pPr>
        <w:pStyle w:val="ListParagraph"/>
        <w:spacing w:after="120"/>
        <w:ind w:left="1440"/>
        <w:rPr>
          <w:rFonts w:ascii="Times New Roman" w:hAnsi="Times New Roman" w:cs="Times New Roman"/>
          <w:sz w:val="20"/>
          <w:szCs w:val="20"/>
          <w:lang w:val="fr-CH"/>
        </w:rPr>
      </w:pPr>
      <w:r w:rsidRPr="00B376AE">
        <w:rPr>
          <w:rFonts w:ascii="Times New Roman" w:hAnsi="Times New Roman" w:cs="Times New Roman"/>
          <w:sz w:val="20"/>
          <w:szCs w:val="20"/>
          <w:lang w:val="fr-CH"/>
        </w:rPr>
        <w:t>***</w:t>
      </w:r>
      <w:r w:rsidRPr="0090564C">
        <w:rPr>
          <w:lang w:val="fr-CH"/>
        </w:rPr>
        <w:t xml:space="preserve"> </w:t>
      </w:r>
      <w:r w:rsidRPr="00803986">
        <w:rPr>
          <w:rFonts w:ascii="Times New Roman" w:hAnsi="Times New Roman" w:cs="Times New Roman"/>
          <w:sz w:val="20"/>
          <w:szCs w:val="20"/>
          <w:lang w:val="fr-CH"/>
        </w:rPr>
        <w:t>Si la réponse est affirmative, donner des précisions dans les sections 7, 8 ou 9 ci-dessous, respectivement.</w:t>
      </w:r>
    </w:p>
    <w:p w14:paraId="3FFA156A" w14:textId="77777777" w:rsidR="0040737F" w:rsidRPr="00B376AE" w:rsidRDefault="0040737F" w:rsidP="0040737F">
      <w:pPr>
        <w:pStyle w:val="ListParagraph"/>
        <w:spacing w:after="120"/>
        <w:ind w:left="1440"/>
        <w:rPr>
          <w:rFonts w:ascii="Times New Roman" w:hAnsi="Times New Roman" w:cs="Times New Roman"/>
          <w:sz w:val="20"/>
          <w:szCs w:val="20"/>
          <w:lang w:val="fr-CH"/>
        </w:rPr>
      </w:pPr>
    </w:p>
    <w:p w14:paraId="78144F24" w14:textId="77777777" w:rsidR="0040737F" w:rsidRPr="00B376AE" w:rsidRDefault="0040737F" w:rsidP="0040737F">
      <w:pPr>
        <w:pStyle w:val="ListParagraph"/>
        <w:spacing w:after="120"/>
        <w:ind w:left="1440"/>
        <w:rPr>
          <w:rFonts w:ascii="Times New Roman" w:hAnsi="Times New Roman" w:cs="Times New Roman"/>
          <w:sz w:val="20"/>
          <w:szCs w:val="20"/>
          <w:lang w:val="fr-CH"/>
        </w:rPr>
      </w:pPr>
    </w:p>
    <w:p w14:paraId="3E2D0B8B" w14:textId="77777777" w:rsidR="0040737F" w:rsidRPr="00B376AE" w:rsidRDefault="0040737F" w:rsidP="0040737F">
      <w:pPr>
        <w:pStyle w:val="ListParagraph"/>
        <w:spacing w:after="120"/>
        <w:ind w:left="0"/>
        <w:rPr>
          <w:rFonts w:ascii="Times New Roman" w:hAnsi="Times New Roman" w:cs="Times New Roman"/>
          <w:b/>
          <w:bCs/>
          <w:sz w:val="20"/>
          <w:szCs w:val="20"/>
          <w:lang w:val="fr-CH"/>
        </w:rPr>
      </w:pPr>
      <w:r w:rsidRPr="00B376AE">
        <w:rPr>
          <w:rFonts w:ascii="Times New Roman" w:hAnsi="Times New Roman" w:cs="Times New Roman"/>
          <w:b/>
          <w:bCs/>
          <w:sz w:val="20"/>
          <w:szCs w:val="20"/>
          <w:lang w:val="fr-CH"/>
        </w:rPr>
        <w:t xml:space="preserve">Section 7. </w:t>
      </w:r>
      <w:r w:rsidRPr="00383655">
        <w:rPr>
          <w:rFonts w:ascii="Times New Roman" w:hAnsi="Times New Roman" w:cs="Times New Roman"/>
          <w:b/>
          <w:bCs/>
          <w:sz w:val="20"/>
          <w:szCs w:val="20"/>
          <w:lang w:val="fr-CH"/>
        </w:rPr>
        <w:t xml:space="preserve">CONTENEURS POUR VRAC </w:t>
      </w:r>
      <w:r w:rsidRPr="00B376AE">
        <w:rPr>
          <w:rFonts w:ascii="Times New Roman" w:hAnsi="Times New Roman" w:cs="Times New Roman"/>
          <w:b/>
          <w:bCs/>
          <w:sz w:val="20"/>
          <w:szCs w:val="20"/>
          <w:lang w:val="fr-CH"/>
        </w:rPr>
        <w:t>(</w:t>
      </w:r>
      <w:r w:rsidRPr="00383655">
        <w:rPr>
          <w:rFonts w:ascii="Times New Roman" w:hAnsi="Times New Roman" w:cs="Times New Roman"/>
          <w:b/>
          <w:bCs/>
          <w:sz w:val="20"/>
          <w:szCs w:val="20"/>
          <w:lang w:val="fr-CH"/>
        </w:rPr>
        <w:t>à ne remplir que si la réponse sous 6.2.1 est oui</w:t>
      </w:r>
      <w:r w:rsidRPr="00B376AE">
        <w:rPr>
          <w:rFonts w:ascii="Times New Roman" w:hAnsi="Times New Roman" w:cs="Times New Roman"/>
          <w:b/>
          <w:bCs/>
          <w:sz w:val="20"/>
          <w:szCs w:val="20"/>
          <w:lang w:val="fr-CH"/>
        </w:rPr>
        <w:t>) …sans objet</w:t>
      </w:r>
    </w:p>
    <w:p w14:paraId="6120A9E3" w14:textId="072CE7A8" w:rsidR="0040737F" w:rsidRPr="00B376AE" w:rsidRDefault="0040737F" w:rsidP="00272D7B">
      <w:pPr>
        <w:pStyle w:val="ListParagraph"/>
        <w:spacing w:after="0" w:line="257" w:lineRule="auto"/>
        <w:ind w:left="0"/>
        <w:rPr>
          <w:rFonts w:ascii="Times New Roman" w:hAnsi="Times New Roman" w:cs="Times New Roman"/>
          <w:b/>
          <w:bCs/>
          <w:sz w:val="20"/>
          <w:szCs w:val="20"/>
          <w:lang w:val="fr-CH"/>
        </w:rPr>
      </w:pPr>
      <w:r w:rsidRPr="00B376AE">
        <w:rPr>
          <w:rFonts w:ascii="Times New Roman" w:hAnsi="Times New Roman" w:cs="Times New Roman"/>
          <w:b/>
          <w:bCs/>
          <w:sz w:val="20"/>
          <w:szCs w:val="20"/>
          <w:lang w:val="fr-CH"/>
        </w:rPr>
        <w:t xml:space="preserve">Section 8. </w:t>
      </w:r>
      <w:r w:rsidRPr="00383655">
        <w:rPr>
          <w:rFonts w:ascii="Times New Roman" w:hAnsi="Times New Roman" w:cs="Times New Roman"/>
          <w:b/>
          <w:bCs/>
          <w:sz w:val="20"/>
          <w:szCs w:val="20"/>
          <w:lang w:val="fr-CH"/>
        </w:rPr>
        <w:t xml:space="preserve">TRANSPORT EN GRANDS RÉCIPIENTS POUR VRAC (GRV) </w:t>
      </w:r>
      <w:r w:rsidR="00272D7B">
        <w:rPr>
          <w:rFonts w:ascii="Times New Roman" w:hAnsi="Times New Roman" w:cs="Times New Roman"/>
          <w:b/>
          <w:bCs/>
          <w:sz w:val="20"/>
          <w:szCs w:val="20"/>
          <w:lang w:val="fr-CH"/>
        </w:rPr>
        <w:br/>
      </w:r>
      <w:r w:rsidRPr="00383655">
        <w:rPr>
          <w:rFonts w:ascii="Times New Roman" w:hAnsi="Times New Roman" w:cs="Times New Roman"/>
          <w:b/>
          <w:bCs/>
          <w:sz w:val="20"/>
          <w:szCs w:val="20"/>
          <w:lang w:val="fr-CH"/>
        </w:rPr>
        <w:t>(à ne remplir que si la réponse sous 6.2.</w:t>
      </w:r>
      <w:r>
        <w:rPr>
          <w:rFonts w:ascii="Times New Roman" w:hAnsi="Times New Roman" w:cs="Times New Roman"/>
          <w:b/>
          <w:bCs/>
          <w:sz w:val="20"/>
          <w:szCs w:val="20"/>
          <w:lang w:val="fr-CH"/>
        </w:rPr>
        <w:t>2</w:t>
      </w:r>
      <w:r w:rsidRPr="00383655">
        <w:rPr>
          <w:rFonts w:ascii="Times New Roman" w:hAnsi="Times New Roman" w:cs="Times New Roman"/>
          <w:b/>
          <w:bCs/>
          <w:sz w:val="20"/>
          <w:szCs w:val="20"/>
          <w:lang w:val="fr-CH"/>
        </w:rPr>
        <w:t xml:space="preserve"> est oui)</w:t>
      </w:r>
      <w:r w:rsidRPr="00B376AE">
        <w:rPr>
          <w:rFonts w:ascii="Times New Roman" w:hAnsi="Times New Roman" w:cs="Times New Roman"/>
          <w:b/>
          <w:bCs/>
          <w:sz w:val="20"/>
          <w:szCs w:val="20"/>
          <w:lang w:val="fr-CH"/>
        </w:rPr>
        <w:t xml:space="preserve"> …sans objet</w:t>
      </w:r>
    </w:p>
    <w:p w14:paraId="35376640" w14:textId="60BFD77E" w:rsidR="00446FE5" w:rsidRDefault="0040737F" w:rsidP="0040737F">
      <w:pPr>
        <w:rPr>
          <w:b/>
          <w:bCs/>
        </w:rPr>
      </w:pPr>
      <w:r w:rsidRPr="00B376AE">
        <w:rPr>
          <w:b/>
          <w:bCs/>
        </w:rPr>
        <w:t xml:space="preserve">Section 9. </w:t>
      </w:r>
      <w:r w:rsidRPr="00383655">
        <w:rPr>
          <w:b/>
          <w:bCs/>
        </w:rPr>
        <w:t xml:space="preserve">TRANSPORT EN CITERNES MOBILES </w:t>
      </w:r>
      <w:r w:rsidR="00272D7B">
        <w:rPr>
          <w:b/>
          <w:bCs/>
        </w:rPr>
        <w:br/>
      </w:r>
      <w:r w:rsidRPr="00383655">
        <w:rPr>
          <w:b/>
          <w:bCs/>
        </w:rPr>
        <w:t>(à ne remplir que si la réponse sous 6.2.</w:t>
      </w:r>
      <w:r>
        <w:rPr>
          <w:b/>
          <w:bCs/>
        </w:rPr>
        <w:t>3</w:t>
      </w:r>
      <w:r w:rsidRPr="00383655">
        <w:rPr>
          <w:b/>
          <w:bCs/>
        </w:rPr>
        <w:t xml:space="preserve"> est oui) </w:t>
      </w:r>
      <w:r w:rsidRPr="00B376AE">
        <w:rPr>
          <w:b/>
          <w:bCs/>
        </w:rPr>
        <w:t>…sans objet</w:t>
      </w:r>
    </w:p>
    <w:p w14:paraId="5FCAB860" w14:textId="2BDCC9C5" w:rsidR="004C242A" w:rsidRDefault="004C242A" w:rsidP="004C242A">
      <w:pPr>
        <w:rPr>
          <w:b/>
          <w:bCs/>
        </w:rPr>
      </w:pPr>
      <w:r>
        <w:rPr>
          <w:b/>
          <w:bCs/>
        </w:rPr>
        <w:br w:type="page"/>
      </w:r>
    </w:p>
    <w:p w14:paraId="449D50F9" w14:textId="77777777" w:rsidR="00272D7B" w:rsidRDefault="004C242A" w:rsidP="00272D7B">
      <w:pPr>
        <w:pStyle w:val="HChG"/>
      </w:pPr>
      <w:r w:rsidRPr="0090564C">
        <w:rPr>
          <w:bCs/>
        </w:rPr>
        <w:t>Appendice</w:t>
      </w:r>
      <w:r w:rsidRPr="0090564C">
        <w:t xml:space="preserve"> </w:t>
      </w:r>
    </w:p>
    <w:p w14:paraId="68E5B032" w14:textId="74323161" w:rsidR="004C242A" w:rsidRPr="0090564C" w:rsidRDefault="004C242A" w:rsidP="00272D7B">
      <w:pPr>
        <w:pStyle w:val="SingleTxtG"/>
        <w:jc w:val="right"/>
      </w:pPr>
      <w:r w:rsidRPr="0090564C">
        <w:t>[</w:t>
      </w:r>
      <w:r w:rsidRPr="00DB14CE">
        <w:rPr>
          <w:i/>
          <w:iCs/>
        </w:rPr>
        <w:t>Anglais seulement</w:t>
      </w:r>
      <w:r w:rsidRPr="0090564C">
        <w:t>]</w:t>
      </w:r>
    </w:p>
    <w:p w14:paraId="50354409" w14:textId="4FBAE12B" w:rsidR="004C242A" w:rsidRDefault="004C242A" w:rsidP="00272D7B">
      <w:pPr>
        <w:spacing w:before="240" w:after="240"/>
        <w:jc w:val="center"/>
        <w:rPr>
          <w:b/>
          <w:bCs/>
        </w:rPr>
      </w:pPr>
      <w:r w:rsidRPr="00B376AE">
        <w:rPr>
          <w:b/>
          <w:bCs/>
        </w:rPr>
        <w:t>STRESAU TEST REPORT # 21048</w:t>
      </w:r>
    </w:p>
    <w:p w14:paraId="4F5D0E14" w14:textId="0920DB23" w:rsidR="004C242A" w:rsidRDefault="004C242A" w:rsidP="004C242A">
      <w:r w:rsidRPr="00B376AE">
        <w:rPr>
          <w:noProof/>
        </w:rPr>
        <w:drawing>
          <wp:inline distT="0" distB="0" distL="0" distR="0" wp14:anchorId="7F2B075A" wp14:editId="4A67BF40">
            <wp:extent cx="6120130" cy="7909374"/>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7909374"/>
                    </a:xfrm>
                    <a:prstGeom prst="rect">
                      <a:avLst/>
                    </a:prstGeom>
                  </pic:spPr>
                </pic:pic>
              </a:graphicData>
            </a:graphic>
          </wp:inline>
        </w:drawing>
      </w:r>
    </w:p>
    <w:p w14:paraId="4C837BDF" w14:textId="736F442A" w:rsidR="004C242A" w:rsidRDefault="004C242A" w:rsidP="004C242A">
      <w:r>
        <w:br w:type="page"/>
      </w:r>
    </w:p>
    <w:p w14:paraId="0E96EA2F" w14:textId="5C0422F7" w:rsidR="004C242A" w:rsidRDefault="004C242A" w:rsidP="004C242A">
      <w:r w:rsidRPr="00B376AE">
        <w:rPr>
          <w:noProof/>
        </w:rPr>
        <w:drawing>
          <wp:inline distT="0" distB="0" distL="0" distR="0" wp14:anchorId="55ECA572" wp14:editId="1E9F3014">
            <wp:extent cx="6120130" cy="7882549"/>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7882549"/>
                    </a:xfrm>
                    <a:prstGeom prst="rect">
                      <a:avLst/>
                    </a:prstGeom>
                  </pic:spPr>
                </pic:pic>
              </a:graphicData>
            </a:graphic>
          </wp:inline>
        </w:drawing>
      </w:r>
    </w:p>
    <w:p w14:paraId="25BE444F" w14:textId="6A6ECD01" w:rsidR="004C242A" w:rsidRDefault="004C242A" w:rsidP="004C242A">
      <w:r>
        <w:br w:type="page"/>
      </w:r>
    </w:p>
    <w:p w14:paraId="37BB838B" w14:textId="02C1CA17" w:rsidR="004C242A" w:rsidRDefault="004C242A" w:rsidP="004C242A">
      <w:r w:rsidRPr="00B376AE">
        <w:rPr>
          <w:noProof/>
        </w:rPr>
        <w:drawing>
          <wp:inline distT="0" distB="0" distL="0" distR="0" wp14:anchorId="30CFBF1B" wp14:editId="4F581F9E">
            <wp:extent cx="6120130" cy="788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7888000"/>
                    </a:xfrm>
                    <a:prstGeom prst="rect">
                      <a:avLst/>
                    </a:prstGeom>
                  </pic:spPr>
                </pic:pic>
              </a:graphicData>
            </a:graphic>
          </wp:inline>
        </w:drawing>
      </w:r>
    </w:p>
    <w:p w14:paraId="5F729817" w14:textId="111D0639" w:rsidR="004C242A" w:rsidRDefault="004C242A" w:rsidP="004C242A">
      <w:r>
        <w:br w:type="page"/>
      </w:r>
    </w:p>
    <w:p w14:paraId="218463B8" w14:textId="3FE29E41" w:rsidR="004C242A" w:rsidRDefault="004C242A" w:rsidP="004C242A">
      <w:r w:rsidRPr="00B376AE">
        <w:rPr>
          <w:noProof/>
        </w:rPr>
        <w:drawing>
          <wp:inline distT="0" distB="0" distL="0" distR="0" wp14:anchorId="5DE9F761" wp14:editId="4A372065">
            <wp:extent cx="6120130" cy="7900371"/>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7900371"/>
                    </a:xfrm>
                    <a:prstGeom prst="rect">
                      <a:avLst/>
                    </a:prstGeom>
                  </pic:spPr>
                </pic:pic>
              </a:graphicData>
            </a:graphic>
          </wp:inline>
        </w:drawing>
      </w:r>
    </w:p>
    <w:p w14:paraId="73DDFC1A" w14:textId="49A81514" w:rsidR="004C242A" w:rsidRDefault="004C242A" w:rsidP="004C242A">
      <w:r>
        <w:br w:type="page"/>
      </w:r>
    </w:p>
    <w:p w14:paraId="503D85CB" w14:textId="24AD4532" w:rsidR="004C242A" w:rsidRDefault="004C242A" w:rsidP="004C242A">
      <w:r w:rsidRPr="00B376AE">
        <w:rPr>
          <w:noProof/>
        </w:rPr>
        <w:drawing>
          <wp:inline distT="0" distB="0" distL="0" distR="0" wp14:anchorId="69B5FCFA" wp14:editId="0F8CB94C">
            <wp:extent cx="6120130" cy="78281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7828145"/>
                    </a:xfrm>
                    <a:prstGeom prst="rect">
                      <a:avLst/>
                    </a:prstGeom>
                  </pic:spPr>
                </pic:pic>
              </a:graphicData>
            </a:graphic>
          </wp:inline>
        </w:drawing>
      </w:r>
    </w:p>
    <w:p w14:paraId="26444590" w14:textId="628D280E" w:rsidR="004C242A" w:rsidRDefault="004C242A" w:rsidP="004C242A">
      <w:r>
        <w:br w:type="page"/>
      </w:r>
    </w:p>
    <w:p w14:paraId="5C467A2D" w14:textId="2831A12C" w:rsidR="004C242A" w:rsidRDefault="004C242A" w:rsidP="004C242A">
      <w:r w:rsidRPr="00B376AE">
        <w:rPr>
          <w:noProof/>
        </w:rPr>
        <w:drawing>
          <wp:inline distT="0" distB="0" distL="0" distR="0" wp14:anchorId="5CE9F7B7" wp14:editId="4EBF9E88">
            <wp:extent cx="6120130" cy="789756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7897569"/>
                    </a:xfrm>
                    <a:prstGeom prst="rect">
                      <a:avLst/>
                    </a:prstGeom>
                  </pic:spPr>
                </pic:pic>
              </a:graphicData>
            </a:graphic>
          </wp:inline>
        </w:drawing>
      </w:r>
    </w:p>
    <w:p w14:paraId="1300DFB1" w14:textId="6A55373E" w:rsidR="004C242A" w:rsidRDefault="004C242A" w:rsidP="004C242A">
      <w:r>
        <w:br w:type="page"/>
      </w:r>
    </w:p>
    <w:p w14:paraId="62352BA6" w14:textId="0A2D8477" w:rsidR="004C242A" w:rsidRDefault="004C242A" w:rsidP="004C242A">
      <w:r w:rsidRPr="00B376AE">
        <w:rPr>
          <w:noProof/>
        </w:rPr>
        <w:drawing>
          <wp:inline distT="0" distB="0" distL="0" distR="0" wp14:anchorId="2D1AC1A9" wp14:editId="30C17EE2">
            <wp:extent cx="6120130" cy="7859692"/>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7859692"/>
                    </a:xfrm>
                    <a:prstGeom prst="rect">
                      <a:avLst/>
                    </a:prstGeom>
                  </pic:spPr>
                </pic:pic>
              </a:graphicData>
            </a:graphic>
          </wp:inline>
        </w:drawing>
      </w:r>
    </w:p>
    <w:p w14:paraId="3BF799B9" w14:textId="77777777" w:rsidR="004C242A" w:rsidRDefault="004C242A" w:rsidP="004C242A">
      <w:r>
        <w:br w:type="page"/>
      </w:r>
    </w:p>
    <w:p w14:paraId="4AFD8908" w14:textId="4AC4419A" w:rsidR="004C242A" w:rsidRDefault="004C242A" w:rsidP="004C242A">
      <w:r w:rsidRPr="00B376AE">
        <w:rPr>
          <w:noProof/>
        </w:rPr>
        <w:drawing>
          <wp:anchor distT="0" distB="0" distL="114300" distR="114300" simplePos="0" relativeHeight="251659264" behindDoc="0" locked="0" layoutInCell="1" allowOverlap="1" wp14:anchorId="0559876B" wp14:editId="56ACBC7B">
            <wp:simplePos x="0" y="0"/>
            <wp:positionH relativeFrom="margin">
              <wp:posOffset>0</wp:posOffset>
            </wp:positionH>
            <wp:positionV relativeFrom="paragraph">
              <wp:posOffset>154940</wp:posOffset>
            </wp:positionV>
            <wp:extent cx="6200775" cy="80200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207413" cy="8028776"/>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134AD8D7" w14:textId="0E42F8E0" w:rsidR="004C242A" w:rsidRDefault="00AD0B0A" w:rsidP="004C242A">
      <w:r w:rsidRPr="00B376AE">
        <w:rPr>
          <w:noProof/>
        </w:rPr>
        <w:drawing>
          <wp:inline distT="0" distB="0" distL="0" distR="0" wp14:anchorId="61197A87" wp14:editId="74021094">
            <wp:extent cx="6120130" cy="7865466"/>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7865466"/>
                    </a:xfrm>
                    <a:prstGeom prst="rect">
                      <a:avLst/>
                    </a:prstGeom>
                  </pic:spPr>
                </pic:pic>
              </a:graphicData>
            </a:graphic>
          </wp:inline>
        </w:drawing>
      </w:r>
    </w:p>
    <w:p w14:paraId="3A526DA3" w14:textId="0744CBE7" w:rsidR="00AD0B0A" w:rsidRPr="00AD0B0A" w:rsidRDefault="00AD0B0A" w:rsidP="00AD0B0A">
      <w:pPr>
        <w:pStyle w:val="SingleTxtG"/>
        <w:spacing w:before="240" w:after="0"/>
        <w:jc w:val="center"/>
        <w:rPr>
          <w:u w:val="single"/>
        </w:rPr>
      </w:pPr>
      <w:r>
        <w:rPr>
          <w:u w:val="single"/>
        </w:rPr>
        <w:tab/>
      </w:r>
      <w:r>
        <w:rPr>
          <w:u w:val="single"/>
        </w:rPr>
        <w:tab/>
      </w:r>
      <w:r>
        <w:rPr>
          <w:u w:val="single"/>
        </w:rPr>
        <w:tab/>
      </w:r>
    </w:p>
    <w:sectPr w:rsidR="00AD0B0A" w:rsidRPr="00AD0B0A" w:rsidSect="004C242A">
      <w:headerReference w:type="even" r:id="rId19"/>
      <w:headerReference w:type="default" r:id="rId20"/>
      <w:footerReference w:type="even" r:id="rId21"/>
      <w:footerReference w:type="default" r:id="rId22"/>
      <w:footerReference w:type="first" r:id="rId23"/>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B1B5E1" w14:textId="77777777" w:rsidR="00261988" w:rsidRDefault="00261988" w:rsidP="00F95C08">
      <w:pPr>
        <w:spacing w:line="240" w:lineRule="auto"/>
      </w:pPr>
    </w:p>
  </w:endnote>
  <w:endnote w:type="continuationSeparator" w:id="0">
    <w:p w14:paraId="37774F12" w14:textId="77777777" w:rsidR="00261988" w:rsidRPr="00AC3823" w:rsidRDefault="00261988" w:rsidP="00AC3823">
      <w:pPr>
        <w:pStyle w:val="Footer"/>
      </w:pPr>
    </w:p>
  </w:endnote>
  <w:endnote w:type="continuationNotice" w:id="1">
    <w:p w14:paraId="52F64D7C" w14:textId="77777777" w:rsidR="00261988" w:rsidRDefault="0026198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78DC8" w14:textId="0B884451" w:rsidR="004C242A" w:rsidRPr="004C242A" w:rsidRDefault="004C242A" w:rsidP="004C242A">
    <w:pPr>
      <w:pStyle w:val="Footer"/>
      <w:tabs>
        <w:tab w:val="right" w:pos="9638"/>
      </w:tabs>
    </w:pPr>
    <w:r w:rsidRPr="004C242A">
      <w:rPr>
        <w:b/>
        <w:sz w:val="18"/>
      </w:rPr>
      <w:fldChar w:fldCharType="begin"/>
    </w:r>
    <w:r w:rsidRPr="004C242A">
      <w:rPr>
        <w:b/>
        <w:sz w:val="18"/>
      </w:rPr>
      <w:instrText xml:space="preserve"> PAGE  \* MERGEFORMAT </w:instrText>
    </w:r>
    <w:r w:rsidRPr="004C242A">
      <w:rPr>
        <w:b/>
        <w:sz w:val="18"/>
      </w:rPr>
      <w:fldChar w:fldCharType="separate"/>
    </w:r>
    <w:r w:rsidRPr="004C242A">
      <w:rPr>
        <w:b/>
        <w:noProof/>
        <w:sz w:val="18"/>
      </w:rPr>
      <w:t>2</w:t>
    </w:r>
    <w:r w:rsidRPr="004C242A">
      <w:rPr>
        <w:b/>
        <w:sz w:val="18"/>
      </w:rPr>
      <w:fldChar w:fldCharType="end"/>
    </w:r>
    <w:r>
      <w:rPr>
        <w:b/>
        <w:sz w:val="18"/>
      </w:rPr>
      <w:tab/>
    </w:r>
    <w:r>
      <w:t>GE.21-12852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BC5FF" w14:textId="6A2D383B" w:rsidR="004C242A" w:rsidRPr="004C242A" w:rsidRDefault="004C242A" w:rsidP="004C242A">
    <w:pPr>
      <w:pStyle w:val="Footer"/>
      <w:tabs>
        <w:tab w:val="right" w:pos="9638"/>
      </w:tabs>
      <w:rPr>
        <w:b/>
        <w:sz w:val="18"/>
      </w:rPr>
    </w:pPr>
    <w:r>
      <w:t>GE.21-12852</w:t>
    </w:r>
    <w:r>
      <w:tab/>
    </w:r>
    <w:r w:rsidRPr="004C242A">
      <w:rPr>
        <w:b/>
        <w:sz w:val="18"/>
      </w:rPr>
      <w:fldChar w:fldCharType="begin"/>
    </w:r>
    <w:r w:rsidRPr="004C242A">
      <w:rPr>
        <w:b/>
        <w:sz w:val="18"/>
      </w:rPr>
      <w:instrText xml:space="preserve"> PAGE  \* MERGEFORMAT </w:instrText>
    </w:r>
    <w:r w:rsidRPr="004C242A">
      <w:rPr>
        <w:b/>
        <w:sz w:val="18"/>
      </w:rPr>
      <w:fldChar w:fldCharType="separate"/>
    </w:r>
    <w:r w:rsidRPr="004C242A">
      <w:rPr>
        <w:b/>
        <w:noProof/>
        <w:sz w:val="18"/>
      </w:rPr>
      <w:t>3</w:t>
    </w:r>
    <w:r w:rsidRPr="004C242A">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97F1BD" w14:textId="5158EF49" w:rsidR="0068456F" w:rsidRPr="004C242A" w:rsidRDefault="004C242A" w:rsidP="004C242A">
    <w:pPr>
      <w:pStyle w:val="Footer"/>
      <w:spacing w:before="120"/>
      <w:rPr>
        <w:sz w:val="20"/>
      </w:rPr>
    </w:pPr>
    <w:r>
      <w:rPr>
        <w:sz w:val="20"/>
      </w:rPr>
      <w:t>GE.</w:t>
    </w:r>
    <w:r w:rsidR="0068456F">
      <w:rPr>
        <w:noProof/>
        <w:lang w:eastAsia="fr-CH"/>
      </w:rPr>
      <w:drawing>
        <wp:anchor distT="0" distB="0" distL="114300" distR="114300" simplePos="0" relativeHeight="251659264" behindDoc="0" locked="0" layoutInCell="1" allowOverlap="0" wp14:anchorId="4A39AFFA" wp14:editId="103446AF">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21-</w:t>
    </w:r>
    <w:proofErr w:type="gramStart"/>
    <w:r>
      <w:rPr>
        <w:sz w:val="20"/>
      </w:rPr>
      <w:t>12852  (</w:t>
    </w:r>
    <w:proofErr w:type="gramEnd"/>
    <w:r>
      <w:rPr>
        <w:sz w:val="20"/>
      </w:rPr>
      <w:t>F)</w:t>
    </w:r>
    <w:r>
      <w:rPr>
        <w:noProof/>
        <w:sz w:val="20"/>
      </w:rPr>
      <w:drawing>
        <wp:anchor distT="0" distB="0" distL="114300" distR="114300" simplePos="0" relativeHeight="251660288" behindDoc="0" locked="0" layoutInCell="1" allowOverlap="1" wp14:anchorId="4911C10D" wp14:editId="00FECEDE">
          <wp:simplePos x="0" y="0"/>
          <wp:positionH relativeFrom="margin">
            <wp:posOffset>5489575</wp:posOffset>
          </wp:positionH>
          <wp:positionV relativeFrom="margin">
            <wp:posOffset>8891905</wp:posOffset>
          </wp:positionV>
          <wp:extent cx="638175" cy="638175"/>
          <wp:effectExtent l="0" t="0" r="9525" b="9525"/>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771C57">
      <w:rPr>
        <w:sz w:val="20"/>
      </w:rPr>
      <w:t xml:space="preserve">    081021    081021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5F0838" w14:textId="77777777" w:rsidR="00261988" w:rsidRPr="00AC3823" w:rsidRDefault="00261988" w:rsidP="00AC3823">
      <w:pPr>
        <w:pStyle w:val="Footer"/>
        <w:tabs>
          <w:tab w:val="right" w:pos="2155"/>
        </w:tabs>
        <w:spacing w:after="80" w:line="240" w:lineRule="atLeast"/>
        <w:ind w:left="680"/>
        <w:rPr>
          <w:u w:val="single"/>
        </w:rPr>
      </w:pPr>
      <w:r>
        <w:rPr>
          <w:u w:val="single"/>
        </w:rPr>
        <w:tab/>
      </w:r>
    </w:p>
  </w:footnote>
  <w:footnote w:type="continuationSeparator" w:id="0">
    <w:p w14:paraId="0CEC7D1D" w14:textId="77777777" w:rsidR="00261988" w:rsidRPr="00AC3823" w:rsidRDefault="00261988" w:rsidP="00AC3823">
      <w:pPr>
        <w:pStyle w:val="Footer"/>
        <w:tabs>
          <w:tab w:val="right" w:pos="2155"/>
        </w:tabs>
        <w:spacing w:after="80" w:line="240" w:lineRule="atLeast"/>
        <w:ind w:left="680"/>
        <w:rPr>
          <w:u w:val="single"/>
        </w:rPr>
      </w:pPr>
      <w:r>
        <w:rPr>
          <w:u w:val="single"/>
        </w:rPr>
        <w:tab/>
      </w:r>
    </w:p>
  </w:footnote>
  <w:footnote w:type="continuationNotice" w:id="1">
    <w:p w14:paraId="7A6235B9" w14:textId="77777777" w:rsidR="00261988" w:rsidRPr="00AC3823" w:rsidRDefault="00261988">
      <w:pPr>
        <w:spacing w:line="240" w:lineRule="auto"/>
        <w:rPr>
          <w:sz w:val="2"/>
          <w:szCs w:val="2"/>
        </w:rPr>
      </w:pPr>
    </w:p>
  </w:footnote>
  <w:footnote w:id="2">
    <w:p w14:paraId="367C4C80" w14:textId="0C3D1844" w:rsidR="00E92772" w:rsidRPr="00E92772" w:rsidRDefault="00E92772">
      <w:pPr>
        <w:pStyle w:val="FootnoteText"/>
      </w:pPr>
      <w:r>
        <w:rPr>
          <w:rStyle w:val="FootnoteReference"/>
        </w:rPr>
        <w:tab/>
      </w:r>
      <w:r w:rsidRPr="00E92772">
        <w:rPr>
          <w:rStyle w:val="FootnoteReference"/>
          <w:sz w:val="20"/>
          <w:vertAlign w:val="baseline"/>
        </w:rPr>
        <w:t>*</w:t>
      </w:r>
      <w:r>
        <w:rPr>
          <w:rStyle w:val="FootnoteReference"/>
          <w:sz w:val="20"/>
          <w:vertAlign w:val="baseline"/>
        </w:rPr>
        <w:tab/>
      </w:r>
      <w:r w:rsidRPr="00CA689B">
        <w:t>A/75/6 (Sect. 20), par. 20.51.</w:t>
      </w:r>
    </w:p>
  </w:footnote>
  <w:footnote w:id="3">
    <w:p w14:paraId="1B38586D" w14:textId="5AE6E137" w:rsidR="00E92772" w:rsidRDefault="00E92772">
      <w:pPr>
        <w:pStyle w:val="FootnoteText"/>
      </w:pPr>
      <w:r>
        <w:tab/>
      </w:r>
      <w:r>
        <w:rPr>
          <w:rStyle w:val="FootnoteReference"/>
        </w:rPr>
        <w:footnoteRef/>
      </w:r>
      <w:r>
        <w:tab/>
      </w:r>
      <w:r w:rsidRPr="00CA689B">
        <w:t xml:space="preserve">Voir </w:t>
      </w:r>
      <w:hyperlink r:id="rId1" w:history="1">
        <w:r w:rsidRPr="00C10DD0">
          <w:rPr>
            <w:rStyle w:val="Hyperlink"/>
          </w:rPr>
          <w:t xml:space="preserve">p-benzoquinone dioxime </w:t>
        </w:r>
        <w:r w:rsidR="004962C9" w:rsidRPr="00C10DD0">
          <w:rPr>
            <w:rStyle w:val="Hyperlink"/>
          </w:rPr>
          <w:t>−</w:t>
        </w:r>
        <w:r w:rsidRPr="00C10DD0">
          <w:rPr>
            <w:rStyle w:val="Hyperlink"/>
          </w:rPr>
          <w:t xml:space="preserve"> Informations sur la matière </w:t>
        </w:r>
        <w:r w:rsidR="004962C9" w:rsidRPr="00C10DD0">
          <w:rPr>
            <w:rStyle w:val="Hyperlink"/>
          </w:rPr>
          <w:t>−</w:t>
        </w:r>
        <w:r w:rsidRPr="00C10DD0">
          <w:rPr>
            <w:rStyle w:val="Hyperlink"/>
          </w:rPr>
          <w:t xml:space="preserve"> ECHA (europa.eu)</w:t>
        </w:r>
      </w:hyperlink>
      <w:r>
        <w:t>.</w:t>
      </w:r>
    </w:p>
  </w:footnote>
  <w:footnote w:id="4">
    <w:p w14:paraId="68F81C6D" w14:textId="08CE11C3" w:rsidR="0040737F" w:rsidRPr="00CA689B" w:rsidRDefault="00EA468F" w:rsidP="0040737F">
      <w:pPr>
        <w:pStyle w:val="FootnoteText"/>
      </w:pPr>
      <w:r>
        <w:rPr>
          <w:vertAlign w:val="superscript"/>
        </w:rPr>
        <w:tab/>
      </w:r>
      <w:r w:rsidR="0040737F" w:rsidRPr="00CA689B">
        <w:rPr>
          <w:vertAlign w:val="superscript"/>
        </w:rPr>
        <w:t>2</w:t>
      </w:r>
      <w:r>
        <w:tab/>
      </w:r>
      <w:r w:rsidR="0040737F" w:rsidRPr="00CA689B">
        <w:t xml:space="preserve">Voir la définition de </w:t>
      </w:r>
      <w:r>
        <w:t>« </w:t>
      </w:r>
      <w:r w:rsidR="0040737F" w:rsidRPr="00CA689B">
        <w:t>liquide</w:t>
      </w:r>
      <w:r>
        <w:t> »</w:t>
      </w:r>
      <w:r w:rsidR="0040737F" w:rsidRPr="00CA689B">
        <w:t xml:space="preserve"> au 1.2.1 du Règlement type pour le transport des marchandises dangereuses.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A86E2" w14:textId="358E9F0E" w:rsidR="004C242A" w:rsidRPr="004C242A" w:rsidRDefault="00261988">
    <w:pPr>
      <w:pStyle w:val="Header"/>
    </w:pPr>
    <w:r>
      <w:fldChar w:fldCharType="begin"/>
    </w:r>
    <w:r>
      <w:instrText xml:space="preserve"> TITLE  \* MERGEFORMAT </w:instrText>
    </w:r>
    <w:r>
      <w:fldChar w:fldCharType="separate"/>
    </w:r>
    <w:r w:rsidR="00DF5DA6">
      <w:t>ST/SG/AC.10/C.3/2021/39</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392A2" w14:textId="211BDFE8" w:rsidR="004C242A" w:rsidRPr="004C242A" w:rsidRDefault="00261988" w:rsidP="004C242A">
    <w:pPr>
      <w:pStyle w:val="Header"/>
      <w:jc w:val="right"/>
    </w:pPr>
    <w:r>
      <w:fldChar w:fldCharType="begin"/>
    </w:r>
    <w:r>
      <w:instrText xml:space="preserve"> TITLE  \* MERGEFORMAT </w:instrText>
    </w:r>
    <w:r>
      <w:fldChar w:fldCharType="separate"/>
    </w:r>
    <w:r w:rsidR="00DF5DA6">
      <w:t>ST/SG/AC.10/C.3/2021/39</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274CD73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981AAA34"/>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68AD07B2"/>
    <w:multiLevelType w:val="hybridMultilevel"/>
    <w:tmpl w:val="FE2C9A28"/>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2"/>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2"/>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attachedTemplate r:id="rId1"/>
  <w:defaultTabStop w:val="567"/>
  <w:hyphenationZone w:val="425"/>
  <w:evenAndOddHeaders/>
  <w:characterSpacingControl w:val="doNotCompress"/>
  <w:savePreviewPicture/>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255"/>
    <w:rsid w:val="00017F94"/>
    <w:rsid w:val="00023842"/>
    <w:rsid w:val="000305D3"/>
    <w:rsid w:val="000334F9"/>
    <w:rsid w:val="0007796D"/>
    <w:rsid w:val="000B7790"/>
    <w:rsid w:val="00111F2F"/>
    <w:rsid w:val="00132EA9"/>
    <w:rsid w:val="0014365E"/>
    <w:rsid w:val="00172E49"/>
    <w:rsid w:val="00176178"/>
    <w:rsid w:val="001B49BE"/>
    <w:rsid w:val="001F525A"/>
    <w:rsid w:val="00223272"/>
    <w:rsid w:val="0024779E"/>
    <w:rsid w:val="00261988"/>
    <w:rsid w:val="00272D7B"/>
    <w:rsid w:val="00283190"/>
    <w:rsid w:val="002832AC"/>
    <w:rsid w:val="002A3CE9"/>
    <w:rsid w:val="002D7C93"/>
    <w:rsid w:val="0040737F"/>
    <w:rsid w:val="00441C3B"/>
    <w:rsid w:val="00446FE5"/>
    <w:rsid w:val="00452396"/>
    <w:rsid w:val="00483A21"/>
    <w:rsid w:val="004962C9"/>
    <w:rsid w:val="004C242A"/>
    <w:rsid w:val="004E3594"/>
    <w:rsid w:val="004E468C"/>
    <w:rsid w:val="005505B7"/>
    <w:rsid w:val="00573BE5"/>
    <w:rsid w:val="00584DC4"/>
    <w:rsid w:val="00586ED3"/>
    <w:rsid w:val="00596AA9"/>
    <w:rsid w:val="005F149D"/>
    <w:rsid w:val="0068456F"/>
    <w:rsid w:val="0071601D"/>
    <w:rsid w:val="00771C57"/>
    <w:rsid w:val="00786A7C"/>
    <w:rsid w:val="007A62E6"/>
    <w:rsid w:val="0080684C"/>
    <w:rsid w:val="008123E0"/>
    <w:rsid w:val="0082025A"/>
    <w:rsid w:val="00871C75"/>
    <w:rsid w:val="008776DC"/>
    <w:rsid w:val="008B40CD"/>
    <w:rsid w:val="009705C8"/>
    <w:rsid w:val="009C1CF4"/>
    <w:rsid w:val="00A30353"/>
    <w:rsid w:val="00A7331D"/>
    <w:rsid w:val="00A81281"/>
    <w:rsid w:val="00AC3823"/>
    <w:rsid w:val="00AD0B0A"/>
    <w:rsid w:val="00AE323C"/>
    <w:rsid w:val="00B00181"/>
    <w:rsid w:val="00B00B0D"/>
    <w:rsid w:val="00B765F7"/>
    <w:rsid w:val="00B85F9F"/>
    <w:rsid w:val="00BA0CA9"/>
    <w:rsid w:val="00BE0255"/>
    <w:rsid w:val="00C02897"/>
    <w:rsid w:val="00C10DD0"/>
    <w:rsid w:val="00CC7B46"/>
    <w:rsid w:val="00CE4E5E"/>
    <w:rsid w:val="00D3439C"/>
    <w:rsid w:val="00DB14CE"/>
    <w:rsid w:val="00DB1831"/>
    <w:rsid w:val="00DC7F79"/>
    <w:rsid w:val="00DD3BFD"/>
    <w:rsid w:val="00DF5DA6"/>
    <w:rsid w:val="00DF6678"/>
    <w:rsid w:val="00E0178A"/>
    <w:rsid w:val="00E662CC"/>
    <w:rsid w:val="00E92772"/>
    <w:rsid w:val="00EA468F"/>
    <w:rsid w:val="00EF2E22"/>
    <w:rsid w:val="00F01738"/>
    <w:rsid w:val="00F660DF"/>
    <w:rsid w:val="00F730C8"/>
    <w:rsid w:val="00F95099"/>
    <w:rsid w:val="00F95C0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DB587E"/>
  <w15:docId w15:val="{9AA57C4B-6461-4D27-B032-1304E8B4F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DC4"/>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584DC4"/>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584DC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584DC4"/>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584DC4"/>
    <w:pPr>
      <w:spacing w:line="240" w:lineRule="auto"/>
    </w:pPr>
    <w:rPr>
      <w:sz w:val="16"/>
    </w:rPr>
  </w:style>
  <w:style w:type="character" w:customStyle="1" w:styleId="FooterChar">
    <w:name w:val="Footer Char"/>
    <w:aliases w:val="3_G Char"/>
    <w:basedOn w:val="DefaultParagraphFont"/>
    <w:link w:val="Footer"/>
    <w:rsid w:val="00584DC4"/>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584DC4"/>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qFormat/>
    <w:rsid w:val="00584DC4"/>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qFormat/>
    <w:rsid w:val="00584DC4"/>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584DC4"/>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584DC4"/>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584DC4"/>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584DC4"/>
    <w:pPr>
      <w:tabs>
        <w:tab w:val="left" w:pos="1701"/>
        <w:tab w:val="left" w:pos="2268"/>
        <w:tab w:val="left" w:pos="2835"/>
      </w:tabs>
      <w:spacing w:after="120"/>
      <w:ind w:left="1134" w:right="1134"/>
      <w:jc w:val="both"/>
    </w:pPr>
  </w:style>
  <w:style w:type="paragraph" w:customStyle="1" w:styleId="SLG">
    <w:name w:val="__S_L_G"/>
    <w:basedOn w:val="Normal"/>
    <w:next w:val="Normal"/>
    <w:rsid w:val="00584DC4"/>
    <w:pPr>
      <w:keepNext/>
      <w:keepLines/>
      <w:spacing w:before="240" w:after="240" w:line="580" w:lineRule="exact"/>
      <w:ind w:left="1134" w:right="1134"/>
    </w:pPr>
    <w:rPr>
      <w:b/>
      <w:sz w:val="56"/>
    </w:rPr>
  </w:style>
  <w:style w:type="paragraph" w:customStyle="1" w:styleId="SMG">
    <w:name w:val="__S_M_G"/>
    <w:basedOn w:val="Normal"/>
    <w:next w:val="Normal"/>
    <w:rsid w:val="00584DC4"/>
    <w:pPr>
      <w:keepNext/>
      <w:keepLines/>
      <w:spacing w:before="240" w:after="240" w:line="420" w:lineRule="exact"/>
      <w:ind w:left="1134" w:right="1134"/>
    </w:pPr>
    <w:rPr>
      <w:b/>
      <w:sz w:val="40"/>
    </w:rPr>
  </w:style>
  <w:style w:type="paragraph" w:customStyle="1" w:styleId="SSG">
    <w:name w:val="__S_S_G"/>
    <w:basedOn w:val="Normal"/>
    <w:next w:val="Normal"/>
    <w:rsid w:val="00584DC4"/>
    <w:pPr>
      <w:keepNext/>
      <w:keepLines/>
      <w:spacing w:before="240" w:after="240" w:line="300" w:lineRule="exact"/>
      <w:ind w:left="1134" w:right="1134"/>
    </w:pPr>
    <w:rPr>
      <w:b/>
      <w:sz w:val="28"/>
    </w:rPr>
  </w:style>
  <w:style w:type="paragraph" w:customStyle="1" w:styleId="XLargeG">
    <w:name w:val="__XLarge_G"/>
    <w:basedOn w:val="Normal"/>
    <w:next w:val="Normal"/>
    <w:rsid w:val="00584DC4"/>
    <w:pPr>
      <w:keepNext/>
      <w:keepLines/>
      <w:spacing w:before="240" w:after="240" w:line="420" w:lineRule="exact"/>
      <w:ind w:left="1134" w:right="1134"/>
    </w:pPr>
    <w:rPr>
      <w:b/>
      <w:sz w:val="40"/>
    </w:rPr>
  </w:style>
  <w:style w:type="paragraph" w:customStyle="1" w:styleId="Bullet1G">
    <w:name w:val="_Bullet 1_G"/>
    <w:basedOn w:val="Normal"/>
    <w:qFormat/>
    <w:rsid w:val="00584DC4"/>
    <w:pPr>
      <w:numPr>
        <w:numId w:val="14"/>
      </w:numPr>
      <w:spacing w:after="120"/>
      <w:ind w:right="1134"/>
      <w:jc w:val="both"/>
    </w:pPr>
  </w:style>
  <w:style w:type="paragraph" w:customStyle="1" w:styleId="Bullet2G">
    <w:name w:val="_Bullet 2_G"/>
    <w:basedOn w:val="Normal"/>
    <w:qFormat/>
    <w:rsid w:val="00584DC4"/>
    <w:pPr>
      <w:numPr>
        <w:numId w:val="15"/>
      </w:numPr>
      <w:spacing w:after="120"/>
      <w:ind w:right="1134"/>
      <w:jc w:val="both"/>
    </w:pPr>
  </w:style>
  <w:style w:type="paragraph" w:customStyle="1" w:styleId="ParNoG">
    <w:name w:val="_ParNo_G"/>
    <w:basedOn w:val="Normal"/>
    <w:qFormat/>
    <w:rsid w:val="00584DC4"/>
    <w:pPr>
      <w:numPr>
        <w:numId w:val="16"/>
      </w:numPr>
      <w:tabs>
        <w:tab w:val="left" w:pos="1701"/>
        <w:tab w:val="left" w:pos="2268"/>
        <w:tab w:val="left" w:pos="2835"/>
      </w:tabs>
      <w:spacing w:after="120"/>
      <w:ind w:right="1134"/>
      <w:jc w:val="both"/>
    </w:pPr>
  </w:style>
  <w:style w:type="character" w:styleId="FootnoteReference">
    <w:name w:val="footnote reference"/>
    <w:aliases w:val="4_G,Footnote Reference/"/>
    <w:basedOn w:val="DefaultParagraphFont"/>
    <w:qFormat/>
    <w:rsid w:val="00584DC4"/>
    <w:rPr>
      <w:rFonts w:ascii="Times New Roman" w:hAnsi="Times New Roman"/>
      <w:sz w:val="18"/>
      <w:vertAlign w:val="superscript"/>
      <w:lang w:val="fr-CH"/>
    </w:rPr>
  </w:style>
  <w:style w:type="character" w:styleId="EndnoteReference">
    <w:name w:val="endnote reference"/>
    <w:aliases w:val="1_G"/>
    <w:basedOn w:val="FootnoteReference"/>
    <w:qFormat/>
    <w:rsid w:val="00584DC4"/>
    <w:rPr>
      <w:rFonts w:ascii="Times New Roman" w:hAnsi="Times New Roman"/>
      <w:sz w:val="18"/>
      <w:vertAlign w:val="superscript"/>
      <w:lang w:val="fr-CH"/>
    </w:rPr>
  </w:style>
  <w:style w:type="table" w:styleId="TableGrid">
    <w:name w:val="Table Grid"/>
    <w:basedOn w:val="TableNormal"/>
    <w:uiPriority w:val="39"/>
    <w:rsid w:val="00584DC4"/>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584DC4"/>
    <w:rPr>
      <w:color w:val="0000FF"/>
      <w:u w:val="none"/>
    </w:rPr>
  </w:style>
  <w:style w:type="character" w:styleId="FollowedHyperlink">
    <w:name w:val="FollowedHyperlink"/>
    <w:basedOn w:val="DefaultParagraphFont"/>
    <w:unhideWhenUsed/>
    <w:rsid w:val="00584DC4"/>
    <w:rPr>
      <w:color w:val="0000FF"/>
      <w:u w:val="none"/>
    </w:rPr>
  </w:style>
  <w:style w:type="paragraph" w:styleId="FootnoteText">
    <w:name w:val="footnote text"/>
    <w:aliases w:val="5_G"/>
    <w:basedOn w:val="Normal"/>
    <w:link w:val="FootnoteTextChar"/>
    <w:qFormat/>
    <w:rsid w:val="00584DC4"/>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584DC4"/>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584DC4"/>
  </w:style>
  <w:style w:type="character" w:customStyle="1" w:styleId="EndnoteTextChar">
    <w:name w:val="Endnote Text Char"/>
    <w:aliases w:val="2_G Char"/>
    <w:basedOn w:val="DefaultParagraphFont"/>
    <w:link w:val="EndnoteText"/>
    <w:rsid w:val="00584DC4"/>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584DC4"/>
    <w:rPr>
      <w:rFonts w:ascii="Times New Roman" w:hAnsi="Times New Roman"/>
      <w:b/>
      <w:sz w:val="18"/>
      <w:lang w:val="fr-CH"/>
    </w:rPr>
  </w:style>
  <w:style w:type="character" w:customStyle="1" w:styleId="Heading1Char">
    <w:name w:val="Heading 1 Char"/>
    <w:aliases w:val="Table_G Char"/>
    <w:basedOn w:val="DefaultParagraphFont"/>
    <w:link w:val="Heading1"/>
    <w:rsid w:val="00584DC4"/>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132E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2EA9"/>
    <w:rPr>
      <w:rFonts w:ascii="Tahoma" w:hAnsi="Tahoma" w:cs="Tahoma"/>
      <w:sz w:val="16"/>
      <w:szCs w:val="16"/>
      <w:lang w:eastAsia="en-US"/>
    </w:rPr>
  </w:style>
  <w:style w:type="character" w:customStyle="1" w:styleId="SingleTxtGChar">
    <w:name w:val="_ Single Txt_G Char"/>
    <w:link w:val="SingleTxtG"/>
    <w:qFormat/>
    <w:locked/>
    <w:rsid w:val="00E662CC"/>
    <w:rPr>
      <w:rFonts w:ascii="Times New Roman" w:eastAsiaTheme="minorHAnsi" w:hAnsi="Times New Roman" w:cs="Times New Roman"/>
      <w:sz w:val="20"/>
      <w:szCs w:val="20"/>
      <w:lang w:eastAsia="en-US"/>
    </w:rPr>
  </w:style>
  <w:style w:type="paragraph" w:styleId="ListParagraph">
    <w:name w:val="List Paragraph"/>
    <w:basedOn w:val="Normal"/>
    <w:uiPriority w:val="34"/>
    <w:qFormat/>
    <w:rsid w:val="0040737F"/>
    <w:pPr>
      <w:suppressAutoHyphens w:val="0"/>
      <w:kinsoku/>
      <w:overflowPunct/>
      <w:autoSpaceDE/>
      <w:autoSpaceDN/>
      <w:adjustRightInd/>
      <w:snapToGrid/>
      <w:spacing w:after="160" w:line="256" w:lineRule="auto"/>
      <w:ind w:left="720"/>
      <w:contextualSpacing/>
    </w:pPr>
    <w:rPr>
      <w:rFonts w:asciiTheme="minorHAnsi" w:hAnsiTheme="minorHAnsi" w:cstheme="minorBidi"/>
      <w:sz w:val="22"/>
      <w:szCs w:val="22"/>
      <w:lang w:val="en-US"/>
    </w:rPr>
  </w:style>
  <w:style w:type="character" w:styleId="UnresolvedMention">
    <w:name w:val="Unresolved Mention"/>
    <w:basedOn w:val="DefaultParagraphFont"/>
    <w:uiPriority w:val="99"/>
    <w:semiHidden/>
    <w:unhideWhenUsed/>
    <w:rsid w:val="00C10D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28" Type="http://schemas.openxmlformats.org/officeDocument/2006/relationships/customXml" Target="../customXml/item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2.xml"/><Relationship Id="rId27" Type="http://schemas.openxmlformats.org/officeDocument/2006/relationships/customXml" Target="../customXml/item2.xml"/></Relationships>
</file>

<file path=word/_rels/footer3.xml.rels><?xml version="1.0" encoding="UTF-8" standalone="yes"?>
<Relationships xmlns="http://schemas.openxmlformats.org/package/2006/relationships"><Relationship Id="rId2" Type="http://schemas.openxmlformats.org/officeDocument/2006/relationships/image" Target="media/image14.gif"/><Relationship Id="rId1" Type="http://schemas.openxmlformats.org/officeDocument/2006/relationships/image" Target="media/image13.png"/></Relationships>
</file>

<file path=word/_rels/footnotes.xml.rels><?xml version="1.0" encoding="UTF-8" standalone="yes"?>
<Relationships xmlns="http://schemas.openxmlformats.org/package/2006/relationships"><Relationship Id="rId1" Type="http://schemas.openxmlformats.org/officeDocument/2006/relationships/hyperlink" Target="https://echa.europa.eu/substance-information/-/substanceinfo/100.002.97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S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6224FF-3E35-49EE-98D3-419D2C9DFFFC}"/>
</file>

<file path=customXml/itemProps2.xml><?xml version="1.0" encoding="utf-8"?>
<ds:datastoreItem xmlns:ds="http://schemas.openxmlformats.org/officeDocument/2006/customXml" ds:itemID="{C0EF4799-A790-4049-9DA0-F637CF33E8CA}"/>
</file>

<file path=customXml/itemProps3.xml><?xml version="1.0" encoding="utf-8"?>
<ds:datastoreItem xmlns:ds="http://schemas.openxmlformats.org/officeDocument/2006/customXml" ds:itemID="{89F23286-D1E1-498A-9ABE-C90AADB50C9A}"/>
</file>

<file path=docProps/app.xml><?xml version="1.0" encoding="utf-8"?>
<Properties xmlns="http://schemas.openxmlformats.org/officeDocument/2006/extended-properties" xmlns:vt="http://schemas.openxmlformats.org/officeDocument/2006/docPropsVTypes">
  <Template>ST.dotm</Template>
  <TotalTime>1</TotalTime>
  <Pages>15</Pages>
  <Words>2360</Words>
  <Characters>13455</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ST/SG/AC.10/C.3/2021/39</vt:lpstr>
    </vt:vector>
  </TitlesOfParts>
  <Company>DCM</Company>
  <LinksUpToDate>false</LinksUpToDate>
  <CharactersWithSpaces>15784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ST/SG/AC.10/C.3/2021/39</dc:title>
  <dc:subject/>
  <dc:creator>Julien OKRZESIK</dc:creator>
  <cp:keywords/>
  <cp:lastModifiedBy>Laurence Berthet</cp:lastModifiedBy>
  <cp:revision>3</cp:revision>
  <cp:lastPrinted>2021-10-10T15:01:00Z</cp:lastPrinted>
  <dcterms:created xsi:type="dcterms:W3CDTF">2021-10-10T15:01:00Z</dcterms:created>
  <dcterms:modified xsi:type="dcterms:W3CDTF">2021-10-10T15:01:00Z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