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1FCF" w14:textId="1F0A93A2" w:rsidR="008C5FC2" w:rsidRDefault="008C5FC2">
      <w:pPr>
        <w:suppressAutoHyphens/>
        <w:spacing w:after="0" w:line="240" w:lineRule="atLeast"/>
        <w:rPr>
          <w:rFonts w:ascii="Times New Roman" w:eastAsia="Times New Roman" w:hAnsi="Times New Roman" w:cs="Times New Roman"/>
          <w:sz w:val="20"/>
          <w:szCs w:val="20"/>
          <w:lang w:val="en-US"/>
        </w:rPr>
      </w:pPr>
    </w:p>
    <w:p w14:paraId="7101FB12" w14:textId="7568039D" w:rsidR="00C27479" w:rsidRDefault="00C27479">
      <w:pPr>
        <w:suppressAutoHyphens/>
        <w:spacing w:after="0" w:line="240" w:lineRule="atLeast"/>
        <w:rPr>
          <w:rFonts w:ascii="Times New Roman" w:eastAsia="Times New Roman" w:hAnsi="Times New Roman" w:cs="Times New Roman"/>
          <w:sz w:val="20"/>
          <w:szCs w:val="20"/>
          <w:lang w:val="en-US"/>
        </w:rPr>
      </w:pPr>
    </w:p>
    <w:p w14:paraId="325FA000" w14:textId="1989E8E8" w:rsidR="00A53764" w:rsidRDefault="00A53764">
      <w:pPr>
        <w:suppressAutoHyphens/>
        <w:spacing w:after="0" w:line="240" w:lineRule="atLeast"/>
        <w:rPr>
          <w:rFonts w:ascii="Times New Roman" w:eastAsia="Times New Roman" w:hAnsi="Times New Roman" w:cs="Times New Roman"/>
          <w:sz w:val="20"/>
          <w:szCs w:val="20"/>
          <w:lang w:val="en-US"/>
        </w:rPr>
      </w:pPr>
    </w:p>
    <w:p w14:paraId="5AB8DC01" w14:textId="77777777" w:rsidR="00A53764" w:rsidRDefault="00A53764">
      <w:pPr>
        <w:suppressAutoHyphens/>
        <w:spacing w:after="0" w:line="240" w:lineRule="atLeast"/>
        <w:rPr>
          <w:rFonts w:ascii="Times New Roman" w:eastAsia="Times New Roman" w:hAnsi="Times New Roman" w:cs="Times New Roman"/>
          <w:sz w:val="20"/>
          <w:szCs w:val="20"/>
          <w:lang w:val="en-US"/>
        </w:rPr>
      </w:pPr>
    </w:p>
    <w:p w14:paraId="7409C60D" w14:textId="108C6BF6" w:rsidR="00C27479" w:rsidRPr="006E39AE" w:rsidRDefault="00624817" w:rsidP="006E39AE">
      <w:pPr>
        <w:pBdr>
          <w:top w:val="nil"/>
          <w:left w:val="nil"/>
          <w:bottom w:val="nil"/>
          <w:right w:val="nil"/>
          <w:between w:val="nil"/>
          <w:bar w:val="nil"/>
        </w:pBdr>
        <w:spacing w:after="0" w:line="240" w:lineRule="auto"/>
        <w:ind w:right="-8"/>
        <w:jc w:val="center"/>
        <w:rPr>
          <w:rFonts w:ascii="Times New Roman" w:eastAsiaTheme="minorEastAsia" w:hAnsi="Times New Roman" w:cs="Times New Roman"/>
          <w:b/>
          <w:sz w:val="28"/>
          <w:szCs w:val="28"/>
          <w:bdr w:val="nil"/>
          <w:lang w:val="en-US"/>
        </w:rPr>
      </w:pPr>
      <w:r>
        <w:rPr>
          <w:rFonts w:ascii="Times New Roman" w:eastAsiaTheme="minorEastAsia" w:hAnsi="Times New Roman" w:cs="Times New Roman"/>
          <w:b/>
          <w:sz w:val="28"/>
          <w:szCs w:val="28"/>
          <w:bdr w:val="nil"/>
          <w:lang w:val="en-US"/>
        </w:rPr>
        <w:t>Correction of</w:t>
      </w:r>
      <w:r w:rsidRPr="00624817">
        <w:rPr>
          <w:rFonts w:ascii="Times New Roman" w:eastAsiaTheme="minorEastAsia" w:hAnsi="Times New Roman" w:cs="Times New Roman"/>
          <w:b/>
          <w:sz w:val="28"/>
          <w:szCs w:val="28"/>
          <w:bdr w:val="nil"/>
          <w:lang w:val="en-US"/>
        </w:rPr>
        <w:t xml:space="preserve"> errors</w:t>
      </w:r>
      <w:r>
        <w:rPr>
          <w:rFonts w:ascii="Times New Roman" w:eastAsiaTheme="minorEastAsia" w:hAnsi="Times New Roman" w:cs="Times New Roman"/>
          <w:b/>
          <w:sz w:val="28"/>
          <w:szCs w:val="28"/>
          <w:bdr w:val="nil"/>
          <w:lang w:val="en-US"/>
        </w:rPr>
        <w:t xml:space="preserve"> in the proposal for the 01 series of amendments to </w:t>
      </w:r>
      <w:r w:rsidR="006E39AE">
        <w:rPr>
          <w:rFonts w:ascii="Times New Roman" w:eastAsiaTheme="minorEastAsia" w:hAnsi="Times New Roman" w:cs="Times New Roman"/>
          <w:b/>
          <w:sz w:val="28"/>
          <w:szCs w:val="28"/>
          <w:bdr w:val="nil"/>
          <w:lang w:val="en-US"/>
        </w:rPr>
        <w:br/>
      </w:r>
      <w:r w:rsidR="009556F5" w:rsidRPr="006E39AE">
        <w:rPr>
          <w:rFonts w:ascii="Times New Roman" w:eastAsiaTheme="minorEastAsia" w:hAnsi="Times New Roman" w:cs="Times New Roman"/>
          <w:b/>
          <w:sz w:val="28"/>
          <w:szCs w:val="28"/>
          <w:bdr w:val="nil"/>
          <w:lang w:val="en-US"/>
        </w:rPr>
        <w:t>UN Regulation No.</w:t>
      </w:r>
      <w:r w:rsidR="007210E9" w:rsidRPr="006E39AE">
        <w:rPr>
          <w:rFonts w:ascii="Times New Roman" w:eastAsiaTheme="minorEastAsia" w:hAnsi="Times New Roman" w:cs="Times New Roman"/>
          <w:b/>
          <w:sz w:val="28"/>
          <w:szCs w:val="28"/>
          <w:bdr w:val="nil"/>
          <w:lang w:val="en-US"/>
        </w:rPr>
        <w:t> </w:t>
      </w:r>
      <w:r w:rsidR="009556F5" w:rsidRPr="006E39AE">
        <w:rPr>
          <w:rFonts w:ascii="Times New Roman" w:eastAsiaTheme="minorEastAsia" w:hAnsi="Times New Roman" w:cs="Times New Roman"/>
          <w:b/>
          <w:sz w:val="28"/>
          <w:szCs w:val="28"/>
          <w:bdr w:val="nil"/>
          <w:lang w:val="en-US"/>
        </w:rPr>
        <w:t>1</w:t>
      </w:r>
      <w:r w:rsidR="00166855">
        <w:rPr>
          <w:rFonts w:ascii="Times New Roman" w:eastAsiaTheme="minorEastAsia" w:hAnsi="Times New Roman" w:cs="Times New Roman"/>
          <w:b/>
          <w:sz w:val="28"/>
          <w:szCs w:val="28"/>
          <w:bdr w:val="nil"/>
          <w:lang w:val="en-US"/>
        </w:rPr>
        <w:t>50</w:t>
      </w:r>
      <w:r w:rsidR="009556F5" w:rsidRPr="006E39AE">
        <w:rPr>
          <w:rFonts w:ascii="Times New Roman" w:eastAsiaTheme="minorEastAsia" w:hAnsi="Times New Roman" w:cs="Times New Roman"/>
          <w:b/>
          <w:sz w:val="28"/>
          <w:szCs w:val="28"/>
          <w:bdr w:val="nil"/>
          <w:lang w:val="en-US"/>
        </w:rPr>
        <w:t xml:space="preserve"> (</w:t>
      </w:r>
      <w:r w:rsidR="00166855">
        <w:rPr>
          <w:rFonts w:ascii="Times New Roman" w:eastAsiaTheme="minorEastAsia" w:hAnsi="Times New Roman" w:cs="Times New Roman"/>
          <w:b/>
          <w:sz w:val="28"/>
          <w:szCs w:val="28"/>
          <w:bdr w:val="nil"/>
          <w:lang w:val="en-US"/>
        </w:rPr>
        <w:t>Retro-reflective</w:t>
      </w:r>
      <w:r w:rsidRPr="00624817">
        <w:rPr>
          <w:rFonts w:ascii="Times New Roman" w:eastAsiaTheme="minorEastAsia" w:hAnsi="Times New Roman" w:cs="Times New Roman"/>
          <w:b/>
          <w:sz w:val="28"/>
          <w:szCs w:val="28"/>
          <w:bdr w:val="nil"/>
          <w:lang w:val="en-US"/>
        </w:rPr>
        <w:t xml:space="preserve"> devices</w:t>
      </w:r>
      <w:r w:rsidR="009556F5" w:rsidRPr="006E39AE">
        <w:rPr>
          <w:rFonts w:ascii="Times New Roman" w:eastAsiaTheme="minorEastAsia" w:hAnsi="Times New Roman" w:cs="Times New Roman"/>
          <w:b/>
          <w:sz w:val="28"/>
          <w:szCs w:val="28"/>
          <w:bdr w:val="nil"/>
          <w:lang w:val="en-US"/>
        </w:rPr>
        <w:t>)</w:t>
      </w:r>
    </w:p>
    <w:p w14:paraId="3561AA77" w14:textId="7E1DBB61" w:rsidR="00C27479" w:rsidRDefault="00C27479">
      <w:pPr>
        <w:keepNext/>
        <w:keepLines/>
        <w:suppressAutoHyphens/>
        <w:spacing w:after="120" w:line="240" w:lineRule="auto"/>
        <w:ind w:left="1134" w:right="567"/>
        <w:rPr>
          <w:rFonts w:ascii="Times New Roman" w:eastAsia="Times New Roman" w:hAnsi="Times New Roman" w:cs="Times New Roman"/>
          <w:sz w:val="20"/>
          <w:szCs w:val="20"/>
          <w:lang w:val="en-US"/>
        </w:rPr>
      </w:pPr>
    </w:p>
    <w:p w14:paraId="55AA7A2A" w14:textId="77777777" w:rsidR="006F13D4" w:rsidRDefault="006F13D4">
      <w:pPr>
        <w:keepNext/>
        <w:keepLines/>
        <w:suppressAutoHyphens/>
        <w:spacing w:after="120" w:line="240" w:lineRule="auto"/>
        <w:ind w:left="1134" w:right="567"/>
        <w:rPr>
          <w:rFonts w:ascii="Times New Roman" w:eastAsia="Times New Roman" w:hAnsi="Times New Roman" w:cs="Times New Roman"/>
          <w:sz w:val="20"/>
          <w:szCs w:val="20"/>
          <w:lang w:val="en-US"/>
        </w:rPr>
      </w:pPr>
    </w:p>
    <w:p w14:paraId="52FE2754" w14:textId="6CFEA332" w:rsidR="006E39AE" w:rsidRDefault="009556F5"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r w:rsidRPr="006E39AE">
        <w:rPr>
          <w:rFonts w:ascii="Times New Roman" w:eastAsiaTheme="minorEastAsia" w:hAnsi="Times New Roman" w:cs="Times New Roman"/>
          <w:sz w:val="24"/>
          <w:szCs w:val="24"/>
          <w:bdr w:val="nil"/>
          <w:lang w:val="en-US" w:eastAsia="ja-JP"/>
        </w:rPr>
        <w:t xml:space="preserve">The text reproduced below was prepared by </w:t>
      </w:r>
      <w:r w:rsidR="007210E9" w:rsidRPr="006E39AE">
        <w:rPr>
          <w:rFonts w:ascii="Times New Roman" w:eastAsiaTheme="minorEastAsia" w:hAnsi="Times New Roman" w:cs="Times New Roman"/>
          <w:sz w:val="24"/>
          <w:szCs w:val="24"/>
          <w:bdr w:val="nil"/>
          <w:lang w:val="en-US" w:eastAsia="ja-JP"/>
        </w:rPr>
        <w:t xml:space="preserve">the GRE </w:t>
      </w:r>
      <w:r w:rsidRPr="006E39AE">
        <w:rPr>
          <w:rFonts w:ascii="Times New Roman" w:eastAsiaTheme="minorEastAsia" w:hAnsi="Times New Roman" w:cs="Times New Roman"/>
          <w:sz w:val="24"/>
          <w:szCs w:val="24"/>
          <w:bdr w:val="nil"/>
          <w:lang w:val="en-US" w:eastAsia="ja-JP"/>
        </w:rPr>
        <w:t xml:space="preserve">Informal Working Group on Simplification of Lighting and Light-Signalling Regulations (IWG SLR) with the aim to </w:t>
      </w:r>
      <w:r w:rsidR="00624817">
        <w:rPr>
          <w:rFonts w:ascii="Times New Roman" w:eastAsiaTheme="minorEastAsia" w:hAnsi="Times New Roman" w:cs="Times New Roman"/>
          <w:sz w:val="24"/>
          <w:szCs w:val="24"/>
          <w:bdr w:val="nil"/>
          <w:lang w:val="en-US" w:eastAsia="ja-JP"/>
        </w:rPr>
        <w:t xml:space="preserve">correct some errors identified in the proposal for the 01 series of amendments to </w:t>
      </w:r>
      <w:r w:rsidRPr="006E39AE">
        <w:rPr>
          <w:rFonts w:ascii="Times New Roman" w:eastAsiaTheme="minorEastAsia" w:hAnsi="Times New Roman" w:cs="Times New Roman"/>
          <w:sz w:val="24"/>
          <w:szCs w:val="24"/>
          <w:bdr w:val="nil"/>
          <w:lang w:val="en-US" w:eastAsia="ja-JP"/>
        </w:rPr>
        <w:t>UN Regulation No. 1</w:t>
      </w:r>
      <w:r w:rsidR="00166855">
        <w:rPr>
          <w:rFonts w:ascii="Times New Roman" w:eastAsiaTheme="minorEastAsia" w:hAnsi="Times New Roman" w:cs="Times New Roman"/>
          <w:sz w:val="24"/>
          <w:szCs w:val="24"/>
          <w:bdr w:val="nil"/>
          <w:lang w:val="en-US" w:eastAsia="ja-JP"/>
        </w:rPr>
        <w:t>50</w:t>
      </w:r>
      <w:r w:rsidR="00624817">
        <w:rPr>
          <w:rFonts w:ascii="Times New Roman" w:eastAsiaTheme="minorEastAsia" w:hAnsi="Times New Roman" w:cs="Times New Roman"/>
          <w:sz w:val="24"/>
          <w:szCs w:val="24"/>
          <w:bdr w:val="nil"/>
          <w:lang w:val="en-US" w:eastAsia="ja-JP"/>
        </w:rPr>
        <w:t xml:space="preserve"> (doc. </w:t>
      </w:r>
      <w:r w:rsidR="00624817" w:rsidRPr="00624817">
        <w:rPr>
          <w:rFonts w:ascii="Times New Roman" w:eastAsiaTheme="minorEastAsia" w:hAnsi="Times New Roman" w:cs="Times New Roman"/>
          <w:sz w:val="24"/>
          <w:szCs w:val="24"/>
          <w:bdr w:val="nil"/>
          <w:lang w:val="en-US" w:eastAsia="ja-JP"/>
        </w:rPr>
        <w:t>ECE/TRANS/WP.29/GRE/2021/1</w:t>
      </w:r>
      <w:r w:rsidR="00166855">
        <w:rPr>
          <w:rFonts w:ascii="Times New Roman" w:eastAsiaTheme="minorEastAsia" w:hAnsi="Times New Roman" w:cs="Times New Roman"/>
          <w:sz w:val="24"/>
          <w:szCs w:val="24"/>
          <w:bdr w:val="nil"/>
          <w:lang w:val="en-US" w:eastAsia="ja-JP"/>
        </w:rPr>
        <w:t>5</w:t>
      </w:r>
      <w:r w:rsidR="00624817">
        <w:rPr>
          <w:rFonts w:ascii="Times New Roman" w:eastAsiaTheme="minorEastAsia" w:hAnsi="Times New Roman" w:cs="Times New Roman"/>
          <w:sz w:val="24"/>
          <w:szCs w:val="24"/>
          <w:bdr w:val="nil"/>
          <w:lang w:val="en-US" w:eastAsia="ja-JP"/>
        </w:rPr>
        <w:t>)</w:t>
      </w:r>
      <w:r w:rsidRPr="006E39AE">
        <w:rPr>
          <w:rFonts w:ascii="Times New Roman" w:eastAsiaTheme="minorEastAsia" w:hAnsi="Times New Roman" w:cs="Times New Roman"/>
          <w:sz w:val="24"/>
          <w:szCs w:val="24"/>
          <w:bdr w:val="nil"/>
          <w:lang w:val="en-US" w:eastAsia="ja-JP"/>
        </w:rPr>
        <w:t>.</w:t>
      </w:r>
    </w:p>
    <w:p w14:paraId="21BCA7CC" w14:textId="77777777" w:rsidR="006E39AE" w:rsidRDefault="006E39AE"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p>
    <w:p w14:paraId="7ED56634" w14:textId="2ADC1074" w:rsidR="00C27479" w:rsidRDefault="009556F5"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r w:rsidRPr="006E39AE">
        <w:rPr>
          <w:rFonts w:ascii="Times New Roman" w:eastAsiaTheme="minorEastAsia" w:hAnsi="Times New Roman" w:cs="Times New Roman"/>
          <w:sz w:val="24"/>
          <w:szCs w:val="24"/>
          <w:bdr w:val="nil"/>
          <w:lang w:val="en-US" w:eastAsia="ja-JP"/>
        </w:rPr>
        <w:t xml:space="preserve">The modifications to </w:t>
      </w:r>
      <w:r w:rsidR="00624817">
        <w:rPr>
          <w:rFonts w:ascii="Times New Roman" w:eastAsiaTheme="minorEastAsia" w:hAnsi="Times New Roman" w:cs="Times New Roman"/>
          <w:sz w:val="24"/>
          <w:szCs w:val="24"/>
          <w:bdr w:val="nil"/>
          <w:lang w:val="en-US" w:eastAsia="ja-JP"/>
        </w:rPr>
        <w:t xml:space="preserve">text in document </w:t>
      </w:r>
      <w:r w:rsidR="00624817" w:rsidRPr="00624817">
        <w:rPr>
          <w:rFonts w:ascii="Times New Roman" w:eastAsiaTheme="minorEastAsia" w:hAnsi="Times New Roman" w:cs="Times New Roman"/>
          <w:sz w:val="24"/>
          <w:szCs w:val="24"/>
          <w:bdr w:val="nil"/>
          <w:lang w:val="en-US" w:eastAsia="ja-JP"/>
        </w:rPr>
        <w:t>ECE/TRANS/WP.29/GRE/2021/1</w:t>
      </w:r>
      <w:r w:rsidR="00166855">
        <w:rPr>
          <w:rFonts w:ascii="Times New Roman" w:eastAsiaTheme="minorEastAsia" w:hAnsi="Times New Roman" w:cs="Times New Roman"/>
          <w:sz w:val="24"/>
          <w:szCs w:val="24"/>
          <w:bdr w:val="nil"/>
          <w:lang w:val="en-US" w:eastAsia="ja-JP"/>
        </w:rPr>
        <w:t>5</w:t>
      </w:r>
      <w:r w:rsidR="00624817">
        <w:rPr>
          <w:rFonts w:ascii="Times New Roman" w:eastAsiaTheme="minorEastAsia" w:hAnsi="Times New Roman" w:cs="Times New Roman"/>
          <w:sz w:val="24"/>
          <w:szCs w:val="24"/>
          <w:bdr w:val="nil"/>
          <w:lang w:val="en-US" w:eastAsia="ja-JP"/>
        </w:rPr>
        <w:t xml:space="preserve"> </w:t>
      </w:r>
      <w:r w:rsidRPr="006E39AE">
        <w:rPr>
          <w:rFonts w:ascii="Times New Roman" w:eastAsiaTheme="minorEastAsia" w:hAnsi="Times New Roman" w:cs="Times New Roman"/>
          <w:sz w:val="24"/>
          <w:szCs w:val="24"/>
          <w:bdr w:val="nil"/>
          <w:lang w:val="en-US" w:eastAsia="ja-JP"/>
        </w:rPr>
        <w:t xml:space="preserve">are marked in bold for new or strikethrough for deleted </w:t>
      </w:r>
      <w:r w:rsidRPr="006E39AE">
        <w:rPr>
          <w:rFonts w:ascii="Times New Roman" w:eastAsiaTheme="minorEastAsia" w:hAnsi="Times New Roman" w:cs="Times New Roman"/>
          <w:sz w:val="24"/>
          <w:szCs w:val="24"/>
          <w:bdr w:val="nil"/>
          <w:lang w:val="en-US"/>
        </w:rPr>
        <w:t>characters</w:t>
      </w:r>
      <w:r w:rsidRPr="006E39AE">
        <w:rPr>
          <w:rFonts w:ascii="Times New Roman" w:eastAsiaTheme="minorEastAsia" w:hAnsi="Times New Roman" w:cs="Times New Roman"/>
          <w:sz w:val="24"/>
          <w:szCs w:val="24"/>
          <w:bdr w:val="nil"/>
          <w:lang w:val="en-US" w:eastAsia="ja-JP"/>
        </w:rPr>
        <w:t>.</w:t>
      </w:r>
      <w:r w:rsidR="009E4D55">
        <w:rPr>
          <w:rFonts w:ascii="Times New Roman" w:eastAsiaTheme="minorEastAsia" w:hAnsi="Times New Roman" w:cs="Times New Roman"/>
          <w:sz w:val="24"/>
          <w:szCs w:val="24"/>
          <w:bdr w:val="nil"/>
          <w:lang w:val="en-US" w:eastAsia="ja-JP"/>
        </w:rPr>
        <w:t xml:space="preserve"> </w:t>
      </w:r>
      <w:r w:rsidR="007804DF">
        <w:rPr>
          <w:rFonts w:ascii="Times New Roman" w:eastAsiaTheme="minorEastAsia" w:hAnsi="Times New Roman" w:cs="Times New Roman"/>
          <w:sz w:val="24"/>
          <w:szCs w:val="24"/>
          <w:bdr w:val="nil"/>
          <w:lang w:val="en-US" w:eastAsia="ja-JP"/>
        </w:rPr>
        <w:t>For prompt reference, all the modifications are highlighted in yellow</w:t>
      </w:r>
      <w:r w:rsidR="009E4D55">
        <w:rPr>
          <w:rFonts w:ascii="Times New Roman" w:eastAsiaTheme="minorEastAsia" w:hAnsi="Times New Roman" w:cs="Times New Roman"/>
          <w:sz w:val="24"/>
          <w:szCs w:val="24"/>
          <w:bdr w:val="nil"/>
          <w:lang w:val="en-US" w:eastAsia="ja-JP"/>
        </w:rPr>
        <w:t>.</w:t>
      </w:r>
    </w:p>
    <w:p w14:paraId="6D40CDD2" w14:textId="6A24E640" w:rsidR="006F13D4" w:rsidRDefault="006F13D4" w:rsidP="006E39AE">
      <w:pPr>
        <w:pBdr>
          <w:top w:val="nil"/>
          <w:left w:val="nil"/>
          <w:bottom w:val="nil"/>
          <w:right w:val="nil"/>
          <w:between w:val="nil"/>
          <w:bar w:val="nil"/>
        </w:pBdr>
        <w:spacing w:after="0" w:line="0" w:lineRule="atLeast"/>
        <w:ind w:right="-8"/>
        <w:jc w:val="both"/>
        <w:rPr>
          <w:rFonts w:ascii="Times New Roman" w:eastAsiaTheme="minorEastAsia" w:hAnsi="Times New Roman" w:cs="Times New Roman"/>
          <w:sz w:val="24"/>
          <w:szCs w:val="24"/>
          <w:bdr w:val="nil"/>
          <w:lang w:val="en-US" w:eastAsia="ja-JP"/>
        </w:rPr>
      </w:pPr>
    </w:p>
    <w:p w14:paraId="24A213EC" w14:textId="634571C1" w:rsidR="003644A5" w:rsidRDefault="003644A5">
      <w:pPr>
        <w:rPr>
          <w:rFonts w:ascii="Times New Roman" w:eastAsiaTheme="minorEastAsia" w:hAnsi="Times New Roman" w:cs="Times New Roman"/>
          <w:sz w:val="24"/>
          <w:szCs w:val="24"/>
          <w:bdr w:val="nil"/>
          <w:lang w:val="en-US" w:eastAsia="ja-JP"/>
        </w:rPr>
      </w:pPr>
      <w:r>
        <w:rPr>
          <w:rFonts w:ascii="Times New Roman" w:eastAsiaTheme="minorEastAsia" w:hAnsi="Times New Roman" w:cs="Times New Roman"/>
          <w:sz w:val="24"/>
          <w:szCs w:val="24"/>
          <w:bdr w:val="nil"/>
          <w:lang w:val="en-US" w:eastAsia="ja-JP"/>
        </w:rPr>
        <w:br w:type="page"/>
      </w:r>
    </w:p>
    <w:p w14:paraId="3C4DF36C" w14:textId="77777777" w:rsidR="00C27479" w:rsidRDefault="009556F5">
      <w:pPr>
        <w:pStyle w:val="HChG"/>
        <w:spacing w:before="240"/>
        <w:rPr>
          <w:b w:val="0"/>
          <w:lang w:val="en-US"/>
        </w:rPr>
      </w:pPr>
      <w:r>
        <w:rPr>
          <w:lang w:val="en-US"/>
        </w:rPr>
        <w:lastRenderedPageBreak/>
        <w:tab/>
        <w:t>I.</w:t>
      </w:r>
      <w:r>
        <w:rPr>
          <w:lang w:val="en-US"/>
        </w:rPr>
        <w:tab/>
        <w:t>Proposal</w:t>
      </w:r>
    </w:p>
    <w:p w14:paraId="4EDC5303" w14:textId="52D71B28" w:rsidR="00C27479" w:rsidRDefault="003F4C6B">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T</w:t>
      </w:r>
      <w:r w:rsidR="00B83EDE">
        <w:rPr>
          <w:rFonts w:ascii="Times New Roman" w:eastAsia="Times New Roman" w:hAnsi="Times New Roman" w:cs="Times New Roman"/>
          <w:i/>
          <w:lang w:val="en-US"/>
        </w:rPr>
        <w:t>itle</w:t>
      </w:r>
      <w:r w:rsidR="009556F5">
        <w:rPr>
          <w:rFonts w:asciiTheme="majorBidi" w:hAnsiTheme="majorBidi" w:cstheme="majorBidi"/>
          <w:lang w:val="en-US"/>
        </w:rPr>
        <w:t xml:space="preserve">, </w:t>
      </w:r>
      <w:r w:rsidR="00B83EDE">
        <w:rPr>
          <w:rFonts w:asciiTheme="majorBidi" w:hAnsiTheme="majorBidi" w:cstheme="majorBidi"/>
          <w:lang w:val="en-US"/>
        </w:rPr>
        <w:t>correct</w:t>
      </w:r>
      <w:r w:rsidR="009556F5">
        <w:rPr>
          <w:rFonts w:asciiTheme="majorBidi" w:hAnsiTheme="majorBidi" w:cstheme="majorBidi"/>
          <w:lang w:val="en-US"/>
        </w:rPr>
        <w:t xml:space="preserve"> to read:</w:t>
      </w:r>
    </w:p>
    <w:p w14:paraId="6EFED7CD" w14:textId="6F1C7C71" w:rsidR="00F561A0" w:rsidRPr="007D4DEE" w:rsidRDefault="00F561A0" w:rsidP="00F561A0">
      <w:pPr>
        <w:pStyle w:val="para"/>
        <w:ind w:right="567"/>
        <w:rPr>
          <w:bCs/>
          <w:lang w:val="en-US"/>
        </w:rPr>
      </w:pPr>
      <w:r w:rsidRPr="00231851">
        <w:rPr>
          <w:bCs/>
          <w:lang w:val="en-GB"/>
        </w:rPr>
        <w:t>“</w:t>
      </w:r>
      <w:r w:rsidR="00B83EDE" w:rsidRPr="000C4783">
        <w:rPr>
          <w:lang w:val="en-US"/>
        </w:rPr>
        <w:t xml:space="preserve">UN Regulation No. </w:t>
      </w:r>
      <w:r w:rsidR="00B83EDE" w:rsidRPr="00B83EDE">
        <w:rPr>
          <w:strike/>
          <w:highlight w:val="yellow"/>
          <w:lang w:val="en-US"/>
        </w:rPr>
        <w:t>149</w:t>
      </w:r>
      <w:r w:rsidR="00B83EDE" w:rsidRPr="00B83EDE">
        <w:rPr>
          <w:b/>
          <w:bCs/>
          <w:highlight w:val="yellow"/>
          <w:lang w:val="en-US"/>
        </w:rPr>
        <w:t>150</w:t>
      </w:r>
      <w:r w:rsidR="00B83EDE" w:rsidRPr="000C4783">
        <w:rPr>
          <w:lang w:val="en-US"/>
        </w:rPr>
        <w:t xml:space="preserve">, </w:t>
      </w:r>
      <w:r w:rsidR="00B83EDE">
        <w:rPr>
          <w:lang w:val="en-US"/>
        </w:rPr>
        <w:t>amend to read:</w:t>
      </w:r>
      <w:r w:rsidR="00B83EDE">
        <w:rPr>
          <w:bCs/>
          <w:lang w:val="en-GB"/>
        </w:rPr>
        <w:t xml:space="preserve">    </w:t>
      </w:r>
      <w:r w:rsidRPr="007D4DEE">
        <w:rPr>
          <w:bCs/>
          <w:lang w:val="en-US"/>
        </w:rPr>
        <w:t>”</w:t>
      </w:r>
    </w:p>
    <w:p w14:paraId="41A9D7DF" w14:textId="1CDDA415" w:rsidR="00F561A0" w:rsidRDefault="00F561A0" w:rsidP="00F561A0">
      <w:pPr>
        <w:suppressAutoHyphens/>
        <w:spacing w:after="120" w:line="240" w:lineRule="atLeast"/>
        <w:ind w:left="2268" w:right="1395" w:hanging="1134"/>
        <w:jc w:val="both"/>
        <w:rPr>
          <w:rFonts w:ascii="Times New Roman" w:eastAsia="Times New Roman" w:hAnsi="Times New Roman" w:cs="Times New Roman"/>
          <w:i/>
          <w:lang w:val="en-US"/>
        </w:rPr>
      </w:pPr>
    </w:p>
    <w:p w14:paraId="7DEC7053" w14:textId="672D934D" w:rsidR="007A66E0" w:rsidRDefault="007A66E0" w:rsidP="00F561A0">
      <w:pPr>
        <w:suppressAutoHyphens/>
        <w:spacing w:after="120" w:line="240" w:lineRule="atLeast"/>
        <w:ind w:left="2268" w:right="1395" w:hanging="1134"/>
        <w:jc w:val="both"/>
        <w:rPr>
          <w:rFonts w:ascii="Times New Roman" w:eastAsia="Times New Roman" w:hAnsi="Times New Roman" w:cs="Times New Roman"/>
          <w:i/>
          <w:lang w:val="en-US"/>
        </w:rPr>
      </w:pPr>
      <w:r>
        <w:rPr>
          <w:rFonts w:ascii="Times New Roman" w:eastAsia="Times New Roman" w:hAnsi="Times New Roman" w:cs="Times New Roman"/>
          <w:i/>
          <w:lang w:val="en-US"/>
        </w:rPr>
        <w:t>Contents</w:t>
      </w:r>
    </w:p>
    <w:p w14:paraId="34FBEF73" w14:textId="73782313" w:rsidR="007A66E0" w:rsidRDefault="007A66E0" w:rsidP="00F561A0">
      <w:pPr>
        <w:suppressAutoHyphens/>
        <w:spacing w:after="120" w:line="240" w:lineRule="atLeast"/>
        <w:ind w:left="2268" w:right="1395" w:hanging="1134"/>
        <w:jc w:val="both"/>
        <w:rPr>
          <w:rFonts w:ascii="Times New Roman" w:eastAsia="Times New Roman" w:hAnsi="Times New Roman" w:cs="Times New Roman"/>
          <w:iCs/>
          <w:lang w:val="en-US"/>
        </w:rPr>
      </w:pPr>
      <w:r>
        <w:rPr>
          <w:rFonts w:ascii="Times New Roman" w:eastAsia="Times New Roman" w:hAnsi="Times New Roman" w:cs="Times New Roman"/>
          <w:i/>
          <w:lang w:val="en-US"/>
        </w:rPr>
        <w:t xml:space="preserve">Annex 11, </w:t>
      </w:r>
      <w:r>
        <w:rPr>
          <w:rFonts w:ascii="Times New Roman" w:eastAsia="Times New Roman" w:hAnsi="Times New Roman" w:cs="Times New Roman"/>
          <w:iCs/>
          <w:lang w:val="en-US"/>
        </w:rPr>
        <w:t>amend title to read:</w:t>
      </w:r>
    </w:p>
    <w:p w14:paraId="62E68430" w14:textId="60F4C8B2" w:rsidR="007A66E0" w:rsidRPr="007A66E0" w:rsidRDefault="007A66E0" w:rsidP="007A66E0">
      <w:pPr>
        <w:suppressAutoHyphens/>
        <w:spacing w:after="120" w:line="240" w:lineRule="atLeast"/>
        <w:ind w:left="2268" w:right="567" w:hanging="1134"/>
        <w:jc w:val="both"/>
        <w:rPr>
          <w:rFonts w:ascii="Times New Roman" w:eastAsia="Times New Roman" w:hAnsi="Times New Roman" w:cs="Times New Roman"/>
          <w:iCs/>
          <w:sz w:val="20"/>
          <w:szCs w:val="20"/>
          <w:lang w:val="en-GB"/>
        </w:rPr>
      </w:pPr>
      <w:r w:rsidRPr="007A66E0">
        <w:rPr>
          <w:rFonts w:ascii="Times New Roman" w:eastAsia="Times New Roman" w:hAnsi="Times New Roman" w:cs="Times New Roman"/>
          <w:i/>
          <w:sz w:val="20"/>
          <w:szCs w:val="20"/>
          <w:lang w:val="en-GB"/>
        </w:rPr>
        <w:t>“</w:t>
      </w:r>
      <w:r w:rsidRPr="007A66E0">
        <w:rPr>
          <w:rFonts w:ascii="Times New Roman" w:hAnsi="Times New Roman" w:cs="Times New Roman"/>
          <w:noProof/>
          <w:sz w:val="20"/>
          <w:szCs w:val="20"/>
          <w:lang w:val="en-GB"/>
        </w:rPr>
        <w:t>11</w:t>
      </w:r>
      <w:r w:rsidRPr="007A66E0">
        <w:rPr>
          <w:rFonts w:ascii="Times New Roman" w:hAnsi="Times New Roman" w:cs="Times New Roman"/>
          <w:noProof/>
          <w:sz w:val="20"/>
          <w:szCs w:val="20"/>
          <w:lang w:val="en-GB"/>
        </w:rPr>
        <w:tab/>
        <w:t xml:space="preserve">Guidelines for installation of rear marking plates on slow-moving vehicles </w:t>
      </w:r>
      <w:r w:rsidRPr="007A66E0">
        <w:rPr>
          <w:rFonts w:ascii="Times New Roman" w:hAnsi="Times New Roman" w:cs="Times New Roman"/>
          <w:noProof/>
          <w:sz w:val="20"/>
          <w:szCs w:val="20"/>
          <w:lang w:val="en-GB"/>
        </w:rPr>
        <w:br/>
        <w:t>(by construction) and their trailers</w:t>
      </w:r>
      <w:r w:rsidRPr="007A66E0">
        <w:rPr>
          <w:rStyle w:val="Hyperlink"/>
          <w:rFonts w:ascii="Times New Roman" w:hAnsi="Times New Roman" w:cs="Times New Roman"/>
          <w:noProof/>
          <w:sz w:val="20"/>
          <w:szCs w:val="20"/>
          <w:lang w:val="en-GB"/>
        </w:rPr>
        <w:t xml:space="preserve"> </w:t>
      </w:r>
      <w:r w:rsidRPr="007A66E0">
        <w:rPr>
          <w:rStyle w:val="Hyperlink"/>
          <w:rFonts w:ascii="Times New Roman" w:hAnsi="Times New Roman" w:cs="Times New Roman"/>
          <w:strike/>
          <w:sz w:val="20"/>
          <w:szCs w:val="20"/>
          <w:highlight w:val="yellow"/>
          <w:lang w:val="en-GB"/>
        </w:rPr>
        <w:t>Colour fastness to artificial light – Xenon Arc Test</w:t>
      </w:r>
      <w:r w:rsidRPr="007A66E0">
        <w:rPr>
          <w:rStyle w:val="Hyperlink"/>
          <w:rFonts w:ascii="Times New Roman" w:hAnsi="Times New Roman" w:cs="Times New Roman"/>
          <w:sz w:val="20"/>
          <w:szCs w:val="20"/>
          <w:lang w:val="en-GB"/>
        </w:rPr>
        <w:t xml:space="preserve">  </w:t>
      </w:r>
      <w:r>
        <w:rPr>
          <w:rStyle w:val="Hyperlink"/>
          <w:rFonts w:ascii="Times New Roman" w:hAnsi="Times New Roman" w:cs="Times New Roman"/>
          <w:sz w:val="20"/>
          <w:szCs w:val="20"/>
          <w:lang w:val="en-GB"/>
        </w:rPr>
        <w:t>”</w:t>
      </w:r>
    </w:p>
    <w:p w14:paraId="6AD213A6" w14:textId="77777777" w:rsidR="007A66E0" w:rsidRPr="007A66E0" w:rsidRDefault="007A66E0" w:rsidP="00F561A0">
      <w:pPr>
        <w:suppressAutoHyphens/>
        <w:spacing w:after="120" w:line="240" w:lineRule="atLeast"/>
        <w:ind w:left="2268" w:right="1395" w:hanging="1134"/>
        <w:jc w:val="both"/>
        <w:rPr>
          <w:rFonts w:ascii="Times New Roman" w:eastAsia="Times New Roman" w:hAnsi="Times New Roman" w:cs="Times New Roman"/>
          <w:i/>
          <w:lang w:val="en-GB"/>
        </w:rPr>
      </w:pPr>
    </w:p>
    <w:p w14:paraId="63A59F8F" w14:textId="63298E75" w:rsidR="006863BE" w:rsidRPr="007A66E0" w:rsidRDefault="006863BE" w:rsidP="006863BE">
      <w:pPr>
        <w:suppressAutoHyphens/>
        <w:spacing w:after="120" w:line="240" w:lineRule="atLeast"/>
        <w:ind w:left="2268" w:right="1395" w:hanging="1134"/>
        <w:jc w:val="both"/>
        <w:rPr>
          <w:rFonts w:asciiTheme="majorBidi" w:hAnsiTheme="majorBidi" w:cstheme="majorBidi"/>
          <w:lang w:val="en-GB"/>
        </w:rPr>
      </w:pPr>
      <w:r w:rsidRPr="007A66E0">
        <w:rPr>
          <w:rFonts w:ascii="Times New Roman" w:eastAsia="Times New Roman" w:hAnsi="Times New Roman" w:cs="Times New Roman"/>
          <w:i/>
          <w:lang w:val="en-GB"/>
        </w:rPr>
        <w:t xml:space="preserve">Paragraph </w:t>
      </w:r>
      <w:bookmarkStart w:id="0" w:name="_Hlk83733509"/>
      <w:r w:rsidR="00755C43" w:rsidRPr="007A66E0">
        <w:rPr>
          <w:rFonts w:ascii="Times New Roman" w:eastAsia="Times New Roman" w:hAnsi="Times New Roman" w:cs="Times New Roman"/>
          <w:i/>
          <w:lang w:val="en-GB"/>
        </w:rPr>
        <w:t>3.3.5.2</w:t>
      </w:r>
      <w:r w:rsidRPr="007A66E0">
        <w:rPr>
          <w:rFonts w:ascii="Times New Roman" w:eastAsia="Times New Roman" w:hAnsi="Times New Roman" w:cs="Times New Roman"/>
          <w:i/>
          <w:lang w:val="en-GB"/>
        </w:rPr>
        <w:t>.</w:t>
      </w:r>
      <w:bookmarkEnd w:id="0"/>
      <w:r w:rsidR="00755C43" w:rsidRPr="007A66E0">
        <w:rPr>
          <w:rFonts w:ascii="Times New Roman" w:eastAsia="Times New Roman" w:hAnsi="Times New Roman" w:cs="Times New Roman"/>
          <w:i/>
          <w:lang w:val="en-GB"/>
        </w:rPr>
        <w:t xml:space="preserve"> (b)</w:t>
      </w:r>
      <w:r w:rsidRPr="007A66E0">
        <w:rPr>
          <w:rFonts w:asciiTheme="majorBidi" w:hAnsiTheme="majorBidi" w:cstheme="majorBidi"/>
          <w:lang w:val="en-GB"/>
        </w:rPr>
        <w:t>, amend to read:</w:t>
      </w:r>
    </w:p>
    <w:p w14:paraId="3EA4C4F3" w14:textId="63BD47D7" w:rsidR="00755C43" w:rsidRPr="00755C43" w:rsidRDefault="006863BE" w:rsidP="00755C43">
      <w:pPr>
        <w:pStyle w:val="4Para4thlevel"/>
        <w:ind w:right="567"/>
      </w:pPr>
      <w:r w:rsidRPr="007A66E0">
        <w:rPr>
          <w:bCs/>
        </w:rPr>
        <w:t>“</w:t>
      </w:r>
      <w:r w:rsidR="00755C43" w:rsidRPr="007A66E0">
        <w:rPr>
          <w:iCs/>
        </w:rPr>
        <w:t>3.3.</w:t>
      </w:r>
      <w:r w:rsidR="00755C43" w:rsidRPr="007A66E0">
        <w:t>5.2.</w:t>
      </w:r>
      <w:r w:rsidR="00755C43" w:rsidRPr="007A66E0">
        <w:tab/>
      </w:r>
      <w:r w:rsidR="00755C43" w:rsidRPr="007A66E0">
        <w:rPr>
          <w:rFonts w:eastAsiaTheme="minorHAnsi"/>
          <w:bCs/>
        </w:rPr>
        <w:t xml:space="preserve">In </w:t>
      </w:r>
      <w:r w:rsidR="00755C43" w:rsidRPr="007A66E0">
        <w:rPr>
          <w:rStyle w:val="Carpredefinitoparagrafo1"/>
        </w:rPr>
        <w:t>case</w:t>
      </w:r>
      <w:r w:rsidR="00755C43" w:rsidRPr="007A66E0">
        <w:rPr>
          <w:rFonts w:eastAsiaTheme="minorHAnsi"/>
          <w:bCs/>
        </w:rPr>
        <w:t xml:space="preserve"> of retro-reflective marking material of Class C, D, E or F. </w:t>
      </w:r>
      <w:r w:rsidR="00755C43" w:rsidRPr="007A66E0">
        <w:t>These markings shall be positioned</w:t>
      </w:r>
      <w:r w:rsidR="00755C43" w:rsidRPr="00755C43">
        <w:t xml:space="preserve"> on the outside at least once:</w:t>
      </w:r>
    </w:p>
    <w:p w14:paraId="52246FCC" w14:textId="77777777" w:rsidR="00755C43" w:rsidRPr="00755C43" w:rsidRDefault="00755C43" w:rsidP="00755C43">
      <w:pPr>
        <w:tabs>
          <w:tab w:val="left" w:pos="1260"/>
        </w:tabs>
        <w:spacing w:before="120" w:after="120"/>
        <w:ind w:left="2835" w:right="567" w:hanging="567"/>
        <w:jc w:val="both"/>
        <w:rPr>
          <w:rFonts w:ascii="Times New Roman" w:hAnsi="Times New Roman" w:cs="Times New Roman"/>
          <w:sz w:val="20"/>
          <w:szCs w:val="20"/>
        </w:rPr>
      </w:pPr>
      <w:r w:rsidRPr="00755C43">
        <w:rPr>
          <w:rFonts w:ascii="Times New Roman" w:hAnsi="Times New Roman" w:cs="Times New Roman"/>
          <w:bCs/>
          <w:sz w:val="20"/>
          <w:szCs w:val="20"/>
        </w:rPr>
        <w:tab/>
      </w:r>
      <w:r w:rsidRPr="00755C43">
        <w:rPr>
          <w:rFonts w:ascii="Times New Roman" w:hAnsi="Times New Roman" w:cs="Times New Roman"/>
          <w:bCs/>
          <w:sz w:val="20"/>
          <w:szCs w:val="20"/>
        </w:rPr>
        <w:tab/>
        <w:t xml:space="preserve">(a) on strips in a 0.5 m distance, </w:t>
      </w:r>
    </w:p>
    <w:p w14:paraId="1C77C633" w14:textId="28A2C04A" w:rsidR="008544A6" w:rsidRPr="00755C43" w:rsidRDefault="00755C43" w:rsidP="00755C43">
      <w:pPr>
        <w:tabs>
          <w:tab w:val="left" w:pos="1260"/>
        </w:tabs>
        <w:spacing w:before="120" w:after="120"/>
        <w:ind w:left="2835" w:right="567" w:hanging="567"/>
        <w:jc w:val="both"/>
        <w:rPr>
          <w:rFonts w:ascii="Times New Roman" w:hAnsi="Times New Roman" w:cs="Times New Roman"/>
          <w:bCs/>
        </w:rPr>
      </w:pPr>
      <w:r w:rsidRPr="00755C43">
        <w:rPr>
          <w:rFonts w:ascii="Times New Roman" w:hAnsi="Times New Roman" w:cs="Times New Roman"/>
          <w:bCs/>
          <w:sz w:val="20"/>
          <w:szCs w:val="20"/>
        </w:rPr>
        <w:tab/>
      </w:r>
      <w:r w:rsidRPr="00755C43">
        <w:rPr>
          <w:rFonts w:ascii="Times New Roman" w:hAnsi="Times New Roman" w:cs="Times New Roman"/>
          <w:bCs/>
          <w:sz w:val="20"/>
          <w:szCs w:val="20"/>
        </w:rPr>
        <w:tab/>
        <w:t xml:space="preserve">(b) on areas within 100 </w:t>
      </w:r>
      <w:r w:rsidRPr="00755C43">
        <w:rPr>
          <w:rFonts w:ascii="Times New Roman" w:hAnsi="Times New Roman" w:cs="Times New Roman"/>
          <w:b/>
          <w:sz w:val="20"/>
          <w:szCs w:val="20"/>
          <w:highlight w:val="yellow"/>
        </w:rPr>
        <w:t>mm</w:t>
      </w:r>
      <w:r w:rsidRPr="00755C43">
        <w:rPr>
          <w:rFonts w:ascii="Times New Roman" w:hAnsi="Times New Roman" w:cs="Times New Roman"/>
          <w:bCs/>
          <w:sz w:val="20"/>
          <w:szCs w:val="20"/>
        </w:rPr>
        <w:t xml:space="preserve"> x 100 mm</w:t>
      </w:r>
      <w:r w:rsidRPr="00755C43">
        <w:rPr>
          <w:rFonts w:ascii="Times New Roman" w:hAnsi="Times New Roman" w:cs="Times New Roman"/>
          <w:bCs/>
          <w:strike/>
          <w:sz w:val="20"/>
          <w:szCs w:val="20"/>
          <w:highlight w:val="yellow"/>
          <w:vertAlign w:val="superscript"/>
        </w:rPr>
        <w:t>2</w:t>
      </w:r>
      <w:r w:rsidRPr="00755C43">
        <w:rPr>
          <w:rFonts w:ascii="Times New Roman" w:hAnsi="Times New Roman" w:cs="Times New Roman"/>
          <w:bCs/>
          <w:sz w:val="20"/>
          <w:szCs w:val="20"/>
        </w:rPr>
        <w:t xml:space="preserve">. </w:t>
      </w:r>
      <w:r w:rsidR="006863BE" w:rsidRPr="00755C43">
        <w:rPr>
          <w:rFonts w:ascii="Times New Roman" w:hAnsi="Times New Roman" w:cs="Times New Roman"/>
        </w:rPr>
        <w:t xml:space="preserve"> </w:t>
      </w:r>
      <w:r w:rsidR="006863BE" w:rsidRPr="00755C43">
        <w:rPr>
          <w:rFonts w:ascii="Times New Roman" w:hAnsi="Times New Roman" w:cs="Times New Roman"/>
          <w:bCs/>
        </w:rPr>
        <w:t>”</w:t>
      </w:r>
    </w:p>
    <w:p w14:paraId="5152686C" w14:textId="2198AA9C" w:rsidR="006C0416" w:rsidRDefault="006C0416" w:rsidP="006C0416">
      <w:pPr>
        <w:suppressAutoHyphens/>
        <w:spacing w:after="120" w:line="240" w:lineRule="atLeast"/>
        <w:ind w:left="2268" w:right="1395" w:hanging="1134"/>
        <w:jc w:val="both"/>
        <w:rPr>
          <w:rFonts w:ascii="Times New Roman" w:eastAsia="Times New Roman" w:hAnsi="Times New Roman" w:cs="Times New Roman"/>
          <w:i/>
          <w:lang w:val="en-US"/>
        </w:rPr>
      </w:pPr>
    </w:p>
    <w:p w14:paraId="5E9CB552" w14:textId="7ECCC1CE" w:rsidR="00EA68F5" w:rsidRDefault="00EA68F5" w:rsidP="00EA68F5">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5.1.3.1.</w:t>
      </w:r>
      <w:r>
        <w:rPr>
          <w:rFonts w:asciiTheme="majorBidi" w:hAnsiTheme="majorBidi" w:cstheme="majorBidi"/>
          <w:lang w:val="en-US"/>
        </w:rPr>
        <w:t>, amend to read:</w:t>
      </w:r>
    </w:p>
    <w:p w14:paraId="2A7EA5FA" w14:textId="77777777" w:rsidR="00EA68F5" w:rsidRDefault="00EA68F5" w:rsidP="00EA68F5">
      <w:pPr>
        <w:pStyle w:val="4Para4thlevel"/>
        <w:ind w:right="567"/>
        <w:rPr>
          <w:rFonts w:eastAsiaTheme="minorHAnsi"/>
          <w:bCs/>
        </w:rPr>
      </w:pPr>
      <w:r w:rsidRPr="00231851">
        <w:rPr>
          <w:bCs/>
        </w:rPr>
        <w:t>“</w:t>
      </w:r>
      <w:r>
        <w:rPr>
          <w:iCs/>
        </w:rPr>
        <w:t>5.1.3.1</w:t>
      </w:r>
      <w:r w:rsidRPr="00B935AE">
        <w:t>.</w:t>
      </w:r>
      <w:r w:rsidRPr="00B935AE">
        <w:tab/>
      </w:r>
      <w:r>
        <w:rPr>
          <w:rFonts w:eastAsiaTheme="minorHAnsi"/>
          <w:bCs/>
        </w:rPr>
        <w:t>…</w:t>
      </w:r>
    </w:p>
    <w:p w14:paraId="55A222FC" w14:textId="0171A543" w:rsidR="00EA68F5" w:rsidRPr="00EA68F5" w:rsidRDefault="00EA68F5" w:rsidP="00EA68F5">
      <w:pPr>
        <w:pStyle w:val="SingleTxtG"/>
        <w:ind w:left="3969" w:hanging="1701"/>
      </w:pPr>
      <w:r w:rsidRPr="00A26E96">
        <w:t>Fourth group:</w:t>
      </w:r>
      <w:r w:rsidRPr="00A26E96">
        <w:tab/>
        <w:t xml:space="preserve">The two samples shall be subjected to the </w:t>
      </w:r>
      <w:r w:rsidRPr="00EA68F5">
        <w:rPr>
          <w:strike/>
          <w:highlight w:val="yellow"/>
        </w:rPr>
        <w:t>colour-fastness</w:t>
      </w:r>
      <w:r w:rsidRPr="00EA68F5">
        <w:rPr>
          <w:highlight w:val="yellow"/>
        </w:rPr>
        <w:t xml:space="preserve"> </w:t>
      </w:r>
      <w:r w:rsidRPr="00EA68F5">
        <w:rPr>
          <w:b/>
          <w:bCs/>
          <w:highlight w:val="yellow"/>
        </w:rPr>
        <w:t>resistance to weathering</w:t>
      </w:r>
      <w:r w:rsidRPr="00EA68F5">
        <w:t xml:space="preserve"> </w:t>
      </w:r>
      <w:r w:rsidRPr="00A26E96">
        <w:t>test (</w:t>
      </w:r>
      <w:r w:rsidRPr="00EA68F5">
        <w:rPr>
          <w:strike/>
          <w:highlight w:val="yellow"/>
        </w:rPr>
        <w:t>Annex 10</w:t>
      </w:r>
      <w:r w:rsidRPr="00EA68F5">
        <w:rPr>
          <w:rFonts w:eastAsia="MS Mincho"/>
          <w:highlight w:val="yellow"/>
          <w:lang w:eastAsia="ja-JP"/>
        </w:rPr>
        <w:t xml:space="preserve"> </w:t>
      </w:r>
      <w:r w:rsidRPr="00EA68F5">
        <w:rPr>
          <w:rFonts w:eastAsia="MS Mincho"/>
          <w:b/>
          <w:bCs/>
          <w:highlight w:val="yellow"/>
          <w:lang w:eastAsia="ja-JP"/>
        </w:rPr>
        <w:t>Part 6 of Annex 6</w:t>
      </w:r>
      <w:r w:rsidRPr="00A26E96">
        <w:t>).</w:t>
      </w:r>
      <w:r>
        <w:t xml:space="preserve"> </w:t>
      </w:r>
      <w:r w:rsidRPr="00755C43">
        <w:rPr>
          <w:bCs/>
        </w:rPr>
        <w:t xml:space="preserve"> </w:t>
      </w:r>
      <w:r w:rsidRPr="00755C43">
        <w:t xml:space="preserve"> </w:t>
      </w:r>
      <w:r w:rsidRPr="00755C43">
        <w:rPr>
          <w:bCs/>
        </w:rPr>
        <w:t>”</w:t>
      </w:r>
    </w:p>
    <w:p w14:paraId="790BE630" w14:textId="77777777" w:rsidR="00EA68F5" w:rsidRDefault="00EA68F5" w:rsidP="006C0416">
      <w:pPr>
        <w:suppressAutoHyphens/>
        <w:spacing w:after="120" w:line="240" w:lineRule="atLeast"/>
        <w:ind w:left="2268" w:right="1395" w:hanging="1134"/>
        <w:jc w:val="both"/>
        <w:rPr>
          <w:rFonts w:ascii="Times New Roman" w:eastAsia="Times New Roman" w:hAnsi="Times New Roman" w:cs="Times New Roman"/>
          <w:i/>
          <w:lang w:val="en-US"/>
        </w:rPr>
      </w:pPr>
    </w:p>
    <w:p w14:paraId="5165C262" w14:textId="58DFED1F" w:rsidR="007E36C5" w:rsidRDefault="007E36C5" w:rsidP="007E36C5">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Paragraphs 5.1.4.4.2. and 5.1.4.4.3.</w:t>
      </w:r>
      <w:r>
        <w:rPr>
          <w:rFonts w:asciiTheme="majorBidi" w:hAnsiTheme="majorBidi" w:cstheme="majorBidi"/>
          <w:lang w:val="en-US"/>
        </w:rPr>
        <w:t>, delete</w:t>
      </w:r>
    </w:p>
    <w:p w14:paraId="24A7B8B5" w14:textId="48BFA9E2" w:rsidR="007E36C5" w:rsidRDefault="007E36C5" w:rsidP="006C0416">
      <w:pPr>
        <w:suppressAutoHyphens/>
        <w:spacing w:after="120" w:line="240" w:lineRule="atLeast"/>
        <w:ind w:left="2268" w:right="1395" w:hanging="1134"/>
        <w:jc w:val="both"/>
        <w:rPr>
          <w:rFonts w:ascii="Times New Roman" w:eastAsia="Times New Roman" w:hAnsi="Times New Roman" w:cs="Times New Roman"/>
          <w:i/>
          <w:lang w:val="en-US"/>
        </w:rPr>
      </w:pPr>
    </w:p>
    <w:p w14:paraId="51ACB09B" w14:textId="5A97000C" w:rsidR="00EA68F5" w:rsidRDefault="00EA68F5" w:rsidP="00EA68F5">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5.1.6.</w:t>
      </w:r>
      <w:r>
        <w:rPr>
          <w:rFonts w:asciiTheme="majorBidi" w:hAnsiTheme="majorBidi" w:cstheme="majorBidi"/>
          <w:lang w:val="en-US"/>
        </w:rPr>
        <w:t>, amend to read:</w:t>
      </w:r>
    </w:p>
    <w:p w14:paraId="68FFFC6E" w14:textId="531AA0F0" w:rsidR="00EA68F5" w:rsidRDefault="00EA68F5" w:rsidP="00EA68F5">
      <w:pPr>
        <w:pStyle w:val="4Para4thlevel"/>
        <w:ind w:right="567"/>
        <w:rPr>
          <w:rFonts w:eastAsiaTheme="minorHAnsi"/>
          <w:bCs/>
        </w:rPr>
      </w:pPr>
      <w:r w:rsidRPr="00231851">
        <w:rPr>
          <w:bCs/>
        </w:rPr>
        <w:t>“</w:t>
      </w:r>
      <w:r>
        <w:rPr>
          <w:iCs/>
        </w:rPr>
        <w:t>5.1.6</w:t>
      </w:r>
      <w:r w:rsidRPr="00B935AE">
        <w:t>.</w:t>
      </w:r>
      <w:r w:rsidRPr="00B935AE">
        <w:tab/>
      </w:r>
      <w:r>
        <w:rPr>
          <w:rFonts w:eastAsiaTheme="minorHAnsi"/>
          <w:bCs/>
        </w:rPr>
        <w:t>…</w:t>
      </w:r>
    </w:p>
    <w:p w14:paraId="3F83E4CC" w14:textId="0CE6903C" w:rsidR="00EA68F5" w:rsidRPr="007D4DEE" w:rsidRDefault="00EA68F5" w:rsidP="00EA68F5">
      <w:pPr>
        <w:pStyle w:val="para"/>
        <w:ind w:firstLine="0"/>
        <w:rPr>
          <w:lang w:val="en-US"/>
        </w:rPr>
      </w:pPr>
      <w:r w:rsidRPr="00EA68F5">
        <w:rPr>
          <w:lang w:val="en-GB"/>
        </w:rPr>
        <w:t>This is only applicable to tests described in Part 3 of Annex 4</w:t>
      </w:r>
      <w:r w:rsidRPr="00806F26">
        <w:rPr>
          <w:b/>
          <w:bCs/>
          <w:highlight w:val="yellow"/>
          <w:lang w:val="en-GB"/>
        </w:rPr>
        <w:t>,</w:t>
      </w:r>
      <w:r w:rsidRPr="00806F26">
        <w:rPr>
          <w:highlight w:val="yellow"/>
          <w:lang w:val="en-GB"/>
        </w:rPr>
        <w:t xml:space="preserve"> in Parts 4, </w:t>
      </w:r>
      <w:r w:rsidRPr="00806F26">
        <w:rPr>
          <w:strike/>
          <w:highlight w:val="yellow"/>
          <w:lang w:val="en-GB"/>
        </w:rPr>
        <w:t xml:space="preserve">and </w:t>
      </w:r>
      <w:r w:rsidRPr="00806F26">
        <w:rPr>
          <w:highlight w:val="yellow"/>
          <w:lang w:val="en-GB"/>
        </w:rPr>
        <w:t xml:space="preserve">5 </w:t>
      </w:r>
      <w:r w:rsidRPr="00806F26">
        <w:rPr>
          <w:b/>
          <w:bCs/>
          <w:highlight w:val="yellow"/>
          <w:lang w:val="en-GB"/>
        </w:rPr>
        <w:t xml:space="preserve">and 6 </w:t>
      </w:r>
      <w:r w:rsidRPr="00806F26">
        <w:rPr>
          <w:highlight w:val="yellow"/>
          <w:lang w:val="en-GB"/>
        </w:rPr>
        <w:t>of Annex 6</w:t>
      </w:r>
      <w:r w:rsidRPr="00806F26">
        <w:rPr>
          <w:strike/>
          <w:highlight w:val="yellow"/>
          <w:lang w:val="en-GB"/>
        </w:rPr>
        <w:t xml:space="preserve"> and in Annex 10</w:t>
      </w:r>
      <w:r>
        <w:rPr>
          <w:lang w:val="en-GB"/>
        </w:rPr>
        <w:t>.</w:t>
      </w:r>
      <w:r w:rsidRPr="007D4DEE">
        <w:rPr>
          <w:lang w:val="en-US"/>
        </w:rPr>
        <w:t xml:space="preserve"> </w:t>
      </w:r>
      <w:r w:rsidRPr="007D4DEE">
        <w:rPr>
          <w:bCs/>
          <w:lang w:val="en-US"/>
        </w:rPr>
        <w:t xml:space="preserve"> </w:t>
      </w:r>
      <w:r w:rsidRPr="007D4DEE">
        <w:rPr>
          <w:lang w:val="en-US"/>
        </w:rPr>
        <w:t xml:space="preserve"> </w:t>
      </w:r>
      <w:r w:rsidRPr="007D4DEE">
        <w:rPr>
          <w:bCs/>
          <w:lang w:val="en-US"/>
        </w:rPr>
        <w:t>”</w:t>
      </w:r>
    </w:p>
    <w:p w14:paraId="65EE5024" w14:textId="77777777" w:rsidR="00EA68F5" w:rsidRPr="00755C43" w:rsidRDefault="00EA68F5" w:rsidP="006C0416">
      <w:pPr>
        <w:suppressAutoHyphens/>
        <w:spacing w:after="120" w:line="240" w:lineRule="atLeast"/>
        <w:ind w:left="2268" w:right="1395" w:hanging="1134"/>
        <w:jc w:val="both"/>
        <w:rPr>
          <w:rFonts w:ascii="Times New Roman" w:eastAsia="Times New Roman" w:hAnsi="Times New Roman" w:cs="Times New Roman"/>
          <w:i/>
          <w:lang w:val="en-US"/>
        </w:rPr>
      </w:pPr>
    </w:p>
    <w:p w14:paraId="57F448E2" w14:textId="0593CC07" w:rsidR="007E36C5" w:rsidRDefault="007E36C5" w:rsidP="003A4613">
      <w:pPr>
        <w:suppressAutoHyphens/>
        <w:spacing w:after="120" w:line="240" w:lineRule="atLeast"/>
        <w:ind w:left="2268" w:right="1395" w:hanging="1134"/>
        <w:jc w:val="both"/>
        <w:rPr>
          <w:rFonts w:ascii="Times New Roman" w:eastAsia="Times New Roman" w:hAnsi="Times New Roman" w:cs="Times New Roman"/>
          <w:iCs/>
          <w:lang w:val="en-US"/>
        </w:rPr>
      </w:pPr>
      <w:r>
        <w:rPr>
          <w:rFonts w:ascii="Times New Roman" w:eastAsia="Times New Roman" w:hAnsi="Times New Roman" w:cs="Times New Roman"/>
          <w:i/>
          <w:lang w:val="en-US"/>
        </w:rPr>
        <w:t xml:space="preserve">Table 4, </w:t>
      </w:r>
      <w:r>
        <w:rPr>
          <w:rFonts w:ascii="Times New Roman" w:eastAsia="Times New Roman" w:hAnsi="Times New Roman" w:cs="Times New Roman"/>
          <w:iCs/>
          <w:lang w:val="en-US"/>
        </w:rPr>
        <w:t>amend to read:</w:t>
      </w:r>
    </w:p>
    <w:p w14:paraId="58D1D7E4" w14:textId="1134F6A0" w:rsidR="007E36C5" w:rsidRDefault="007E36C5" w:rsidP="003A4613">
      <w:pPr>
        <w:suppressAutoHyphens/>
        <w:spacing w:after="120" w:line="240" w:lineRule="atLeast"/>
        <w:ind w:left="2268" w:right="1395" w:hanging="1134"/>
        <w:jc w:val="both"/>
        <w:rPr>
          <w:rFonts w:ascii="Times New Roman" w:eastAsia="Times New Roman" w:hAnsi="Times New Roman" w:cs="Times New Roman"/>
          <w:iCs/>
          <w:lang w:val="en-US"/>
        </w:rPr>
      </w:pPr>
      <w:r>
        <w:rPr>
          <w:rFonts w:ascii="Times New Roman" w:eastAsia="Times New Roman" w:hAnsi="Times New Roman" w:cs="Times New Roman"/>
          <w:iCs/>
          <w:lang w:val="en-US"/>
        </w:rPr>
        <w:t>“…</w:t>
      </w:r>
    </w:p>
    <w:tbl>
      <w:tblPr>
        <w:tblW w:w="7922"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3261"/>
        <w:gridCol w:w="434"/>
        <w:gridCol w:w="343"/>
        <w:gridCol w:w="343"/>
        <w:gridCol w:w="343"/>
        <w:gridCol w:w="343"/>
        <w:gridCol w:w="343"/>
        <w:gridCol w:w="343"/>
        <w:gridCol w:w="343"/>
        <w:gridCol w:w="343"/>
        <w:gridCol w:w="343"/>
      </w:tblGrid>
      <w:tr w:rsidR="00E86EE8" w:rsidRPr="00B95B08" w14:paraId="514BD402" w14:textId="77777777" w:rsidTr="00060DA8">
        <w:trPr>
          <w:tblHeader/>
        </w:trPr>
        <w:tc>
          <w:tcPr>
            <w:tcW w:w="1140" w:type="dxa"/>
            <w:tcBorders>
              <w:bottom w:val="nil"/>
              <w:right w:val="single" w:sz="2" w:space="0" w:color="auto"/>
            </w:tcBorders>
            <w:shd w:val="clear" w:color="auto" w:fill="auto"/>
          </w:tcPr>
          <w:p w14:paraId="4EE7E4AD"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Reference</w:t>
            </w:r>
          </w:p>
        </w:tc>
        <w:tc>
          <w:tcPr>
            <w:tcW w:w="3261" w:type="dxa"/>
            <w:tcBorders>
              <w:left w:val="single" w:sz="2" w:space="0" w:color="auto"/>
              <w:bottom w:val="nil"/>
            </w:tcBorders>
            <w:shd w:val="clear" w:color="auto" w:fill="auto"/>
          </w:tcPr>
          <w:p w14:paraId="313C8F13"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Tests</w:t>
            </w:r>
          </w:p>
        </w:tc>
        <w:tc>
          <w:tcPr>
            <w:tcW w:w="3521" w:type="dxa"/>
            <w:gridSpan w:val="10"/>
            <w:shd w:val="clear" w:color="auto" w:fill="auto"/>
          </w:tcPr>
          <w:p w14:paraId="7B4997A7"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Samples</w:t>
            </w:r>
          </w:p>
        </w:tc>
      </w:tr>
      <w:tr w:rsidR="00E86EE8" w:rsidRPr="00B95B08" w14:paraId="6E6E8357" w14:textId="77777777" w:rsidTr="00060DA8">
        <w:trPr>
          <w:tblHeader/>
        </w:trPr>
        <w:tc>
          <w:tcPr>
            <w:tcW w:w="1140" w:type="dxa"/>
            <w:tcBorders>
              <w:top w:val="nil"/>
              <w:bottom w:val="single" w:sz="12" w:space="0" w:color="auto"/>
              <w:right w:val="single" w:sz="2" w:space="0" w:color="auto"/>
            </w:tcBorders>
            <w:shd w:val="clear" w:color="auto" w:fill="auto"/>
          </w:tcPr>
          <w:p w14:paraId="651131C2" w14:textId="77777777" w:rsidR="00E86EE8" w:rsidRPr="00B95B08" w:rsidRDefault="00E86EE8" w:rsidP="00060DA8">
            <w:pPr>
              <w:keepNext/>
              <w:spacing w:before="80" w:after="80" w:line="200" w:lineRule="exact"/>
              <w:ind w:left="57" w:right="57"/>
              <w:jc w:val="center"/>
              <w:rPr>
                <w:b/>
                <w:bCs/>
                <w:sz w:val="18"/>
              </w:rPr>
            </w:pPr>
          </w:p>
        </w:tc>
        <w:tc>
          <w:tcPr>
            <w:tcW w:w="3261" w:type="dxa"/>
            <w:tcBorders>
              <w:top w:val="nil"/>
              <w:left w:val="single" w:sz="2" w:space="0" w:color="auto"/>
              <w:bottom w:val="single" w:sz="12" w:space="0" w:color="auto"/>
            </w:tcBorders>
            <w:shd w:val="clear" w:color="auto" w:fill="auto"/>
            <w:vAlign w:val="bottom"/>
          </w:tcPr>
          <w:p w14:paraId="5FAEC1EE" w14:textId="77777777" w:rsidR="00E86EE8" w:rsidRPr="00B95B08" w:rsidRDefault="00E86EE8" w:rsidP="00060DA8">
            <w:pPr>
              <w:keepNext/>
              <w:spacing w:before="80" w:after="80" w:line="200" w:lineRule="exact"/>
              <w:ind w:left="57" w:right="57"/>
              <w:jc w:val="center"/>
              <w:rPr>
                <w:b/>
                <w:bCs/>
                <w:sz w:val="18"/>
              </w:rPr>
            </w:pPr>
          </w:p>
        </w:tc>
        <w:tc>
          <w:tcPr>
            <w:tcW w:w="434" w:type="dxa"/>
            <w:tcBorders>
              <w:bottom w:val="single" w:sz="12" w:space="0" w:color="auto"/>
            </w:tcBorders>
            <w:shd w:val="clear" w:color="auto" w:fill="auto"/>
            <w:vAlign w:val="center"/>
          </w:tcPr>
          <w:p w14:paraId="4E52BB39"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a</w:t>
            </w:r>
          </w:p>
        </w:tc>
        <w:tc>
          <w:tcPr>
            <w:tcW w:w="343" w:type="dxa"/>
            <w:tcBorders>
              <w:bottom w:val="single" w:sz="12" w:space="0" w:color="auto"/>
            </w:tcBorders>
            <w:shd w:val="clear" w:color="auto" w:fill="auto"/>
            <w:vAlign w:val="center"/>
          </w:tcPr>
          <w:p w14:paraId="56E56BE6"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b</w:t>
            </w:r>
          </w:p>
        </w:tc>
        <w:tc>
          <w:tcPr>
            <w:tcW w:w="343" w:type="dxa"/>
            <w:tcBorders>
              <w:bottom w:val="single" w:sz="12" w:space="0" w:color="auto"/>
            </w:tcBorders>
            <w:shd w:val="clear" w:color="auto" w:fill="auto"/>
            <w:vAlign w:val="center"/>
          </w:tcPr>
          <w:p w14:paraId="3A692980"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c</w:t>
            </w:r>
          </w:p>
        </w:tc>
        <w:tc>
          <w:tcPr>
            <w:tcW w:w="343" w:type="dxa"/>
            <w:tcBorders>
              <w:bottom w:val="single" w:sz="12" w:space="0" w:color="auto"/>
            </w:tcBorders>
            <w:shd w:val="clear" w:color="auto" w:fill="auto"/>
            <w:vAlign w:val="center"/>
          </w:tcPr>
          <w:p w14:paraId="6F69F042"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d</w:t>
            </w:r>
          </w:p>
        </w:tc>
        <w:tc>
          <w:tcPr>
            <w:tcW w:w="343" w:type="dxa"/>
            <w:tcBorders>
              <w:bottom w:val="single" w:sz="12" w:space="0" w:color="auto"/>
            </w:tcBorders>
            <w:shd w:val="clear" w:color="auto" w:fill="auto"/>
            <w:vAlign w:val="center"/>
          </w:tcPr>
          <w:p w14:paraId="4E330F3C"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e</w:t>
            </w:r>
          </w:p>
        </w:tc>
        <w:tc>
          <w:tcPr>
            <w:tcW w:w="343" w:type="dxa"/>
            <w:tcBorders>
              <w:bottom w:val="single" w:sz="12" w:space="0" w:color="auto"/>
            </w:tcBorders>
            <w:shd w:val="clear" w:color="auto" w:fill="auto"/>
            <w:vAlign w:val="center"/>
          </w:tcPr>
          <w:p w14:paraId="17DC42FF"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f</w:t>
            </w:r>
          </w:p>
        </w:tc>
        <w:tc>
          <w:tcPr>
            <w:tcW w:w="343" w:type="dxa"/>
            <w:tcBorders>
              <w:bottom w:val="single" w:sz="12" w:space="0" w:color="auto"/>
            </w:tcBorders>
            <w:shd w:val="clear" w:color="auto" w:fill="auto"/>
            <w:vAlign w:val="center"/>
          </w:tcPr>
          <w:p w14:paraId="7802EE13"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g</w:t>
            </w:r>
          </w:p>
        </w:tc>
        <w:tc>
          <w:tcPr>
            <w:tcW w:w="343" w:type="dxa"/>
            <w:tcBorders>
              <w:bottom w:val="single" w:sz="12" w:space="0" w:color="auto"/>
            </w:tcBorders>
            <w:shd w:val="clear" w:color="auto" w:fill="auto"/>
            <w:vAlign w:val="center"/>
          </w:tcPr>
          <w:p w14:paraId="23744D02"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h</w:t>
            </w:r>
          </w:p>
        </w:tc>
        <w:tc>
          <w:tcPr>
            <w:tcW w:w="343" w:type="dxa"/>
            <w:tcBorders>
              <w:bottom w:val="single" w:sz="12" w:space="0" w:color="auto"/>
            </w:tcBorders>
            <w:shd w:val="clear" w:color="auto" w:fill="auto"/>
            <w:vAlign w:val="center"/>
          </w:tcPr>
          <w:p w14:paraId="3FBB142D"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i</w:t>
            </w:r>
          </w:p>
        </w:tc>
        <w:tc>
          <w:tcPr>
            <w:tcW w:w="343" w:type="dxa"/>
            <w:tcBorders>
              <w:bottom w:val="single" w:sz="12" w:space="0" w:color="auto"/>
            </w:tcBorders>
            <w:shd w:val="clear" w:color="auto" w:fill="auto"/>
            <w:vAlign w:val="center"/>
          </w:tcPr>
          <w:p w14:paraId="0701E302" w14:textId="77777777" w:rsidR="00E86EE8" w:rsidRPr="00B95B08" w:rsidRDefault="00E86EE8" w:rsidP="00060DA8">
            <w:pPr>
              <w:keepNext/>
              <w:spacing w:before="80" w:after="80" w:line="200" w:lineRule="exact"/>
              <w:ind w:left="57" w:right="57"/>
              <w:jc w:val="center"/>
              <w:rPr>
                <w:b/>
                <w:bCs/>
                <w:i/>
                <w:sz w:val="16"/>
                <w:szCs w:val="16"/>
              </w:rPr>
            </w:pPr>
            <w:r w:rsidRPr="00B95B08">
              <w:rPr>
                <w:b/>
                <w:bCs/>
                <w:i/>
                <w:sz w:val="16"/>
                <w:szCs w:val="16"/>
              </w:rPr>
              <w:t>j</w:t>
            </w:r>
          </w:p>
        </w:tc>
      </w:tr>
    </w:tbl>
    <w:p w14:paraId="4F88D1DD" w14:textId="74346297" w:rsidR="00E86EE8" w:rsidRDefault="00E86EE8" w:rsidP="00E86EE8">
      <w:pPr>
        <w:suppressAutoHyphens/>
        <w:spacing w:after="120" w:line="240" w:lineRule="atLeast"/>
        <w:ind w:left="2268" w:right="1395" w:hanging="850"/>
        <w:jc w:val="both"/>
        <w:rPr>
          <w:rFonts w:ascii="Times New Roman" w:eastAsia="Times New Roman" w:hAnsi="Times New Roman" w:cs="Times New Roman"/>
          <w:iCs/>
          <w:lang w:val="en-US"/>
        </w:rPr>
      </w:pPr>
      <w:r>
        <w:rPr>
          <w:rFonts w:ascii="Times New Roman" w:eastAsia="Times New Roman" w:hAnsi="Times New Roman" w:cs="Times New Roman"/>
          <w:iCs/>
          <w:lang w:val="en-US"/>
        </w:rPr>
        <w:t>…</w:t>
      </w:r>
    </w:p>
    <w:tbl>
      <w:tblPr>
        <w:tblW w:w="7922" w:type="dxa"/>
        <w:tblInd w:w="14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140"/>
        <w:gridCol w:w="3261"/>
        <w:gridCol w:w="434"/>
        <w:gridCol w:w="343"/>
        <w:gridCol w:w="343"/>
        <w:gridCol w:w="343"/>
        <w:gridCol w:w="343"/>
        <w:gridCol w:w="343"/>
        <w:gridCol w:w="343"/>
        <w:gridCol w:w="343"/>
        <w:gridCol w:w="343"/>
        <w:gridCol w:w="343"/>
      </w:tblGrid>
      <w:tr w:rsidR="007E36C5" w:rsidRPr="007E36C5" w14:paraId="1FBB77F1" w14:textId="77777777" w:rsidTr="00060DA8">
        <w:tc>
          <w:tcPr>
            <w:tcW w:w="1140" w:type="dxa"/>
            <w:shd w:val="clear" w:color="auto" w:fill="auto"/>
          </w:tcPr>
          <w:p w14:paraId="57BB6753"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Part 2 of Annex 7</w:t>
            </w:r>
          </w:p>
        </w:tc>
        <w:tc>
          <w:tcPr>
            <w:tcW w:w="3261" w:type="dxa"/>
            <w:shd w:val="clear" w:color="auto" w:fill="auto"/>
            <w:vAlign w:val="center"/>
          </w:tcPr>
          <w:p w14:paraId="4B77C27A" w14:textId="77777777" w:rsidR="007E36C5" w:rsidRPr="007E36C5" w:rsidRDefault="007E36C5" w:rsidP="00060DA8">
            <w:pPr>
              <w:keepNext/>
              <w:spacing w:before="40" w:after="40" w:line="220" w:lineRule="exact"/>
              <w:ind w:left="113" w:right="113"/>
              <w:rPr>
                <w:rFonts w:ascii="Times New Roman" w:hAnsi="Times New Roman" w:cs="Times New Roman"/>
                <w:spacing w:val="-4"/>
                <w:sz w:val="18"/>
                <w:szCs w:val="18"/>
              </w:rPr>
            </w:pPr>
            <w:r w:rsidRPr="007E36C5">
              <w:rPr>
                <w:rFonts w:ascii="Times New Roman" w:hAnsi="Times New Roman" w:cs="Times New Roman"/>
                <w:spacing w:val="-4"/>
                <w:sz w:val="18"/>
                <w:szCs w:val="18"/>
              </w:rPr>
              <w:t>Oils:</w:t>
            </w:r>
            <w:r w:rsidRPr="007E36C5">
              <w:rPr>
                <w:rFonts w:ascii="Times New Roman" w:hAnsi="Times New Roman" w:cs="Times New Roman"/>
                <w:spacing w:val="-4"/>
                <w:sz w:val="18"/>
                <w:szCs w:val="18"/>
              </w:rPr>
              <w:tab/>
            </w:r>
            <w:r w:rsidRPr="007E36C5">
              <w:rPr>
                <w:rFonts w:ascii="Times New Roman" w:hAnsi="Times New Roman" w:cs="Times New Roman"/>
                <w:spacing w:val="-4"/>
                <w:sz w:val="18"/>
                <w:szCs w:val="18"/>
              </w:rPr>
              <w:tab/>
              <w:t>5 min.</w:t>
            </w:r>
          </w:p>
          <w:p w14:paraId="4C6CAEAB" w14:textId="77777777" w:rsidR="007E36C5" w:rsidRPr="007E36C5" w:rsidRDefault="007E36C5" w:rsidP="00060DA8">
            <w:pPr>
              <w:keepNext/>
              <w:spacing w:before="40" w:after="40" w:line="220" w:lineRule="exact"/>
              <w:ind w:left="113" w:right="113"/>
              <w:rPr>
                <w:rFonts w:ascii="Times New Roman" w:hAnsi="Times New Roman" w:cs="Times New Roman"/>
                <w:spacing w:val="-4"/>
                <w:sz w:val="18"/>
                <w:szCs w:val="18"/>
              </w:rPr>
            </w:pPr>
            <w:r w:rsidRPr="007E36C5">
              <w:rPr>
                <w:rFonts w:ascii="Times New Roman" w:hAnsi="Times New Roman" w:cs="Times New Roman"/>
                <w:spacing w:val="-4"/>
                <w:sz w:val="18"/>
                <w:szCs w:val="18"/>
              </w:rPr>
              <w:tab/>
            </w:r>
            <w:r w:rsidRPr="007E36C5">
              <w:rPr>
                <w:rFonts w:ascii="Times New Roman" w:hAnsi="Times New Roman" w:cs="Times New Roman"/>
                <w:spacing w:val="-4"/>
                <w:sz w:val="18"/>
                <w:szCs w:val="18"/>
              </w:rPr>
              <w:tab/>
              <w:t>visual inspection</w:t>
            </w:r>
          </w:p>
        </w:tc>
        <w:tc>
          <w:tcPr>
            <w:tcW w:w="434" w:type="dxa"/>
            <w:shd w:val="clear" w:color="auto" w:fill="auto"/>
          </w:tcPr>
          <w:p w14:paraId="0075A2A1"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3BEC990F"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7EB8B27B"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0EA422C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49D6FD24"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57BA278B"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1B8BD4B1"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p w14:paraId="5E6B51EE"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tc>
        <w:tc>
          <w:tcPr>
            <w:tcW w:w="343" w:type="dxa"/>
            <w:shd w:val="clear" w:color="auto" w:fill="auto"/>
          </w:tcPr>
          <w:p w14:paraId="56330A2D"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p w14:paraId="7F1A3DB4"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tc>
        <w:tc>
          <w:tcPr>
            <w:tcW w:w="343" w:type="dxa"/>
            <w:shd w:val="clear" w:color="auto" w:fill="auto"/>
          </w:tcPr>
          <w:p w14:paraId="2CBE2F0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tcPr>
          <w:p w14:paraId="171F1D80"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r>
      <w:tr w:rsidR="007E36C5" w:rsidRPr="007E36C5" w14:paraId="6FC58A88" w14:textId="77777777" w:rsidTr="00060DA8">
        <w:tc>
          <w:tcPr>
            <w:tcW w:w="1140" w:type="dxa"/>
            <w:shd w:val="clear" w:color="auto" w:fill="auto"/>
          </w:tcPr>
          <w:p w14:paraId="75F5141E"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Par. 4.2.</w:t>
            </w:r>
          </w:p>
        </w:tc>
        <w:tc>
          <w:tcPr>
            <w:tcW w:w="3261" w:type="dxa"/>
            <w:shd w:val="clear" w:color="auto" w:fill="auto"/>
            <w:vAlign w:val="center"/>
          </w:tcPr>
          <w:p w14:paraId="5611AC3F" w14:textId="77777777" w:rsidR="007E36C5" w:rsidRPr="007E36C5" w:rsidRDefault="007E36C5" w:rsidP="00060DA8">
            <w:pPr>
              <w:keepNext/>
              <w:spacing w:before="40" w:after="40" w:line="220" w:lineRule="exact"/>
              <w:ind w:left="113" w:right="113"/>
              <w:rPr>
                <w:rFonts w:ascii="Times New Roman" w:hAnsi="Times New Roman" w:cs="Times New Roman"/>
                <w:spacing w:val="-4"/>
                <w:sz w:val="18"/>
                <w:szCs w:val="18"/>
              </w:rPr>
            </w:pPr>
            <w:r w:rsidRPr="007E36C5">
              <w:rPr>
                <w:rFonts w:ascii="Times New Roman" w:hAnsi="Times New Roman" w:cs="Times New Roman"/>
                <w:spacing w:val="-4"/>
                <w:sz w:val="18"/>
                <w:szCs w:val="18"/>
              </w:rPr>
              <w:t>Colorimetry: visual inspection</w:t>
            </w:r>
          </w:p>
          <w:p w14:paraId="7F09D5B5" w14:textId="77777777" w:rsidR="007E36C5" w:rsidRPr="007E36C5" w:rsidRDefault="007E36C5" w:rsidP="00060DA8">
            <w:pPr>
              <w:keepNext/>
              <w:spacing w:before="40" w:after="40" w:line="220" w:lineRule="exact"/>
              <w:ind w:left="113" w:right="113"/>
              <w:rPr>
                <w:rFonts w:ascii="Times New Roman" w:hAnsi="Times New Roman" w:cs="Times New Roman"/>
                <w:spacing w:val="-4"/>
                <w:sz w:val="18"/>
                <w:szCs w:val="18"/>
              </w:rPr>
            </w:pPr>
            <w:r w:rsidRPr="007E36C5">
              <w:rPr>
                <w:rFonts w:ascii="Times New Roman" w:hAnsi="Times New Roman" w:cs="Times New Roman"/>
                <w:spacing w:val="-4"/>
                <w:sz w:val="18"/>
                <w:szCs w:val="18"/>
              </w:rPr>
              <w:t>Trichromatic coordinates in case of doubt</w:t>
            </w:r>
          </w:p>
        </w:tc>
        <w:tc>
          <w:tcPr>
            <w:tcW w:w="434" w:type="dxa"/>
            <w:shd w:val="clear" w:color="auto" w:fill="auto"/>
            <w:vAlign w:val="center"/>
          </w:tcPr>
          <w:p w14:paraId="37588561"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5A01A132"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0B91D58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74B97820"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0A426CE6"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31585E0A"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24B15CBF" w14:textId="184B8CF2" w:rsidR="007E36C5" w:rsidRPr="00325AEB" w:rsidRDefault="007E36C5" w:rsidP="00060DA8">
            <w:pPr>
              <w:keepNext/>
              <w:spacing w:before="40" w:after="40" w:line="220" w:lineRule="exact"/>
              <w:ind w:left="57" w:right="57"/>
              <w:jc w:val="center"/>
              <w:rPr>
                <w:rFonts w:ascii="Times New Roman" w:hAnsi="Times New Roman" w:cs="Times New Roman"/>
                <w:b/>
                <w:bCs/>
                <w:sz w:val="18"/>
                <w:szCs w:val="18"/>
                <w:highlight w:val="yellow"/>
              </w:rPr>
            </w:pPr>
            <w:r w:rsidRPr="00325AEB">
              <w:rPr>
                <w:rFonts w:ascii="Times New Roman" w:hAnsi="Times New Roman" w:cs="Times New Roman"/>
                <w:b/>
                <w:bCs/>
                <w:sz w:val="18"/>
                <w:szCs w:val="18"/>
                <w:highlight w:val="yellow"/>
              </w:rPr>
              <w:t>x</w:t>
            </w:r>
          </w:p>
          <w:p w14:paraId="1D37E66D" w14:textId="2E6646A8" w:rsidR="007E36C5" w:rsidRPr="00325AEB" w:rsidRDefault="007E36C5" w:rsidP="00060DA8">
            <w:pPr>
              <w:keepNext/>
              <w:spacing w:before="40" w:after="40" w:line="220" w:lineRule="exact"/>
              <w:ind w:left="57" w:right="57"/>
              <w:jc w:val="center"/>
              <w:rPr>
                <w:rFonts w:ascii="Times New Roman" w:hAnsi="Times New Roman" w:cs="Times New Roman"/>
                <w:b/>
                <w:bCs/>
                <w:sz w:val="18"/>
                <w:szCs w:val="18"/>
                <w:highlight w:val="yellow"/>
              </w:rPr>
            </w:pPr>
            <w:r w:rsidRPr="00325AEB">
              <w:rPr>
                <w:rFonts w:ascii="Times New Roman" w:hAnsi="Times New Roman" w:cs="Times New Roman"/>
                <w:b/>
                <w:bCs/>
                <w:sz w:val="18"/>
                <w:szCs w:val="18"/>
                <w:highlight w:val="yellow"/>
              </w:rPr>
              <w:t>x</w:t>
            </w:r>
          </w:p>
        </w:tc>
        <w:tc>
          <w:tcPr>
            <w:tcW w:w="343" w:type="dxa"/>
            <w:shd w:val="clear" w:color="auto" w:fill="auto"/>
            <w:vAlign w:val="center"/>
          </w:tcPr>
          <w:p w14:paraId="3E0D5BB4" w14:textId="0D95BC81" w:rsidR="007E36C5" w:rsidRPr="00325AEB" w:rsidRDefault="007E36C5" w:rsidP="00060DA8">
            <w:pPr>
              <w:keepNext/>
              <w:spacing w:before="40" w:after="40" w:line="220" w:lineRule="exact"/>
              <w:ind w:left="57" w:right="57"/>
              <w:jc w:val="center"/>
              <w:rPr>
                <w:rFonts w:ascii="Times New Roman" w:hAnsi="Times New Roman" w:cs="Times New Roman"/>
                <w:b/>
                <w:bCs/>
                <w:sz w:val="18"/>
                <w:szCs w:val="18"/>
                <w:highlight w:val="yellow"/>
              </w:rPr>
            </w:pPr>
            <w:r w:rsidRPr="00325AEB">
              <w:rPr>
                <w:rFonts w:ascii="Times New Roman" w:hAnsi="Times New Roman" w:cs="Times New Roman"/>
                <w:b/>
                <w:bCs/>
                <w:sz w:val="18"/>
                <w:szCs w:val="18"/>
                <w:highlight w:val="yellow"/>
              </w:rPr>
              <w:t>x</w:t>
            </w:r>
          </w:p>
          <w:p w14:paraId="0699857F" w14:textId="2CFE97AC" w:rsidR="007E36C5" w:rsidRPr="00325AEB" w:rsidRDefault="007E36C5" w:rsidP="00060DA8">
            <w:pPr>
              <w:keepNext/>
              <w:spacing w:before="40" w:after="40" w:line="220" w:lineRule="exact"/>
              <w:ind w:left="57" w:right="57"/>
              <w:jc w:val="center"/>
              <w:rPr>
                <w:rFonts w:ascii="Times New Roman" w:hAnsi="Times New Roman" w:cs="Times New Roman"/>
                <w:b/>
                <w:bCs/>
                <w:sz w:val="18"/>
                <w:szCs w:val="18"/>
                <w:highlight w:val="yellow"/>
              </w:rPr>
            </w:pPr>
            <w:r w:rsidRPr="00325AEB">
              <w:rPr>
                <w:rFonts w:ascii="Times New Roman" w:hAnsi="Times New Roman" w:cs="Times New Roman"/>
                <w:b/>
                <w:bCs/>
                <w:sz w:val="18"/>
                <w:szCs w:val="18"/>
                <w:highlight w:val="yellow"/>
              </w:rPr>
              <w:t>x</w:t>
            </w:r>
          </w:p>
        </w:tc>
        <w:tc>
          <w:tcPr>
            <w:tcW w:w="343" w:type="dxa"/>
            <w:shd w:val="clear" w:color="auto" w:fill="auto"/>
            <w:vAlign w:val="center"/>
          </w:tcPr>
          <w:p w14:paraId="4AA30A4A" w14:textId="77777777" w:rsidR="007E36C5" w:rsidRPr="00325AEB" w:rsidRDefault="007E36C5" w:rsidP="00060DA8">
            <w:pPr>
              <w:keepNext/>
              <w:spacing w:before="40" w:after="40" w:line="220" w:lineRule="exact"/>
              <w:ind w:left="57" w:right="57"/>
              <w:jc w:val="center"/>
              <w:rPr>
                <w:rFonts w:ascii="Times New Roman" w:hAnsi="Times New Roman" w:cs="Times New Roman"/>
                <w:b/>
                <w:bCs/>
                <w:sz w:val="18"/>
                <w:szCs w:val="18"/>
              </w:rPr>
            </w:pPr>
          </w:p>
        </w:tc>
        <w:tc>
          <w:tcPr>
            <w:tcW w:w="343" w:type="dxa"/>
            <w:shd w:val="clear" w:color="auto" w:fill="auto"/>
            <w:vAlign w:val="center"/>
          </w:tcPr>
          <w:p w14:paraId="6BCE98B7"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r>
      <w:tr w:rsidR="007E36C5" w:rsidRPr="007E36C5" w14:paraId="6C29FC06" w14:textId="77777777" w:rsidTr="00060DA8">
        <w:tc>
          <w:tcPr>
            <w:tcW w:w="1140" w:type="dxa"/>
            <w:shd w:val="clear" w:color="auto" w:fill="auto"/>
          </w:tcPr>
          <w:p w14:paraId="08606C89"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Part 1 of Annex 4</w:t>
            </w:r>
          </w:p>
        </w:tc>
        <w:tc>
          <w:tcPr>
            <w:tcW w:w="3261" w:type="dxa"/>
            <w:shd w:val="clear" w:color="auto" w:fill="auto"/>
            <w:vAlign w:val="center"/>
          </w:tcPr>
          <w:p w14:paraId="7630713F" w14:textId="77777777" w:rsidR="007E36C5" w:rsidRPr="007E36C5" w:rsidRDefault="007E36C5" w:rsidP="00060DA8">
            <w:pPr>
              <w:keepNext/>
              <w:spacing w:before="40" w:after="40" w:line="220" w:lineRule="exact"/>
              <w:ind w:left="113" w:right="113"/>
              <w:rPr>
                <w:rFonts w:ascii="Times New Roman" w:hAnsi="Times New Roman" w:cs="Times New Roman"/>
                <w:spacing w:val="-4"/>
                <w:sz w:val="18"/>
                <w:szCs w:val="18"/>
              </w:rPr>
            </w:pPr>
            <w:r w:rsidRPr="007E36C5">
              <w:rPr>
                <w:rFonts w:ascii="Times New Roman" w:hAnsi="Times New Roman" w:cs="Times New Roman"/>
                <w:spacing w:val="-4"/>
                <w:sz w:val="18"/>
                <w:szCs w:val="18"/>
              </w:rPr>
              <w:t xml:space="preserve">Photometry: limited to 20' and </w:t>
            </w:r>
            <w:r w:rsidRPr="007E36C5">
              <w:rPr>
                <w:rFonts w:ascii="Times New Roman" w:hAnsi="Times New Roman" w:cs="Times New Roman"/>
                <w:sz w:val="18"/>
                <w:szCs w:val="18"/>
              </w:rPr>
              <w:t>β</w:t>
            </w:r>
            <w:r w:rsidRPr="007E36C5">
              <w:rPr>
                <w:rFonts w:ascii="Times New Roman" w:hAnsi="Times New Roman" w:cs="Times New Roman"/>
                <w:sz w:val="18"/>
                <w:szCs w:val="18"/>
                <w:vertAlign w:val="subscript"/>
              </w:rPr>
              <w:t>1</w:t>
            </w:r>
            <w:r w:rsidRPr="007E36C5">
              <w:rPr>
                <w:rFonts w:ascii="Times New Roman" w:hAnsi="Times New Roman" w:cs="Times New Roman"/>
                <w:spacing w:val="-4"/>
                <w:sz w:val="18"/>
                <w:szCs w:val="18"/>
              </w:rPr>
              <w:t xml:space="preserve"> = </w:t>
            </w:r>
            <w:r w:rsidRPr="007E36C5">
              <w:rPr>
                <w:rFonts w:ascii="Times New Roman" w:hAnsi="Times New Roman" w:cs="Times New Roman"/>
                <w:sz w:val="18"/>
                <w:szCs w:val="18"/>
              </w:rPr>
              <w:t>β</w:t>
            </w:r>
            <w:r w:rsidRPr="007E36C5">
              <w:rPr>
                <w:rFonts w:ascii="Times New Roman" w:hAnsi="Times New Roman" w:cs="Times New Roman"/>
                <w:sz w:val="18"/>
                <w:szCs w:val="18"/>
                <w:vertAlign w:val="subscript"/>
              </w:rPr>
              <w:t>2</w:t>
            </w:r>
            <w:r w:rsidRPr="007E36C5">
              <w:rPr>
                <w:rFonts w:ascii="Times New Roman" w:hAnsi="Times New Roman" w:cs="Times New Roman"/>
                <w:spacing w:val="-4"/>
                <w:sz w:val="18"/>
                <w:szCs w:val="18"/>
              </w:rPr>
              <w:t xml:space="preserve"> = 0°</w:t>
            </w:r>
          </w:p>
        </w:tc>
        <w:tc>
          <w:tcPr>
            <w:tcW w:w="434" w:type="dxa"/>
            <w:shd w:val="clear" w:color="auto" w:fill="auto"/>
            <w:vAlign w:val="center"/>
          </w:tcPr>
          <w:p w14:paraId="3B7587E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26EB993D"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3762775A"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57898864"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5242563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55F27FC7"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531CE28A"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tc>
        <w:tc>
          <w:tcPr>
            <w:tcW w:w="343" w:type="dxa"/>
            <w:shd w:val="clear" w:color="auto" w:fill="auto"/>
            <w:vAlign w:val="center"/>
          </w:tcPr>
          <w:p w14:paraId="162B9B8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r w:rsidRPr="007E36C5">
              <w:rPr>
                <w:rFonts w:ascii="Times New Roman" w:hAnsi="Times New Roman" w:cs="Times New Roman"/>
                <w:sz w:val="18"/>
                <w:szCs w:val="18"/>
              </w:rPr>
              <w:t>x</w:t>
            </w:r>
          </w:p>
        </w:tc>
        <w:tc>
          <w:tcPr>
            <w:tcW w:w="343" w:type="dxa"/>
            <w:shd w:val="clear" w:color="auto" w:fill="auto"/>
            <w:vAlign w:val="center"/>
          </w:tcPr>
          <w:p w14:paraId="21FA6A41"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c>
          <w:tcPr>
            <w:tcW w:w="343" w:type="dxa"/>
            <w:shd w:val="clear" w:color="auto" w:fill="auto"/>
            <w:vAlign w:val="center"/>
          </w:tcPr>
          <w:p w14:paraId="1ECAFBC8" w14:textId="77777777" w:rsidR="007E36C5" w:rsidRPr="007E36C5" w:rsidRDefault="007E36C5" w:rsidP="00060DA8">
            <w:pPr>
              <w:keepNext/>
              <w:spacing w:before="40" w:after="40" w:line="220" w:lineRule="exact"/>
              <w:ind w:left="57" w:right="57"/>
              <w:jc w:val="center"/>
              <w:rPr>
                <w:rFonts w:ascii="Times New Roman" w:hAnsi="Times New Roman" w:cs="Times New Roman"/>
                <w:sz w:val="18"/>
                <w:szCs w:val="18"/>
              </w:rPr>
            </w:pPr>
          </w:p>
        </w:tc>
      </w:tr>
    </w:tbl>
    <w:p w14:paraId="1206DAF9" w14:textId="03867176" w:rsidR="007E36C5" w:rsidRDefault="007E36C5" w:rsidP="003A4613">
      <w:pPr>
        <w:suppressAutoHyphens/>
        <w:spacing w:after="120" w:line="240" w:lineRule="atLeast"/>
        <w:ind w:left="2268" w:right="1395" w:hanging="1134"/>
        <w:jc w:val="both"/>
        <w:rPr>
          <w:rFonts w:ascii="Times New Roman" w:eastAsia="Times New Roman" w:hAnsi="Times New Roman" w:cs="Times New Roman"/>
          <w:iCs/>
          <w:lang w:val="en-US"/>
        </w:rPr>
      </w:pPr>
      <w:r>
        <w:rPr>
          <w:rFonts w:ascii="Times New Roman" w:eastAsia="Times New Roman" w:hAnsi="Times New Roman" w:cs="Times New Roman"/>
          <w:iCs/>
          <w:lang w:val="en-US"/>
        </w:rPr>
        <w:t>…”</w:t>
      </w:r>
    </w:p>
    <w:p w14:paraId="46883355" w14:textId="72260CDB" w:rsidR="007E36C5" w:rsidRDefault="007E36C5" w:rsidP="003A4613">
      <w:pPr>
        <w:suppressAutoHyphens/>
        <w:spacing w:after="120" w:line="240" w:lineRule="atLeast"/>
        <w:ind w:left="2268" w:right="1395" w:hanging="1134"/>
        <w:jc w:val="both"/>
        <w:rPr>
          <w:rFonts w:ascii="Times New Roman" w:eastAsia="Times New Roman" w:hAnsi="Times New Roman" w:cs="Times New Roman"/>
          <w:iCs/>
          <w:lang w:val="en-US"/>
        </w:rPr>
      </w:pPr>
    </w:p>
    <w:p w14:paraId="0989A749" w14:textId="64DAE61B" w:rsidR="00325AEB" w:rsidRDefault="00325AEB" w:rsidP="00325AEB">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lastRenderedPageBreak/>
        <w:t>Paragraph 5.2.3.1.</w:t>
      </w:r>
      <w:r>
        <w:rPr>
          <w:rFonts w:asciiTheme="majorBidi" w:hAnsiTheme="majorBidi" w:cstheme="majorBidi"/>
          <w:lang w:val="en-US"/>
        </w:rPr>
        <w:t>, amend to read:</w:t>
      </w:r>
    </w:p>
    <w:p w14:paraId="71D676A0" w14:textId="4B770E60" w:rsidR="00325AEB" w:rsidRPr="00755C43" w:rsidRDefault="00325AEB" w:rsidP="00325AEB">
      <w:pPr>
        <w:pStyle w:val="4Para4thlevel"/>
        <w:ind w:right="567"/>
        <w:rPr>
          <w:bCs/>
        </w:rPr>
      </w:pPr>
      <w:r w:rsidRPr="00231851">
        <w:rPr>
          <w:bCs/>
        </w:rPr>
        <w:t>“</w:t>
      </w:r>
      <w:r>
        <w:t>5.2.3.1.</w:t>
      </w:r>
      <w:r>
        <w:tab/>
        <w:t xml:space="preserve">Five test samples representing either strips or planes of retro-reflective marking materials have to be submitted to the test laboratory. In the case of strips, at least a length of 3 metres shall be provided; in the case of planes, at least a </w:t>
      </w:r>
      <w:r w:rsidRPr="00325AEB">
        <w:rPr>
          <w:strike/>
          <w:highlight w:val="yellow"/>
        </w:rPr>
        <w:t>surface</w:t>
      </w:r>
      <w:r w:rsidRPr="00325AEB">
        <w:rPr>
          <w:highlight w:val="yellow"/>
        </w:rPr>
        <w:t xml:space="preserve"> </w:t>
      </w:r>
      <w:r w:rsidRPr="00325AEB">
        <w:rPr>
          <w:b/>
          <w:bCs/>
          <w:highlight w:val="yellow"/>
        </w:rPr>
        <w:t>square</w:t>
      </w:r>
      <w:r>
        <w:t xml:space="preserve"> of 500 mm x 500 mm shall be provided. </w:t>
      </w:r>
      <w:r w:rsidRPr="00755C43">
        <w:rPr>
          <w:bCs/>
        </w:rPr>
        <w:t xml:space="preserve"> </w:t>
      </w:r>
      <w:r w:rsidRPr="00755C43">
        <w:t xml:space="preserve"> </w:t>
      </w:r>
      <w:r w:rsidRPr="00755C43">
        <w:rPr>
          <w:bCs/>
        </w:rPr>
        <w:t>”</w:t>
      </w:r>
    </w:p>
    <w:p w14:paraId="38C82A9D" w14:textId="42B5B3EB" w:rsidR="007E36C5" w:rsidRDefault="007E36C5" w:rsidP="003A4613">
      <w:pPr>
        <w:suppressAutoHyphens/>
        <w:spacing w:after="120" w:line="240" w:lineRule="atLeast"/>
        <w:ind w:left="2268" w:right="1395" w:hanging="1134"/>
        <w:jc w:val="both"/>
        <w:rPr>
          <w:rFonts w:ascii="Times New Roman" w:eastAsia="Times New Roman" w:hAnsi="Times New Roman" w:cs="Times New Roman"/>
          <w:iCs/>
          <w:lang w:val="en-US"/>
        </w:rPr>
      </w:pPr>
    </w:p>
    <w:p w14:paraId="2EAE3AA3" w14:textId="317E6EFC" w:rsidR="00325AEB" w:rsidRDefault="00325AEB" w:rsidP="00325AEB">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5.3.2.2.</w:t>
      </w:r>
      <w:r>
        <w:rPr>
          <w:rFonts w:asciiTheme="majorBidi" w:hAnsiTheme="majorBidi" w:cstheme="majorBidi"/>
          <w:lang w:val="en-US"/>
        </w:rPr>
        <w:t>, amend to read:</w:t>
      </w:r>
    </w:p>
    <w:p w14:paraId="55F0E678" w14:textId="3E2D685C" w:rsidR="00325AEB" w:rsidRPr="00325AEB" w:rsidRDefault="00325AEB" w:rsidP="00325AEB">
      <w:pPr>
        <w:suppressAutoHyphens/>
        <w:spacing w:after="120" w:line="240" w:lineRule="atLeast"/>
        <w:ind w:left="2268" w:right="567" w:hanging="1134"/>
        <w:jc w:val="both"/>
        <w:rPr>
          <w:rFonts w:ascii="Times New Roman" w:eastAsia="Times New Roman" w:hAnsi="Times New Roman" w:cs="Times New Roman"/>
          <w:iCs/>
          <w:sz w:val="20"/>
          <w:szCs w:val="20"/>
          <w:lang w:val="en-GB"/>
        </w:rPr>
      </w:pPr>
      <w:r w:rsidRPr="00325AEB">
        <w:rPr>
          <w:rFonts w:ascii="Times New Roman" w:eastAsia="Times New Roman" w:hAnsi="Times New Roman" w:cs="Times New Roman"/>
          <w:iCs/>
          <w:sz w:val="20"/>
          <w:szCs w:val="20"/>
          <w:lang w:val="en-GB"/>
        </w:rPr>
        <w:t>“</w:t>
      </w:r>
      <w:r w:rsidRPr="00325AEB">
        <w:rPr>
          <w:rFonts w:ascii="Times New Roman" w:hAnsi="Times New Roman" w:cs="Times New Roman"/>
          <w:sz w:val="20"/>
          <w:szCs w:val="20"/>
          <w:lang w:val="en-GB"/>
        </w:rPr>
        <w:t>5.3.2.2.</w:t>
      </w:r>
      <w:r w:rsidRPr="00325AEB">
        <w:rPr>
          <w:rFonts w:ascii="Times New Roman" w:hAnsi="Times New Roman" w:cs="Times New Roman"/>
          <w:sz w:val="20"/>
          <w:szCs w:val="20"/>
          <w:lang w:val="en-GB"/>
        </w:rPr>
        <w:tab/>
        <w:t xml:space="preserve">Two samples of the fluorescent or fluorescent retro-reflecting material in which a </w:t>
      </w:r>
      <w:r w:rsidRPr="00325AEB">
        <w:rPr>
          <w:rFonts w:ascii="Times New Roman" w:hAnsi="Times New Roman" w:cs="Times New Roman"/>
          <w:b/>
          <w:bCs/>
          <w:sz w:val="20"/>
          <w:szCs w:val="20"/>
          <w:highlight w:val="yellow"/>
          <w:lang w:val="en-GB"/>
        </w:rPr>
        <w:t>square of</w:t>
      </w:r>
      <w:r w:rsidRPr="00325AEB">
        <w:rPr>
          <w:rFonts w:ascii="Times New Roman" w:hAnsi="Times New Roman" w:cs="Times New Roman"/>
          <w:b/>
          <w:bCs/>
          <w:sz w:val="20"/>
          <w:szCs w:val="20"/>
          <w:lang w:val="en-GB"/>
        </w:rPr>
        <w:t xml:space="preserve"> </w:t>
      </w:r>
      <w:r w:rsidRPr="00325AEB">
        <w:rPr>
          <w:rFonts w:ascii="Times New Roman" w:hAnsi="Times New Roman" w:cs="Times New Roman"/>
          <w:sz w:val="20"/>
          <w:szCs w:val="20"/>
          <w:lang w:val="en-GB"/>
        </w:rPr>
        <w:t xml:space="preserve">100 </w:t>
      </w:r>
      <w:r w:rsidRPr="00325AEB">
        <w:rPr>
          <w:rFonts w:ascii="Times New Roman" w:hAnsi="Times New Roman" w:cs="Times New Roman"/>
          <w:b/>
          <w:bCs/>
          <w:sz w:val="20"/>
          <w:szCs w:val="20"/>
          <w:highlight w:val="yellow"/>
          <w:lang w:val="en-GB"/>
        </w:rPr>
        <w:t>mm</w:t>
      </w:r>
      <w:r>
        <w:rPr>
          <w:rFonts w:ascii="Times New Roman" w:hAnsi="Times New Roman" w:cs="Times New Roman"/>
          <w:sz w:val="20"/>
          <w:szCs w:val="20"/>
          <w:lang w:val="en-GB"/>
        </w:rPr>
        <w:t xml:space="preserve"> </w:t>
      </w:r>
      <w:r w:rsidRPr="00325AEB">
        <w:rPr>
          <w:rFonts w:ascii="Times New Roman" w:hAnsi="Times New Roman" w:cs="Times New Roman"/>
          <w:sz w:val="20"/>
          <w:szCs w:val="20"/>
          <w:lang w:val="en-GB"/>
        </w:rPr>
        <w:t>x 100 mm</w:t>
      </w:r>
      <w:r w:rsidRPr="00325AEB">
        <w:rPr>
          <w:rFonts w:ascii="Times New Roman" w:hAnsi="Times New Roman" w:cs="Times New Roman"/>
          <w:strike/>
          <w:sz w:val="20"/>
          <w:szCs w:val="20"/>
          <w:highlight w:val="yellow"/>
          <w:vertAlign w:val="superscript"/>
          <w:lang w:val="en-GB"/>
        </w:rPr>
        <w:t>2</w:t>
      </w:r>
      <w:r w:rsidRPr="00325AEB">
        <w:rPr>
          <w:rFonts w:ascii="Times New Roman" w:hAnsi="Times New Roman" w:cs="Times New Roman"/>
          <w:sz w:val="20"/>
          <w:szCs w:val="20"/>
          <w:lang w:val="en-GB"/>
        </w:rPr>
        <w:t xml:space="preserve"> can be inscribed and which are fully representative of the material applied under the same conditions to the same base material as used for the advance warning triangle;</w:t>
      </w:r>
      <w:r w:rsidRPr="00325AEB">
        <w:rPr>
          <w:sz w:val="20"/>
          <w:szCs w:val="20"/>
          <w:lang w:val="en-GB"/>
        </w:rPr>
        <w:t xml:space="preserve"> </w:t>
      </w:r>
      <w:r w:rsidRPr="00325AEB">
        <w:rPr>
          <w:rFonts w:ascii="Times New Roman" w:hAnsi="Times New Roman" w:cs="Times New Roman"/>
          <w:bCs/>
          <w:sz w:val="20"/>
          <w:szCs w:val="20"/>
          <w:lang w:val="en-GB"/>
        </w:rPr>
        <w:t xml:space="preserve"> </w:t>
      </w:r>
      <w:r w:rsidRPr="00325AEB">
        <w:rPr>
          <w:rFonts w:ascii="Times New Roman" w:hAnsi="Times New Roman" w:cs="Times New Roman"/>
          <w:sz w:val="20"/>
          <w:szCs w:val="20"/>
          <w:lang w:val="en-GB"/>
        </w:rPr>
        <w:t xml:space="preserve"> </w:t>
      </w:r>
      <w:r w:rsidRPr="00325AEB">
        <w:rPr>
          <w:rFonts w:ascii="Times New Roman" w:hAnsi="Times New Roman" w:cs="Times New Roman"/>
          <w:bCs/>
          <w:sz w:val="20"/>
          <w:szCs w:val="20"/>
          <w:lang w:val="en-GB"/>
        </w:rPr>
        <w:t>”</w:t>
      </w:r>
    </w:p>
    <w:p w14:paraId="091FDF8C" w14:textId="4A7F803A" w:rsidR="007E36C5" w:rsidRDefault="007E36C5" w:rsidP="003A4613">
      <w:pPr>
        <w:suppressAutoHyphens/>
        <w:spacing w:after="120" w:line="240" w:lineRule="atLeast"/>
        <w:ind w:left="2268" w:right="1395" w:hanging="1134"/>
        <w:jc w:val="both"/>
        <w:rPr>
          <w:rFonts w:ascii="Times New Roman" w:eastAsia="Times New Roman" w:hAnsi="Times New Roman" w:cs="Times New Roman"/>
          <w:i/>
          <w:lang w:val="en-US"/>
        </w:rPr>
      </w:pPr>
    </w:p>
    <w:p w14:paraId="1AEA0A30" w14:textId="4421491A" w:rsidR="00806F26" w:rsidRDefault="00806F26" w:rsidP="00806F26">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5.3.5.2.3.</w:t>
      </w:r>
      <w:r>
        <w:rPr>
          <w:rFonts w:asciiTheme="majorBidi" w:hAnsiTheme="majorBidi" w:cstheme="majorBidi"/>
          <w:lang w:val="en-US"/>
        </w:rPr>
        <w:t>, amend to read:</w:t>
      </w:r>
    </w:p>
    <w:p w14:paraId="5FD68209" w14:textId="6FD3E5C5" w:rsidR="00806F26" w:rsidRDefault="00806F26" w:rsidP="00806F26">
      <w:pPr>
        <w:pStyle w:val="5para5thlevel"/>
        <w:rPr>
          <w:lang w:eastAsia="en-GB"/>
        </w:rPr>
      </w:pPr>
      <w:r w:rsidRPr="00231851">
        <w:rPr>
          <w:bCs/>
        </w:rPr>
        <w:t>“</w:t>
      </w:r>
      <w:r>
        <w:rPr>
          <w:iCs/>
        </w:rPr>
        <w:t>5.3.5.2.3</w:t>
      </w:r>
      <w:r w:rsidRPr="00B935AE">
        <w:t>.</w:t>
      </w:r>
      <w:r w:rsidRPr="00B935AE">
        <w:tab/>
      </w:r>
      <w:r>
        <w:rPr>
          <w:lang w:eastAsia="en-GB"/>
        </w:rPr>
        <w:t xml:space="preserve">The testing of the luminance factor of the fluorescent materials shall be carried out according to the method described in </w:t>
      </w:r>
      <w:r w:rsidRPr="00806F26">
        <w:rPr>
          <w:strike/>
          <w:highlight w:val="yellow"/>
          <w:lang w:eastAsia="en-GB"/>
        </w:rPr>
        <w:t>Annex 10</w:t>
      </w:r>
      <w:r w:rsidRPr="00806F26">
        <w:rPr>
          <w:highlight w:val="yellow"/>
          <w:lang w:eastAsia="en-GB"/>
        </w:rPr>
        <w:t xml:space="preserve"> </w:t>
      </w:r>
      <w:r w:rsidRPr="00806F26">
        <w:rPr>
          <w:rFonts w:eastAsia="MS Mincho" w:hint="eastAsia"/>
          <w:b/>
          <w:bCs/>
          <w:highlight w:val="yellow"/>
          <w:lang w:eastAsia="ja-JP"/>
        </w:rPr>
        <w:t>P</w:t>
      </w:r>
      <w:r w:rsidRPr="00806F26">
        <w:rPr>
          <w:rFonts w:eastAsia="MS Mincho"/>
          <w:b/>
          <w:bCs/>
          <w:highlight w:val="yellow"/>
          <w:lang w:eastAsia="ja-JP"/>
        </w:rPr>
        <w:t>art 6 of Annex 6</w:t>
      </w:r>
      <w:r>
        <w:rPr>
          <w:lang w:eastAsia="en-GB"/>
        </w:rPr>
        <w:t>.</w:t>
      </w:r>
    </w:p>
    <w:p w14:paraId="458B1A82" w14:textId="6C7BE21A" w:rsidR="00806F26" w:rsidRPr="00EA68F5" w:rsidRDefault="00806F26" w:rsidP="00806F26">
      <w:pPr>
        <w:pStyle w:val="4Para4thlevel"/>
        <w:ind w:right="567"/>
      </w:pPr>
      <w:r>
        <w:tab/>
        <w:t>…</w:t>
      </w:r>
      <w:r w:rsidRPr="00755C43">
        <w:t xml:space="preserve"> </w:t>
      </w:r>
      <w:r w:rsidRPr="00755C43">
        <w:rPr>
          <w:bCs/>
        </w:rPr>
        <w:t>”</w:t>
      </w:r>
    </w:p>
    <w:p w14:paraId="5660BA18" w14:textId="77777777" w:rsidR="00806F26" w:rsidRDefault="00806F26" w:rsidP="003A4613">
      <w:pPr>
        <w:suppressAutoHyphens/>
        <w:spacing w:after="120" w:line="240" w:lineRule="atLeast"/>
        <w:ind w:left="2268" w:right="1395" w:hanging="1134"/>
        <w:jc w:val="both"/>
        <w:rPr>
          <w:rFonts w:ascii="Times New Roman" w:eastAsia="Times New Roman" w:hAnsi="Times New Roman" w:cs="Times New Roman"/>
          <w:i/>
          <w:lang w:val="en-US"/>
        </w:rPr>
      </w:pPr>
    </w:p>
    <w:p w14:paraId="3E5B8401" w14:textId="77777777" w:rsidR="00824D80" w:rsidRDefault="00824D80" w:rsidP="00824D80">
      <w:pPr>
        <w:suppressAutoHyphens/>
        <w:spacing w:after="120" w:line="240" w:lineRule="atLeast"/>
        <w:ind w:left="2268" w:right="1395" w:hanging="1134"/>
        <w:jc w:val="both"/>
        <w:rPr>
          <w:rFonts w:ascii="Times New Roman" w:eastAsia="Times New Roman" w:hAnsi="Times New Roman" w:cs="Times New Roman"/>
          <w:i/>
          <w:lang w:val="en-US"/>
        </w:rPr>
      </w:pPr>
      <w:r>
        <w:rPr>
          <w:rFonts w:ascii="Times New Roman" w:eastAsia="Times New Roman" w:hAnsi="Times New Roman" w:cs="Times New Roman"/>
          <w:i/>
          <w:lang w:val="en-US"/>
        </w:rPr>
        <w:t>Annex 1</w:t>
      </w:r>
    </w:p>
    <w:p w14:paraId="57E3F64D" w14:textId="77777777" w:rsidR="00824D80" w:rsidRDefault="00824D80" w:rsidP="00824D80">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Item 10</w:t>
      </w:r>
      <w:r>
        <w:rPr>
          <w:rFonts w:asciiTheme="majorBidi" w:hAnsiTheme="majorBidi" w:cstheme="majorBidi"/>
          <w:lang w:val="en-US"/>
        </w:rPr>
        <w:t>, amend to read:</w:t>
      </w:r>
    </w:p>
    <w:p w14:paraId="5F6CBCF1" w14:textId="77777777" w:rsidR="00824D80" w:rsidRPr="007D4DEE" w:rsidRDefault="00824D80" w:rsidP="00824D80">
      <w:pPr>
        <w:pStyle w:val="para"/>
        <w:ind w:right="567"/>
        <w:rPr>
          <w:bCs/>
          <w:lang w:val="en-US"/>
        </w:rPr>
      </w:pPr>
      <w:r w:rsidRPr="00231851">
        <w:rPr>
          <w:bCs/>
          <w:lang w:val="en-GB"/>
        </w:rPr>
        <w:t>“10.</w:t>
      </w:r>
      <w:r w:rsidRPr="00231851">
        <w:rPr>
          <w:bCs/>
          <w:lang w:val="en-GB"/>
        </w:rPr>
        <w:tab/>
        <w:t>Position of the approval mark or Unique Identifier (UI)</w:t>
      </w:r>
      <w:r w:rsidRPr="00F561A0">
        <w:rPr>
          <w:bCs/>
          <w:strike/>
          <w:highlight w:val="yellow"/>
          <w:vertAlign w:val="superscript"/>
          <w:lang w:val="en-GB"/>
        </w:rPr>
        <w:t>2</w:t>
      </w:r>
      <w:r w:rsidRPr="00231851">
        <w:rPr>
          <w:bCs/>
          <w:lang w:val="en-GB"/>
        </w:rPr>
        <w:t>..................</w:t>
      </w:r>
      <w:r w:rsidRPr="007D4DEE">
        <w:rPr>
          <w:bCs/>
          <w:lang w:val="en-US"/>
        </w:rPr>
        <w:t>”</w:t>
      </w:r>
    </w:p>
    <w:p w14:paraId="7C7BE8AF" w14:textId="2F22A1A4" w:rsidR="006961C3" w:rsidRDefault="006961C3">
      <w:pPr>
        <w:rPr>
          <w:rFonts w:ascii="Times New Roman" w:eastAsia="Times New Roman" w:hAnsi="Times New Roman" w:cs="Times New Roman"/>
          <w:i/>
          <w:lang w:val="en-US"/>
        </w:rPr>
      </w:pPr>
    </w:p>
    <w:p w14:paraId="1B743567" w14:textId="1C80216A" w:rsidR="008A677B" w:rsidRDefault="003A4613">
      <w:pPr>
        <w:suppressAutoHyphens/>
        <w:spacing w:after="120" w:line="240" w:lineRule="atLeast"/>
        <w:ind w:left="2268" w:right="1395" w:hanging="1134"/>
        <w:jc w:val="both"/>
        <w:rPr>
          <w:rFonts w:ascii="Times New Roman" w:eastAsia="Times New Roman" w:hAnsi="Times New Roman" w:cs="Times New Roman"/>
          <w:i/>
          <w:lang w:val="en-US"/>
        </w:rPr>
      </w:pPr>
      <w:bookmarkStart w:id="1" w:name="_Hlk83734047"/>
      <w:r w:rsidRPr="003A4613">
        <w:rPr>
          <w:rFonts w:ascii="Times New Roman" w:eastAsia="Times New Roman" w:hAnsi="Times New Roman" w:cs="Times New Roman"/>
          <w:i/>
          <w:lang w:val="en-US"/>
        </w:rPr>
        <w:t xml:space="preserve">Annex </w:t>
      </w:r>
      <w:r w:rsidR="00400023">
        <w:rPr>
          <w:rFonts w:ascii="Times New Roman" w:eastAsia="Times New Roman" w:hAnsi="Times New Roman" w:cs="Times New Roman"/>
          <w:i/>
          <w:lang w:val="en-US"/>
        </w:rPr>
        <w:t>3</w:t>
      </w:r>
      <w:bookmarkEnd w:id="1"/>
    </w:p>
    <w:p w14:paraId="2600DB8C" w14:textId="4C83E9E1" w:rsidR="003A4613" w:rsidRDefault="003A4613" w:rsidP="003A4613">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 xml:space="preserve">Paragraph </w:t>
      </w:r>
      <w:r w:rsidR="00400023">
        <w:rPr>
          <w:rFonts w:ascii="Times New Roman" w:eastAsia="Times New Roman" w:hAnsi="Times New Roman" w:cs="Times New Roman"/>
          <w:i/>
          <w:lang w:val="en-US"/>
        </w:rPr>
        <w:t>6</w:t>
      </w:r>
      <w:r>
        <w:rPr>
          <w:rFonts w:ascii="Times New Roman" w:eastAsia="Times New Roman" w:hAnsi="Times New Roman" w:cs="Times New Roman"/>
          <w:i/>
          <w:lang w:val="en-US"/>
        </w:rPr>
        <w:t>.1.</w:t>
      </w:r>
      <w:r>
        <w:rPr>
          <w:rFonts w:asciiTheme="majorBidi" w:hAnsiTheme="majorBidi" w:cstheme="majorBidi"/>
          <w:lang w:val="en-US"/>
        </w:rPr>
        <w:t>, amend to read:</w:t>
      </w:r>
    </w:p>
    <w:p w14:paraId="33B18BDA" w14:textId="6631DE78" w:rsidR="00400023" w:rsidRPr="00642287" w:rsidRDefault="003A4613" w:rsidP="00400023">
      <w:pPr>
        <w:pStyle w:val="2para2ndlevel"/>
        <w:ind w:right="567"/>
      </w:pPr>
      <w:r w:rsidRPr="00231851">
        <w:rPr>
          <w:bCs/>
        </w:rPr>
        <w:t>“</w:t>
      </w:r>
      <w:r w:rsidR="00400023" w:rsidRPr="00642287">
        <w:t>6.1.</w:t>
      </w:r>
      <w:r w:rsidR="00400023" w:rsidRPr="00642287">
        <w:tab/>
        <w:t xml:space="preserve">One of the retro-reflectors of sample A after the sampling procedure in paragraph 2. shall be tested according to the procedure described in paragraph 1. </w:t>
      </w:r>
      <w:r w:rsidR="0056264A" w:rsidRPr="0056264A">
        <w:rPr>
          <w:b/>
          <w:bCs/>
          <w:highlight w:val="yellow"/>
        </w:rPr>
        <w:t>of Part 2</w:t>
      </w:r>
      <w:r w:rsidR="0056264A" w:rsidRPr="0056264A">
        <w:rPr>
          <w:b/>
          <w:bCs/>
        </w:rPr>
        <w:t xml:space="preserve"> </w:t>
      </w:r>
      <w:r w:rsidR="00400023" w:rsidRPr="00642287">
        <w:t>of Annex 6</w:t>
      </w:r>
      <w:r w:rsidR="00400023" w:rsidRPr="0056264A">
        <w:rPr>
          <w:strike/>
          <w:highlight w:val="yellow"/>
        </w:rPr>
        <w:t>.2</w:t>
      </w:r>
      <w:r w:rsidR="00400023" w:rsidRPr="00642287">
        <w:t xml:space="preserve"> or, in the case of the Advance Warning Triangle, the sample A shall be tested according to the procedure described in paragraph 2. </w:t>
      </w:r>
      <w:r w:rsidR="0056264A" w:rsidRPr="0056264A">
        <w:rPr>
          <w:b/>
          <w:bCs/>
          <w:highlight w:val="yellow"/>
        </w:rPr>
        <w:t>of Part 2</w:t>
      </w:r>
      <w:r w:rsidR="0056264A">
        <w:rPr>
          <w:b/>
          <w:bCs/>
        </w:rPr>
        <w:t xml:space="preserve"> </w:t>
      </w:r>
      <w:r w:rsidR="00400023" w:rsidRPr="00642287">
        <w:t>of Annex 6</w:t>
      </w:r>
      <w:r w:rsidR="00400023" w:rsidRPr="0056264A">
        <w:rPr>
          <w:strike/>
          <w:highlight w:val="yellow"/>
        </w:rPr>
        <w:t>.2</w:t>
      </w:r>
      <w:r w:rsidR="00400023" w:rsidRPr="00642287">
        <w:t>.</w:t>
      </w:r>
    </w:p>
    <w:p w14:paraId="4C32EA04" w14:textId="31A7C54A" w:rsidR="003A4613" w:rsidRPr="00231851" w:rsidRDefault="00400023" w:rsidP="00E168E0">
      <w:pPr>
        <w:pStyle w:val="StyleSingleTxtGLeft2cmHanging206cm"/>
        <w:ind w:right="567" w:firstLine="0"/>
        <w:rPr>
          <w:bCs/>
        </w:rPr>
      </w:pPr>
      <w:r>
        <w:rPr>
          <w:bCs/>
        </w:rPr>
        <w:t>…</w:t>
      </w:r>
      <w:r w:rsidR="003A4613" w:rsidRPr="006863BE">
        <w:rPr>
          <w:bCs/>
        </w:rPr>
        <w:t>”</w:t>
      </w:r>
    </w:p>
    <w:p w14:paraId="1784D0AF" w14:textId="148669E3" w:rsidR="003A4613" w:rsidRDefault="003A4613">
      <w:pPr>
        <w:suppressAutoHyphens/>
        <w:spacing w:after="120" w:line="240" w:lineRule="atLeast"/>
        <w:ind w:left="2268" w:right="1395" w:hanging="1134"/>
        <w:jc w:val="both"/>
        <w:rPr>
          <w:rFonts w:ascii="Times New Roman" w:eastAsia="Times New Roman" w:hAnsi="Times New Roman" w:cs="Times New Roman"/>
          <w:i/>
          <w:lang w:val="en-US"/>
        </w:rPr>
      </w:pPr>
    </w:p>
    <w:p w14:paraId="374106E1" w14:textId="75917CE4" w:rsidR="001175B9" w:rsidRPr="00806F26" w:rsidRDefault="001175B9" w:rsidP="001175B9">
      <w:pPr>
        <w:suppressAutoHyphens/>
        <w:spacing w:after="120" w:line="240" w:lineRule="atLeast"/>
        <w:ind w:left="2268" w:right="1395" w:hanging="1134"/>
        <w:jc w:val="both"/>
        <w:rPr>
          <w:rFonts w:ascii="Times New Roman" w:eastAsia="Times New Roman" w:hAnsi="Times New Roman" w:cs="Times New Roman"/>
          <w:i/>
          <w:lang w:val="en-US"/>
        </w:rPr>
      </w:pPr>
      <w:r w:rsidRPr="00806F26">
        <w:rPr>
          <w:rFonts w:ascii="Times New Roman" w:eastAsia="Times New Roman" w:hAnsi="Times New Roman" w:cs="Times New Roman"/>
          <w:i/>
          <w:lang w:val="en-US"/>
        </w:rPr>
        <w:t>Annex 4 – Part 1</w:t>
      </w:r>
    </w:p>
    <w:p w14:paraId="54B1CA11" w14:textId="5EF39A5F" w:rsidR="001175B9" w:rsidRPr="00806F26" w:rsidRDefault="001175B9" w:rsidP="001175B9">
      <w:pPr>
        <w:suppressAutoHyphens/>
        <w:spacing w:after="120" w:line="240" w:lineRule="atLeast"/>
        <w:ind w:left="2268" w:right="1395" w:hanging="1134"/>
        <w:jc w:val="both"/>
        <w:rPr>
          <w:rFonts w:asciiTheme="majorBidi" w:hAnsiTheme="majorBidi" w:cstheme="majorBidi"/>
          <w:lang w:val="en-US"/>
        </w:rPr>
      </w:pPr>
      <w:r w:rsidRPr="00806F26">
        <w:rPr>
          <w:rFonts w:ascii="Times New Roman" w:eastAsia="Times New Roman" w:hAnsi="Times New Roman" w:cs="Times New Roman"/>
          <w:i/>
          <w:lang w:val="en-US"/>
        </w:rPr>
        <w:t>Paragraph 2.</w:t>
      </w:r>
      <w:r w:rsidRPr="00806F26">
        <w:rPr>
          <w:rFonts w:asciiTheme="majorBidi" w:hAnsiTheme="majorBidi" w:cstheme="majorBidi"/>
          <w:lang w:val="en-US"/>
        </w:rPr>
        <w:t>, amend to read:</w:t>
      </w:r>
    </w:p>
    <w:p w14:paraId="06E7179D" w14:textId="77777777" w:rsidR="007460BF" w:rsidRDefault="00444EAC" w:rsidP="00696F64">
      <w:pPr>
        <w:pStyle w:val="para"/>
        <w:ind w:right="567"/>
        <w:rPr>
          <w:lang w:val="en-GB" w:eastAsia="en-GB"/>
        </w:rPr>
      </w:pPr>
      <w:r>
        <w:rPr>
          <w:rFonts w:eastAsia="Times New Roman"/>
          <w:i/>
          <w:lang w:val="en-US"/>
        </w:rPr>
        <w:t>“</w:t>
      </w:r>
      <w:r w:rsidR="007460BF">
        <w:rPr>
          <w:lang w:val="en-GB" w:eastAsia="en-GB"/>
        </w:rPr>
        <w:t>2.</w:t>
      </w:r>
      <w:r w:rsidR="007460BF">
        <w:rPr>
          <w:lang w:val="en-GB" w:eastAsia="en-GB"/>
        </w:rPr>
        <w:tab/>
        <w:t>Definitions</w:t>
      </w:r>
    </w:p>
    <w:p w14:paraId="0762FF00" w14:textId="2DC92A05" w:rsidR="007460BF" w:rsidRDefault="007460BF" w:rsidP="00696F64">
      <w:pPr>
        <w:pStyle w:val="para"/>
        <w:ind w:right="567" w:firstLine="0"/>
        <w:rPr>
          <w:lang w:val="en-GB" w:eastAsia="en-GB"/>
        </w:rPr>
      </w:pPr>
      <w:r>
        <w:rPr>
          <w:lang w:val="en-GB" w:eastAsia="en-GB"/>
        </w:rPr>
        <w:t xml:space="preserve">Basic definitions are given in </w:t>
      </w:r>
      <w:r w:rsidRPr="00930BD4">
        <w:rPr>
          <w:b/>
          <w:bCs/>
          <w:highlight w:val="yellow"/>
          <w:lang w:val="en-GB" w:eastAsia="en-GB"/>
        </w:rPr>
        <w:t>paragraph</w:t>
      </w:r>
      <w:r>
        <w:rPr>
          <w:lang w:val="en-GB" w:eastAsia="en-GB"/>
        </w:rPr>
        <w:t xml:space="preserve"> 2.3. </w:t>
      </w:r>
      <w:r w:rsidRPr="00930BD4">
        <w:rPr>
          <w:b/>
          <w:bCs/>
          <w:highlight w:val="yellow"/>
          <w:lang w:val="en-GB" w:eastAsia="en-GB"/>
        </w:rPr>
        <w:t>of this Regulation</w:t>
      </w:r>
      <w:r w:rsidRPr="00930BD4">
        <w:rPr>
          <w:highlight w:val="yellow"/>
          <w:lang w:val="en-GB" w:eastAsia="en-GB"/>
        </w:rPr>
        <w:t xml:space="preserve">. </w:t>
      </w:r>
      <w:r w:rsidRPr="00930BD4">
        <w:rPr>
          <w:strike/>
          <w:highlight w:val="yellow"/>
          <w:lang w:val="en-GB" w:eastAsia="en-GB"/>
        </w:rPr>
        <w:t xml:space="preserve">, but </w:t>
      </w:r>
      <w:r w:rsidRPr="00930BD4">
        <w:rPr>
          <w:highlight w:val="yellow"/>
          <w:lang w:val="en-GB" w:eastAsia="en-GB"/>
        </w:rPr>
        <w:t xml:space="preserve">Further </w:t>
      </w:r>
      <w:r w:rsidRPr="00930BD4">
        <w:rPr>
          <w:b/>
          <w:bCs/>
          <w:highlight w:val="yellow"/>
          <w:lang w:val="en-GB" w:eastAsia="en-GB"/>
        </w:rPr>
        <w:t>definitions and</w:t>
      </w:r>
      <w:r>
        <w:rPr>
          <w:lang w:val="en-GB" w:eastAsia="en-GB"/>
        </w:rPr>
        <w:t xml:space="preserve"> geometry parameters are listed below and </w:t>
      </w:r>
      <w:r w:rsidRPr="00930BD4">
        <w:rPr>
          <w:b/>
          <w:bCs/>
          <w:highlight w:val="yellow"/>
          <w:lang w:val="en-GB" w:eastAsia="en-GB"/>
        </w:rPr>
        <w:t>are</w:t>
      </w:r>
      <w:r>
        <w:rPr>
          <w:lang w:val="en-GB" w:eastAsia="en-GB"/>
        </w:rPr>
        <w:t xml:space="preserve"> illustrated in Figures A4-I to A4-III.</w:t>
      </w:r>
    </w:p>
    <w:p w14:paraId="6CEC8ED4" w14:textId="0FA724E5" w:rsidR="003B44EA" w:rsidRPr="00930BD4" w:rsidRDefault="003B44EA" w:rsidP="00696F64">
      <w:pPr>
        <w:pStyle w:val="para"/>
        <w:ind w:left="2835" w:right="567" w:hanging="567"/>
        <w:rPr>
          <w:strike/>
          <w:lang w:val="en-GB" w:eastAsia="en-GB"/>
        </w:rPr>
      </w:pPr>
      <w:r w:rsidRPr="00930BD4">
        <w:rPr>
          <w:strike/>
          <w:highlight w:val="yellow"/>
          <w:lang w:val="en-GB" w:eastAsia="en-GB"/>
        </w:rPr>
        <w:t>A</w:t>
      </w:r>
      <w:r w:rsidRPr="00930BD4">
        <w:rPr>
          <w:strike/>
          <w:highlight w:val="yellow"/>
          <w:lang w:val="en-GB" w:eastAsia="en-GB"/>
        </w:rPr>
        <w:tab/>
        <w:t>Area of the illuminating surface of the retro-reflecting device, usually given in cm</w:t>
      </w:r>
      <w:r w:rsidRPr="00930BD4">
        <w:rPr>
          <w:strike/>
          <w:highlight w:val="yellow"/>
          <w:vertAlign w:val="superscript"/>
          <w:lang w:val="en-GB" w:eastAsia="en-GB"/>
        </w:rPr>
        <w:t>2</w:t>
      </w:r>
    </w:p>
    <w:p w14:paraId="4A303CCC" w14:textId="77777777" w:rsidR="003B44EA" w:rsidRDefault="003B44EA" w:rsidP="00696F64">
      <w:pPr>
        <w:pStyle w:val="para"/>
        <w:ind w:left="2835" w:right="567" w:hanging="567"/>
        <w:rPr>
          <w:lang w:val="en-GB" w:eastAsia="en-GB"/>
        </w:rPr>
      </w:pPr>
      <w:r>
        <w:rPr>
          <w:lang w:val="en-GB" w:eastAsia="en-GB"/>
        </w:rPr>
        <w:t>C</w:t>
      </w:r>
      <w:r>
        <w:rPr>
          <w:lang w:val="en-GB" w:eastAsia="en-GB"/>
        </w:rPr>
        <w:tab/>
        <w:t>Reference centre, e.g. a point on a retro-reflective area which is designated to be the centre of the device for the purpose of specifying its performance and mounting on the goniophoto-meter.</w:t>
      </w:r>
    </w:p>
    <w:p w14:paraId="37993999" w14:textId="77777777" w:rsidR="003B44EA" w:rsidRPr="00930BD4" w:rsidRDefault="003B44EA" w:rsidP="00696F64">
      <w:pPr>
        <w:pStyle w:val="para"/>
        <w:ind w:left="2835" w:right="567" w:hanging="567"/>
        <w:rPr>
          <w:strike/>
          <w:highlight w:val="yellow"/>
          <w:lang w:val="en-GB" w:eastAsia="en-GB"/>
        </w:rPr>
      </w:pPr>
      <w:r w:rsidRPr="00930BD4">
        <w:rPr>
          <w:strike/>
          <w:highlight w:val="yellow"/>
          <w:lang w:val="en-GB" w:eastAsia="en-GB"/>
        </w:rPr>
        <w:t>R</w:t>
      </w:r>
      <w:r w:rsidRPr="00930BD4">
        <w:rPr>
          <w:strike/>
          <w:highlight w:val="yellow"/>
          <w:lang w:val="en-GB" w:eastAsia="en-GB"/>
        </w:rPr>
        <w:tab/>
        <w:t>Reference axis of the retroreflector, e.g. a designated line originating from the reference centre used to describe the angular position of the retro-reflective device.</w:t>
      </w:r>
    </w:p>
    <w:p w14:paraId="0C43741C" w14:textId="1A3F1539" w:rsidR="003B44EA" w:rsidRPr="00930BD4" w:rsidRDefault="003B44EA" w:rsidP="00696F64">
      <w:pPr>
        <w:pStyle w:val="para"/>
        <w:ind w:left="2835" w:right="567" w:firstLine="0"/>
        <w:rPr>
          <w:strike/>
          <w:lang w:val="en-GB" w:eastAsia="en-GB"/>
        </w:rPr>
      </w:pPr>
      <w:r w:rsidRPr="00930BD4">
        <w:rPr>
          <w:strike/>
          <w:highlight w:val="yellow"/>
          <w:lang w:val="en-GB" w:eastAsia="en-GB"/>
        </w:rPr>
        <w:lastRenderedPageBreak/>
        <w:t>NOTE 1</w:t>
      </w:r>
      <w:r w:rsidRPr="00930BD4">
        <w:rPr>
          <w:strike/>
          <w:highlight w:val="yellow"/>
          <w:lang w:val="en-GB" w:eastAsia="en-GB"/>
        </w:rPr>
        <w:tab/>
        <w:t>The reference axis is fixed in the retro-reflective material and moves with β</w:t>
      </w:r>
      <w:r w:rsidRPr="00930BD4">
        <w:rPr>
          <w:strike/>
          <w:highlight w:val="yellow"/>
          <w:vertAlign w:val="subscript"/>
          <w:lang w:val="en-GB" w:eastAsia="en-GB"/>
        </w:rPr>
        <w:t>1</w:t>
      </w:r>
      <w:r w:rsidRPr="00930BD4">
        <w:rPr>
          <w:strike/>
          <w:highlight w:val="yellow"/>
          <w:lang w:val="en-GB" w:eastAsia="en-GB"/>
        </w:rPr>
        <w:t xml:space="preserve"> and β</w:t>
      </w:r>
      <w:r w:rsidRPr="00930BD4">
        <w:rPr>
          <w:strike/>
          <w:highlight w:val="yellow"/>
          <w:vertAlign w:val="subscript"/>
          <w:lang w:val="en-GB" w:eastAsia="en-GB"/>
        </w:rPr>
        <w:t>2</w:t>
      </w:r>
      <w:r w:rsidRPr="00930BD4">
        <w:rPr>
          <w:strike/>
          <w:highlight w:val="yellow"/>
          <w:lang w:val="en-GB" w:eastAsia="en-GB"/>
        </w:rPr>
        <w:t>.</w:t>
      </w:r>
    </w:p>
    <w:p w14:paraId="12C9FB44" w14:textId="77777777" w:rsidR="003B44EA" w:rsidRDefault="003B44EA" w:rsidP="00696F64">
      <w:pPr>
        <w:pStyle w:val="para"/>
        <w:ind w:left="2835" w:right="567" w:hanging="567"/>
        <w:rPr>
          <w:lang w:val="en-GB" w:eastAsia="en-GB"/>
        </w:rPr>
      </w:pPr>
      <w:r>
        <w:rPr>
          <w:lang w:val="en-GB" w:eastAsia="en-GB"/>
        </w:rPr>
        <w:t>I</w:t>
      </w:r>
      <w:r>
        <w:rPr>
          <w:lang w:val="en-GB" w:eastAsia="en-GB"/>
        </w:rPr>
        <w:tab/>
        <w:t>Illumination axis, e.g. the line passing through the centre of the light source and the reference centre.</w:t>
      </w:r>
    </w:p>
    <w:p w14:paraId="69B90FCE" w14:textId="77777777" w:rsidR="003B44EA" w:rsidRDefault="003B44EA" w:rsidP="00696F64">
      <w:pPr>
        <w:pStyle w:val="para"/>
        <w:ind w:left="2835" w:right="567" w:hanging="567"/>
        <w:rPr>
          <w:lang w:val="en-GB" w:eastAsia="en-GB"/>
        </w:rPr>
      </w:pPr>
      <w:r>
        <w:rPr>
          <w:lang w:val="en-GB" w:eastAsia="en-GB"/>
        </w:rPr>
        <w:t>O</w:t>
      </w:r>
      <w:r>
        <w:rPr>
          <w:lang w:val="en-GB" w:eastAsia="en-GB"/>
        </w:rPr>
        <w:tab/>
        <w:t>Observation axis, e.g. the line connecting the reference centre and the centre of the photometer head.</w:t>
      </w:r>
    </w:p>
    <w:p w14:paraId="7BA04333" w14:textId="3B831EBE" w:rsidR="003B44EA" w:rsidRPr="009306BB" w:rsidRDefault="003B44EA" w:rsidP="00696F64">
      <w:pPr>
        <w:pStyle w:val="para"/>
        <w:ind w:right="567" w:firstLine="0"/>
        <w:rPr>
          <w:strike/>
          <w:highlight w:val="yellow"/>
          <w:lang w:val="en-GB" w:eastAsia="en-GB"/>
        </w:rPr>
      </w:pPr>
      <w:r w:rsidRPr="009306BB">
        <w:rPr>
          <w:strike/>
          <w:highlight w:val="yellow"/>
          <w:lang w:val="en-GB" w:eastAsia="en-GB"/>
        </w:rPr>
        <w:t>Rr</w:t>
      </w:r>
      <w:r w:rsidRPr="009306BB">
        <w:rPr>
          <w:strike/>
          <w:highlight w:val="yellow"/>
          <w:lang w:val="en-GB" w:eastAsia="en-GB"/>
        </w:rPr>
        <w:tab/>
        <w:t>Receiver, observer or measuring device (e.g. photometer head)</w:t>
      </w:r>
    </w:p>
    <w:p w14:paraId="4E3EF4E9" w14:textId="303F417B" w:rsidR="003B44EA" w:rsidRPr="009306BB" w:rsidRDefault="003B44EA" w:rsidP="00696F64">
      <w:pPr>
        <w:pStyle w:val="para"/>
        <w:ind w:right="567" w:firstLine="0"/>
        <w:rPr>
          <w:strike/>
          <w:highlight w:val="yellow"/>
          <w:lang w:val="en-GB" w:eastAsia="en-GB"/>
        </w:rPr>
      </w:pPr>
      <w:r w:rsidRPr="009306BB">
        <w:rPr>
          <w:strike/>
          <w:highlight w:val="yellow"/>
          <w:lang w:val="en-GB" w:eastAsia="en-GB"/>
        </w:rPr>
        <w:t>Cr</w:t>
      </w:r>
      <w:r w:rsidRPr="009306BB">
        <w:rPr>
          <w:strike/>
          <w:highlight w:val="yellow"/>
          <w:lang w:val="en-GB" w:eastAsia="en-GB"/>
        </w:rPr>
        <w:tab/>
        <w:t>Centre of receiver</w:t>
      </w:r>
    </w:p>
    <w:p w14:paraId="6046725F" w14:textId="05BFD917" w:rsidR="003B44EA" w:rsidRPr="009306BB" w:rsidRDefault="003B44EA" w:rsidP="00696F64">
      <w:pPr>
        <w:pStyle w:val="para"/>
        <w:ind w:right="567" w:firstLine="0"/>
        <w:rPr>
          <w:strike/>
          <w:highlight w:val="yellow"/>
          <w:lang w:val="en-GB" w:eastAsia="en-GB"/>
        </w:rPr>
      </w:pPr>
      <w:r w:rsidRPr="009306BB">
        <w:rPr>
          <w:rFonts w:ascii="Symbol" w:hAnsi="Symbol"/>
          <w:strike/>
          <w:highlight w:val="yellow"/>
          <w:lang w:val="en-GB" w:eastAsia="en-GB"/>
        </w:rPr>
        <w:t></w:t>
      </w:r>
      <w:r w:rsidRPr="009306BB">
        <w:rPr>
          <w:strike/>
          <w:highlight w:val="yellow"/>
          <w:lang w:val="en-GB" w:eastAsia="en-GB"/>
        </w:rPr>
        <w:t>r</w:t>
      </w:r>
      <w:r w:rsidRPr="009306BB">
        <w:rPr>
          <w:strike/>
          <w:highlight w:val="yellow"/>
          <w:lang w:val="en-GB" w:eastAsia="en-GB"/>
        </w:rPr>
        <w:tab/>
        <w:t>Diameter of receiver Rr, if circular</w:t>
      </w:r>
    </w:p>
    <w:p w14:paraId="2305A0D2" w14:textId="2BF7ECD2" w:rsidR="00696F64" w:rsidRPr="009306BB" w:rsidRDefault="00696F64" w:rsidP="00696F64">
      <w:pPr>
        <w:pStyle w:val="para"/>
        <w:ind w:right="567" w:firstLine="0"/>
        <w:rPr>
          <w:strike/>
          <w:highlight w:val="yellow"/>
          <w:lang w:val="en-GB" w:eastAsia="en-GB"/>
        </w:rPr>
      </w:pPr>
      <w:r w:rsidRPr="009306BB">
        <w:rPr>
          <w:strike/>
          <w:highlight w:val="yellow"/>
          <w:lang w:val="en-GB" w:eastAsia="en-GB"/>
        </w:rPr>
        <w:t>Se</w:t>
      </w:r>
      <w:r w:rsidRPr="009306BB">
        <w:rPr>
          <w:strike/>
          <w:highlight w:val="yellow"/>
          <w:lang w:val="en-GB" w:eastAsia="en-GB"/>
        </w:rPr>
        <w:tab/>
        <w:t>Source of illumination</w:t>
      </w:r>
    </w:p>
    <w:p w14:paraId="29F76684" w14:textId="6145073C" w:rsidR="00696F64" w:rsidRPr="009306BB" w:rsidRDefault="00696F64" w:rsidP="00696F64">
      <w:pPr>
        <w:pStyle w:val="para"/>
        <w:ind w:right="567" w:firstLine="0"/>
        <w:rPr>
          <w:strike/>
          <w:highlight w:val="yellow"/>
          <w:lang w:val="en-GB" w:eastAsia="en-GB"/>
        </w:rPr>
      </w:pPr>
      <w:r w:rsidRPr="009306BB">
        <w:rPr>
          <w:strike/>
          <w:highlight w:val="yellow"/>
          <w:lang w:val="en-GB" w:eastAsia="en-GB"/>
        </w:rPr>
        <w:t>Cs</w:t>
      </w:r>
      <w:r w:rsidRPr="009306BB">
        <w:rPr>
          <w:strike/>
          <w:highlight w:val="yellow"/>
          <w:lang w:val="en-GB" w:eastAsia="en-GB"/>
        </w:rPr>
        <w:tab/>
        <w:t>Centre of source of illumination</w:t>
      </w:r>
    </w:p>
    <w:p w14:paraId="1324A1B5" w14:textId="3033658F" w:rsidR="00696F64" w:rsidRPr="009306BB" w:rsidRDefault="00696F64" w:rsidP="00696F64">
      <w:pPr>
        <w:pStyle w:val="para"/>
        <w:ind w:right="567" w:firstLine="0"/>
        <w:rPr>
          <w:strike/>
          <w:highlight w:val="yellow"/>
          <w:lang w:val="en-GB" w:eastAsia="en-GB"/>
        </w:rPr>
      </w:pPr>
      <w:r w:rsidRPr="009306BB">
        <w:rPr>
          <w:strike/>
          <w:highlight w:val="yellow"/>
          <w:lang w:val="en-GB" w:eastAsia="en-GB"/>
        </w:rPr>
        <w:t>Øs</w:t>
      </w:r>
      <w:r w:rsidRPr="009306BB">
        <w:rPr>
          <w:strike/>
          <w:highlight w:val="yellow"/>
          <w:lang w:val="en-GB" w:eastAsia="en-GB"/>
        </w:rPr>
        <w:tab/>
        <w:t>Aperture diameter of illumination source</w:t>
      </w:r>
    </w:p>
    <w:p w14:paraId="7F5C68BA" w14:textId="3ECBF3D8" w:rsidR="00696F64" w:rsidRPr="009306BB" w:rsidRDefault="00696F64" w:rsidP="00696F64">
      <w:pPr>
        <w:pStyle w:val="para"/>
        <w:ind w:right="567" w:firstLine="0"/>
        <w:rPr>
          <w:strike/>
          <w:highlight w:val="yellow"/>
          <w:lang w:val="en-GB" w:eastAsia="en-GB"/>
        </w:rPr>
      </w:pPr>
      <w:r w:rsidRPr="009306BB">
        <w:rPr>
          <w:strike/>
          <w:highlight w:val="yellow"/>
          <w:lang w:val="en-GB" w:eastAsia="en-GB"/>
        </w:rPr>
        <w:t>De</w:t>
      </w:r>
      <w:r w:rsidRPr="009306BB">
        <w:rPr>
          <w:strike/>
          <w:highlight w:val="yellow"/>
          <w:lang w:val="en-GB" w:eastAsia="en-GB"/>
        </w:rPr>
        <w:tab/>
        <w:t>Distance from centre Cs to centre C</w:t>
      </w:r>
    </w:p>
    <w:p w14:paraId="172AAED2" w14:textId="31567797" w:rsidR="00696F64" w:rsidRPr="009306BB" w:rsidRDefault="00696F64" w:rsidP="00696F64">
      <w:pPr>
        <w:pStyle w:val="para"/>
        <w:ind w:right="567" w:firstLine="0"/>
        <w:rPr>
          <w:strike/>
          <w:highlight w:val="yellow"/>
          <w:lang w:val="en-GB" w:eastAsia="en-GB"/>
        </w:rPr>
      </w:pPr>
      <w:r w:rsidRPr="009306BB">
        <w:rPr>
          <w:strike/>
          <w:highlight w:val="yellow"/>
          <w:lang w:val="en-GB" w:eastAsia="en-GB"/>
        </w:rPr>
        <w:t>D’e</w:t>
      </w:r>
      <w:r w:rsidRPr="009306BB">
        <w:rPr>
          <w:strike/>
          <w:highlight w:val="yellow"/>
          <w:lang w:val="en-GB" w:eastAsia="en-GB"/>
        </w:rPr>
        <w:tab/>
        <w:t>Distance from centre Cr to centre C</w:t>
      </w:r>
    </w:p>
    <w:p w14:paraId="5B815C85" w14:textId="5D36B8B1" w:rsidR="00696F64" w:rsidRPr="009306BB" w:rsidRDefault="00696F64" w:rsidP="00696F64">
      <w:pPr>
        <w:pStyle w:val="para"/>
        <w:ind w:left="2835" w:right="567" w:firstLine="0"/>
        <w:rPr>
          <w:strike/>
          <w:lang w:val="en-GB" w:eastAsia="en-GB"/>
        </w:rPr>
      </w:pPr>
      <w:r w:rsidRPr="009306BB">
        <w:rPr>
          <w:strike/>
          <w:highlight w:val="yellow"/>
          <w:lang w:val="en-GB" w:eastAsia="en-GB"/>
        </w:rPr>
        <w:t>NOTE 2</w:t>
      </w:r>
      <w:r w:rsidRPr="009306BB">
        <w:rPr>
          <w:strike/>
          <w:highlight w:val="yellow"/>
          <w:lang w:val="en-GB" w:eastAsia="en-GB"/>
        </w:rPr>
        <w:tab/>
        <w:t xml:space="preserve">In general, De and D'e are very nearly the same. Therefore, it may be assumed that </w:t>
      </w:r>
      <w:r w:rsidRPr="009306BB">
        <w:rPr>
          <w:strike/>
          <w:highlight w:val="yellow"/>
          <w:lang w:val="en-GB" w:eastAsia="en-GB"/>
        </w:rPr>
        <w:tab/>
        <w:t>De = D'e.</w:t>
      </w:r>
    </w:p>
    <w:p w14:paraId="0CC736EE" w14:textId="77777777" w:rsidR="00696F64" w:rsidRDefault="00696F64" w:rsidP="00696F64">
      <w:pPr>
        <w:pStyle w:val="para"/>
        <w:ind w:left="2835" w:right="567" w:hanging="567"/>
        <w:rPr>
          <w:lang w:val="en-GB" w:eastAsia="en-GB"/>
        </w:rPr>
      </w:pPr>
      <w:r>
        <w:rPr>
          <w:rFonts w:ascii="Symbol" w:hAnsi="Symbol"/>
          <w:lang w:val="en-GB" w:eastAsia="en-GB"/>
        </w:rPr>
        <w:t></w:t>
      </w:r>
      <w:r>
        <w:rPr>
          <w:lang w:val="en-GB" w:eastAsia="en-GB"/>
        </w:rPr>
        <w:tab/>
        <w:t xml:space="preserve">Observation angle, e.g. the angle between the illumination axis and the observation axis. </w:t>
      </w:r>
    </w:p>
    <w:p w14:paraId="51930F6B" w14:textId="46448EF6" w:rsidR="00696F64" w:rsidRDefault="00696F64" w:rsidP="00696F64">
      <w:pPr>
        <w:pStyle w:val="para"/>
        <w:ind w:left="2835" w:right="567" w:firstLine="0"/>
        <w:rPr>
          <w:lang w:val="en-GB" w:eastAsia="en-GB"/>
        </w:rPr>
      </w:pPr>
      <w:r>
        <w:rPr>
          <w:lang w:val="en-GB" w:eastAsia="en-GB"/>
        </w:rPr>
        <w:t>NOTE</w:t>
      </w:r>
      <w:r w:rsidR="009306BB" w:rsidRPr="009306BB">
        <w:rPr>
          <w:highlight w:val="yellow"/>
          <w:lang w:val="en-GB" w:eastAsia="en-GB"/>
        </w:rPr>
        <w:t>:</w:t>
      </w:r>
      <w:r w:rsidRPr="009306BB">
        <w:rPr>
          <w:strike/>
          <w:highlight w:val="yellow"/>
          <w:lang w:val="en-GB" w:eastAsia="en-GB"/>
        </w:rPr>
        <w:t xml:space="preserve"> 3</w:t>
      </w:r>
      <w:r>
        <w:rPr>
          <w:lang w:val="en-GB" w:eastAsia="en-GB"/>
        </w:rPr>
        <w:tab/>
        <w:t>This angle is sometimes called angle of divergence.</w:t>
      </w:r>
    </w:p>
    <w:p w14:paraId="11C3563D" w14:textId="77777777" w:rsidR="00696F64" w:rsidRDefault="00696F64" w:rsidP="00696F64">
      <w:pPr>
        <w:pStyle w:val="para"/>
        <w:ind w:left="2835" w:right="567" w:hanging="567"/>
        <w:rPr>
          <w:lang w:val="en-GB" w:eastAsia="en-GB"/>
        </w:rPr>
      </w:pPr>
      <w:r>
        <w:rPr>
          <w:lang w:val="en-GB" w:eastAsia="en-GB"/>
        </w:rPr>
        <w:t>β</w:t>
      </w:r>
      <w:r>
        <w:rPr>
          <w:vertAlign w:val="subscript"/>
          <w:lang w:val="en-GB" w:eastAsia="en-GB"/>
        </w:rPr>
        <w:t>1</w:t>
      </w:r>
      <w:r>
        <w:rPr>
          <w:lang w:val="en-GB" w:eastAsia="en-GB"/>
        </w:rPr>
        <w:t>/β</w:t>
      </w:r>
      <w:r>
        <w:rPr>
          <w:vertAlign w:val="subscript"/>
          <w:lang w:val="en-GB" w:eastAsia="en-GB"/>
        </w:rPr>
        <w:t>2</w:t>
      </w:r>
      <w:r>
        <w:rPr>
          <w:lang w:val="en-GB" w:eastAsia="en-GB"/>
        </w:rPr>
        <w:tab/>
        <w:t>Entrance angle, e.g. the angle between the reference axis and the illumination axis. The illumination angle consists of a vertical component (symbol β</w:t>
      </w:r>
      <w:r>
        <w:rPr>
          <w:vertAlign w:val="subscript"/>
          <w:lang w:val="en-GB" w:eastAsia="en-GB"/>
        </w:rPr>
        <w:t>1</w:t>
      </w:r>
      <w:r>
        <w:rPr>
          <w:lang w:val="en-GB" w:eastAsia="en-GB"/>
        </w:rPr>
        <w:t>) and a horizontal component (symbol β</w:t>
      </w:r>
      <w:r>
        <w:rPr>
          <w:vertAlign w:val="subscript"/>
          <w:lang w:val="en-GB" w:eastAsia="en-GB"/>
        </w:rPr>
        <w:t>2</w:t>
      </w:r>
      <w:r>
        <w:rPr>
          <w:lang w:val="en-GB" w:eastAsia="en-GB"/>
        </w:rPr>
        <w:t>). For any direction the vertical angle is always given first.</w:t>
      </w:r>
    </w:p>
    <w:p w14:paraId="0DD017E3" w14:textId="0D4E2CB6" w:rsidR="00696F64" w:rsidRDefault="00696F64" w:rsidP="00696F64">
      <w:pPr>
        <w:pStyle w:val="para"/>
        <w:ind w:left="2835" w:right="567" w:firstLine="0"/>
        <w:rPr>
          <w:lang w:val="en-GB" w:eastAsia="en-GB"/>
        </w:rPr>
      </w:pPr>
      <w:r>
        <w:rPr>
          <w:lang w:val="en-GB" w:eastAsia="en-GB"/>
        </w:rPr>
        <w:t>NOTE</w:t>
      </w:r>
      <w:r w:rsidR="0084576D">
        <w:rPr>
          <w:lang w:val="en-GB" w:eastAsia="en-GB"/>
        </w:rPr>
        <w:t xml:space="preserve"> </w:t>
      </w:r>
      <w:r w:rsidR="0084576D" w:rsidRPr="0084576D">
        <w:rPr>
          <w:b/>
          <w:bCs/>
          <w:highlight w:val="yellow"/>
          <w:lang w:val="en-GB" w:eastAsia="en-GB"/>
        </w:rPr>
        <w:t>1:</w:t>
      </w:r>
      <w:r w:rsidRPr="0084576D">
        <w:rPr>
          <w:strike/>
          <w:highlight w:val="yellow"/>
          <w:lang w:val="en-GB" w:eastAsia="en-GB"/>
        </w:rPr>
        <w:t xml:space="preserve"> 4</w:t>
      </w:r>
      <w:r>
        <w:rPr>
          <w:lang w:val="en-GB" w:eastAsia="en-GB"/>
        </w:rPr>
        <w:tab/>
        <w:t xml:space="preserve">These angles are usually not larger than 90° but, for completeness, the full range is defined as </w:t>
      </w:r>
      <w:r>
        <w:rPr>
          <w:lang w:val="en-GB" w:eastAsia="en-GB"/>
        </w:rPr>
        <w:tab/>
      </w:r>
    </w:p>
    <w:p w14:paraId="03311C03" w14:textId="77777777" w:rsidR="00696F64" w:rsidRDefault="00696F64" w:rsidP="00696F64">
      <w:pPr>
        <w:pStyle w:val="para"/>
        <w:ind w:left="2835" w:right="567" w:firstLine="0"/>
        <w:rPr>
          <w:lang w:val="en-GB" w:eastAsia="en-GB"/>
        </w:rPr>
      </w:pPr>
      <w:r>
        <w:rPr>
          <w:lang w:val="en-GB" w:eastAsia="en-GB"/>
        </w:rPr>
        <w:t>-90° &lt; β</w:t>
      </w:r>
      <w:r>
        <w:rPr>
          <w:vertAlign w:val="subscript"/>
          <w:lang w:val="en-GB" w:eastAsia="en-GB"/>
        </w:rPr>
        <w:t>1</w:t>
      </w:r>
      <w:r>
        <w:rPr>
          <w:lang w:val="en-GB" w:eastAsia="en-GB"/>
        </w:rPr>
        <w:t xml:space="preserve"> &lt; 90° and </w:t>
      </w:r>
      <w:r>
        <w:rPr>
          <w:lang w:val="en-GB" w:eastAsia="en-GB"/>
        </w:rPr>
        <w:tab/>
      </w:r>
    </w:p>
    <w:p w14:paraId="0E0C4994" w14:textId="77777777" w:rsidR="00696F64" w:rsidRDefault="00696F64" w:rsidP="00696F64">
      <w:pPr>
        <w:pStyle w:val="para"/>
        <w:ind w:left="2835" w:right="567" w:firstLine="0"/>
        <w:rPr>
          <w:lang w:val="en-GB" w:eastAsia="en-GB"/>
        </w:rPr>
      </w:pPr>
      <w:r>
        <w:rPr>
          <w:lang w:val="en-GB" w:eastAsia="en-GB"/>
        </w:rPr>
        <w:t>-180° &lt; β</w:t>
      </w:r>
      <w:r>
        <w:rPr>
          <w:vertAlign w:val="subscript"/>
          <w:lang w:val="en-GB" w:eastAsia="en-GB"/>
        </w:rPr>
        <w:t>2</w:t>
      </w:r>
      <w:r>
        <w:rPr>
          <w:lang w:val="en-GB" w:eastAsia="en-GB"/>
        </w:rPr>
        <w:t xml:space="preserve"> &lt; 180°.</w:t>
      </w:r>
      <w:r>
        <w:rPr>
          <w:lang w:val="en-GB" w:eastAsia="en-GB"/>
        </w:rPr>
        <w:tab/>
      </w:r>
    </w:p>
    <w:p w14:paraId="086F65DF" w14:textId="2D68CC5B" w:rsidR="00696F64" w:rsidRDefault="00696F64" w:rsidP="00696F64">
      <w:pPr>
        <w:pStyle w:val="para"/>
        <w:ind w:left="2835" w:right="567" w:firstLine="0"/>
        <w:rPr>
          <w:lang w:val="en-GB" w:eastAsia="en-GB"/>
        </w:rPr>
      </w:pPr>
      <w:r>
        <w:rPr>
          <w:lang w:val="en-GB" w:eastAsia="en-GB"/>
        </w:rPr>
        <w:t xml:space="preserve">NOTE </w:t>
      </w:r>
      <w:r w:rsidR="0084576D" w:rsidRPr="0084576D">
        <w:rPr>
          <w:b/>
          <w:bCs/>
          <w:highlight w:val="yellow"/>
          <w:lang w:val="en-GB" w:eastAsia="en-GB"/>
        </w:rPr>
        <w:t>2:</w:t>
      </w:r>
      <w:r w:rsidR="0084576D" w:rsidRPr="0084576D">
        <w:rPr>
          <w:highlight w:val="yellow"/>
          <w:lang w:val="en-GB" w:eastAsia="en-GB"/>
        </w:rPr>
        <w:t xml:space="preserve"> </w:t>
      </w:r>
      <w:r w:rsidRPr="0084576D">
        <w:rPr>
          <w:strike/>
          <w:highlight w:val="yellow"/>
          <w:lang w:val="en-GB" w:eastAsia="en-GB"/>
        </w:rPr>
        <w:t>5</w:t>
      </w:r>
      <w:r>
        <w:rPr>
          <w:lang w:val="en-GB" w:eastAsia="en-GB"/>
        </w:rPr>
        <w:t xml:space="preserve"> </w:t>
      </w:r>
      <w:r>
        <w:rPr>
          <w:lang w:val="en-GB" w:eastAsia="en-GB"/>
        </w:rPr>
        <w:tab/>
        <w:t>The entrance angle is sometimes as well referred to as illumination angle.</w:t>
      </w:r>
    </w:p>
    <w:p w14:paraId="34A3E1D9" w14:textId="77777777" w:rsidR="00696F64" w:rsidRDefault="00696F64" w:rsidP="00696F64">
      <w:pPr>
        <w:pStyle w:val="para"/>
        <w:ind w:left="2835" w:right="567" w:hanging="567"/>
        <w:rPr>
          <w:lang w:val="en-GB" w:eastAsia="en-GB"/>
        </w:rPr>
      </w:pPr>
      <w:r>
        <w:rPr>
          <w:lang w:val="en-GB" w:eastAsia="en-GB"/>
        </w:rPr>
        <w:t>ε</w:t>
      </w:r>
      <w:r>
        <w:rPr>
          <w:lang w:val="en-GB" w:eastAsia="en-GB"/>
        </w:rPr>
        <w:tab/>
        <w:t>Angle of rotation means the angle through which the retro-reflecting device is rotated about its axis of reference starting from a given position. If the retro-reflecting device is marked "TOP" (e.g. the datum mark), the indicated position is taken as the origin.</w:t>
      </w:r>
    </w:p>
    <w:p w14:paraId="0E1C0067" w14:textId="28747D1A" w:rsidR="00696F64" w:rsidRDefault="00696F64" w:rsidP="00696F64">
      <w:pPr>
        <w:pStyle w:val="para"/>
        <w:ind w:left="2835" w:right="567" w:hanging="567"/>
        <w:rPr>
          <w:lang w:val="en-GB" w:eastAsia="en-GB"/>
        </w:rPr>
      </w:pPr>
      <w:r>
        <w:rPr>
          <w:lang w:val="en-GB" w:eastAsia="en-GB"/>
        </w:rPr>
        <w:t>γ</w:t>
      </w:r>
      <w:r>
        <w:rPr>
          <w:lang w:val="en-GB" w:eastAsia="en-GB"/>
        </w:rPr>
        <w:tab/>
        <w:t xml:space="preserve">Angular aperture of the measuring device </w:t>
      </w:r>
      <w:r w:rsidRPr="0084576D">
        <w:rPr>
          <w:strike/>
          <w:highlight w:val="yellow"/>
          <w:lang w:val="en-GB" w:eastAsia="en-GB"/>
        </w:rPr>
        <w:t>Rr</w:t>
      </w:r>
      <w:r>
        <w:rPr>
          <w:lang w:val="en-GB" w:eastAsia="en-GB"/>
        </w:rPr>
        <w:t>, i.e. the angle subtended by the largest dimension of the receiver as seen from the reference centre (β</w:t>
      </w:r>
      <w:r>
        <w:rPr>
          <w:vertAlign w:val="subscript"/>
          <w:lang w:val="en-GB" w:eastAsia="en-GB"/>
        </w:rPr>
        <w:t>1</w:t>
      </w:r>
      <w:r>
        <w:rPr>
          <w:lang w:val="en-GB" w:eastAsia="en-GB"/>
        </w:rPr>
        <w:t xml:space="preserve"> = β</w:t>
      </w:r>
      <w:r>
        <w:rPr>
          <w:vertAlign w:val="subscript"/>
          <w:lang w:val="en-GB" w:eastAsia="en-GB"/>
        </w:rPr>
        <w:t>2</w:t>
      </w:r>
      <w:r>
        <w:rPr>
          <w:lang w:val="en-GB" w:eastAsia="en-GB"/>
        </w:rPr>
        <w:t xml:space="preserve"> = 0</w:t>
      </w:r>
      <w:r>
        <w:rPr>
          <w:rFonts w:ascii="Symbol" w:hAnsi="Symbol"/>
          <w:lang w:val="en-GB" w:eastAsia="en-GB"/>
        </w:rPr>
        <w:t></w:t>
      </w:r>
      <w:r>
        <w:rPr>
          <w:lang w:val="en-GB" w:eastAsia="en-GB"/>
        </w:rPr>
        <w:t>).</w:t>
      </w:r>
    </w:p>
    <w:p w14:paraId="6348163B" w14:textId="77777777" w:rsidR="00696F64" w:rsidRDefault="00696F64" w:rsidP="00696F64">
      <w:pPr>
        <w:pStyle w:val="para"/>
        <w:ind w:right="567" w:firstLine="0"/>
        <w:rPr>
          <w:lang w:val="en-GB" w:eastAsia="en-GB"/>
        </w:rPr>
      </w:pPr>
      <w:r>
        <w:rPr>
          <w:lang w:val="en-GB" w:eastAsia="en-GB"/>
        </w:rPr>
        <w:t>δ</w:t>
      </w:r>
      <w:r>
        <w:rPr>
          <w:lang w:val="en-GB" w:eastAsia="en-GB"/>
        </w:rPr>
        <w:tab/>
        <w:t xml:space="preserve">Angular aperture of the source </w:t>
      </w:r>
      <w:r w:rsidRPr="0084576D">
        <w:rPr>
          <w:strike/>
          <w:highlight w:val="yellow"/>
          <w:lang w:val="en-GB" w:eastAsia="en-GB"/>
        </w:rPr>
        <w:t>Se</w:t>
      </w:r>
      <w:r>
        <w:rPr>
          <w:lang w:val="en-GB" w:eastAsia="en-GB"/>
        </w:rPr>
        <w:t xml:space="preserve"> as seen from the reference centre</w:t>
      </w:r>
    </w:p>
    <w:p w14:paraId="5F89B2B8" w14:textId="77777777" w:rsidR="00696F64" w:rsidRDefault="00696F64" w:rsidP="00696F64">
      <w:pPr>
        <w:pStyle w:val="para"/>
        <w:ind w:left="2835" w:right="567" w:hanging="567"/>
        <w:rPr>
          <w:lang w:val="en-GB" w:eastAsia="en-GB"/>
        </w:rPr>
      </w:pPr>
      <w:r>
        <w:rPr>
          <w:lang w:val="en-GB" w:eastAsia="en-GB"/>
        </w:rPr>
        <w:t>η</w:t>
      </w:r>
      <w:r>
        <w:rPr>
          <w:lang w:val="en-GB" w:eastAsia="en-GB"/>
        </w:rPr>
        <w:tab/>
        <w:t>Angular aperture of the retro-reflecting device, e.g. the angle subtended by the largest dimension of the visible area of the illuminating surface, either at the centre of the source of illumination or at the centre of the receiver.</w:t>
      </w:r>
    </w:p>
    <w:p w14:paraId="2A22592D" w14:textId="2872E484" w:rsidR="00696F64" w:rsidRDefault="00696F64" w:rsidP="00696F64">
      <w:pPr>
        <w:pStyle w:val="para"/>
        <w:ind w:left="2835" w:right="567" w:hanging="567"/>
        <w:rPr>
          <w:lang w:val="en-GB" w:eastAsia="en-GB"/>
        </w:rPr>
      </w:pPr>
      <w:r w:rsidRPr="0084576D">
        <w:rPr>
          <w:strike/>
          <w:highlight w:val="yellow"/>
          <w:lang w:val="en-GB" w:eastAsia="en-GB"/>
        </w:rPr>
        <w:t>E</w:t>
      </w:r>
      <w:r w:rsidRPr="0084576D">
        <w:rPr>
          <w:strike/>
          <w:highlight w:val="yellow"/>
          <w:lang w:val="en-GB" w:eastAsia="en-GB"/>
        </w:rPr>
        <w:tab/>
        <w:t>Illumination of the retro-reflecting device, e.g. the illuminance measured in a plane perpendicular to the incident rays and passing through the reference centre.</w:t>
      </w:r>
      <w:r>
        <w:rPr>
          <w:lang w:val="en-GB" w:eastAsia="en-GB"/>
        </w:rPr>
        <w:t xml:space="preserve">   ”</w:t>
      </w:r>
    </w:p>
    <w:p w14:paraId="32507F7D" w14:textId="1C83DAED" w:rsidR="001175B9" w:rsidRDefault="001175B9">
      <w:pPr>
        <w:suppressAutoHyphens/>
        <w:spacing w:after="120" w:line="240" w:lineRule="atLeast"/>
        <w:ind w:left="2268" w:right="1395" w:hanging="1134"/>
        <w:jc w:val="both"/>
        <w:rPr>
          <w:rFonts w:ascii="Times New Roman" w:eastAsia="Times New Roman" w:hAnsi="Times New Roman" w:cs="Times New Roman"/>
          <w:i/>
          <w:lang w:val="en-US"/>
        </w:rPr>
      </w:pPr>
    </w:p>
    <w:p w14:paraId="09726B27" w14:textId="05855B5D" w:rsidR="00C26BFB" w:rsidRDefault="00C26BFB">
      <w:pPr>
        <w:suppressAutoHyphens/>
        <w:spacing w:after="120" w:line="240" w:lineRule="atLeast"/>
        <w:ind w:left="2268" w:right="1395" w:hanging="1134"/>
        <w:jc w:val="both"/>
        <w:rPr>
          <w:rFonts w:ascii="Times New Roman" w:eastAsia="Times New Roman" w:hAnsi="Times New Roman" w:cs="Times New Roman"/>
          <w:i/>
          <w:lang w:val="en-US"/>
        </w:rPr>
      </w:pPr>
    </w:p>
    <w:p w14:paraId="680EA7FE" w14:textId="77777777" w:rsidR="00C26BFB" w:rsidRDefault="00C26BFB">
      <w:pPr>
        <w:suppressAutoHyphens/>
        <w:spacing w:after="120" w:line="240" w:lineRule="atLeast"/>
        <w:ind w:left="2268" w:right="1395" w:hanging="1134"/>
        <w:jc w:val="both"/>
        <w:rPr>
          <w:rFonts w:ascii="Times New Roman" w:eastAsia="Times New Roman" w:hAnsi="Times New Roman" w:cs="Times New Roman"/>
          <w:i/>
          <w:lang w:val="en-US"/>
        </w:rPr>
      </w:pPr>
    </w:p>
    <w:p w14:paraId="4C833E55" w14:textId="77777777" w:rsidR="002C1752" w:rsidRDefault="002C1752" w:rsidP="002C1752">
      <w:pPr>
        <w:suppressAutoHyphens/>
        <w:spacing w:after="120" w:line="240" w:lineRule="atLeast"/>
        <w:ind w:left="2268" w:right="1395" w:hanging="1134"/>
        <w:jc w:val="both"/>
        <w:rPr>
          <w:rFonts w:ascii="Times New Roman" w:eastAsia="Times New Roman" w:hAnsi="Times New Roman" w:cs="Times New Roman"/>
          <w:i/>
          <w:lang w:val="en-US"/>
        </w:rPr>
      </w:pPr>
      <w:r w:rsidRPr="003A4613">
        <w:rPr>
          <w:rFonts w:ascii="Times New Roman" w:eastAsia="Times New Roman" w:hAnsi="Times New Roman" w:cs="Times New Roman"/>
          <w:i/>
          <w:lang w:val="en-US"/>
        </w:rPr>
        <w:t xml:space="preserve">Annex </w:t>
      </w:r>
      <w:r>
        <w:rPr>
          <w:rFonts w:ascii="Times New Roman" w:eastAsia="Times New Roman" w:hAnsi="Times New Roman" w:cs="Times New Roman"/>
          <w:i/>
          <w:lang w:val="en-US"/>
        </w:rPr>
        <w:t>4 – Part 1</w:t>
      </w:r>
    </w:p>
    <w:p w14:paraId="61FB1633" w14:textId="7AC8C244" w:rsidR="002C1752" w:rsidRDefault="002C1752" w:rsidP="002C1752">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3.6..</w:t>
      </w:r>
      <w:r>
        <w:rPr>
          <w:rFonts w:asciiTheme="majorBidi" w:hAnsiTheme="majorBidi" w:cstheme="majorBidi"/>
          <w:lang w:val="en-US"/>
        </w:rPr>
        <w:t>, amend to read:</w:t>
      </w:r>
    </w:p>
    <w:p w14:paraId="5D8F8E78" w14:textId="36025CD1" w:rsidR="002C1752" w:rsidRDefault="002C1752" w:rsidP="002C1752">
      <w:pPr>
        <w:pStyle w:val="para"/>
        <w:rPr>
          <w:lang w:val="en-GB" w:eastAsia="en-GB"/>
        </w:rPr>
      </w:pPr>
      <w:r>
        <w:rPr>
          <w:rFonts w:eastAsia="Times New Roman"/>
          <w:i/>
          <w:lang w:val="en-US"/>
        </w:rPr>
        <w:t>“</w:t>
      </w:r>
      <w:r>
        <w:rPr>
          <w:lang w:val="en-GB" w:eastAsia="en-GB"/>
        </w:rPr>
        <w:t>3.6.</w:t>
      </w:r>
      <w:r>
        <w:rPr>
          <w:lang w:val="en-GB" w:eastAsia="en-GB"/>
        </w:rPr>
        <w:tab/>
        <w:t xml:space="preserve">The measuring distance shall be chosen in such an order that at least the limits for the angles </w:t>
      </w:r>
      <w:r>
        <w:rPr>
          <w:rFonts w:ascii="Symbol" w:hAnsi="Symbol" w:cs="Symbol"/>
          <w:lang w:val="en-GB" w:eastAsia="en-GB"/>
        </w:rPr>
        <w:t></w:t>
      </w:r>
      <w:r>
        <w:rPr>
          <w:lang w:val="en-GB" w:eastAsia="en-GB"/>
        </w:rPr>
        <w:t xml:space="preserve">, </w:t>
      </w:r>
      <w:r>
        <w:rPr>
          <w:rFonts w:ascii="Symbol" w:hAnsi="Symbol" w:cs="Symbol"/>
          <w:lang w:val="en-GB" w:eastAsia="en-GB"/>
        </w:rPr>
        <w:t></w:t>
      </w:r>
      <w:r>
        <w:rPr>
          <w:rFonts w:ascii="Symbol" w:hAnsi="Symbol" w:cs="Symbol"/>
          <w:lang w:val="en-GB" w:eastAsia="en-GB"/>
        </w:rPr>
        <w:t></w:t>
      </w:r>
      <w:r>
        <w:rPr>
          <w:lang w:val="en-GB" w:eastAsia="en-GB"/>
        </w:rPr>
        <w:t xml:space="preserve">and </w:t>
      </w:r>
      <w:r>
        <w:rPr>
          <w:rFonts w:ascii="Symbol" w:hAnsi="Symbol" w:cs="Symbol"/>
          <w:lang w:val="en-GB" w:eastAsia="en-GB"/>
        </w:rPr>
        <w:t></w:t>
      </w:r>
      <w:r>
        <w:rPr>
          <w:rFonts w:ascii="Symbol" w:hAnsi="Symbol" w:cs="Symbol"/>
          <w:lang w:val="en-GB" w:eastAsia="en-GB"/>
        </w:rPr>
        <w:t></w:t>
      </w:r>
      <w:r>
        <w:rPr>
          <w:lang w:val="en-GB" w:eastAsia="en-GB"/>
        </w:rPr>
        <w:t>given above and illustrated in Figure A4-</w:t>
      </w:r>
      <w:r w:rsidRPr="00C747CB">
        <w:rPr>
          <w:strike/>
          <w:highlight w:val="yellow"/>
          <w:lang w:val="en-GB" w:eastAsia="en-GB"/>
        </w:rPr>
        <w:t>IV</w:t>
      </w:r>
      <w:r w:rsidR="00C747CB" w:rsidRPr="00C747CB">
        <w:rPr>
          <w:b/>
          <w:bCs/>
          <w:highlight w:val="yellow"/>
          <w:lang w:val="en-GB" w:eastAsia="en-GB"/>
        </w:rPr>
        <w:t>III</w:t>
      </w:r>
      <w:r>
        <w:rPr>
          <w:lang w:val="en-GB" w:eastAsia="en-GB"/>
        </w:rPr>
        <w:t xml:space="preserve"> are respected, but not lower than 10 m.   ”</w:t>
      </w:r>
    </w:p>
    <w:p w14:paraId="0074890D" w14:textId="0507CD26" w:rsidR="001175B9" w:rsidRDefault="001175B9">
      <w:pPr>
        <w:suppressAutoHyphens/>
        <w:spacing w:after="120" w:line="240" w:lineRule="atLeast"/>
        <w:ind w:left="2268" w:right="1395" w:hanging="1134"/>
        <w:jc w:val="both"/>
        <w:rPr>
          <w:rFonts w:ascii="Times New Roman" w:eastAsia="Times New Roman" w:hAnsi="Times New Roman" w:cs="Times New Roman"/>
          <w:i/>
          <w:lang w:val="en-US"/>
        </w:rPr>
      </w:pPr>
    </w:p>
    <w:p w14:paraId="1755D12C" w14:textId="77777777" w:rsidR="00D70774" w:rsidRDefault="00D70774">
      <w:pPr>
        <w:suppressAutoHyphens/>
        <w:spacing w:after="120" w:line="240" w:lineRule="atLeast"/>
        <w:ind w:left="2268" w:right="1395" w:hanging="1134"/>
        <w:jc w:val="both"/>
        <w:rPr>
          <w:rFonts w:ascii="Times New Roman" w:eastAsia="Times New Roman" w:hAnsi="Times New Roman" w:cs="Times New Roman"/>
          <w:i/>
          <w:lang w:val="en-US"/>
        </w:rPr>
      </w:pPr>
    </w:p>
    <w:p w14:paraId="38225007" w14:textId="7231582D" w:rsidR="001175B9" w:rsidRDefault="00B1373C">
      <w:pPr>
        <w:suppressAutoHyphens/>
        <w:spacing w:after="120" w:line="240" w:lineRule="atLeast"/>
        <w:ind w:left="2268" w:right="1395" w:hanging="1134"/>
        <w:jc w:val="both"/>
        <w:rPr>
          <w:rFonts w:ascii="Times New Roman" w:eastAsia="Times New Roman" w:hAnsi="Times New Roman" w:cs="Times New Roman"/>
          <w:iCs/>
          <w:lang w:val="en-US"/>
        </w:rPr>
      </w:pPr>
      <w:bookmarkStart w:id="2" w:name="_Hlk83745990"/>
      <w:r w:rsidRPr="00B1373C">
        <w:rPr>
          <w:rFonts w:ascii="Times New Roman" w:eastAsia="Times New Roman" w:hAnsi="Times New Roman" w:cs="Times New Roman"/>
          <w:i/>
          <w:lang w:val="en-US"/>
        </w:rPr>
        <w:t>Figure A5-X</w:t>
      </w:r>
      <w:bookmarkEnd w:id="2"/>
      <w:r>
        <w:rPr>
          <w:rFonts w:ascii="Times New Roman" w:eastAsia="Times New Roman" w:hAnsi="Times New Roman" w:cs="Times New Roman"/>
          <w:i/>
          <w:lang w:val="en-US"/>
        </w:rPr>
        <w:t>,</w:t>
      </w:r>
      <w:r>
        <w:rPr>
          <w:rFonts w:ascii="Times New Roman" w:eastAsia="Times New Roman" w:hAnsi="Times New Roman" w:cs="Times New Roman"/>
          <w:iCs/>
          <w:lang w:val="en-US"/>
        </w:rPr>
        <w:t xml:space="preserve"> amend the title and replace the figure as follows:</w:t>
      </w:r>
    </w:p>
    <w:p w14:paraId="2F74D83C" w14:textId="6835FE04" w:rsidR="00B1373C" w:rsidRPr="00B1373C" w:rsidRDefault="00B1373C" w:rsidP="00B1373C">
      <w:pPr>
        <w:suppressAutoHyphens/>
        <w:spacing w:after="120" w:line="240" w:lineRule="atLeast"/>
        <w:ind w:left="2268" w:right="567"/>
        <w:jc w:val="both"/>
        <w:rPr>
          <w:rFonts w:ascii="Times New Roman" w:eastAsia="Times New Roman" w:hAnsi="Times New Roman" w:cs="Times New Roman"/>
          <w:iCs/>
          <w:sz w:val="20"/>
          <w:szCs w:val="20"/>
          <w:lang w:val="en-US"/>
        </w:rPr>
      </w:pPr>
      <w:r>
        <w:rPr>
          <w:rFonts w:ascii="Times New Roman" w:eastAsia="Times New Roman" w:hAnsi="Times New Roman" w:cs="Times New Roman"/>
          <w:iCs/>
          <w:sz w:val="20"/>
          <w:szCs w:val="20"/>
          <w:lang w:val="en-US"/>
        </w:rPr>
        <w:t>“</w:t>
      </w:r>
      <w:r w:rsidRPr="00B1373C">
        <w:rPr>
          <w:rFonts w:ascii="Times New Roman" w:eastAsia="Times New Roman" w:hAnsi="Times New Roman" w:cs="Times New Roman"/>
          <w:iCs/>
          <w:sz w:val="20"/>
          <w:szCs w:val="20"/>
          <w:lang w:val="en-US"/>
        </w:rPr>
        <w:t>Figure A5-X</w:t>
      </w:r>
    </w:p>
    <w:p w14:paraId="6A10AE9B" w14:textId="19BD5BBF" w:rsidR="00B1373C" w:rsidRDefault="00B1373C" w:rsidP="00B1373C">
      <w:pPr>
        <w:suppressAutoHyphens/>
        <w:spacing w:after="120" w:line="240" w:lineRule="atLeast"/>
        <w:ind w:left="2268" w:right="567"/>
        <w:jc w:val="both"/>
        <w:rPr>
          <w:rFonts w:ascii="Times New Roman" w:eastAsia="Times New Roman" w:hAnsi="Times New Roman" w:cs="Times New Roman"/>
          <w:b/>
          <w:bCs/>
          <w:iCs/>
          <w:sz w:val="20"/>
          <w:szCs w:val="20"/>
          <w:lang w:val="en-US"/>
        </w:rPr>
      </w:pPr>
      <w:r w:rsidRPr="00E86EE8">
        <w:rPr>
          <w:rFonts w:ascii="Times New Roman" w:eastAsia="Times New Roman" w:hAnsi="Times New Roman" w:cs="Times New Roman"/>
          <w:iCs/>
          <w:strike/>
          <w:sz w:val="20"/>
          <w:szCs w:val="20"/>
          <w:highlight w:val="yellow"/>
          <w:lang w:val="en-US"/>
        </w:rPr>
        <w:t>Shape and dimensions of the advance warning triangle of type 2 and of the support</w:t>
      </w:r>
      <w:r w:rsidRPr="00E86EE8">
        <w:rPr>
          <w:rFonts w:ascii="Times New Roman" w:eastAsia="Times New Roman" w:hAnsi="Times New Roman" w:cs="Times New Roman"/>
          <w:iCs/>
          <w:sz w:val="20"/>
          <w:szCs w:val="20"/>
          <w:highlight w:val="yellow"/>
          <w:lang w:val="en-US"/>
        </w:rPr>
        <w:t xml:space="preserve"> </w:t>
      </w:r>
      <w:r w:rsidRPr="00E86EE8">
        <w:rPr>
          <w:rFonts w:ascii="Times New Roman" w:eastAsia="Times New Roman" w:hAnsi="Times New Roman" w:cs="Times New Roman"/>
          <w:b/>
          <w:bCs/>
          <w:iCs/>
          <w:sz w:val="20"/>
          <w:szCs w:val="20"/>
          <w:highlight w:val="yellow"/>
          <w:lang w:val="en-US"/>
        </w:rPr>
        <w:t>Test apparatus for clearance to ground</w:t>
      </w:r>
    </w:p>
    <w:p w14:paraId="10756E9A" w14:textId="08C47405" w:rsidR="00B1373C" w:rsidRPr="00B1373C" w:rsidRDefault="00E86EE8" w:rsidP="00B1373C">
      <w:pPr>
        <w:suppressAutoHyphens/>
        <w:spacing w:after="120" w:line="240" w:lineRule="atLeast"/>
        <w:ind w:left="2268" w:right="567"/>
        <w:jc w:val="both"/>
        <w:rPr>
          <w:rFonts w:ascii="Times New Roman" w:eastAsia="Times New Roman" w:hAnsi="Times New Roman" w:cs="Times New Roman"/>
          <w:iCs/>
          <w:sz w:val="20"/>
          <w:szCs w:val="20"/>
          <w:lang w:val="en-US"/>
        </w:rPr>
      </w:pPr>
      <w:r>
        <w:rPr>
          <w:rFonts w:ascii="Times New Roman" w:hAnsi="Times New Roman"/>
          <w:bCs/>
          <w:noProof/>
        </w:rPr>
        <mc:AlternateContent>
          <mc:Choice Requires="wps">
            <w:drawing>
              <wp:anchor distT="0" distB="0" distL="114300" distR="114300" simplePos="0" relativeHeight="251661312" behindDoc="0" locked="0" layoutInCell="1" allowOverlap="1" wp14:anchorId="73A39232" wp14:editId="20D9D8BA">
                <wp:simplePos x="0" y="0"/>
                <wp:positionH relativeFrom="column">
                  <wp:posOffset>2662555</wp:posOffset>
                </wp:positionH>
                <wp:positionV relativeFrom="paragraph">
                  <wp:posOffset>2759075</wp:posOffset>
                </wp:positionV>
                <wp:extent cx="368300" cy="361950"/>
                <wp:effectExtent l="19050" t="19050" r="12700" b="19050"/>
                <wp:wrapNone/>
                <wp:docPr id="3" name="Ovale 3"/>
                <wp:cNvGraphicFramePr/>
                <a:graphic xmlns:a="http://schemas.openxmlformats.org/drawingml/2006/main">
                  <a:graphicData uri="http://schemas.microsoft.com/office/word/2010/wordprocessingShape">
                    <wps:wsp>
                      <wps:cNvSpPr/>
                      <wps:spPr>
                        <a:xfrm>
                          <a:off x="0" y="0"/>
                          <a:ext cx="368300"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106BB" id="Ovale 3" o:spid="_x0000_s1026" style="position:absolute;margin-left:209.65pt;margin-top:217.25pt;width:2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" filled="f" strokecolor="red" strokeweight="3pt">
                <v:stroke joinstyle="miter"/>
              </v:oval>
            </w:pict>
          </mc:Fallback>
        </mc:AlternateContent>
      </w:r>
      <w:r>
        <w:rPr>
          <w:rFonts w:ascii="Times New Roman" w:hAnsi="Times New Roman"/>
          <w:bCs/>
          <w:noProof/>
        </w:rPr>
        <mc:AlternateContent>
          <mc:Choice Requires="wps">
            <w:drawing>
              <wp:anchor distT="0" distB="0" distL="114300" distR="114300" simplePos="0" relativeHeight="251659264" behindDoc="0" locked="0" layoutInCell="1" allowOverlap="1" wp14:anchorId="6D33831C" wp14:editId="081921A2">
                <wp:simplePos x="0" y="0"/>
                <wp:positionH relativeFrom="column">
                  <wp:posOffset>2294255</wp:posOffset>
                </wp:positionH>
                <wp:positionV relativeFrom="paragraph">
                  <wp:posOffset>238125</wp:posOffset>
                </wp:positionV>
                <wp:extent cx="368300" cy="361950"/>
                <wp:effectExtent l="19050" t="19050" r="12700" b="19050"/>
                <wp:wrapNone/>
                <wp:docPr id="2" name="Ovale 2"/>
                <wp:cNvGraphicFramePr/>
                <a:graphic xmlns:a="http://schemas.openxmlformats.org/drawingml/2006/main">
                  <a:graphicData uri="http://schemas.microsoft.com/office/word/2010/wordprocessingShape">
                    <wps:wsp>
                      <wps:cNvSpPr/>
                      <wps:spPr>
                        <a:xfrm>
                          <a:off x="0" y="0"/>
                          <a:ext cx="368300" cy="36195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A8668" id="Ovale 2" o:spid="_x0000_s1026" style="position:absolute;margin-left:180.65pt;margin-top:18.75pt;width:2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" filled="f" strokecolor="red" strokeweight="3pt">
                <v:stroke joinstyle="miter"/>
              </v:oval>
            </w:pict>
          </mc:Fallback>
        </mc:AlternateContent>
      </w:r>
      <w:r w:rsidR="00B1373C">
        <w:rPr>
          <w:rStyle w:val="Carpredefinitoparagrafo1"/>
          <w:rFonts w:ascii="Times New Roman" w:hAnsi="Times New Roman"/>
          <w:bCs/>
          <w:noProof/>
        </w:rPr>
        <w:drawing>
          <wp:inline distT="0" distB="0" distL="0" distR="0" wp14:anchorId="7AE3DDCE" wp14:editId="12C10F64">
            <wp:extent cx="4090670" cy="317627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0670" cy="3176270"/>
                    </a:xfrm>
                    <a:prstGeom prst="rect">
                      <a:avLst/>
                    </a:prstGeom>
                    <a:noFill/>
                  </pic:spPr>
                </pic:pic>
              </a:graphicData>
            </a:graphic>
          </wp:inline>
        </w:drawing>
      </w:r>
      <w:r w:rsidR="00B1373C">
        <w:rPr>
          <w:rFonts w:ascii="Times New Roman" w:eastAsia="Times New Roman" w:hAnsi="Times New Roman" w:cs="Times New Roman"/>
          <w:iCs/>
          <w:sz w:val="20"/>
          <w:szCs w:val="20"/>
          <w:lang w:val="en-US"/>
        </w:rPr>
        <w:t>…”</w:t>
      </w:r>
    </w:p>
    <w:p w14:paraId="173FEFE5" w14:textId="3E66B3A0" w:rsidR="00B1373C" w:rsidRDefault="00B1373C">
      <w:pPr>
        <w:rPr>
          <w:rFonts w:ascii="Times New Roman" w:eastAsia="Times New Roman" w:hAnsi="Times New Roman" w:cs="Times New Roman"/>
          <w:i/>
          <w:lang w:val="en-US"/>
        </w:rPr>
      </w:pPr>
    </w:p>
    <w:p w14:paraId="23FD5875" w14:textId="35835ABF" w:rsidR="00B1373C" w:rsidRDefault="00B1373C" w:rsidP="00B1373C">
      <w:pPr>
        <w:suppressAutoHyphens/>
        <w:spacing w:after="120" w:line="240" w:lineRule="atLeast"/>
        <w:ind w:left="2268" w:right="1395" w:hanging="1134"/>
        <w:jc w:val="both"/>
        <w:rPr>
          <w:rFonts w:ascii="Times New Roman" w:eastAsia="Times New Roman" w:hAnsi="Times New Roman" w:cs="Times New Roman"/>
          <w:i/>
          <w:lang w:val="en-US"/>
        </w:rPr>
      </w:pPr>
      <w:r w:rsidRPr="003A4613">
        <w:rPr>
          <w:rFonts w:ascii="Times New Roman" w:eastAsia="Times New Roman" w:hAnsi="Times New Roman" w:cs="Times New Roman"/>
          <w:i/>
          <w:lang w:val="en-US"/>
        </w:rPr>
        <w:t xml:space="preserve">Annex </w:t>
      </w:r>
      <w:r>
        <w:rPr>
          <w:rFonts w:ascii="Times New Roman" w:eastAsia="Times New Roman" w:hAnsi="Times New Roman" w:cs="Times New Roman"/>
          <w:i/>
          <w:lang w:val="en-US"/>
        </w:rPr>
        <w:t>8 – Part 1</w:t>
      </w:r>
    </w:p>
    <w:p w14:paraId="4937352E" w14:textId="71C3F7EE" w:rsidR="00B1373C" w:rsidRDefault="00B1373C" w:rsidP="00B1373C">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2. (b).</w:t>
      </w:r>
      <w:r>
        <w:rPr>
          <w:rFonts w:asciiTheme="majorBidi" w:hAnsiTheme="majorBidi" w:cstheme="majorBidi"/>
          <w:lang w:val="en-US"/>
        </w:rPr>
        <w:t>, amend to read:</w:t>
      </w:r>
    </w:p>
    <w:p w14:paraId="69910D88" w14:textId="77777777" w:rsidR="00B1373C" w:rsidRPr="00B1373C" w:rsidRDefault="00B1373C" w:rsidP="00B1373C">
      <w:pPr>
        <w:pStyle w:val="para"/>
        <w:rPr>
          <w:iCs/>
          <w:lang w:val="en-GB" w:eastAsia="en-GB"/>
        </w:rPr>
      </w:pPr>
      <w:r w:rsidRPr="00B1373C">
        <w:rPr>
          <w:rFonts w:eastAsia="Times New Roman"/>
          <w:iCs/>
          <w:lang w:val="en-US"/>
        </w:rPr>
        <w:t>“2</w:t>
      </w:r>
      <w:r w:rsidRPr="00B1373C">
        <w:rPr>
          <w:iCs/>
          <w:lang w:val="en-GB" w:eastAsia="en-GB"/>
        </w:rPr>
        <w:t>.</w:t>
      </w:r>
      <w:r w:rsidRPr="00B1373C">
        <w:rPr>
          <w:iCs/>
          <w:lang w:val="en-GB" w:eastAsia="en-GB"/>
        </w:rPr>
        <w:tab/>
        <w:t>…</w:t>
      </w:r>
    </w:p>
    <w:p w14:paraId="00D1C413" w14:textId="5CB0CBF9" w:rsidR="00B1373C" w:rsidRPr="00B1373C" w:rsidRDefault="00B1373C" w:rsidP="00B1373C">
      <w:pPr>
        <w:pStyle w:val="para"/>
        <w:rPr>
          <w:rFonts w:eastAsia="Times New Roman"/>
          <w:iCs/>
          <w:lang w:val="en-US"/>
        </w:rPr>
      </w:pPr>
      <w:r w:rsidRPr="00B1373C">
        <w:rPr>
          <w:rFonts w:eastAsia="Times New Roman"/>
          <w:iCs/>
          <w:lang w:val="en-US"/>
        </w:rPr>
        <w:tab/>
        <w:t>(b)</w:t>
      </w:r>
      <w:r w:rsidRPr="00B1373C">
        <w:rPr>
          <w:rFonts w:eastAsia="Times New Roman"/>
          <w:iCs/>
          <w:lang w:val="en-US"/>
        </w:rPr>
        <w:tab/>
        <w:t>Water/wash solution temperature 60</w:t>
      </w:r>
      <w:r w:rsidR="000B0629">
        <w:rPr>
          <w:rFonts w:eastAsia="Times New Roman"/>
          <w:iCs/>
          <w:lang w:val="en-US"/>
        </w:rPr>
        <w:t xml:space="preserve"> </w:t>
      </w:r>
      <w:r w:rsidRPr="000B0629">
        <w:rPr>
          <w:rFonts w:eastAsia="Times New Roman"/>
          <w:b/>
          <w:bCs/>
          <w:iCs/>
          <w:highlight w:val="yellow"/>
          <w:lang w:val="en-US"/>
        </w:rPr>
        <w:t>°</w:t>
      </w:r>
      <w:r w:rsidR="000B0629" w:rsidRPr="000B0629">
        <w:rPr>
          <w:rFonts w:eastAsia="Times New Roman"/>
          <w:b/>
          <w:bCs/>
          <w:iCs/>
          <w:highlight w:val="yellow"/>
          <w:lang w:val="en-US"/>
        </w:rPr>
        <w:t>C</w:t>
      </w:r>
      <w:r w:rsidRPr="00B1373C">
        <w:rPr>
          <w:rFonts w:eastAsia="Times New Roman"/>
          <w:iCs/>
          <w:lang w:val="en-US"/>
        </w:rPr>
        <w:t xml:space="preserve"> </w:t>
      </w:r>
      <m:oMath>
        <m:m>
          <m:mPr>
            <m:mcs>
              <m:mc>
                <m:mcPr>
                  <m:count m:val="1"/>
                  <m:mcJc m:val="center"/>
                </m:mcPr>
              </m:mc>
            </m:mcs>
            <m:ctrlPr>
              <w:rPr>
                <w:rFonts w:ascii="Cambria Math" w:eastAsia="Times New Roman" w:hAnsi="Cambria Math"/>
                <w:b/>
                <w:bCs/>
                <w:i/>
                <w:lang w:val="en-GB"/>
              </w:rPr>
            </m:ctrlPr>
          </m:mPr>
          <m:mr>
            <m:e>
              <m:r>
                <m:rPr>
                  <m:sty m:val="bi"/>
                </m:rPr>
                <w:rPr>
                  <w:rFonts w:ascii="Cambria Math" w:hAnsi="Cambria Math"/>
                  <w:highlight w:val="yellow"/>
                  <w:lang w:val="en-US"/>
                </w:rPr>
                <m:t xml:space="preserve">+ </m:t>
              </m:r>
              <m:r>
                <m:rPr>
                  <m:sty m:val="bi"/>
                </m:rPr>
                <w:rPr>
                  <w:rFonts w:ascii="Cambria Math" w:hAnsi="Cambria Math"/>
                  <w:highlight w:val="yellow"/>
                </w:rPr>
                <m:t>0</m:t>
              </m:r>
            </m:e>
          </m:mr>
          <m:mr>
            <m:e>
              <m:r>
                <w:rPr>
                  <w:rFonts w:ascii="Cambria Math" w:hAnsi="Cambria Math"/>
                  <w:lang w:val="en-US"/>
                </w:rPr>
                <m:t>- 5</m:t>
              </m:r>
            </m:e>
          </m:mr>
        </m:m>
      </m:oMath>
      <w:r w:rsidRPr="00C401DA">
        <w:rPr>
          <w:rFonts w:eastAsia="Times New Roman"/>
          <w:iCs/>
          <w:lang w:val="en-US"/>
        </w:rPr>
        <w:t xml:space="preserve"> </w:t>
      </w:r>
      <w:r w:rsidRPr="00C401DA">
        <w:rPr>
          <w:rFonts w:eastAsia="Times New Roman"/>
          <w:iCs/>
          <w:strike/>
          <w:lang w:val="en-US"/>
        </w:rPr>
        <w:t>-</w:t>
      </w:r>
      <w:r w:rsidRPr="000B0629">
        <w:rPr>
          <w:rFonts w:eastAsia="Times New Roman"/>
          <w:iCs/>
          <w:strike/>
          <w:highlight w:val="yellow"/>
          <w:lang w:val="en-US"/>
        </w:rPr>
        <w:t xml:space="preserve"> 5</w:t>
      </w:r>
      <w:r w:rsidRPr="000B0629">
        <w:rPr>
          <w:rFonts w:eastAsia="Times New Roman"/>
          <w:iCs/>
          <w:strike/>
          <w:lang w:val="en-US"/>
        </w:rPr>
        <w:t xml:space="preserve"> </w:t>
      </w:r>
      <w:r w:rsidRPr="00B1373C">
        <w:rPr>
          <w:rFonts w:eastAsia="Times New Roman"/>
          <w:iCs/>
          <w:lang w:val="en-US"/>
        </w:rPr>
        <w:t>°C ;</w:t>
      </w:r>
    </w:p>
    <w:p w14:paraId="3A240E2B" w14:textId="77777777" w:rsidR="00B1373C" w:rsidRPr="00B1373C" w:rsidRDefault="00B1373C" w:rsidP="00B1373C">
      <w:pPr>
        <w:pStyle w:val="para"/>
        <w:rPr>
          <w:iCs/>
          <w:lang w:val="en-GB" w:eastAsia="en-GB"/>
        </w:rPr>
      </w:pPr>
      <w:r w:rsidRPr="00B1373C">
        <w:rPr>
          <w:iCs/>
          <w:lang w:val="en-GB" w:eastAsia="en-GB"/>
        </w:rPr>
        <w:tab/>
        <w:t>…</w:t>
      </w:r>
    </w:p>
    <w:p w14:paraId="65FFF3C9" w14:textId="1F6A5EC6" w:rsidR="00B1373C" w:rsidRPr="00B1373C" w:rsidRDefault="00B1373C" w:rsidP="00B1373C">
      <w:pPr>
        <w:pStyle w:val="para"/>
        <w:rPr>
          <w:iCs/>
          <w:lang w:val="en-GB" w:eastAsia="en-GB"/>
        </w:rPr>
      </w:pPr>
      <w:r w:rsidRPr="00B1373C">
        <w:rPr>
          <w:iCs/>
          <w:lang w:val="en-GB" w:eastAsia="en-GB"/>
        </w:rPr>
        <w:tab/>
        <w:t>…”</w:t>
      </w:r>
    </w:p>
    <w:p w14:paraId="05EE59F2" w14:textId="12A18B05" w:rsidR="00B1373C" w:rsidRDefault="00B1373C">
      <w:pPr>
        <w:suppressAutoHyphens/>
        <w:spacing w:after="120" w:line="240" w:lineRule="atLeast"/>
        <w:ind w:left="2268" w:right="1395" w:hanging="1134"/>
        <w:jc w:val="both"/>
        <w:rPr>
          <w:rFonts w:ascii="Times New Roman" w:eastAsia="Times New Roman" w:hAnsi="Times New Roman" w:cs="Times New Roman"/>
          <w:i/>
          <w:lang w:val="en-US"/>
        </w:rPr>
      </w:pPr>
    </w:p>
    <w:p w14:paraId="2240520B" w14:textId="0BFC4AF1" w:rsidR="0019048A" w:rsidRDefault="0019048A" w:rsidP="0019048A">
      <w:pPr>
        <w:suppressAutoHyphens/>
        <w:spacing w:after="120" w:line="240" w:lineRule="atLeast"/>
        <w:ind w:left="2268" w:right="1395" w:hanging="1134"/>
        <w:jc w:val="both"/>
        <w:rPr>
          <w:rFonts w:ascii="Times New Roman" w:eastAsia="Times New Roman" w:hAnsi="Times New Roman" w:cs="Times New Roman"/>
          <w:i/>
          <w:lang w:val="en-US"/>
        </w:rPr>
      </w:pPr>
      <w:r w:rsidRPr="003A4613">
        <w:rPr>
          <w:rFonts w:ascii="Times New Roman" w:eastAsia="Times New Roman" w:hAnsi="Times New Roman" w:cs="Times New Roman"/>
          <w:i/>
          <w:lang w:val="en-US"/>
        </w:rPr>
        <w:t xml:space="preserve">Annex </w:t>
      </w:r>
      <w:r>
        <w:rPr>
          <w:rFonts w:ascii="Times New Roman" w:eastAsia="Times New Roman" w:hAnsi="Times New Roman" w:cs="Times New Roman"/>
          <w:i/>
          <w:lang w:val="en-US"/>
        </w:rPr>
        <w:t>9</w:t>
      </w:r>
    </w:p>
    <w:p w14:paraId="1898433F" w14:textId="039244F7" w:rsidR="0019048A" w:rsidRDefault="0019048A" w:rsidP="0019048A">
      <w:pPr>
        <w:suppressAutoHyphens/>
        <w:spacing w:after="120" w:line="240" w:lineRule="atLeast"/>
        <w:ind w:left="2268" w:right="1395" w:hanging="1134"/>
        <w:jc w:val="both"/>
        <w:rPr>
          <w:rFonts w:asciiTheme="majorBidi" w:hAnsiTheme="majorBidi" w:cstheme="majorBidi"/>
          <w:lang w:val="en-US"/>
        </w:rPr>
      </w:pPr>
      <w:r>
        <w:rPr>
          <w:rFonts w:ascii="Times New Roman" w:eastAsia="Times New Roman" w:hAnsi="Times New Roman" w:cs="Times New Roman"/>
          <w:i/>
          <w:lang w:val="en-US"/>
        </w:rPr>
        <w:t>Paragraph 5.1.</w:t>
      </w:r>
      <w:r>
        <w:rPr>
          <w:rFonts w:asciiTheme="majorBidi" w:hAnsiTheme="majorBidi" w:cstheme="majorBidi"/>
          <w:lang w:val="en-US"/>
        </w:rPr>
        <w:t>, amend the footnote ** to read:</w:t>
      </w:r>
    </w:p>
    <w:p w14:paraId="5A5F02A0" w14:textId="44F909AC" w:rsidR="0019048A" w:rsidRPr="0019048A" w:rsidRDefault="0019048A" w:rsidP="0019048A">
      <w:pPr>
        <w:suppressAutoHyphens/>
        <w:spacing w:after="120" w:line="240" w:lineRule="atLeast"/>
        <w:ind w:left="1134" w:right="567"/>
        <w:jc w:val="both"/>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w:t>
      </w:r>
      <w:r w:rsidRPr="0019048A">
        <w:rPr>
          <w:rFonts w:ascii="Times New Roman" w:eastAsia="Times New Roman" w:hAnsi="Times New Roman" w:cs="Times New Roman"/>
          <w:i/>
          <w:sz w:val="20"/>
          <w:szCs w:val="20"/>
          <w:lang w:val="en-US"/>
        </w:rPr>
        <w:t>**</w:t>
      </w:r>
      <w:r w:rsidRPr="0019048A">
        <w:rPr>
          <w:rFonts w:ascii="Times New Roman" w:eastAsia="Times New Roman" w:hAnsi="Times New Roman" w:cs="Times New Roman"/>
          <w:i/>
          <w:sz w:val="20"/>
          <w:szCs w:val="20"/>
          <w:lang w:val="en-US"/>
        </w:rPr>
        <w:tab/>
        <w:t xml:space="preserve">FEPA: Federation of European Producers of Abrasives, </w:t>
      </w:r>
      <w:r w:rsidRPr="0019048A">
        <w:rPr>
          <w:rFonts w:ascii="Times New Roman" w:eastAsia="Times New Roman" w:hAnsi="Times New Roman" w:cs="Times New Roman"/>
          <w:i/>
          <w:strike/>
          <w:sz w:val="20"/>
          <w:szCs w:val="20"/>
          <w:highlight w:val="yellow"/>
          <w:lang w:val="en-US"/>
        </w:rPr>
        <w:t>20 Avenue Reille, 75014 Paris, France</w:t>
      </w:r>
      <w:r>
        <w:rPr>
          <w:rFonts w:ascii="Times New Roman" w:eastAsia="Times New Roman" w:hAnsi="Times New Roman" w:cs="Times New Roman"/>
          <w:i/>
          <w:strike/>
          <w:sz w:val="20"/>
          <w:szCs w:val="20"/>
          <w:lang w:val="en-US"/>
        </w:rPr>
        <w:t xml:space="preserve"> </w:t>
      </w:r>
      <w:hyperlink r:id="rId11" w:history="1">
        <w:r w:rsidRPr="0019048A">
          <w:rPr>
            <w:rStyle w:val="Hyperlink"/>
            <w:rFonts w:ascii="Times New Roman" w:eastAsia="Times New Roman" w:hAnsi="Times New Roman" w:cs="Times New Roman"/>
            <w:b/>
            <w:bCs/>
            <w:i/>
            <w:sz w:val="20"/>
            <w:szCs w:val="20"/>
            <w:highlight w:val="yellow"/>
            <w:lang w:val="en-US"/>
          </w:rPr>
          <w:t>https://fepa-abrasives.org</w:t>
        </w:r>
      </w:hyperlink>
      <w:r>
        <w:rPr>
          <w:rFonts w:ascii="Times New Roman" w:eastAsia="Times New Roman" w:hAnsi="Times New Roman" w:cs="Times New Roman"/>
          <w:b/>
          <w:bCs/>
          <w:i/>
          <w:sz w:val="20"/>
          <w:szCs w:val="20"/>
          <w:lang w:val="en-US"/>
        </w:rPr>
        <w:t xml:space="preserve"> </w:t>
      </w:r>
      <w:r>
        <w:rPr>
          <w:rFonts w:ascii="Times New Roman" w:eastAsia="Times New Roman" w:hAnsi="Times New Roman" w:cs="Times New Roman"/>
          <w:i/>
          <w:sz w:val="20"/>
          <w:szCs w:val="20"/>
          <w:lang w:val="en-US"/>
        </w:rPr>
        <w:t>”</w:t>
      </w:r>
    </w:p>
    <w:p w14:paraId="082D54EE" w14:textId="7F44B3F7" w:rsidR="0019048A" w:rsidRDefault="0019048A">
      <w:pPr>
        <w:suppressAutoHyphens/>
        <w:spacing w:after="120" w:line="240" w:lineRule="atLeast"/>
        <w:ind w:left="2268" w:right="1395" w:hanging="1134"/>
        <w:jc w:val="both"/>
        <w:rPr>
          <w:rFonts w:ascii="Times New Roman" w:eastAsia="Times New Roman" w:hAnsi="Times New Roman" w:cs="Times New Roman"/>
          <w:i/>
          <w:lang w:val="en-US"/>
        </w:rPr>
      </w:pPr>
    </w:p>
    <w:p w14:paraId="09B908C3" w14:textId="77777777" w:rsidR="006961C3" w:rsidRDefault="006961C3">
      <w:pPr>
        <w:suppressAutoHyphens/>
        <w:spacing w:after="120" w:line="240" w:lineRule="atLeast"/>
        <w:ind w:left="2268" w:right="1395" w:hanging="1134"/>
        <w:jc w:val="both"/>
        <w:rPr>
          <w:rFonts w:ascii="Times New Roman" w:eastAsia="Times New Roman" w:hAnsi="Times New Roman" w:cs="Times New Roman"/>
          <w:i/>
          <w:lang w:val="en-US"/>
        </w:rPr>
      </w:pPr>
    </w:p>
    <w:p w14:paraId="3C505DF1" w14:textId="77777777" w:rsidR="00C27479" w:rsidRDefault="009556F5">
      <w:pPr>
        <w:pStyle w:val="HChG"/>
        <w:spacing w:before="240"/>
        <w:rPr>
          <w:rFonts w:ascii="Arial" w:hAnsi="Arial"/>
          <w:b w:val="0"/>
          <w:bCs/>
          <w:lang w:val="en-US"/>
        </w:rPr>
      </w:pPr>
      <w:r>
        <w:rPr>
          <w:lang w:val="en-US"/>
        </w:rPr>
        <w:tab/>
        <w:t>II.</w:t>
      </w:r>
      <w:r>
        <w:rPr>
          <w:lang w:val="en-US"/>
        </w:rPr>
        <w:tab/>
        <w:t>Justification</w:t>
      </w:r>
    </w:p>
    <w:p w14:paraId="21A1EB8C" w14:textId="3CA41928" w:rsidR="0076409F" w:rsidRDefault="0076409F" w:rsidP="006E39AE">
      <w:pPr>
        <w:pStyle w:val="SingleTxtG"/>
        <w:numPr>
          <w:ilvl w:val="0"/>
          <w:numId w:val="7"/>
        </w:numPr>
        <w:ind w:left="1134" w:right="567" w:firstLine="0"/>
        <w:rPr>
          <w:rFonts w:eastAsiaTheme="minorEastAsia"/>
          <w:bdr w:val="nil"/>
          <w:lang w:val="en-US"/>
        </w:rPr>
      </w:pPr>
      <w:r>
        <w:rPr>
          <w:rFonts w:eastAsiaTheme="minorEastAsia"/>
          <w:bdr w:val="nil"/>
          <w:lang w:val="en-US"/>
        </w:rPr>
        <w:t>The title of the Annex 11 in the Contents section has been corrected in order to reflect the correct title in the body of the Regulation further to the restructuring of the Annexes</w:t>
      </w:r>
    </w:p>
    <w:p w14:paraId="3CB8FFA2" w14:textId="1786FEC4" w:rsidR="00A61A30" w:rsidRDefault="00A61A30" w:rsidP="006E39AE">
      <w:pPr>
        <w:pStyle w:val="SingleTxtG"/>
        <w:numPr>
          <w:ilvl w:val="0"/>
          <w:numId w:val="7"/>
        </w:numPr>
        <w:ind w:left="1134" w:right="567" w:firstLine="0"/>
        <w:rPr>
          <w:rFonts w:eastAsiaTheme="minorEastAsia"/>
          <w:bdr w:val="nil"/>
          <w:lang w:val="en-US"/>
        </w:rPr>
      </w:pPr>
      <w:r>
        <w:rPr>
          <w:rFonts w:eastAsiaTheme="minorEastAsia"/>
          <w:bdr w:val="nil"/>
          <w:lang w:val="en-US"/>
        </w:rPr>
        <w:t xml:space="preserve">For clarity, the unit of measure “mm” has been added to paragraphs </w:t>
      </w:r>
      <w:r w:rsidRPr="002328E1">
        <w:rPr>
          <w:rFonts w:eastAsiaTheme="minorEastAsia"/>
          <w:bdr w:val="nil"/>
          <w:lang w:val="en-US"/>
        </w:rPr>
        <w:t>3.3.5.2. (b)</w:t>
      </w:r>
      <w:r>
        <w:rPr>
          <w:rFonts w:eastAsiaTheme="minorEastAsia"/>
          <w:bdr w:val="nil"/>
          <w:lang w:val="en-US"/>
        </w:rPr>
        <w:t xml:space="preserve"> and 5.3.2.2. of Annex 8.</w:t>
      </w:r>
    </w:p>
    <w:p w14:paraId="30E85682" w14:textId="7CF46B00" w:rsidR="0076409F" w:rsidRDefault="0076409F" w:rsidP="006E39AE">
      <w:pPr>
        <w:pStyle w:val="SingleTxtG"/>
        <w:numPr>
          <w:ilvl w:val="0"/>
          <w:numId w:val="7"/>
        </w:numPr>
        <w:ind w:left="1134" w:right="567" w:firstLine="0"/>
        <w:rPr>
          <w:rFonts w:eastAsiaTheme="minorEastAsia"/>
          <w:bdr w:val="nil"/>
          <w:lang w:val="en-US"/>
        </w:rPr>
      </w:pPr>
      <w:r>
        <w:rPr>
          <w:rFonts w:eastAsiaTheme="minorEastAsia"/>
          <w:bdr w:val="nil"/>
          <w:lang w:val="en-US"/>
        </w:rPr>
        <w:t>In paragraphs 5.1.3.1., 5.1.6. and 5.3.5.2.3. the reference to Annex 10 has been replaced to read “Part 6 of Annex 6” which is the updated reference after the restructuring of the Annexes</w:t>
      </w:r>
    </w:p>
    <w:p w14:paraId="3A571B67" w14:textId="751EE15F" w:rsidR="002328E1" w:rsidRDefault="002328E1" w:rsidP="006E39AE">
      <w:pPr>
        <w:pStyle w:val="SingleTxtG"/>
        <w:numPr>
          <w:ilvl w:val="0"/>
          <w:numId w:val="7"/>
        </w:numPr>
        <w:ind w:left="1134" w:right="567" w:firstLine="0"/>
        <w:rPr>
          <w:rFonts w:eastAsiaTheme="minorEastAsia"/>
          <w:bdr w:val="nil"/>
          <w:lang w:val="en-US"/>
        </w:rPr>
      </w:pPr>
      <w:r w:rsidRPr="002328E1">
        <w:rPr>
          <w:rFonts w:eastAsiaTheme="minorEastAsia"/>
          <w:bdr w:val="nil"/>
          <w:lang w:val="en-US"/>
        </w:rPr>
        <w:t>Paragraphs 5.1.4.4.2. and 5.1.4.4.3.</w:t>
      </w:r>
      <w:r>
        <w:rPr>
          <w:rFonts w:eastAsiaTheme="minorEastAsia"/>
          <w:bdr w:val="nil"/>
          <w:lang w:val="en-US"/>
        </w:rPr>
        <w:t xml:space="preserve"> should have been deleted already but, by mistake, this was forgotten.</w:t>
      </w:r>
    </w:p>
    <w:p w14:paraId="0EB2B126" w14:textId="556F21A0" w:rsidR="003644A5" w:rsidRDefault="003644A5" w:rsidP="006E39AE">
      <w:pPr>
        <w:pStyle w:val="SingleTxtG"/>
        <w:numPr>
          <w:ilvl w:val="0"/>
          <w:numId w:val="7"/>
        </w:numPr>
        <w:ind w:left="1134" w:right="567" w:firstLine="0"/>
        <w:rPr>
          <w:rFonts w:eastAsiaTheme="minorEastAsia"/>
          <w:bdr w:val="nil"/>
          <w:lang w:val="en-US"/>
        </w:rPr>
      </w:pPr>
      <w:r>
        <w:rPr>
          <w:rFonts w:eastAsiaTheme="minorEastAsia"/>
          <w:bdr w:val="nil"/>
          <w:lang w:val="en-US"/>
        </w:rPr>
        <w:t xml:space="preserve">In Table </w:t>
      </w:r>
      <w:r w:rsidR="00E4394A">
        <w:rPr>
          <w:rFonts w:eastAsiaTheme="minorEastAsia"/>
          <w:bdr w:val="nil"/>
          <w:lang w:val="en-US"/>
        </w:rPr>
        <w:t>4</w:t>
      </w:r>
      <w:r>
        <w:rPr>
          <w:rFonts w:eastAsiaTheme="minorEastAsia"/>
          <w:bdr w:val="nil"/>
          <w:lang w:val="en-US"/>
        </w:rPr>
        <w:t xml:space="preserve">, the </w:t>
      </w:r>
      <w:r w:rsidR="00C15FCC">
        <w:rPr>
          <w:rFonts w:eastAsiaTheme="minorEastAsia"/>
          <w:bdr w:val="nil"/>
          <w:lang w:val="en-US"/>
        </w:rPr>
        <w:t>colorimetry test was forgotten for samples “g” and “h”. This proposal reinserts such tests.</w:t>
      </w:r>
    </w:p>
    <w:p w14:paraId="075101B7" w14:textId="44E89676" w:rsidR="002328E1" w:rsidRDefault="002328E1" w:rsidP="006E39AE">
      <w:pPr>
        <w:pStyle w:val="SingleTxtG"/>
        <w:numPr>
          <w:ilvl w:val="0"/>
          <w:numId w:val="7"/>
        </w:numPr>
        <w:ind w:left="1134" w:right="567" w:firstLine="0"/>
        <w:rPr>
          <w:rFonts w:eastAsiaTheme="minorEastAsia"/>
          <w:bdr w:val="nil"/>
          <w:lang w:val="en-US"/>
        </w:rPr>
      </w:pPr>
      <w:r>
        <w:rPr>
          <w:rFonts w:eastAsiaTheme="minorEastAsia"/>
          <w:bdr w:val="nil"/>
          <w:lang w:val="en-US"/>
        </w:rPr>
        <w:t>The terminology used to describe the shape of the test samples in paragraphs 5.</w:t>
      </w:r>
      <w:r w:rsidR="00A61A30">
        <w:rPr>
          <w:rFonts w:eastAsiaTheme="minorEastAsia"/>
          <w:bdr w:val="nil"/>
          <w:lang w:val="en-US"/>
        </w:rPr>
        <w:t>2</w:t>
      </w:r>
      <w:r>
        <w:rPr>
          <w:rFonts w:eastAsiaTheme="minorEastAsia"/>
          <w:bdr w:val="nil"/>
          <w:lang w:val="en-US"/>
        </w:rPr>
        <w:t>.</w:t>
      </w:r>
      <w:r w:rsidR="00A61A30">
        <w:rPr>
          <w:rFonts w:eastAsiaTheme="minorEastAsia"/>
          <w:bdr w:val="nil"/>
          <w:lang w:val="en-US"/>
        </w:rPr>
        <w:t>3</w:t>
      </w:r>
      <w:r>
        <w:rPr>
          <w:rFonts w:eastAsiaTheme="minorEastAsia"/>
          <w:bdr w:val="nil"/>
          <w:lang w:val="en-US"/>
        </w:rPr>
        <w:t>.1. and 5.3.2.2. has been harmonised.</w:t>
      </w:r>
    </w:p>
    <w:p w14:paraId="18DEEDAB" w14:textId="29E0F8C6" w:rsidR="00A61A30" w:rsidRDefault="00A61A30" w:rsidP="00A61A30">
      <w:pPr>
        <w:pStyle w:val="SingleTxtG"/>
        <w:numPr>
          <w:ilvl w:val="0"/>
          <w:numId w:val="7"/>
        </w:numPr>
        <w:ind w:left="1134" w:right="567" w:firstLine="0"/>
        <w:rPr>
          <w:rFonts w:eastAsiaTheme="minorEastAsia"/>
          <w:bdr w:val="nil"/>
          <w:lang w:val="en-US"/>
        </w:rPr>
      </w:pPr>
      <w:r w:rsidRPr="006E39AE">
        <w:rPr>
          <w:rFonts w:eastAsiaTheme="minorEastAsia"/>
          <w:bdr w:val="nil"/>
          <w:lang w:val="en-US"/>
        </w:rPr>
        <w:t xml:space="preserve">The </w:t>
      </w:r>
      <w:r>
        <w:rPr>
          <w:rFonts w:eastAsiaTheme="minorEastAsia"/>
          <w:bdr w:val="nil"/>
          <w:lang w:val="en-US"/>
        </w:rPr>
        <w:t>footnote 2 “</w:t>
      </w:r>
      <w:r w:rsidRPr="00930DCA">
        <w:rPr>
          <w:rFonts w:eastAsiaTheme="minorEastAsia"/>
          <w:bdr w:val="nil"/>
          <w:lang w:val="en-US"/>
        </w:rPr>
        <w:t>Strike out what does not apply</w:t>
      </w:r>
      <w:r>
        <w:rPr>
          <w:rFonts w:eastAsiaTheme="minorEastAsia"/>
          <w:bdr w:val="nil"/>
          <w:lang w:val="en-US"/>
        </w:rPr>
        <w:t xml:space="preserve">” in conjunction with item 10 of Annex 1 was wrong since the item refers to the position of the </w:t>
      </w:r>
      <w:r w:rsidRPr="008B4518">
        <w:rPr>
          <w:rFonts w:eastAsiaTheme="minorEastAsia"/>
          <w:bdr w:val="nil"/>
          <w:lang w:val="en-US"/>
        </w:rPr>
        <w:t xml:space="preserve">of the approval mark or Unique Identifier </w:t>
      </w:r>
      <w:r>
        <w:rPr>
          <w:rFonts w:eastAsiaTheme="minorEastAsia"/>
          <w:bdr w:val="nil"/>
          <w:lang w:val="en-US"/>
        </w:rPr>
        <w:t>and not to their presence</w:t>
      </w:r>
      <w:r w:rsidRPr="006E39AE">
        <w:rPr>
          <w:rFonts w:eastAsiaTheme="minorEastAsia"/>
          <w:bdr w:val="nil"/>
          <w:lang w:val="en-US"/>
        </w:rPr>
        <w:t>.</w:t>
      </w:r>
    </w:p>
    <w:p w14:paraId="36B48E7C" w14:textId="68AE6802" w:rsidR="00A61A30" w:rsidRDefault="00A61A30" w:rsidP="00A61A30">
      <w:pPr>
        <w:pStyle w:val="SingleTxtG"/>
        <w:numPr>
          <w:ilvl w:val="0"/>
          <w:numId w:val="7"/>
        </w:numPr>
        <w:ind w:left="1134" w:right="567" w:firstLine="0"/>
        <w:rPr>
          <w:rFonts w:eastAsiaTheme="minorEastAsia"/>
          <w:bdr w:val="nil"/>
          <w:lang w:val="en-US"/>
        </w:rPr>
      </w:pPr>
      <w:r>
        <w:rPr>
          <w:rFonts w:eastAsiaTheme="minorEastAsia"/>
          <w:bdr w:val="nil"/>
          <w:lang w:val="en-US"/>
        </w:rPr>
        <w:t xml:space="preserve">In paragraph 6.1. of Annex 3 the reference to Annex 6.2 has been updated to “Part 2 of Annex 6” in order to reflect the restructuring </w:t>
      </w:r>
      <w:r w:rsidR="00F55135">
        <w:rPr>
          <w:rFonts w:eastAsiaTheme="minorEastAsia"/>
          <w:bdr w:val="nil"/>
          <w:lang w:val="en-US"/>
        </w:rPr>
        <w:t>of the Annexes.</w:t>
      </w:r>
    </w:p>
    <w:p w14:paraId="05D914A2" w14:textId="0DDBE3D2" w:rsidR="00F55135" w:rsidRPr="00D70774" w:rsidRDefault="00F55135" w:rsidP="00A61A30">
      <w:pPr>
        <w:pStyle w:val="SingleTxtG"/>
        <w:numPr>
          <w:ilvl w:val="0"/>
          <w:numId w:val="7"/>
        </w:numPr>
        <w:ind w:left="1134" w:right="567" w:firstLine="0"/>
        <w:rPr>
          <w:rFonts w:eastAsiaTheme="minorEastAsia"/>
          <w:bdr w:val="nil"/>
          <w:lang w:val="en-US"/>
        </w:rPr>
      </w:pPr>
      <w:r w:rsidRPr="00D70774">
        <w:rPr>
          <w:rFonts w:eastAsiaTheme="minorEastAsia"/>
          <w:bdr w:val="nil"/>
          <w:lang w:val="en-US"/>
        </w:rPr>
        <w:t xml:space="preserve">In paragraph 2. of Part 1 of Annex 4, </w:t>
      </w:r>
      <w:r w:rsidR="00D555A5" w:rsidRPr="00D555A5">
        <w:rPr>
          <w:rFonts w:eastAsiaTheme="minorEastAsia"/>
          <w:bdr w:val="nil"/>
          <w:lang w:val="en-US"/>
        </w:rPr>
        <w:t>some texts have been improved</w:t>
      </w:r>
      <w:r w:rsidR="00C44C01">
        <w:rPr>
          <w:rFonts w:eastAsiaTheme="minorEastAsia"/>
          <w:bdr w:val="nil"/>
          <w:lang w:val="en-US"/>
        </w:rPr>
        <w:t xml:space="preserve"> a</w:t>
      </w:r>
      <w:r w:rsidR="00D555A5" w:rsidRPr="00D555A5">
        <w:rPr>
          <w:rFonts w:eastAsiaTheme="minorEastAsia"/>
          <w:bdr w:val="nil"/>
          <w:lang w:val="en-US"/>
        </w:rPr>
        <w:t>nd some symbols</w:t>
      </w:r>
      <w:r w:rsidR="00C44C01">
        <w:rPr>
          <w:rFonts w:eastAsiaTheme="minorEastAsia"/>
          <w:bdr w:val="nil"/>
          <w:lang w:val="en-US"/>
        </w:rPr>
        <w:t>,</w:t>
      </w:r>
      <w:r w:rsidR="00D555A5" w:rsidRPr="00D555A5">
        <w:rPr>
          <w:rFonts w:eastAsiaTheme="minorEastAsia"/>
          <w:bdr w:val="nil"/>
          <w:lang w:val="en-US"/>
        </w:rPr>
        <w:t xml:space="preserve"> and their descriptions</w:t>
      </w:r>
      <w:r w:rsidR="00C44C01">
        <w:rPr>
          <w:rFonts w:eastAsiaTheme="minorEastAsia"/>
          <w:bdr w:val="nil"/>
          <w:lang w:val="en-US"/>
        </w:rPr>
        <w:t>,</w:t>
      </w:r>
      <w:r w:rsidR="00D555A5" w:rsidRPr="00D555A5">
        <w:rPr>
          <w:rFonts w:eastAsiaTheme="minorEastAsia"/>
          <w:bdr w:val="nil"/>
          <w:lang w:val="en-US"/>
        </w:rPr>
        <w:t xml:space="preserve"> have been removed as they were not needed.</w:t>
      </w:r>
    </w:p>
    <w:p w14:paraId="433FA5AC" w14:textId="3529D3A2" w:rsidR="00F55135" w:rsidRDefault="00F55135" w:rsidP="00F55135">
      <w:pPr>
        <w:pStyle w:val="SingleTxtG"/>
        <w:numPr>
          <w:ilvl w:val="0"/>
          <w:numId w:val="7"/>
        </w:numPr>
        <w:ind w:left="1134" w:right="567" w:firstLine="0"/>
        <w:rPr>
          <w:rFonts w:eastAsiaTheme="minorEastAsia"/>
          <w:bdr w:val="nil"/>
          <w:lang w:val="en-US"/>
        </w:rPr>
      </w:pPr>
      <w:r w:rsidRPr="00F55135">
        <w:rPr>
          <w:rFonts w:eastAsiaTheme="minorEastAsia"/>
          <w:bdr w:val="nil"/>
          <w:lang w:val="en-US"/>
        </w:rPr>
        <w:t xml:space="preserve">In paragraph </w:t>
      </w:r>
      <w:r>
        <w:rPr>
          <w:rFonts w:eastAsiaTheme="minorEastAsia"/>
          <w:bdr w:val="nil"/>
          <w:lang w:val="en-US"/>
        </w:rPr>
        <w:t>3</w:t>
      </w:r>
      <w:r w:rsidRPr="00F55135">
        <w:rPr>
          <w:rFonts w:eastAsiaTheme="minorEastAsia"/>
          <w:bdr w:val="nil"/>
          <w:lang w:val="en-US"/>
        </w:rPr>
        <w:t>.</w:t>
      </w:r>
      <w:r>
        <w:rPr>
          <w:rFonts w:eastAsiaTheme="minorEastAsia"/>
          <w:bdr w:val="nil"/>
          <w:lang w:val="en-US"/>
        </w:rPr>
        <w:t>6.</w:t>
      </w:r>
      <w:r w:rsidRPr="00F55135">
        <w:rPr>
          <w:rFonts w:eastAsiaTheme="minorEastAsia"/>
          <w:bdr w:val="nil"/>
          <w:lang w:val="en-US"/>
        </w:rPr>
        <w:t xml:space="preserve"> of Part 1 of Annex 4, </w:t>
      </w:r>
      <w:r w:rsidR="0063117E">
        <w:rPr>
          <w:rFonts w:eastAsiaTheme="minorEastAsia"/>
          <w:bdr w:val="nil"/>
          <w:lang w:val="en-US"/>
        </w:rPr>
        <w:t>the reference to Figure A4-IV was wrong since there is no such a figure. The correct reference is Figure A4-III.</w:t>
      </w:r>
    </w:p>
    <w:p w14:paraId="20A8C90B" w14:textId="4033D49E" w:rsidR="0063117E" w:rsidRPr="00F55135" w:rsidRDefault="0063117E" w:rsidP="00F55135">
      <w:pPr>
        <w:pStyle w:val="SingleTxtG"/>
        <w:numPr>
          <w:ilvl w:val="0"/>
          <w:numId w:val="7"/>
        </w:numPr>
        <w:ind w:left="1134" w:right="567" w:firstLine="0"/>
        <w:rPr>
          <w:rFonts w:eastAsiaTheme="minorEastAsia"/>
          <w:bdr w:val="nil"/>
          <w:lang w:val="en-US"/>
        </w:rPr>
      </w:pPr>
      <w:r>
        <w:rPr>
          <w:rFonts w:eastAsiaTheme="minorEastAsia"/>
          <w:bdr w:val="nil"/>
          <w:lang w:val="en-US"/>
        </w:rPr>
        <w:t xml:space="preserve">In Figure A5-X the title has been corrected. The centre of the square hole was indicated </w:t>
      </w:r>
      <w:r w:rsidR="00EF031A">
        <w:rPr>
          <w:rFonts w:eastAsiaTheme="minorEastAsia"/>
          <w:bdr w:val="nil"/>
          <w:lang w:val="en-US"/>
        </w:rPr>
        <w:t xml:space="preserve">by mistake </w:t>
      </w:r>
      <w:r>
        <w:rPr>
          <w:rFonts w:eastAsiaTheme="minorEastAsia"/>
          <w:bdr w:val="nil"/>
          <w:lang w:val="en-US"/>
        </w:rPr>
        <w:t xml:space="preserve">with a “0” </w:t>
      </w:r>
      <w:r w:rsidR="00CE0573">
        <w:rPr>
          <w:rFonts w:eastAsiaTheme="minorEastAsia"/>
          <w:bdr w:val="nil"/>
          <w:lang w:val="en-US"/>
        </w:rPr>
        <w:t xml:space="preserve">(zero) </w:t>
      </w:r>
      <w:r>
        <w:rPr>
          <w:rFonts w:eastAsiaTheme="minorEastAsia"/>
          <w:bdr w:val="nil"/>
          <w:lang w:val="en-US"/>
        </w:rPr>
        <w:t>instead of “</w:t>
      </w:r>
      <w:r w:rsidRPr="0063117E">
        <w:rPr>
          <w:rFonts w:eastAsiaTheme="minorEastAsia"/>
          <w:bdr w:val="nil"/>
          <w:lang w:val="en-US"/>
        </w:rPr>
        <w:t>σ</w:t>
      </w:r>
      <w:r>
        <w:rPr>
          <w:rFonts w:eastAsiaTheme="minorEastAsia"/>
          <w:bdr w:val="nil"/>
          <w:lang w:val="en-US"/>
        </w:rPr>
        <w:t xml:space="preserve">” (sigma). This has now been corrected and aligned with the text </w:t>
      </w:r>
      <w:r w:rsidR="002F3EE1">
        <w:rPr>
          <w:rFonts w:eastAsiaTheme="minorEastAsia"/>
          <w:bdr w:val="nil"/>
          <w:lang w:val="en-US"/>
        </w:rPr>
        <w:t>of paragraph 1.1.2. of Annex 9.</w:t>
      </w:r>
    </w:p>
    <w:p w14:paraId="344ECA9B" w14:textId="353C782F" w:rsidR="00E168E0" w:rsidRDefault="002F3EE1" w:rsidP="006E39AE">
      <w:pPr>
        <w:pStyle w:val="SingleTxtG"/>
        <w:numPr>
          <w:ilvl w:val="0"/>
          <w:numId w:val="7"/>
        </w:numPr>
        <w:ind w:left="1134" w:right="567" w:firstLine="0"/>
        <w:rPr>
          <w:rFonts w:eastAsiaTheme="minorEastAsia"/>
          <w:bdr w:val="nil"/>
          <w:lang w:val="en-US"/>
        </w:rPr>
      </w:pPr>
      <w:r>
        <w:rPr>
          <w:rFonts w:eastAsiaTheme="minorEastAsia"/>
          <w:bdr w:val="nil"/>
          <w:lang w:val="en-US"/>
        </w:rPr>
        <w:t>For clarity, in paragraph 2. (b) of Part 1 of Annex 8</w:t>
      </w:r>
      <w:r w:rsidR="0076409F">
        <w:rPr>
          <w:rFonts w:eastAsiaTheme="minorEastAsia"/>
          <w:bdr w:val="nil"/>
          <w:lang w:val="en-US"/>
        </w:rPr>
        <w:t>,</w:t>
      </w:r>
      <w:r>
        <w:rPr>
          <w:rFonts w:eastAsiaTheme="minorEastAsia"/>
          <w:bdr w:val="nil"/>
          <w:lang w:val="en-US"/>
        </w:rPr>
        <w:t xml:space="preserve"> the upper tolerance of “+ 0” has been added. </w:t>
      </w:r>
    </w:p>
    <w:p w14:paraId="68D225F0" w14:textId="32889831" w:rsidR="00C27479" w:rsidRPr="006E39AE" w:rsidRDefault="002F3EE1" w:rsidP="006E39AE">
      <w:pPr>
        <w:pStyle w:val="SingleTxtG"/>
        <w:numPr>
          <w:ilvl w:val="0"/>
          <w:numId w:val="7"/>
        </w:numPr>
        <w:ind w:left="1134" w:right="567" w:firstLine="0"/>
        <w:rPr>
          <w:rFonts w:eastAsiaTheme="minorEastAsia"/>
          <w:bdr w:val="nil"/>
          <w:lang w:val="en-US"/>
        </w:rPr>
      </w:pPr>
      <w:r>
        <w:rPr>
          <w:rFonts w:eastAsiaTheme="minorEastAsia"/>
          <w:bdr w:val="nil"/>
          <w:lang w:val="en-US"/>
        </w:rPr>
        <w:t>The address of FEPA, indicated in the footnote of paragraph 5.1. of Annex 9, was not up-to-date. This has been replaced with the link to the FEPA website</w:t>
      </w:r>
      <w:r w:rsidR="00E168E0">
        <w:rPr>
          <w:rFonts w:eastAsiaTheme="minorEastAsia"/>
          <w:bdr w:val="nil"/>
          <w:lang w:val="en-US"/>
        </w:rPr>
        <w:t xml:space="preserve">. </w:t>
      </w:r>
    </w:p>
    <w:sectPr w:rsidR="00C27479" w:rsidRPr="006E39A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FCA01" w14:textId="77777777" w:rsidR="001C323C" w:rsidRDefault="001C323C">
      <w:pPr>
        <w:spacing w:after="0" w:line="240" w:lineRule="auto"/>
      </w:pPr>
      <w:r>
        <w:separator/>
      </w:r>
    </w:p>
  </w:endnote>
  <w:endnote w:type="continuationSeparator" w:id="0">
    <w:p w14:paraId="3505E3C4" w14:textId="77777777" w:rsidR="001C323C" w:rsidRDefault="001C3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9908" w14:textId="77777777" w:rsidR="007D4DEE" w:rsidRDefault="007D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1245" w14:textId="77777777" w:rsidR="007D4DEE" w:rsidRDefault="007D4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E38E" w14:textId="77777777" w:rsidR="007D4DEE" w:rsidRDefault="007D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47EDF" w14:textId="77777777" w:rsidR="001C323C" w:rsidRDefault="001C323C">
      <w:pPr>
        <w:spacing w:after="0" w:line="240" w:lineRule="auto"/>
      </w:pPr>
      <w:r>
        <w:separator/>
      </w:r>
    </w:p>
  </w:footnote>
  <w:footnote w:type="continuationSeparator" w:id="0">
    <w:p w14:paraId="0C0A4544" w14:textId="77777777" w:rsidR="001C323C" w:rsidRDefault="001C3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01B4" w14:textId="77777777" w:rsidR="007D4DEE" w:rsidRDefault="007D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8C2C" w14:textId="77777777" w:rsidR="007D4DEE" w:rsidRDefault="007D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08" w:type="dxa"/>
      <w:tblLook w:val="04A0" w:firstRow="1" w:lastRow="0" w:firstColumn="1" w:lastColumn="0" w:noHBand="0" w:noVBand="1"/>
    </w:tblPr>
    <w:tblGrid>
      <w:gridCol w:w="4395"/>
      <w:gridCol w:w="5103"/>
    </w:tblGrid>
    <w:tr w:rsidR="00C27479" w14:paraId="7FB50719" w14:textId="77777777">
      <w:tc>
        <w:tcPr>
          <w:tcW w:w="4395" w:type="dxa"/>
          <w:vAlign w:val="center"/>
          <w:hideMark/>
        </w:tcPr>
        <w:p w14:paraId="06BD16A2" w14:textId="77777777" w:rsidR="00C27479" w:rsidRDefault="009556F5">
          <w:pPr>
            <w:tabs>
              <w:tab w:val="center" w:pos="4677"/>
              <w:tab w:val="right" w:pos="9355"/>
            </w:tabs>
            <w:suppressAutoHyphens/>
            <w:spacing w:after="0" w:line="240" w:lineRule="auto"/>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Transmitted by the GRE-IWG SLR</w:t>
          </w:r>
        </w:p>
      </w:tc>
      <w:tc>
        <w:tcPr>
          <w:tcW w:w="5103" w:type="dxa"/>
          <w:hideMark/>
        </w:tcPr>
        <w:p w14:paraId="1F1A04D8" w14:textId="4E16E5A0" w:rsidR="00C27479" w:rsidRPr="00775D92" w:rsidRDefault="009556F5">
          <w:pPr>
            <w:suppressAutoHyphens/>
            <w:spacing w:after="0" w:line="240" w:lineRule="auto"/>
            <w:ind w:left="884"/>
            <w:rPr>
              <w:rFonts w:ascii="Times New Roman" w:eastAsia="Times New Roman" w:hAnsi="Times New Roman" w:cs="Times New Roman"/>
              <w:b/>
              <w:bCs/>
              <w:sz w:val="32"/>
              <w:szCs w:val="24"/>
              <w:lang w:val="en-US" w:eastAsia="ar-SA"/>
            </w:rPr>
          </w:pPr>
          <w:r w:rsidRPr="00775D92">
            <w:rPr>
              <w:rFonts w:ascii="Times New Roman" w:eastAsia="Times New Roman" w:hAnsi="Times New Roman" w:cs="Times New Roman"/>
              <w:sz w:val="24"/>
              <w:szCs w:val="24"/>
              <w:u w:val="single"/>
              <w:lang w:val="en-US" w:eastAsia="ar-SA"/>
            </w:rPr>
            <w:t>Informal document</w:t>
          </w:r>
          <w:r w:rsidRPr="00775D92">
            <w:rPr>
              <w:rFonts w:ascii="Times New Roman" w:eastAsia="Times New Roman" w:hAnsi="Times New Roman" w:cs="Times New Roman"/>
              <w:sz w:val="24"/>
              <w:szCs w:val="24"/>
              <w:lang w:val="en-US" w:eastAsia="ar-SA"/>
            </w:rPr>
            <w:t xml:space="preserve"> </w:t>
          </w:r>
          <w:r w:rsidRPr="00775D92">
            <w:rPr>
              <w:rFonts w:ascii="Times New Roman" w:eastAsia="Times New Roman" w:hAnsi="Times New Roman" w:cs="Times New Roman"/>
              <w:b/>
              <w:bCs/>
              <w:sz w:val="24"/>
              <w:szCs w:val="24"/>
              <w:lang w:val="en-US" w:eastAsia="ar-SA"/>
            </w:rPr>
            <w:t>GRE-8</w:t>
          </w:r>
          <w:r w:rsidR="00624817">
            <w:rPr>
              <w:rFonts w:ascii="Times New Roman" w:eastAsia="Times New Roman" w:hAnsi="Times New Roman" w:cs="Times New Roman"/>
              <w:b/>
              <w:bCs/>
              <w:sz w:val="24"/>
              <w:szCs w:val="24"/>
              <w:lang w:val="en-US" w:eastAsia="ar-SA"/>
            </w:rPr>
            <w:t>5</w:t>
          </w:r>
          <w:r w:rsidRPr="00775D92">
            <w:rPr>
              <w:rFonts w:ascii="Times New Roman" w:eastAsia="Times New Roman" w:hAnsi="Times New Roman" w:cs="Times New Roman"/>
              <w:b/>
              <w:bCs/>
              <w:sz w:val="24"/>
              <w:szCs w:val="24"/>
              <w:lang w:val="en-US" w:eastAsia="ar-SA"/>
            </w:rPr>
            <w:t>-</w:t>
          </w:r>
          <w:r w:rsidR="007D4DEE">
            <w:rPr>
              <w:rFonts w:ascii="Times New Roman" w:eastAsia="Times New Roman" w:hAnsi="Times New Roman" w:cs="Times New Roman"/>
              <w:b/>
              <w:bCs/>
              <w:sz w:val="24"/>
              <w:szCs w:val="24"/>
              <w:lang w:val="en-US" w:eastAsia="ar-SA"/>
            </w:rPr>
            <w:t>15</w:t>
          </w:r>
        </w:p>
        <w:p w14:paraId="44388A97" w14:textId="31A405B1" w:rsidR="00C27479" w:rsidRPr="00775D92" w:rsidRDefault="009556F5">
          <w:pPr>
            <w:tabs>
              <w:tab w:val="center" w:pos="4677"/>
              <w:tab w:val="right" w:pos="9355"/>
            </w:tabs>
            <w:suppressAutoHyphens/>
            <w:spacing w:after="0" w:line="240" w:lineRule="auto"/>
            <w:ind w:left="884"/>
            <w:rPr>
              <w:rFonts w:ascii="Times New Roman" w:eastAsia="Times New Roman" w:hAnsi="Times New Roman" w:cs="Times New Roman"/>
              <w:sz w:val="24"/>
              <w:szCs w:val="24"/>
              <w:lang w:val="en-US" w:eastAsia="ar-SA"/>
            </w:rPr>
          </w:pPr>
          <w:r w:rsidRPr="00775D92">
            <w:rPr>
              <w:rFonts w:ascii="Times New Roman" w:eastAsia="Times New Roman" w:hAnsi="Times New Roman" w:cs="Times New Roman"/>
              <w:sz w:val="24"/>
              <w:szCs w:val="24"/>
              <w:lang w:val="en-US" w:eastAsia="ar-SA"/>
            </w:rPr>
            <w:t>8</w:t>
          </w:r>
          <w:r w:rsidR="00624817">
            <w:rPr>
              <w:rFonts w:ascii="Times New Roman" w:eastAsia="Yu Mincho" w:hAnsi="Times New Roman" w:cs="Times New Roman"/>
              <w:sz w:val="24"/>
              <w:szCs w:val="24"/>
              <w:lang w:val="en-US" w:eastAsia="ja-JP"/>
            </w:rPr>
            <w:t>5</w:t>
          </w:r>
          <w:r w:rsidRPr="00775D92">
            <w:rPr>
              <w:rFonts w:ascii="Times New Roman" w:eastAsia="Yu Mincho" w:hAnsi="Times New Roman" w:cs="Times New Roman" w:hint="eastAsia"/>
              <w:sz w:val="24"/>
              <w:szCs w:val="24"/>
              <w:vertAlign w:val="superscript"/>
              <w:lang w:val="en-US" w:eastAsia="ja-JP"/>
            </w:rPr>
            <w:t>th</w:t>
          </w:r>
          <w:r w:rsidRPr="00775D92">
            <w:rPr>
              <w:rFonts w:ascii="Times New Roman" w:eastAsia="Times New Roman" w:hAnsi="Times New Roman" w:cs="Times New Roman"/>
              <w:sz w:val="24"/>
              <w:szCs w:val="24"/>
              <w:lang w:val="en-US" w:eastAsia="ar-SA"/>
            </w:rPr>
            <w:t xml:space="preserve"> GRE, </w:t>
          </w:r>
          <w:r w:rsidRPr="00775D92">
            <w:rPr>
              <w:rFonts w:ascii="Times New Roman" w:eastAsia="Yu Mincho" w:hAnsi="Times New Roman" w:cs="Times New Roman" w:hint="eastAsia"/>
              <w:sz w:val="24"/>
              <w:szCs w:val="24"/>
              <w:lang w:val="en-US" w:eastAsia="ja-JP"/>
            </w:rPr>
            <w:t>26</w:t>
          </w:r>
          <w:r w:rsidRPr="00775D92">
            <w:rPr>
              <w:rFonts w:ascii="Times New Roman" w:eastAsia="Times New Roman" w:hAnsi="Times New Roman" w:cs="Times New Roman"/>
              <w:sz w:val="24"/>
              <w:szCs w:val="24"/>
              <w:lang w:val="en-US" w:eastAsia="ar-SA"/>
            </w:rPr>
            <w:t>-</w:t>
          </w:r>
          <w:r w:rsidR="00624817">
            <w:rPr>
              <w:rFonts w:ascii="Times New Roman" w:eastAsia="Yu Mincho" w:hAnsi="Times New Roman" w:cs="Times New Roman"/>
              <w:sz w:val="24"/>
              <w:szCs w:val="24"/>
              <w:lang w:val="en-US" w:eastAsia="ja-JP"/>
            </w:rPr>
            <w:t>29</w:t>
          </w:r>
          <w:r w:rsidRPr="00775D92">
            <w:rPr>
              <w:rFonts w:ascii="Times New Roman" w:eastAsia="Times New Roman" w:hAnsi="Times New Roman" w:cs="Times New Roman"/>
              <w:sz w:val="24"/>
              <w:szCs w:val="24"/>
              <w:lang w:val="en-US" w:eastAsia="ar-SA"/>
            </w:rPr>
            <w:t xml:space="preserve"> </w:t>
          </w:r>
          <w:r w:rsidR="00624817">
            <w:rPr>
              <w:rFonts w:ascii="Times New Roman" w:eastAsia="Times New Roman" w:hAnsi="Times New Roman" w:cs="Times New Roman"/>
              <w:sz w:val="24"/>
              <w:szCs w:val="24"/>
              <w:lang w:val="en-US" w:eastAsia="ar-SA"/>
            </w:rPr>
            <w:t>October</w:t>
          </w:r>
          <w:r w:rsidRPr="00775D92">
            <w:rPr>
              <w:rFonts w:ascii="Times New Roman" w:eastAsia="Times New Roman" w:hAnsi="Times New Roman" w:cs="Times New Roman"/>
              <w:sz w:val="24"/>
              <w:szCs w:val="24"/>
              <w:lang w:val="en-US" w:eastAsia="ar-SA"/>
            </w:rPr>
            <w:t xml:space="preserve"> 20</w:t>
          </w:r>
          <w:r w:rsidRPr="00775D92">
            <w:rPr>
              <w:rFonts w:ascii="Times New Roman" w:eastAsia="Yu Mincho" w:hAnsi="Times New Roman" w:cs="Times New Roman" w:hint="eastAsia"/>
              <w:sz w:val="24"/>
              <w:szCs w:val="24"/>
              <w:lang w:val="en-US" w:eastAsia="ja-JP"/>
            </w:rPr>
            <w:t>21</w:t>
          </w:r>
        </w:p>
        <w:p w14:paraId="48299E91" w14:textId="501364AD" w:rsidR="00C27479" w:rsidRDefault="009556F5">
          <w:pPr>
            <w:tabs>
              <w:tab w:val="center" w:pos="4677"/>
              <w:tab w:val="right" w:pos="9355"/>
            </w:tabs>
            <w:suppressAutoHyphens/>
            <w:spacing w:after="0" w:line="240" w:lineRule="auto"/>
            <w:ind w:left="884"/>
            <w:rPr>
              <w:rFonts w:ascii="Times New Roman" w:eastAsia="Yu Mincho" w:hAnsi="Times New Roman" w:cs="Times New Roman"/>
              <w:sz w:val="24"/>
              <w:szCs w:val="24"/>
              <w:lang w:val="en-GB" w:eastAsia="ja-JP"/>
            </w:rPr>
          </w:pPr>
          <w:r>
            <w:rPr>
              <w:rFonts w:ascii="Times New Roman" w:eastAsia="Times New Roman" w:hAnsi="Times New Roman" w:cs="Times New Roman"/>
              <w:sz w:val="24"/>
              <w:szCs w:val="24"/>
              <w:lang w:val="en-GB" w:eastAsia="ar-SA"/>
            </w:rPr>
            <w:t xml:space="preserve">Agenda item </w:t>
          </w:r>
          <w:r w:rsidR="005C3D97">
            <w:rPr>
              <w:rFonts w:ascii="Times New Roman" w:eastAsia="Times New Roman" w:hAnsi="Times New Roman" w:cs="Times New Roman"/>
              <w:sz w:val="24"/>
              <w:szCs w:val="24"/>
              <w:lang w:val="en-GB" w:eastAsia="ar-SA"/>
            </w:rPr>
            <w:t>4</w:t>
          </w:r>
          <w:r w:rsidR="00775D92">
            <w:rPr>
              <w:rFonts w:ascii="Times New Roman" w:eastAsia="Times New Roman" w:hAnsi="Times New Roman" w:cs="Times New Roman"/>
              <w:sz w:val="24"/>
              <w:szCs w:val="24"/>
              <w:lang w:val="en-GB" w:eastAsia="ar-SA"/>
            </w:rPr>
            <w:t xml:space="preserve"> (</w:t>
          </w:r>
          <w:r w:rsidR="005C3D97">
            <w:rPr>
              <w:rFonts w:ascii="Times New Roman" w:eastAsia="Times New Roman" w:hAnsi="Times New Roman" w:cs="Times New Roman"/>
              <w:sz w:val="24"/>
              <w:szCs w:val="24"/>
              <w:lang w:val="en-GB" w:eastAsia="ar-SA"/>
            </w:rPr>
            <w:t>d</w:t>
          </w:r>
          <w:r w:rsidR="00775D92">
            <w:rPr>
              <w:rFonts w:ascii="Times New Roman" w:eastAsia="Times New Roman" w:hAnsi="Times New Roman" w:cs="Times New Roman"/>
              <w:sz w:val="24"/>
              <w:szCs w:val="24"/>
              <w:lang w:val="en-GB" w:eastAsia="ar-SA"/>
            </w:rPr>
            <w:t>)</w:t>
          </w:r>
        </w:p>
      </w:tc>
    </w:tr>
  </w:tbl>
  <w:p w14:paraId="5EDE55E6" w14:textId="77777777" w:rsidR="00C27479" w:rsidRDefault="00C27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97672"/>
    <w:multiLevelType w:val="hybridMultilevel"/>
    <w:tmpl w:val="07EE9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02F38"/>
    <w:multiLevelType w:val="hybridMultilevel"/>
    <w:tmpl w:val="2A545FF8"/>
    <w:lvl w:ilvl="0" w:tplc="8624956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30DD4EC2"/>
    <w:multiLevelType w:val="hybridMultilevel"/>
    <w:tmpl w:val="4EB2824C"/>
    <w:lvl w:ilvl="0" w:tplc="039E0B1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40F53D1"/>
    <w:multiLevelType w:val="hybridMultilevel"/>
    <w:tmpl w:val="69AA3E96"/>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3DFD5F45"/>
    <w:multiLevelType w:val="hybridMultilevel"/>
    <w:tmpl w:val="61822CEA"/>
    <w:lvl w:ilvl="0" w:tplc="0410000F">
      <w:start w:val="1"/>
      <w:numFmt w:val="decimal"/>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5533496C"/>
    <w:multiLevelType w:val="hybridMultilevel"/>
    <w:tmpl w:val="0990284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7BE3016E"/>
    <w:multiLevelType w:val="hybridMultilevel"/>
    <w:tmpl w:val="20B2CE90"/>
    <w:lvl w:ilvl="0" w:tplc="E4DEAA9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0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479"/>
    <w:rsid w:val="000172F7"/>
    <w:rsid w:val="00044E91"/>
    <w:rsid w:val="0004696A"/>
    <w:rsid w:val="000A3FA8"/>
    <w:rsid w:val="000B0629"/>
    <w:rsid w:val="00101D9F"/>
    <w:rsid w:val="001175B9"/>
    <w:rsid w:val="001227F1"/>
    <w:rsid w:val="00166855"/>
    <w:rsid w:val="0019048A"/>
    <w:rsid w:val="001C323C"/>
    <w:rsid w:val="002076AC"/>
    <w:rsid w:val="00225778"/>
    <w:rsid w:val="00231851"/>
    <w:rsid w:val="002328E1"/>
    <w:rsid w:val="002429D9"/>
    <w:rsid w:val="002951A2"/>
    <w:rsid w:val="002C1752"/>
    <w:rsid w:val="002F3EE1"/>
    <w:rsid w:val="003244F9"/>
    <w:rsid w:val="00325AEB"/>
    <w:rsid w:val="00333062"/>
    <w:rsid w:val="003639FF"/>
    <w:rsid w:val="003644A5"/>
    <w:rsid w:val="003770D0"/>
    <w:rsid w:val="003A4613"/>
    <w:rsid w:val="003B44EA"/>
    <w:rsid w:val="003F44D4"/>
    <w:rsid w:val="003F4C6B"/>
    <w:rsid w:val="00400023"/>
    <w:rsid w:val="004423E1"/>
    <w:rsid w:val="00444EAC"/>
    <w:rsid w:val="00497B69"/>
    <w:rsid w:val="0056264A"/>
    <w:rsid w:val="005C3D97"/>
    <w:rsid w:val="005C57BA"/>
    <w:rsid w:val="00606B1A"/>
    <w:rsid w:val="00624817"/>
    <w:rsid w:val="0063117E"/>
    <w:rsid w:val="006511B0"/>
    <w:rsid w:val="006863BE"/>
    <w:rsid w:val="006961C3"/>
    <w:rsid w:val="00696F64"/>
    <w:rsid w:val="006B678D"/>
    <w:rsid w:val="006C0416"/>
    <w:rsid w:val="006E39AE"/>
    <w:rsid w:val="006F13D4"/>
    <w:rsid w:val="007210E9"/>
    <w:rsid w:val="007460BF"/>
    <w:rsid w:val="00755C43"/>
    <w:rsid w:val="00762542"/>
    <w:rsid w:val="0076409F"/>
    <w:rsid w:val="00775D92"/>
    <w:rsid w:val="007804DF"/>
    <w:rsid w:val="007A66E0"/>
    <w:rsid w:val="007D4DEE"/>
    <w:rsid w:val="007E36C5"/>
    <w:rsid w:val="00806F26"/>
    <w:rsid w:val="00824D80"/>
    <w:rsid w:val="00836531"/>
    <w:rsid w:val="0084576D"/>
    <w:rsid w:val="008544A6"/>
    <w:rsid w:val="0086494E"/>
    <w:rsid w:val="00893850"/>
    <w:rsid w:val="008A677B"/>
    <w:rsid w:val="008B4518"/>
    <w:rsid w:val="008C5FC2"/>
    <w:rsid w:val="00901EEF"/>
    <w:rsid w:val="0091532E"/>
    <w:rsid w:val="009306BB"/>
    <w:rsid w:val="00930BD4"/>
    <w:rsid w:val="00930DCA"/>
    <w:rsid w:val="009536B3"/>
    <w:rsid w:val="009556F5"/>
    <w:rsid w:val="00994D95"/>
    <w:rsid w:val="009B1E09"/>
    <w:rsid w:val="009E4D55"/>
    <w:rsid w:val="009F65AE"/>
    <w:rsid w:val="00A53764"/>
    <w:rsid w:val="00A61A30"/>
    <w:rsid w:val="00B1373C"/>
    <w:rsid w:val="00B62725"/>
    <w:rsid w:val="00B749E6"/>
    <w:rsid w:val="00B83EDE"/>
    <w:rsid w:val="00BA389A"/>
    <w:rsid w:val="00BB6560"/>
    <w:rsid w:val="00C15FCC"/>
    <w:rsid w:val="00C26BFB"/>
    <w:rsid w:val="00C27479"/>
    <w:rsid w:val="00C401DA"/>
    <w:rsid w:val="00C44C01"/>
    <w:rsid w:val="00C747CB"/>
    <w:rsid w:val="00CC6027"/>
    <w:rsid w:val="00CE0573"/>
    <w:rsid w:val="00D555A5"/>
    <w:rsid w:val="00D70774"/>
    <w:rsid w:val="00DA4E6D"/>
    <w:rsid w:val="00E168E0"/>
    <w:rsid w:val="00E43873"/>
    <w:rsid w:val="00E4394A"/>
    <w:rsid w:val="00E4553A"/>
    <w:rsid w:val="00E86EE8"/>
    <w:rsid w:val="00EA68F5"/>
    <w:rsid w:val="00EC5F92"/>
    <w:rsid w:val="00EF031A"/>
    <w:rsid w:val="00EF69AC"/>
    <w:rsid w:val="00F55135"/>
    <w:rsid w:val="00F561A0"/>
    <w:rsid w:val="00F6369D"/>
    <w:rsid w:val="00F67BA8"/>
    <w:rsid w:val="00F7454D"/>
    <w:rsid w:val="00F82132"/>
    <w:rsid w:val="00F9687D"/>
    <w:rsid w:val="00FB4F9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D59E5"/>
  <w15:docId w15:val="{CFCBE9EF-7D5E-4A4F-95F1-29CFF328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pPr>
      <w:spacing w:after="0" w:line="240" w:lineRule="auto"/>
      <w:ind w:right="0"/>
      <w:jc w:val="lef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Pr>
      <w:rFonts w:ascii="Times New Roman" w:eastAsia="Times New Roman" w:hAnsi="Times New Roman" w:cs="Times New Roman"/>
      <w:sz w:val="20"/>
      <w:szCs w:val="20"/>
      <w:lang w:val="en-GB"/>
    </w:rPr>
  </w:style>
  <w:style w:type="paragraph" w:customStyle="1" w:styleId="HChG">
    <w:name w:val="_ H _Ch_G"/>
    <w:basedOn w:val="Normal"/>
    <w:next w:val="Normal"/>
    <w:link w:val="HChGChar"/>
    <w:qFormat/>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Pr>
      <w:rFonts w:ascii="Times New Roman" w:eastAsia="Times New Roman" w:hAnsi="Times New Roman" w:cs="Times New Roman"/>
      <w:b/>
      <w:sz w:val="28"/>
      <w:szCs w:val="20"/>
      <w:lang w:val="en-GB"/>
    </w:rPr>
  </w:style>
  <w:style w:type="character" w:styleId="Hyperlink">
    <w:name w:val="Hyperlink"/>
    <w:uiPriority w:val="99"/>
    <w:rPr>
      <w:color w:val="auto"/>
      <w:u w:val="none"/>
    </w:rPr>
  </w:style>
  <w:style w:type="paragraph" w:styleId="TOC1">
    <w:name w:val="toc 1"/>
    <w:basedOn w:val="Normal"/>
    <w:next w:val="Normal"/>
    <w:autoRedefine/>
    <w:uiPriority w:val="39"/>
    <w:pPr>
      <w:tabs>
        <w:tab w:val="right" w:pos="851"/>
        <w:tab w:val="left" w:pos="1134"/>
        <w:tab w:val="left" w:pos="1701"/>
        <w:tab w:val="right" w:leader="dot" w:pos="8931"/>
        <w:tab w:val="right" w:pos="9639"/>
      </w:tabs>
      <w:suppressAutoHyphens/>
      <w:spacing w:after="120" w:line="240" w:lineRule="atLeast"/>
      <w:ind w:left="284"/>
    </w:pPr>
    <w:rPr>
      <w:rFonts w:ascii="Times New Roman" w:eastAsia="Times New Roman" w:hAnsi="Times New Roman" w:cs="Times New Roman"/>
      <w:sz w:val="20"/>
      <w:szCs w:val="20"/>
      <w:lang w:val="en-GB"/>
    </w:rPr>
  </w:style>
  <w:style w:type="character" w:customStyle="1" w:styleId="Heading1Char">
    <w:name w:val="Heading 1 Char"/>
    <w:aliases w:val="Table_G Char"/>
    <w:basedOn w:val="DefaultParagraphFont"/>
    <w:link w:val="Heading1"/>
    <w:rPr>
      <w:rFonts w:ascii="Times New Roman" w:eastAsia="Times New Roman" w:hAnsi="Times New Roman" w:cs="Times New Roman"/>
      <w:sz w:val="20"/>
      <w:szCs w:val="20"/>
      <w:lang w:val="en-GB"/>
    </w:rPr>
  </w:style>
  <w:style w:type="table" w:styleId="TableGrid">
    <w:name w:val="Table Grid"/>
    <w:basedOn w:val="TableNormal"/>
    <w:uiPriority w:val="39"/>
    <w:pPr>
      <w:suppressAutoHyphens/>
      <w:spacing w:after="0" w:line="24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pPr>
      <w:spacing w:after="0" w:line="240" w:lineRule="auto"/>
    </w:pPr>
    <w:rPr>
      <w:rFonts w:ascii="Times New Roman" w:hAnsi="Times New Roman" w:cs="Times New Roman"/>
      <w:sz w:val="20"/>
      <w:szCs w:val="20"/>
      <w:lang w:val="en-GB"/>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customStyle="1" w:styleId="para">
    <w:name w:val="para"/>
    <w:basedOn w:val="SingleTxtG"/>
    <w:link w:val="paraChar"/>
    <w:qFormat/>
    <w:pPr>
      <w:ind w:left="2268" w:hanging="1134"/>
    </w:pPr>
    <w:rPr>
      <w:rFonts w:eastAsia="MS Mincho"/>
      <w:lang w:val="fr-CH"/>
    </w:rPr>
  </w:style>
  <w:style w:type="character" w:customStyle="1" w:styleId="paraChar">
    <w:name w:val="para Char"/>
    <w:link w:val="para"/>
    <w:rPr>
      <w:rFonts w:ascii="Times New Roman" w:hAnsi="Times New Roman" w:cs="Times New Roman"/>
      <w:sz w:val="20"/>
      <w:szCs w:val="20"/>
      <w:lang w:val="fr-CH"/>
    </w:rPr>
  </w:style>
  <w:style w:type="paragraph" w:styleId="CommentSubject">
    <w:name w:val="annotation subject"/>
    <w:basedOn w:val="CommentText"/>
    <w:next w:val="CommentText"/>
    <w:link w:val="CommentSubjectChar"/>
    <w:uiPriority w:val="99"/>
    <w:semiHidden/>
    <w:unhideWhenUsed/>
    <w:pPr>
      <w:spacing w:after="160" w:line="259" w:lineRule="auto"/>
    </w:pPr>
    <w:rPr>
      <w:rFonts w:asciiTheme="minorHAnsi" w:hAnsiTheme="minorHAnsi" w:cstheme="minorBidi"/>
      <w:b/>
      <w:bCs/>
      <w:sz w:val="22"/>
      <w:szCs w:val="22"/>
      <w:lang w:val="de-DE"/>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customStyle="1" w:styleId="Annex1">
    <w:name w:val="Annex1"/>
    <w:basedOn w:val="Normal"/>
    <w:qFormat/>
    <w:pPr>
      <w:tabs>
        <w:tab w:val="left" w:pos="1700"/>
        <w:tab w:val="right" w:leader="dot" w:pos="8505"/>
      </w:tabs>
      <w:suppressAutoHyphens/>
      <w:spacing w:after="120" w:line="240" w:lineRule="atLeast"/>
      <w:ind w:left="2268" w:right="1134" w:hanging="1134"/>
      <w:jc w:val="both"/>
    </w:pPr>
    <w:rPr>
      <w:rFonts w:ascii="Times New Roman" w:hAnsi="Times New Roman" w:cs="Times New Roman"/>
      <w:sz w:val="20"/>
      <w:szCs w:val="20"/>
      <w:lang w:val="en-GB"/>
    </w:rPr>
  </w:style>
  <w:style w:type="paragraph" w:styleId="ListParagraph">
    <w:name w:val="List Paragraph"/>
    <w:basedOn w:val="Normal"/>
    <w:uiPriority w:val="34"/>
    <w:qFormat/>
    <w:pPr>
      <w:ind w:left="720"/>
      <w:contextualSpacing/>
    </w:pPr>
  </w:style>
  <w:style w:type="paragraph" w:customStyle="1" w:styleId="a">
    <w:name w:val="(a)"/>
    <w:basedOn w:val="Normal"/>
    <w:qFormat/>
    <w:rsid w:val="007804DF"/>
    <w:pPr>
      <w:suppressAutoHyphens/>
      <w:spacing w:after="120" w:line="240" w:lineRule="atLeast"/>
      <w:ind w:left="2835" w:right="1134" w:hanging="567"/>
      <w:jc w:val="both"/>
    </w:pPr>
    <w:rPr>
      <w:rFonts w:ascii="Times New Roman" w:eastAsiaTheme="minorEastAsia" w:hAnsi="Times New Roman" w:cs="Times New Roman"/>
      <w:sz w:val="20"/>
      <w:szCs w:val="20"/>
      <w:lang w:val="en-GB"/>
    </w:rPr>
  </w:style>
  <w:style w:type="paragraph" w:customStyle="1" w:styleId="4Para4thlevel">
    <w:name w:val="4.Para 4th level"/>
    <w:basedOn w:val="Normal"/>
    <w:link w:val="4Para4thlevelCar"/>
    <w:qFormat/>
    <w:rsid w:val="008A677B"/>
    <w:pPr>
      <w:suppressAutoHyphens/>
      <w:spacing w:after="120" w:line="240" w:lineRule="atLeast"/>
      <w:ind w:left="2268" w:right="1134" w:hanging="1134"/>
      <w:jc w:val="both"/>
      <w:outlineLvl w:val="3"/>
    </w:pPr>
    <w:rPr>
      <w:rFonts w:ascii="Times New Roman" w:eastAsiaTheme="minorEastAsia" w:hAnsi="Times New Roman" w:cs="Times New Roman"/>
      <w:sz w:val="20"/>
      <w:szCs w:val="20"/>
      <w:lang w:val="en-GB"/>
    </w:rPr>
  </w:style>
  <w:style w:type="character" w:customStyle="1" w:styleId="4Para4thlevelCar">
    <w:name w:val="4.Para 4th level Car"/>
    <w:basedOn w:val="DefaultParagraphFont"/>
    <w:link w:val="4Para4thlevel"/>
    <w:rsid w:val="008A677B"/>
    <w:rPr>
      <w:rFonts w:ascii="Times New Roman" w:eastAsiaTheme="minorEastAsia" w:hAnsi="Times New Roman" w:cs="Times New Roman"/>
      <w:sz w:val="20"/>
      <w:szCs w:val="20"/>
      <w:lang w:val="en-GB"/>
    </w:rPr>
  </w:style>
  <w:style w:type="paragraph" w:customStyle="1" w:styleId="StyleSingleTxtGLeft2cmHanging206cm">
    <w:name w:val="Style _ Single Txt_G + Left:  2 cm Hanging:  2.06 cm"/>
    <w:basedOn w:val="Normal"/>
    <w:link w:val="StyleSingleTxtGLeft2cmHanging206cmChar"/>
    <w:rsid w:val="008A677B"/>
    <w:pPr>
      <w:suppressAutoHyphens/>
      <w:spacing w:after="120" w:line="240" w:lineRule="atLeast"/>
      <w:ind w:left="2268" w:right="1134" w:hanging="1134"/>
      <w:jc w:val="both"/>
    </w:pPr>
    <w:rPr>
      <w:rFonts w:ascii="Times New Roman" w:eastAsia="Times New Roman" w:hAnsi="Times New Roman" w:cs="Times New Roman"/>
      <w:sz w:val="20"/>
      <w:szCs w:val="20"/>
      <w:lang w:val="en-GB"/>
    </w:rPr>
  </w:style>
  <w:style w:type="character" w:customStyle="1" w:styleId="StyleSingleTxtGLeft2cmHanging206cmChar">
    <w:name w:val="Style _ Single Txt_G + Left:  2 cm Hanging:  2.06 cm Char"/>
    <w:link w:val="StyleSingleTxtGLeft2cmHanging206cm"/>
    <w:rsid w:val="008A677B"/>
    <w:rPr>
      <w:rFonts w:ascii="Times New Roman" w:eastAsia="Times New Roman" w:hAnsi="Times New Roman" w:cs="Times New Roman"/>
      <w:sz w:val="20"/>
      <w:szCs w:val="20"/>
      <w:lang w:val="en-GB"/>
    </w:rPr>
  </w:style>
  <w:style w:type="paragraph" w:customStyle="1" w:styleId="2para2ndlevel">
    <w:name w:val="2.para 2nd level"/>
    <w:basedOn w:val="Normal"/>
    <w:link w:val="2para2ndlevelCar"/>
    <w:qFormat/>
    <w:rsid w:val="002076AC"/>
    <w:pPr>
      <w:suppressAutoHyphens/>
      <w:spacing w:after="120" w:line="240" w:lineRule="atLeast"/>
      <w:ind w:left="2268" w:right="1134" w:hanging="1134"/>
      <w:jc w:val="both"/>
      <w:outlineLvl w:val="1"/>
    </w:pPr>
    <w:rPr>
      <w:rFonts w:ascii="Times New Roman" w:eastAsiaTheme="minorEastAsia" w:hAnsi="Times New Roman" w:cs="Times New Roman"/>
      <w:sz w:val="20"/>
      <w:szCs w:val="20"/>
      <w:lang w:val="en-GB"/>
    </w:rPr>
  </w:style>
  <w:style w:type="character" w:customStyle="1" w:styleId="2para2ndlevelCar">
    <w:name w:val="2.para 2nd level Car"/>
    <w:basedOn w:val="DefaultParagraphFont"/>
    <w:link w:val="2para2ndlevel"/>
    <w:rsid w:val="002076AC"/>
    <w:rPr>
      <w:rFonts w:ascii="Times New Roman" w:eastAsiaTheme="minorEastAsia" w:hAnsi="Times New Roman" w:cs="Times New Roman"/>
      <w:sz w:val="20"/>
      <w:szCs w:val="20"/>
      <w:lang w:val="en-GB"/>
    </w:rPr>
  </w:style>
  <w:style w:type="character" w:customStyle="1" w:styleId="Carpredefinitoparagrafo1">
    <w:name w:val="Car. predefinito paragrafo1"/>
    <w:rsid w:val="00755C43"/>
  </w:style>
  <w:style w:type="character" w:styleId="UnresolvedMention">
    <w:name w:val="Unresolved Mention"/>
    <w:basedOn w:val="DefaultParagraphFont"/>
    <w:uiPriority w:val="99"/>
    <w:semiHidden/>
    <w:unhideWhenUsed/>
    <w:rsid w:val="0019048A"/>
    <w:rPr>
      <w:color w:val="605E5C"/>
      <w:shd w:val="clear" w:color="auto" w:fill="E1DFDD"/>
    </w:rPr>
  </w:style>
  <w:style w:type="paragraph" w:customStyle="1" w:styleId="5para5thlevel">
    <w:name w:val="5.para 5th level"/>
    <w:basedOn w:val="4Para4thlevel"/>
    <w:link w:val="5para5thlevelCar"/>
    <w:qFormat/>
    <w:rsid w:val="00806F26"/>
    <w:pPr>
      <w:outlineLvl w:val="4"/>
    </w:pPr>
  </w:style>
  <w:style w:type="character" w:customStyle="1" w:styleId="5para5thlevelCar">
    <w:name w:val="5.para 5th level Car"/>
    <w:basedOn w:val="4Para4thlevelCar"/>
    <w:link w:val="5para5thlevel"/>
    <w:rsid w:val="00806F26"/>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7572">
      <w:bodyDiv w:val="1"/>
      <w:marLeft w:val="0"/>
      <w:marRight w:val="0"/>
      <w:marTop w:val="0"/>
      <w:marBottom w:val="0"/>
      <w:divBdr>
        <w:top w:val="none" w:sz="0" w:space="0" w:color="auto"/>
        <w:left w:val="none" w:sz="0" w:space="0" w:color="auto"/>
        <w:bottom w:val="none" w:sz="0" w:space="0" w:color="auto"/>
        <w:right w:val="none" w:sz="0" w:space="0" w:color="auto"/>
      </w:divBdr>
    </w:div>
    <w:div w:id="980577254">
      <w:bodyDiv w:val="1"/>
      <w:marLeft w:val="0"/>
      <w:marRight w:val="0"/>
      <w:marTop w:val="0"/>
      <w:marBottom w:val="0"/>
      <w:divBdr>
        <w:top w:val="none" w:sz="0" w:space="0" w:color="auto"/>
        <w:left w:val="none" w:sz="0" w:space="0" w:color="auto"/>
        <w:bottom w:val="none" w:sz="0" w:space="0" w:color="auto"/>
        <w:right w:val="none" w:sz="0" w:space="0" w:color="auto"/>
      </w:divBdr>
    </w:div>
    <w:div w:id="1763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epa-abrasive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A522B-6A88-42F5-91EE-62BEDD6BA338}">
  <ds:schemaRefs>
    <ds:schemaRef ds:uri="http://schemas.microsoft.com/sharepoint/v3/contenttype/forms"/>
  </ds:schemaRefs>
</ds:datastoreItem>
</file>

<file path=customXml/itemProps2.xml><?xml version="1.0" encoding="utf-8"?>
<ds:datastoreItem xmlns:ds="http://schemas.openxmlformats.org/officeDocument/2006/customXml" ds:itemID="{327D1BE2-1CF5-42E5-96B6-B5967E214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000BB-C4CA-4E63-9F26-C8D1CA947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Pages>
  <Words>1352</Words>
  <Characters>7711</Characters>
  <Application>Microsoft Office Word</Application>
  <DocSecurity>0</DocSecurity>
  <Lines>64</Lines>
  <Paragraphs>18</Paragraphs>
  <ScaleCrop>false</ScaleCrop>
  <HeadingPairs>
    <vt:vector size="8" baseType="variant">
      <vt:variant>
        <vt:lpstr>Titolo</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Bauckhage, Thomas</dc:creator>
  <cp:lastModifiedBy>secretariat</cp:lastModifiedBy>
  <cp:revision>73</cp:revision>
  <dcterms:created xsi:type="dcterms:W3CDTF">2021-03-25T08:53:00Z</dcterms:created>
  <dcterms:modified xsi:type="dcterms:W3CDTF">2021-10-15T13:30:00Z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4f3930-35a4-43d2-be4a-3a5160255453_Enabled">
    <vt:lpwstr>True</vt:lpwstr>
  </property>
  <property fmtid="{D5CDD505-2E9C-101B-9397-08002B2CF9AE}" pid="3" name="MSIP_Label_5a4f3930-35a4-43d2-be4a-3a5160255453_SiteId">
    <vt:lpwstr>2d5eb7e2-d3ee-4bf5-bc62-79d5ae9cd9e1</vt:lpwstr>
  </property>
  <property fmtid="{D5CDD505-2E9C-101B-9397-08002B2CF9AE}" pid="4" name="MSIP_Label_5a4f3930-35a4-43d2-be4a-3a5160255453_Owner">
    <vt:lpwstr>Thomas.Bauckhage@hella.com</vt:lpwstr>
  </property>
  <property fmtid="{D5CDD505-2E9C-101B-9397-08002B2CF9AE}" pid="5" name="MSIP_Label_5a4f3930-35a4-43d2-be4a-3a5160255453_SetDate">
    <vt:lpwstr>2019-08-26T11:09:48.8598468Z</vt:lpwstr>
  </property>
  <property fmtid="{D5CDD505-2E9C-101B-9397-08002B2CF9AE}" pid="6" name="MSIP_Label_5a4f3930-35a4-43d2-be4a-3a5160255453_Name">
    <vt:lpwstr>Internal</vt:lpwstr>
  </property>
  <property fmtid="{D5CDD505-2E9C-101B-9397-08002B2CF9AE}" pid="7" name="MSIP_Label_5a4f3930-35a4-43d2-be4a-3a5160255453_Application">
    <vt:lpwstr>Microsoft Azure Information Protection</vt:lpwstr>
  </property>
  <property fmtid="{D5CDD505-2E9C-101B-9397-08002B2CF9AE}" pid="8" name="MSIP_Label_5a4f3930-35a4-43d2-be4a-3a5160255453_ActionId">
    <vt:lpwstr>0a183e24-96df-4bfd-b815-96336c9276ac</vt:lpwstr>
  </property>
  <property fmtid="{D5CDD505-2E9C-101B-9397-08002B2CF9AE}" pid="9" name="MSIP_Label_5a4f3930-35a4-43d2-be4a-3a5160255453_Extended_MSFT_Method">
    <vt:lpwstr>Manual</vt:lpwstr>
  </property>
  <property fmtid="{D5CDD505-2E9C-101B-9397-08002B2CF9AE}" pid="10" name="MSIP_Label_f731df75-0a72-42d5-9cc1-0c4dcec1599e_Enabled">
    <vt:lpwstr>True</vt:lpwstr>
  </property>
  <property fmtid="{D5CDD505-2E9C-101B-9397-08002B2CF9AE}" pid="11" name="MSIP_Label_f731df75-0a72-42d5-9cc1-0c4dcec1599e_SiteId">
    <vt:lpwstr>2d5eb7e2-d3ee-4bf5-bc62-79d5ae9cd9e1</vt:lpwstr>
  </property>
  <property fmtid="{D5CDD505-2E9C-101B-9397-08002B2CF9AE}" pid="12" name="MSIP_Label_f731df75-0a72-42d5-9cc1-0c4dcec1599e_Owner">
    <vt:lpwstr>Thomas.Bauckhage@hella.com</vt:lpwstr>
  </property>
  <property fmtid="{D5CDD505-2E9C-101B-9397-08002B2CF9AE}" pid="13" name="MSIP_Label_f731df75-0a72-42d5-9cc1-0c4dcec1599e_SetDate">
    <vt:lpwstr>2019-08-26T11:09:48.8598468Z</vt:lpwstr>
  </property>
  <property fmtid="{D5CDD505-2E9C-101B-9397-08002B2CF9AE}" pid="14" name="MSIP_Label_f731df75-0a72-42d5-9cc1-0c4dcec1599e_Name">
    <vt:lpwstr>Internal Usage</vt:lpwstr>
  </property>
  <property fmtid="{D5CDD505-2E9C-101B-9397-08002B2CF9AE}" pid="15" name="MSIP_Label_f731df75-0a72-42d5-9cc1-0c4dcec1599e_Application">
    <vt:lpwstr>Microsoft Azure Information Protection</vt:lpwstr>
  </property>
  <property fmtid="{D5CDD505-2E9C-101B-9397-08002B2CF9AE}" pid="16" name="MSIP_Label_f731df75-0a72-42d5-9cc1-0c4dcec1599e_ActionId">
    <vt:lpwstr>0a183e24-96df-4bfd-b815-96336c9276ac</vt:lpwstr>
  </property>
  <property fmtid="{D5CDD505-2E9C-101B-9397-08002B2CF9AE}" pid="17" name="MSIP_Label_f731df75-0a72-42d5-9cc1-0c4dcec1599e_Parent">
    <vt:lpwstr>5a4f3930-35a4-43d2-be4a-3a5160255453</vt:lpwstr>
  </property>
  <property fmtid="{D5CDD505-2E9C-101B-9397-08002B2CF9AE}" pid="18" name="MSIP_Label_f731df75-0a72-42d5-9cc1-0c4dcec1599e_Extended_MSFT_Method">
    <vt:lpwstr>Manual</vt:lpwstr>
  </property>
  <property fmtid="{D5CDD505-2E9C-101B-9397-08002B2CF9AE}" pid="19" name="Sensitivity">
    <vt:lpwstr>Internal Internal Usage</vt:lpwstr>
  </property>
  <property fmtid="{D5CDD505-2E9C-101B-9397-08002B2CF9AE}" pid="20" name="ContentTypeId">
    <vt:lpwstr>0x0101003B8422D08C252547BB1CFA7F78E2CB83</vt:lpwstr>
  </property>
</Properties>
</file>