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B78E0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2CD35A" w14:textId="77777777" w:rsidR="002D5AAC" w:rsidRDefault="002D5AAC" w:rsidP="00DE73A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0B50CE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BC87ED" w14:textId="1C7F795F" w:rsidR="002D5AAC" w:rsidRDefault="00DE73A9" w:rsidP="00DE73A9">
            <w:pPr>
              <w:jc w:val="right"/>
            </w:pPr>
            <w:r w:rsidRPr="00DE73A9">
              <w:rPr>
                <w:sz w:val="40"/>
              </w:rPr>
              <w:t>ECE</w:t>
            </w:r>
            <w:r>
              <w:t>/TRANS/WP.29/2021/154</w:t>
            </w:r>
          </w:p>
        </w:tc>
      </w:tr>
      <w:tr w:rsidR="002D5AAC" w:rsidRPr="00DE73A9" w14:paraId="05E29AB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7D070F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D6B656" wp14:editId="261DF32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8BA0E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67A3EA" w14:textId="77777777" w:rsidR="002D5AAC" w:rsidRDefault="00DE73A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9EEF788" w14:textId="77777777" w:rsidR="00DE73A9" w:rsidRDefault="00DE73A9" w:rsidP="00DE73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September 2021</w:t>
            </w:r>
          </w:p>
          <w:p w14:paraId="57E03B03" w14:textId="77777777" w:rsidR="00DE73A9" w:rsidRDefault="00DE73A9" w:rsidP="00DE73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A9B071" w14:textId="77FE8A39" w:rsidR="00DE73A9" w:rsidRPr="008D53B6" w:rsidRDefault="00DE73A9" w:rsidP="00DE73A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155689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1B0B1D" w14:textId="77777777" w:rsidR="00DE73A9" w:rsidRPr="00DE73A9" w:rsidRDefault="00DE73A9" w:rsidP="00DE73A9">
      <w:pPr>
        <w:spacing w:before="120"/>
        <w:rPr>
          <w:sz w:val="28"/>
          <w:szCs w:val="28"/>
        </w:rPr>
      </w:pPr>
      <w:r w:rsidRPr="00DE73A9">
        <w:rPr>
          <w:sz w:val="28"/>
          <w:szCs w:val="28"/>
        </w:rPr>
        <w:t>Комитет по внутреннему транспорту</w:t>
      </w:r>
    </w:p>
    <w:p w14:paraId="0486009A" w14:textId="63FD63B2" w:rsidR="00DE73A9" w:rsidRPr="00DE73A9" w:rsidRDefault="00DE73A9" w:rsidP="00DE73A9">
      <w:pPr>
        <w:spacing w:before="120"/>
        <w:rPr>
          <w:b/>
          <w:sz w:val="24"/>
          <w:szCs w:val="24"/>
        </w:rPr>
      </w:pPr>
      <w:r w:rsidRPr="00DE73A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E73A9">
        <w:rPr>
          <w:b/>
          <w:bCs/>
          <w:sz w:val="24"/>
          <w:szCs w:val="24"/>
        </w:rPr>
        <w:t>в области транспортных средств</w:t>
      </w:r>
    </w:p>
    <w:p w14:paraId="23D1C13E" w14:textId="77777777" w:rsidR="00DE73A9" w:rsidRPr="00267E8C" w:rsidRDefault="00DE73A9" w:rsidP="00DE73A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40EF2693" w14:textId="77777777" w:rsidR="00DE73A9" w:rsidRPr="00267E8C" w:rsidRDefault="00DE73A9" w:rsidP="00DE73A9">
      <w:r>
        <w:t>Женева, 23–25 ноября 2021 года</w:t>
      </w:r>
    </w:p>
    <w:p w14:paraId="31A7BCB1" w14:textId="77777777" w:rsidR="00DE73A9" w:rsidRPr="00F4115B" w:rsidRDefault="00DE73A9" w:rsidP="00DE73A9">
      <w:r>
        <w:t xml:space="preserve">Пункт 15.1 предварительной повестки дня </w:t>
      </w:r>
    </w:p>
    <w:p w14:paraId="09715E54" w14:textId="6BC1F119" w:rsidR="00E12C5F" w:rsidRDefault="00DE73A9" w:rsidP="00DE73A9">
      <w:r>
        <w:rPr>
          <w:b/>
          <w:bCs/>
        </w:rPr>
        <w:t xml:space="preserve">Рассмотрение технических правил, подлежащих </w:t>
      </w:r>
      <w:r>
        <w:rPr>
          <w:b/>
          <w:bCs/>
        </w:rPr>
        <w:br/>
      </w:r>
      <w:r>
        <w:rPr>
          <w:b/>
          <w:bCs/>
        </w:rPr>
        <w:t xml:space="preserve">включению в Компендиум потенциальных ГТП ООН, </w:t>
      </w:r>
      <w:r>
        <w:rPr>
          <w:b/>
          <w:bCs/>
        </w:rPr>
        <w:br/>
      </w:r>
      <w:r>
        <w:rPr>
          <w:b/>
          <w:bCs/>
        </w:rPr>
        <w:t>если таковые представлены</w:t>
      </w:r>
    </w:p>
    <w:p w14:paraId="4B860015" w14:textId="2EA2DC1E" w:rsidR="00DE73A9" w:rsidRPr="00267E8C" w:rsidRDefault="00DE73A9" w:rsidP="00DE73A9">
      <w:pPr>
        <w:pStyle w:val="HChG"/>
        <w:rPr>
          <w:rFonts w:eastAsia="MS Mincho"/>
        </w:rPr>
      </w:pPr>
      <w:r>
        <w:tab/>
      </w:r>
      <w:r>
        <w:tab/>
        <w:t>Запрос о включении в Компендиум потенциальных глобальных технических правил (компендиум потенциальных правил) применяемой в Японии процедуры контроля за соблюдением требований в</w:t>
      </w:r>
      <w:r>
        <w:rPr>
          <w:lang w:val="en-US"/>
        </w:rPr>
        <w:t> </w:t>
      </w:r>
      <w:r>
        <w:t>отношении долговечности двухколесных транспортных средств</w:t>
      </w:r>
    </w:p>
    <w:p w14:paraId="6EBE035D" w14:textId="77777777" w:rsidR="00DE73A9" w:rsidRPr="00F4115B" w:rsidRDefault="00DE73A9" w:rsidP="00DE73A9">
      <w:pPr>
        <w:pStyle w:val="H1G"/>
        <w:rPr>
          <w:szCs w:val="24"/>
        </w:rPr>
      </w:pPr>
      <w:r>
        <w:tab/>
      </w:r>
      <w:r>
        <w:tab/>
        <w:t>Представлено представителем Японии</w:t>
      </w:r>
      <w:r w:rsidRPr="00DE73A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969E0A4" w14:textId="2AD891B3" w:rsidR="00DE73A9" w:rsidRDefault="00DE73A9" w:rsidP="00DE73A9">
      <w:pPr>
        <w:pStyle w:val="SingleTxtG"/>
      </w:pPr>
      <w:r>
        <w:tab/>
      </w:r>
      <w:r>
        <w:t>Воспроизведенный ниже документ представляется Японией Исполнительному комитету (АС.3) для рассмотрения. В нем содержится запрос о включении в компендиум потенциальных правил процедуры контроля за соблюдением требований в отношении долговечности транспортных средств. Для целей рассмотрения АС.3 к настоящему запросу прилагается копия вышеупомянутых правил (см. пункты 5.2.1, 5.2.1.1 и 5.2.2 статьи 5 Соглашения 1998 года).</w:t>
      </w:r>
    </w:p>
    <w:p w14:paraId="4BC9BCFC" w14:textId="515A481C" w:rsidR="00DE73A9" w:rsidRDefault="00DE73A9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B1B2F90" w14:textId="21AE1AD5" w:rsidR="00DE73A9" w:rsidRPr="00267E8C" w:rsidRDefault="00DE73A9" w:rsidP="00DE73A9">
      <w:pPr>
        <w:pStyle w:val="HChG"/>
      </w:pPr>
      <w:r>
        <w:lastRenderedPageBreak/>
        <w:tab/>
      </w:r>
      <w:r>
        <w:tab/>
        <w:t>Запрос о включении в Компендиум потенциальных глобальных технических правил (компендиум потенциальных правил) процедуры контроля за</w:t>
      </w:r>
      <w:r>
        <w:rPr>
          <w:lang w:val="en-US"/>
        </w:rPr>
        <w:t> </w:t>
      </w:r>
      <w:r>
        <w:t>соблюдением требований в отношении долговечности транспортных средств</w:t>
      </w:r>
    </w:p>
    <w:p w14:paraId="5CFCAAE3" w14:textId="77777777" w:rsidR="00DE73A9" w:rsidRPr="00267E8C" w:rsidRDefault="00DE73A9" w:rsidP="00DE73A9">
      <w:pPr>
        <w:pStyle w:val="SingleTxtG"/>
      </w:pPr>
      <w:r>
        <w:t>1.</w:t>
      </w:r>
      <w:r>
        <w:tab/>
        <w:t>Япония запрашивает включение в компендиум потенциальных правил процедуры контроля за соблюдением требований в отношении долговечности транспортных средств.</w:t>
      </w:r>
    </w:p>
    <w:p w14:paraId="64349ECE" w14:textId="77777777" w:rsidR="00DE73A9" w:rsidRPr="00267E8C" w:rsidRDefault="00DE73A9" w:rsidP="00DE73A9">
      <w:pPr>
        <w:pStyle w:val="HChG"/>
      </w:pPr>
      <w:r>
        <w:tab/>
        <w:t>I.</w:t>
      </w:r>
      <w:r>
        <w:tab/>
      </w:r>
      <w:r>
        <w:rPr>
          <w:bCs/>
        </w:rPr>
        <w:t>Справочная информация</w:t>
      </w:r>
      <w:r>
        <w:t xml:space="preserve"> </w:t>
      </w:r>
    </w:p>
    <w:p w14:paraId="51BD2498" w14:textId="77777777" w:rsidR="00DE73A9" w:rsidRPr="00267E8C" w:rsidRDefault="00DE73A9" w:rsidP="00DE73A9">
      <w:pPr>
        <w:pStyle w:val="SingleTxtG"/>
      </w:pPr>
      <w:r>
        <w:t>2.</w:t>
      </w:r>
      <w:r>
        <w:tab/>
        <w:t>На основании запроса министра охраны окружающей среды Японии от 21 мая 1996 года Центральный совет по охране окружающей среды подготовил ряд отчетов (начиная с промежуточного отчета (1996 год) по двенадцатый отчет (2015 год)) в целях последовательного ужесточения норм, касающихся выбросов автотранспортных средств. В тринадцатом отчете (от 31 мая 2017 года) в качестве одного из ключевых вопросов были рассмотрены меры по снижению выбросов двухколесных транспортных средств.</w:t>
      </w:r>
    </w:p>
    <w:p w14:paraId="6031BA4D" w14:textId="77777777" w:rsidR="00DE73A9" w:rsidRPr="00267E8C" w:rsidRDefault="00DE73A9" w:rsidP="00DE73A9">
      <w:pPr>
        <w:pStyle w:val="SingleTxtG"/>
      </w:pPr>
      <w:r>
        <w:t>3.</w:t>
      </w:r>
      <w:r>
        <w:tab/>
        <w:t>Что касается пробега для целей испытания на долговечность, было введено более жесткое значение по аналогии с уровнем стандарта Евро-5. Дата применения также установлена в соответствии со стандартом Евро-5.</w:t>
      </w:r>
    </w:p>
    <w:p w14:paraId="6EC50911" w14:textId="77777777" w:rsidR="00DE73A9" w:rsidRPr="00267E8C" w:rsidRDefault="00DE73A9" w:rsidP="00DE73A9">
      <w:pPr>
        <w:pStyle w:val="SingleTxtG"/>
      </w:pPr>
      <w:r>
        <w:t>4.</w:t>
      </w:r>
      <w:r>
        <w:tab/>
        <w:t>На основании тринадцатого отчета Центрального совета по охране окружающей среды Министерство государственных земель, инфраструктуры, транспорта и туризма внесло изменения в соответствующие нормативные акты для ужесточения содержащихся в них норм.</w:t>
      </w:r>
    </w:p>
    <w:p w14:paraId="17F9BD00" w14:textId="77777777" w:rsidR="00DE73A9" w:rsidRPr="00267E8C" w:rsidRDefault="00DE73A9" w:rsidP="00DE73A9">
      <w:pPr>
        <w:pStyle w:val="HChG"/>
      </w:pPr>
      <w:r>
        <w:tab/>
        <w:t>II.</w:t>
      </w:r>
      <w:r>
        <w:tab/>
      </w:r>
      <w:r>
        <w:rPr>
          <w:bCs/>
        </w:rPr>
        <w:t>Описание правил</w:t>
      </w:r>
    </w:p>
    <w:p w14:paraId="62D46B29" w14:textId="77777777" w:rsidR="00DE73A9" w:rsidRPr="00267E8C" w:rsidRDefault="00DE73A9" w:rsidP="00DE73A9">
      <w:pPr>
        <w:pStyle w:val="SingleTxtG"/>
      </w:pPr>
      <w:r>
        <w:t>5.</w:t>
      </w:r>
      <w:r>
        <w:tab/>
        <w:t>Краткое описание</w:t>
      </w:r>
    </w:p>
    <w:p w14:paraId="0A1FECA6" w14:textId="77777777" w:rsidR="00DE73A9" w:rsidRPr="00267E8C" w:rsidRDefault="00DE73A9" w:rsidP="00DE73A9">
      <w:pPr>
        <w:spacing w:after="120"/>
        <w:ind w:left="2268" w:right="1134" w:hanging="567"/>
        <w:jc w:val="both"/>
      </w:pPr>
      <w:r>
        <w:t>a)</w:t>
      </w:r>
      <w:r>
        <w:tab/>
        <w:t>Пробег для испытания на долговечность</w:t>
      </w:r>
    </w:p>
    <w:tbl>
      <w:tblPr>
        <w:tblW w:w="7087" w:type="dxa"/>
        <w:tblInd w:w="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394"/>
      </w:tblGrid>
      <w:tr w:rsidR="00DE73A9" w:rsidRPr="00F4115B" w14:paraId="104DC8A0" w14:textId="77777777" w:rsidTr="00F34FED">
        <w:trPr>
          <w:trHeight w:val="265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5C64D3D" w14:textId="77777777" w:rsidR="00DE73A9" w:rsidRPr="007222BF" w:rsidRDefault="00DE73A9" w:rsidP="00F34FED">
            <w:pPr>
              <w:keepNext/>
              <w:keepLines/>
              <w:spacing w:before="80" w:after="80" w:line="200" w:lineRule="exact"/>
              <w:ind w:left="142"/>
              <w:jc w:val="center"/>
              <w:rPr>
                <w:i/>
                <w:iCs/>
                <w:sz w:val="16"/>
                <w:szCs w:val="16"/>
              </w:rPr>
            </w:pPr>
            <w:r w:rsidRPr="007222BF">
              <w:rPr>
                <w:i/>
                <w:iCs/>
                <w:sz w:val="16"/>
                <w:szCs w:val="16"/>
              </w:rPr>
              <w:t>Класс транспортных средств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38DC1BA" w14:textId="77777777" w:rsidR="00DE73A9" w:rsidRPr="007222BF" w:rsidRDefault="00DE73A9" w:rsidP="00F34FED">
            <w:pPr>
              <w:pStyle w:val="af4"/>
              <w:keepNext/>
              <w:keepLines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7222BF">
              <w:rPr>
                <w:i/>
                <w:iCs/>
                <w:sz w:val="16"/>
                <w:szCs w:val="16"/>
                <w:lang w:val="ru-RU"/>
              </w:rPr>
              <w:t>Пробег для испытания на долговечность [км]</w:t>
            </w:r>
          </w:p>
        </w:tc>
      </w:tr>
      <w:tr w:rsidR="00DE73A9" w:rsidRPr="000B7565" w14:paraId="3CE5CE58" w14:textId="77777777" w:rsidTr="00F34FED">
        <w:trPr>
          <w:trHeight w:val="584"/>
        </w:trPr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316639E" w14:textId="77777777" w:rsidR="00DE73A9" w:rsidRPr="007222BF" w:rsidRDefault="00DE73A9" w:rsidP="00F34FED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7222BF">
              <w:rPr>
                <w:sz w:val="18"/>
                <w:szCs w:val="18"/>
              </w:rPr>
              <w:t>Мопеды</w:t>
            </w:r>
            <w:r w:rsidRPr="007222B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CF84E6F" w14:textId="77777777" w:rsidR="00DE73A9" w:rsidRPr="007222BF" w:rsidRDefault="00DE73A9" w:rsidP="00F34FED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7222BF">
              <w:rPr>
                <w:sz w:val="18"/>
                <w:szCs w:val="18"/>
              </w:rPr>
              <w:t>6 000</w:t>
            </w:r>
          </w:p>
        </w:tc>
      </w:tr>
      <w:tr w:rsidR="00DE73A9" w:rsidRPr="000B7565" w14:paraId="47B8E13E" w14:textId="77777777" w:rsidTr="00F34FED">
        <w:trPr>
          <w:trHeight w:val="584"/>
        </w:trPr>
        <w:tc>
          <w:tcPr>
            <w:tcW w:w="2693" w:type="dxa"/>
            <w:shd w:val="clear" w:color="auto" w:fill="auto"/>
            <w:vAlign w:val="center"/>
            <w:hideMark/>
          </w:tcPr>
          <w:p w14:paraId="5729CD86" w14:textId="77777777" w:rsidR="00DE73A9" w:rsidRPr="007222BF" w:rsidRDefault="00DE73A9" w:rsidP="00F34FED">
            <w:pPr>
              <w:pStyle w:val="af4"/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7222BF">
              <w:rPr>
                <w:sz w:val="18"/>
                <w:szCs w:val="18"/>
                <w:lang w:val="ru-RU"/>
              </w:rPr>
              <w:t>Класс 1</w:t>
            </w:r>
            <w:r w:rsidRPr="007222BF">
              <w:rPr>
                <w:sz w:val="18"/>
                <w:szCs w:val="18"/>
                <w:vertAlign w:val="superscript"/>
                <w:lang w:val="ru-RU"/>
              </w:rPr>
              <w:t>2)</w:t>
            </w:r>
            <w:r w:rsidRPr="007222BF">
              <w:rPr>
                <w:sz w:val="18"/>
                <w:szCs w:val="18"/>
                <w:lang w:val="ru-RU"/>
              </w:rPr>
              <w:t xml:space="preserve"> и класс 2</w:t>
            </w:r>
            <w:r w:rsidRPr="007222BF">
              <w:rPr>
                <w:sz w:val="18"/>
                <w:szCs w:val="18"/>
                <w:vertAlign w:val="superscript"/>
                <w:lang w:val="ru-RU"/>
              </w:rPr>
              <w:t>3)</w:t>
            </w:r>
          </w:p>
          <w:p w14:paraId="79BE796C" w14:textId="77777777" w:rsidR="00DE73A9" w:rsidRPr="007222BF" w:rsidRDefault="00DE73A9" w:rsidP="00F34FED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452C15" w14:textId="77777777" w:rsidR="00DE73A9" w:rsidRPr="007222BF" w:rsidRDefault="00DE73A9" w:rsidP="00E0355E">
            <w:pPr>
              <w:keepNext/>
              <w:keepLines/>
              <w:spacing w:before="40" w:after="120" w:line="220" w:lineRule="exact"/>
              <w:jc w:val="center"/>
              <w:rPr>
                <w:rFonts w:eastAsia="HGMaruGothicMPRO"/>
                <w:color w:val="000000"/>
                <w:kern w:val="24"/>
                <w:sz w:val="18"/>
                <w:szCs w:val="18"/>
              </w:rPr>
            </w:pPr>
            <w:r w:rsidRPr="007222BF">
              <w:rPr>
                <w:sz w:val="18"/>
                <w:szCs w:val="18"/>
              </w:rPr>
              <w:t>20 000</w:t>
            </w:r>
          </w:p>
        </w:tc>
      </w:tr>
      <w:tr w:rsidR="00DE73A9" w:rsidRPr="000B7565" w14:paraId="22D23DFA" w14:textId="77777777" w:rsidTr="00F34FED">
        <w:trPr>
          <w:trHeight w:val="584"/>
        </w:trPr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A5E988" w14:textId="25140237" w:rsidR="00DE73A9" w:rsidRPr="007222BF" w:rsidRDefault="00E0355E" w:rsidP="00F34FED">
            <w:pPr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</w:t>
            </w:r>
            <w:r w:rsidR="00DE73A9" w:rsidRPr="007222BF">
              <w:rPr>
                <w:sz w:val="18"/>
                <w:szCs w:val="18"/>
              </w:rPr>
              <w:t xml:space="preserve"> 3</w:t>
            </w:r>
            <w:r w:rsidR="00DE73A9" w:rsidRPr="007222BF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9FCD05C" w14:textId="77777777" w:rsidR="00DE73A9" w:rsidRPr="007222BF" w:rsidRDefault="00DE73A9" w:rsidP="00E0355E">
            <w:pPr>
              <w:keepNext/>
              <w:keepLines/>
              <w:spacing w:before="40" w:after="120" w:line="220" w:lineRule="exact"/>
              <w:jc w:val="center"/>
              <w:rPr>
                <w:sz w:val="18"/>
                <w:szCs w:val="18"/>
              </w:rPr>
            </w:pPr>
            <w:r w:rsidRPr="007222BF">
              <w:rPr>
                <w:sz w:val="18"/>
                <w:szCs w:val="18"/>
              </w:rPr>
              <w:t>35 000</w:t>
            </w:r>
          </w:p>
        </w:tc>
      </w:tr>
    </w:tbl>
    <w:p w14:paraId="76A07084" w14:textId="77777777" w:rsidR="00DE73A9" w:rsidRPr="00267E8C" w:rsidRDefault="00DE73A9" w:rsidP="00E0355E">
      <w:pPr>
        <w:spacing w:before="120" w:after="120"/>
        <w:ind w:left="1701" w:right="1134"/>
        <w:jc w:val="both"/>
      </w:pPr>
      <w:r>
        <w:t>i)</w:t>
      </w:r>
      <w:r>
        <w:tab/>
        <w:t>Двухколесные транспортные средства с рабочим объемом двигателя не больше 0,050 л и с максимальной скоростью не выше 50 км/ч.</w:t>
      </w:r>
    </w:p>
    <w:p w14:paraId="040969D9" w14:textId="77777777" w:rsidR="00DE73A9" w:rsidRPr="00267E8C" w:rsidRDefault="00DE73A9" w:rsidP="00DE73A9">
      <w:pPr>
        <w:spacing w:after="120"/>
        <w:ind w:left="1701" w:right="1134"/>
        <w:jc w:val="both"/>
      </w:pPr>
      <w:proofErr w:type="spellStart"/>
      <w:r>
        <w:t>ii</w:t>
      </w:r>
      <w:proofErr w:type="spellEnd"/>
      <w:r>
        <w:t>)</w:t>
      </w:r>
      <w:r>
        <w:tab/>
        <w:t>Двухколесные транспортные средства с рабочим объемом двигателя, превышающим 0,050 л, но менее 0,150 л, и с максимальной скоростью, превышающей 50 км/ч, но ниже 100 км/ч.</w:t>
      </w:r>
    </w:p>
    <w:p w14:paraId="782E60E7" w14:textId="77777777" w:rsidR="00DE73A9" w:rsidRPr="00267E8C" w:rsidRDefault="00DE73A9" w:rsidP="00DE73A9">
      <w:pPr>
        <w:spacing w:after="120"/>
        <w:ind w:left="1701" w:right="1134"/>
        <w:jc w:val="both"/>
      </w:pPr>
      <w:proofErr w:type="spellStart"/>
      <w:r>
        <w:t>iii</w:t>
      </w:r>
      <w:proofErr w:type="spellEnd"/>
      <w:r>
        <w:t>)</w:t>
      </w:r>
      <w:r>
        <w:tab/>
        <w:t>Двухколесные транспортные средства с рабочим объемом двигателя менее 0,150 л и с максимальной скоростью, превышающей 100 км/ч, но ниже 130 км/ч;</w:t>
      </w:r>
    </w:p>
    <w:p w14:paraId="26486B2A" w14:textId="77777777" w:rsidR="00DE73A9" w:rsidRPr="00267E8C" w:rsidRDefault="00DE73A9" w:rsidP="00DE73A9">
      <w:pPr>
        <w:spacing w:after="120"/>
        <w:ind w:left="1701" w:right="1134"/>
        <w:jc w:val="both"/>
      </w:pPr>
      <w:r>
        <w:t>или</w:t>
      </w:r>
    </w:p>
    <w:p w14:paraId="4343FDCE" w14:textId="77777777" w:rsidR="00DE73A9" w:rsidRPr="00267E8C" w:rsidRDefault="00DE73A9" w:rsidP="00DE73A9">
      <w:pPr>
        <w:spacing w:after="120"/>
        <w:ind w:left="1701" w:right="1134"/>
        <w:jc w:val="both"/>
      </w:pPr>
      <w:r>
        <w:t>двухколесные транспортные средства с рабочим объемом двигателя больше 0,150 л и с максимальной скоростью ниже 130 км/ч.</w:t>
      </w:r>
    </w:p>
    <w:p w14:paraId="226C8F9F" w14:textId="77777777" w:rsidR="00DE73A9" w:rsidRPr="00267E8C" w:rsidRDefault="00DE73A9" w:rsidP="00DE73A9">
      <w:pPr>
        <w:spacing w:after="120"/>
        <w:ind w:left="1701" w:right="1134"/>
        <w:jc w:val="both"/>
      </w:pPr>
      <w:proofErr w:type="spellStart"/>
      <w:r>
        <w:lastRenderedPageBreak/>
        <w:t>iv</w:t>
      </w:r>
      <w:proofErr w:type="spellEnd"/>
      <w:r>
        <w:t>)</w:t>
      </w:r>
      <w:r>
        <w:tab/>
        <w:t>Двухколесные транспортные средства с максимальной скоростью 130 км/ч или выше.</w:t>
      </w:r>
    </w:p>
    <w:p w14:paraId="39CE7AB0" w14:textId="77777777" w:rsidR="00DE73A9" w:rsidRPr="00267E8C" w:rsidRDefault="00DE73A9" w:rsidP="00DE73A9">
      <w:pPr>
        <w:spacing w:after="120"/>
        <w:ind w:left="2268" w:right="1134" w:hanging="567"/>
        <w:jc w:val="both"/>
      </w:pPr>
      <w:r>
        <w:t>b)</w:t>
      </w:r>
      <w:r>
        <w:tab/>
        <w:t>Процедуры испытаний на долговечность:</w:t>
      </w:r>
    </w:p>
    <w:p w14:paraId="4145870E" w14:textId="77777777" w:rsidR="00DE73A9" w:rsidRPr="00267E8C" w:rsidRDefault="00DE73A9" w:rsidP="00DE73A9">
      <w:pPr>
        <w:spacing w:after="120"/>
        <w:ind w:left="1701" w:right="1134"/>
        <w:jc w:val="both"/>
      </w:pPr>
      <w:r>
        <w:t>i)</w:t>
      </w:r>
      <w:r>
        <w:tab/>
        <w:t>фактические испытания на долговечность с накоплением полного пробега;</w:t>
      </w:r>
    </w:p>
    <w:p w14:paraId="235B0B1D" w14:textId="77777777" w:rsidR="00DE73A9" w:rsidRPr="00267E8C" w:rsidRDefault="00DE73A9" w:rsidP="00DE73A9">
      <w:pPr>
        <w:spacing w:after="120"/>
        <w:ind w:left="1701" w:right="1134"/>
        <w:jc w:val="both"/>
      </w:pPr>
      <w:proofErr w:type="spellStart"/>
      <w:r>
        <w:t>ii</w:t>
      </w:r>
      <w:proofErr w:type="spellEnd"/>
      <w:r>
        <w:t>)</w:t>
      </w:r>
      <w:r>
        <w:tab/>
        <w:t>расчет коэффициентов износа для математической процедуры определения долговечности.</w:t>
      </w:r>
    </w:p>
    <w:p w14:paraId="76C62801" w14:textId="77777777" w:rsidR="00DE73A9" w:rsidRPr="00267E8C" w:rsidRDefault="00DE73A9" w:rsidP="00DE73A9">
      <w:pPr>
        <w:pStyle w:val="HChG"/>
      </w:pPr>
      <w:r>
        <w:tab/>
        <w:t>III.</w:t>
      </w:r>
      <w:r>
        <w:tab/>
      </w:r>
      <w:r>
        <w:rPr>
          <w:bCs/>
        </w:rPr>
        <w:t>Справочные документы</w:t>
      </w:r>
    </w:p>
    <w:p w14:paraId="2AF9B1B7" w14:textId="77777777" w:rsidR="00DE73A9" w:rsidRPr="00267E8C" w:rsidRDefault="00DE73A9" w:rsidP="00DE73A9">
      <w:pPr>
        <w:pStyle w:val="SingleTxtG"/>
      </w:pPr>
      <w:r>
        <w:t>6.</w:t>
      </w:r>
      <w:r>
        <w:tab/>
        <w:t>«Требования к эксплуатации автотранспортных средств, представляемых в Национальное агентство по автомобильным технологиям и технологиям наземного транспорта в соответствии с пунктом 1 статьи 3 Правил, касающихся присвоения типа автотранспортных средств, и к эксплуатации автотранспортных средств, определенных Министерством государственных земель, инфраструктуры, транспорта и туризма, а также документы, требуемые Министерством государственных земель, инфраструктуры, транспорта и туризма в соответствии с пунктом 4 той же статьи».</w:t>
      </w:r>
    </w:p>
    <w:p w14:paraId="48237CFE" w14:textId="07B59632" w:rsidR="00DE73A9" w:rsidRPr="00267E8C" w:rsidRDefault="00DE73A9" w:rsidP="00DE73A9">
      <w:pPr>
        <w:pStyle w:val="SingleTxtG"/>
      </w:pPr>
      <w:r>
        <w:t>7.</w:t>
      </w:r>
      <w:r>
        <w:tab/>
        <w:t>«Процедура контроля за сертификацией типа автотранспортных средств, приложение 3: Порядок официального утверждения типа микроавтомобилей и т. п., освобожденных от техосмотра, и двигателей для мотовелосипедов» (Министерство государственных земель, инфраструктуры, транспорта и туризма, 20 октября 2020</w:t>
      </w:r>
      <w:r w:rsidR="00E0355E">
        <w:rPr>
          <w:lang w:val="en-US"/>
        </w:rPr>
        <w:t> </w:t>
      </w:r>
      <w:r>
        <w:t>года).</w:t>
      </w:r>
    </w:p>
    <w:p w14:paraId="0F8D29F9" w14:textId="147EE901" w:rsidR="00DE73A9" w:rsidRDefault="00DE73A9" w:rsidP="00DE73A9">
      <w:pPr>
        <w:pStyle w:val="SingleTxtG"/>
      </w:pPr>
      <w:r>
        <w:t>8.</w:t>
      </w:r>
      <w:r>
        <w:tab/>
        <w:t>«Процедура контроля за сертификацией типа транспортных средств, дополнительное правило 7: Процедура контроля за соблюдением требований в отношении долговечности» (Министерство государственных земель, инфраструктуры, транспорта и туризма, 20 октября 2020 года).</w:t>
      </w:r>
    </w:p>
    <w:p w14:paraId="04FB93C4" w14:textId="13DC7615" w:rsidR="00DE73A9" w:rsidRPr="00DE73A9" w:rsidRDefault="00DE73A9" w:rsidP="00DE73A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E73A9" w:rsidRPr="00DE73A9" w:rsidSect="00DE73A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849" w14:textId="77777777" w:rsidR="005E03C4" w:rsidRPr="00A312BC" w:rsidRDefault="005E03C4" w:rsidP="00A312BC"/>
  </w:endnote>
  <w:endnote w:type="continuationSeparator" w:id="0">
    <w:p w14:paraId="3A72C5A6" w14:textId="77777777" w:rsidR="005E03C4" w:rsidRPr="00A312BC" w:rsidRDefault="005E03C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0183" w14:textId="478CE549" w:rsidR="00DE73A9" w:rsidRPr="00DE73A9" w:rsidRDefault="00DE73A9">
    <w:pPr>
      <w:pStyle w:val="a8"/>
    </w:pPr>
    <w:r w:rsidRPr="00DE73A9">
      <w:rPr>
        <w:b/>
        <w:sz w:val="18"/>
      </w:rPr>
      <w:fldChar w:fldCharType="begin"/>
    </w:r>
    <w:r w:rsidRPr="00DE73A9">
      <w:rPr>
        <w:b/>
        <w:sz w:val="18"/>
      </w:rPr>
      <w:instrText xml:space="preserve"> PAGE  \* MERGEFORMAT </w:instrText>
    </w:r>
    <w:r w:rsidRPr="00DE73A9">
      <w:rPr>
        <w:b/>
        <w:sz w:val="18"/>
      </w:rPr>
      <w:fldChar w:fldCharType="separate"/>
    </w:r>
    <w:r w:rsidRPr="00DE73A9">
      <w:rPr>
        <w:b/>
        <w:noProof/>
        <w:sz w:val="18"/>
      </w:rPr>
      <w:t>2</w:t>
    </w:r>
    <w:r w:rsidRPr="00DE73A9">
      <w:rPr>
        <w:b/>
        <w:sz w:val="18"/>
      </w:rPr>
      <w:fldChar w:fldCharType="end"/>
    </w:r>
    <w:r>
      <w:rPr>
        <w:b/>
        <w:sz w:val="18"/>
      </w:rPr>
      <w:tab/>
    </w:r>
    <w:r>
      <w:t>GE.21-12532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E5B9" w14:textId="351D1454" w:rsidR="00DE73A9" w:rsidRPr="00DE73A9" w:rsidRDefault="00DE73A9" w:rsidP="00DE73A9">
    <w:pPr>
      <w:pStyle w:val="a8"/>
      <w:tabs>
        <w:tab w:val="clear" w:pos="9639"/>
        <w:tab w:val="right" w:pos="9638"/>
      </w:tabs>
      <w:rPr>
        <w:b/>
        <w:sz w:val="18"/>
      </w:rPr>
    </w:pPr>
    <w:r>
      <w:t>GE.21-12532</w:t>
    </w:r>
    <w:r>
      <w:tab/>
    </w:r>
    <w:r w:rsidRPr="00DE73A9">
      <w:rPr>
        <w:b/>
        <w:sz w:val="18"/>
      </w:rPr>
      <w:fldChar w:fldCharType="begin"/>
    </w:r>
    <w:r w:rsidRPr="00DE73A9">
      <w:rPr>
        <w:b/>
        <w:sz w:val="18"/>
      </w:rPr>
      <w:instrText xml:space="preserve"> PAGE  \* MERGEFORMAT </w:instrText>
    </w:r>
    <w:r w:rsidRPr="00DE73A9">
      <w:rPr>
        <w:b/>
        <w:sz w:val="18"/>
      </w:rPr>
      <w:fldChar w:fldCharType="separate"/>
    </w:r>
    <w:r w:rsidRPr="00DE73A9">
      <w:rPr>
        <w:b/>
        <w:noProof/>
        <w:sz w:val="18"/>
      </w:rPr>
      <w:t>3</w:t>
    </w:r>
    <w:r w:rsidRPr="00DE73A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2D30" w14:textId="0D25D200" w:rsidR="00042B72" w:rsidRPr="00DE73A9" w:rsidRDefault="00DE73A9" w:rsidP="00DE73A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237E33" wp14:editId="0F2813A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12532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30B816" wp14:editId="09C3B4F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C37">
      <w:t xml:space="preserve">  210921  041021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53CC9" w14:textId="77777777" w:rsidR="005E03C4" w:rsidRPr="001075E9" w:rsidRDefault="005E03C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EA7C1A" w14:textId="77777777" w:rsidR="005E03C4" w:rsidRDefault="005E03C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7733C8E" w14:textId="77777777" w:rsidR="00DE73A9" w:rsidRPr="00DC2C16" w:rsidRDefault="00DE73A9" w:rsidP="00DE73A9">
      <w:pPr>
        <w:pStyle w:val="ad"/>
      </w:pPr>
      <w:r>
        <w:tab/>
      </w:r>
      <w:r w:rsidRPr="00DE73A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 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9CCC" w14:textId="232D86B0" w:rsidR="00DE73A9" w:rsidRPr="00DE73A9" w:rsidRDefault="00DE73A9">
    <w:pPr>
      <w:pStyle w:val="a5"/>
    </w:pPr>
    <w:fldSimple w:instr=" TITLE  \* MERGEFORMAT ">
      <w:r w:rsidR="00D549F8">
        <w:t>ECE/TRANS/WP.29/2021/154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9DD7" w14:textId="7F1F6AE1" w:rsidR="00DE73A9" w:rsidRPr="00DE73A9" w:rsidRDefault="00DE73A9" w:rsidP="00DE73A9">
    <w:pPr>
      <w:pStyle w:val="a5"/>
      <w:jc w:val="right"/>
    </w:pPr>
    <w:fldSimple w:instr=" TITLE  \* MERGEFORMAT ">
      <w:r w:rsidR="00D549F8">
        <w:t>ECE/TRANS/WP.29/2021/154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C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03C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3C37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49F8"/>
    <w:rsid w:val="00D873A8"/>
    <w:rsid w:val="00D90028"/>
    <w:rsid w:val="00D90138"/>
    <w:rsid w:val="00D9145B"/>
    <w:rsid w:val="00DD78D1"/>
    <w:rsid w:val="00DE32CD"/>
    <w:rsid w:val="00DE73A9"/>
    <w:rsid w:val="00DF5767"/>
    <w:rsid w:val="00DF71B9"/>
    <w:rsid w:val="00E0355E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4A9898"/>
  <w15:docId w15:val="{785B9B95-2FE2-46C5-8774-3D2A8A67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DE73A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DE73A9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DE73A9"/>
    <w:rPr>
      <w:lang w:val="ru-RU" w:eastAsia="en-US"/>
    </w:rPr>
  </w:style>
  <w:style w:type="paragraph" w:styleId="af3">
    <w:name w:val="List Paragraph"/>
    <w:basedOn w:val="a"/>
    <w:uiPriority w:val="34"/>
    <w:qFormat/>
    <w:rsid w:val="00DE73A9"/>
    <w:pPr>
      <w:suppressAutoHyphens w:val="0"/>
      <w:spacing w:line="240" w:lineRule="auto"/>
      <w:ind w:left="720"/>
      <w:contextualSpacing/>
    </w:pPr>
    <w:rPr>
      <w:rFonts w:ascii="Univers (W1)" w:eastAsia="Times New Roman" w:hAnsi="Univers (W1)" w:cs="Times New Roman"/>
      <w:szCs w:val="20"/>
      <w:lang w:val="en-GB"/>
    </w:rPr>
  </w:style>
  <w:style w:type="paragraph" w:styleId="af4">
    <w:name w:val="Normal (Web)"/>
    <w:basedOn w:val="a"/>
    <w:uiPriority w:val="99"/>
    <w:rsid w:val="00DE73A9"/>
    <w:rPr>
      <w:rFonts w:eastAsia="MS Mincho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595</Words>
  <Characters>4139</Characters>
  <Application>Microsoft Office Word</Application>
  <DocSecurity>0</DocSecurity>
  <Lines>105</Lines>
  <Paragraphs>47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ECE/TRANS/WP.29/2021/154</vt:lpstr>
      <vt:lpstr>A/</vt:lpstr>
      <vt:lpstr>A/</vt:lpstr>
    </vt:vector>
  </TitlesOfParts>
  <Company>DCM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ECE/TRANS/WP.29/2021/154</dc:title>
  <dc:subject/>
  <dc:creator>Marina KOROTKOVA</dc:creator>
  <cp:keywords/>
  <cp:lastModifiedBy>Marina KOROTKOVA</cp:lastModifiedBy>
  <cp:revision>3</cp:revision>
  <cp:lastPrinted>2021-10-04T13:42:00Z</cp:lastPrinted>
  <dcterms:created xsi:type="dcterms:W3CDTF">2021-10-04T13:42:00Z</dcterms:created>
  <dcterms:modified xsi:type="dcterms:W3CDTF">2021-10-04T13:43:00Z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