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98FA14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DC2C1D3" w14:textId="77777777" w:rsidR="00F35BAF" w:rsidRPr="00DB58B5" w:rsidRDefault="00F35BAF" w:rsidP="00A74C3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392A9B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C85F186" w14:textId="60D7C010" w:rsidR="00F35BAF" w:rsidRPr="00DB58B5" w:rsidRDefault="00A74C3C" w:rsidP="00A74C3C">
            <w:pPr>
              <w:jc w:val="right"/>
            </w:pPr>
            <w:r w:rsidRPr="00A74C3C">
              <w:rPr>
                <w:sz w:val="40"/>
              </w:rPr>
              <w:t>ECE</w:t>
            </w:r>
            <w:r>
              <w:t>/TRANS/WP.29/2021/139</w:t>
            </w:r>
          </w:p>
        </w:tc>
      </w:tr>
      <w:tr w:rsidR="00F35BAF" w:rsidRPr="00DB58B5" w14:paraId="443EFB7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2B2DE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B990153" wp14:editId="27D4A10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8C121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F00BAD8" w14:textId="77777777" w:rsidR="00F35BAF" w:rsidRDefault="00A74C3C" w:rsidP="00C97039">
            <w:pPr>
              <w:spacing w:before="240"/>
            </w:pPr>
            <w:r>
              <w:t>Distr. générale</w:t>
            </w:r>
          </w:p>
          <w:p w14:paraId="79849AF4" w14:textId="77777777" w:rsidR="00A74C3C" w:rsidRDefault="00A74C3C" w:rsidP="00A74C3C">
            <w:pPr>
              <w:spacing w:line="240" w:lineRule="exact"/>
            </w:pPr>
            <w:r>
              <w:t>8 septembre 2021</w:t>
            </w:r>
          </w:p>
          <w:p w14:paraId="7ACCA2C0" w14:textId="77777777" w:rsidR="00A74C3C" w:rsidRDefault="00A74C3C" w:rsidP="00A74C3C">
            <w:pPr>
              <w:spacing w:line="240" w:lineRule="exact"/>
            </w:pPr>
            <w:r>
              <w:t>Français</w:t>
            </w:r>
          </w:p>
          <w:p w14:paraId="759DDD48" w14:textId="0A0EF7BD" w:rsidR="00A74C3C" w:rsidRPr="00DB58B5" w:rsidRDefault="00A74C3C" w:rsidP="00A74C3C">
            <w:pPr>
              <w:spacing w:line="240" w:lineRule="exact"/>
            </w:pPr>
            <w:r>
              <w:t>Original : anglais</w:t>
            </w:r>
          </w:p>
        </w:tc>
      </w:tr>
    </w:tbl>
    <w:p w14:paraId="3F4196E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246651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56C6763" w14:textId="77777777" w:rsidR="00A74C3C" w:rsidRDefault="00A74C3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17114DB" w14:textId="77777777" w:rsidR="00A74C3C" w:rsidRPr="00F66D1F" w:rsidRDefault="00A74C3C" w:rsidP="00A74C3C">
      <w:pPr>
        <w:tabs>
          <w:tab w:val="center" w:pos="4819"/>
        </w:tabs>
        <w:spacing w:before="120"/>
        <w:rPr>
          <w:b/>
        </w:rPr>
      </w:pPr>
      <w:r w:rsidRPr="00F66D1F">
        <w:rPr>
          <w:b/>
        </w:rPr>
        <w:t>185</w:t>
      </w:r>
      <w:r w:rsidRPr="00F66D1F">
        <w:rPr>
          <w:b/>
          <w:vertAlign w:val="superscript"/>
        </w:rPr>
        <w:t>e</w:t>
      </w:r>
      <w:r w:rsidRPr="00F66D1F">
        <w:rPr>
          <w:b/>
        </w:rPr>
        <w:t xml:space="preserve"> session</w:t>
      </w:r>
    </w:p>
    <w:p w14:paraId="3A39C42A" w14:textId="77777777" w:rsidR="00A74C3C" w:rsidRPr="00F66D1F" w:rsidRDefault="00A74C3C" w:rsidP="00A74C3C">
      <w:r w:rsidRPr="00F66D1F">
        <w:t>Genève, 23-25 novembre 2021</w:t>
      </w:r>
    </w:p>
    <w:p w14:paraId="55275859" w14:textId="77777777" w:rsidR="00A74C3C" w:rsidRPr="00F66D1F" w:rsidRDefault="00A74C3C" w:rsidP="00A74C3C">
      <w:r w:rsidRPr="00F66D1F">
        <w:t>Point 4.10.4 de l</w:t>
      </w:r>
      <w:r>
        <w:t>’</w:t>
      </w:r>
      <w:r w:rsidRPr="00F66D1F">
        <w:t>ordre du jour provisoire</w:t>
      </w:r>
    </w:p>
    <w:p w14:paraId="6175270C" w14:textId="6053BFB7" w:rsidR="00A74C3C" w:rsidRPr="00F66D1F" w:rsidRDefault="00A74C3C" w:rsidP="00A74C3C">
      <w:pPr>
        <w:rPr>
          <w:b/>
        </w:rPr>
      </w:pPr>
      <w:r w:rsidRPr="00F66D1F">
        <w:rPr>
          <w:b/>
        </w:rPr>
        <w:t>Accord de 1958 :</w:t>
      </w:r>
      <w:r w:rsidRPr="00F66D1F">
        <w:rPr>
          <w:b/>
        </w:rPr>
        <w:br/>
      </w:r>
      <w:r w:rsidRPr="00F66D1F">
        <w:rPr>
          <w:b/>
          <w:bCs/>
        </w:rPr>
        <w:t>Examen de projets d</w:t>
      </w:r>
      <w:r>
        <w:rPr>
          <w:b/>
          <w:bCs/>
        </w:rPr>
        <w:t>’</w:t>
      </w:r>
      <w:r w:rsidRPr="00F66D1F">
        <w:rPr>
          <w:b/>
          <w:bCs/>
        </w:rPr>
        <w:t xml:space="preserve">amendements à des Règlements </w:t>
      </w:r>
      <w:r>
        <w:rPr>
          <w:b/>
          <w:bCs/>
        </w:rPr>
        <w:t xml:space="preserve">ONU </w:t>
      </w:r>
      <w:r w:rsidRPr="00F66D1F">
        <w:rPr>
          <w:b/>
          <w:bCs/>
        </w:rPr>
        <w:t xml:space="preserve">existants, </w:t>
      </w:r>
      <w:r>
        <w:rPr>
          <w:b/>
          <w:bCs/>
        </w:rPr>
        <w:br/>
      </w:r>
      <w:r w:rsidRPr="00F66D1F">
        <w:rPr>
          <w:b/>
          <w:bCs/>
        </w:rPr>
        <w:t xml:space="preserve">soumis par le </w:t>
      </w:r>
      <w:r w:rsidRPr="00F66D1F">
        <w:rPr>
          <w:b/>
        </w:rPr>
        <w:t>GRVA</w:t>
      </w:r>
    </w:p>
    <w:p w14:paraId="6667D398" w14:textId="1A9F01E5" w:rsidR="00A74C3C" w:rsidRPr="00F66D1F" w:rsidRDefault="00A74C3C" w:rsidP="00A74C3C">
      <w:pPr>
        <w:pStyle w:val="HChG"/>
      </w:pPr>
      <w:r w:rsidRPr="00F66D1F">
        <w:tab/>
      </w:r>
      <w:r w:rsidRPr="00F66D1F">
        <w:tab/>
        <w:t>Proposition de complément 7 à la série 02 d</w:t>
      </w:r>
      <w:r>
        <w:t>’</w:t>
      </w:r>
      <w:r w:rsidRPr="00F66D1F">
        <w:t xml:space="preserve">amendements </w:t>
      </w:r>
      <w:r>
        <w:br/>
      </w:r>
      <w:r w:rsidRPr="00F66D1F">
        <w:t>au Règlement ONU n</w:t>
      </w:r>
      <w:r w:rsidRPr="00F66D1F">
        <w:rPr>
          <w:vertAlign w:val="superscript"/>
        </w:rPr>
        <w:t>o</w:t>
      </w:r>
      <w:r w:rsidRPr="00F66D1F">
        <w:t> 90 (</w:t>
      </w:r>
      <w:r w:rsidRPr="00994DE4">
        <w:t>Pièces de rechange pour systèmes de freinage</w:t>
      </w:r>
      <w:r w:rsidRPr="00F66D1F">
        <w:t>)</w:t>
      </w:r>
    </w:p>
    <w:p w14:paraId="382D5F10" w14:textId="77777777" w:rsidR="00A74C3C" w:rsidRPr="00F66D1F" w:rsidRDefault="00A74C3C" w:rsidP="00A74C3C">
      <w:pPr>
        <w:pStyle w:val="H1G"/>
      </w:pPr>
      <w:r w:rsidRPr="00F66D1F">
        <w:tab/>
      </w:r>
      <w:r w:rsidRPr="00F66D1F">
        <w:tab/>
        <w:t>Communication du Groupe de travail des véhicules automatisés/autonomes et connectés</w:t>
      </w:r>
      <w:r w:rsidRPr="00A74C3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FA4B16B" w14:textId="77777777" w:rsidR="00A74C3C" w:rsidRPr="00F66D1F" w:rsidRDefault="00A74C3C" w:rsidP="00A74C3C">
      <w:pPr>
        <w:pStyle w:val="SingleTxtG"/>
        <w:ind w:firstLine="567"/>
        <w:rPr>
          <w:spacing w:val="-2"/>
        </w:rPr>
      </w:pPr>
      <w:r w:rsidRPr="00F66D1F">
        <w:rPr>
          <w:spacing w:val="-2"/>
        </w:rPr>
        <w:t xml:space="preserve">Le texte ci-après, adopté par le Groupe de travail des véhicules automatisés/autonomes et connectés </w:t>
      </w:r>
      <w:r w:rsidRPr="00F66D1F">
        <w:rPr>
          <w:spacing w:val="-2"/>
          <w:szCs w:val="24"/>
        </w:rPr>
        <w:t>(GRVA)</w:t>
      </w:r>
      <w:r w:rsidRPr="00F66D1F">
        <w:rPr>
          <w:spacing w:val="-2"/>
        </w:rPr>
        <w:t xml:space="preserve"> à sa dixième session en mai 2021 (</w:t>
      </w:r>
      <w:r w:rsidRPr="00F66D1F">
        <w:t>ECE/TRANS/WP.29/GRVA/10, par. 87</w:t>
      </w:r>
      <w:r w:rsidRPr="00F66D1F">
        <w:rPr>
          <w:spacing w:val="-2"/>
        </w:rPr>
        <w:t>), est fondé sur l</w:t>
      </w:r>
      <w:r>
        <w:rPr>
          <w:spacing w:val="-2"/>
        </w:rPr>
        <w:t>’</w:t>
      </w:r>
      <w:r w:rsidRPr="00F66D1F">
        <w:rPr>
          <w:spacing w:val="-2"/>
        </w:rPr>
        <w:t>annexe VII du rapport de la session. Il est soumis au Forum mondial de l</w:t>
      </w:r>
      <w:r>
        <w:rPr>
          <w:spacing w:val="-2"/>
        </w:rPr>
        <w:t>’</w:t>
      </w:r>
      <w:r w:rsidRPr="00F66D1F">
        <w:rPr>
          <w:spacing w:val="-2"/>
        </w:rPr>
        <w:t>harmonisation des Règlements concernant les véhicules (WP.29) et au Comité d</w:t>
      </w:r>
      <w:r>
        <w:rPr>
          <w:spacing w:val="-2"/>
        </w:rPr>
        <w:t>’</w:t>
      </w:r>
      <w:r w:rsidRPr="00F66D1F">
        <w:rPr>
          <w:spacing w:val="-2"/>
        </w:rPr>
        <w:t>administration de l</w:t>
      </w:r>
      <w:r>
        <w:rPr>
          <w:spacing w:val="-2"/>
        </w:rPr>
        <w:t>’</w:t>
      </w:r>
      <w:r w:rsidRPr="00F66D1F">
        <w:rPr>
          <w:spacing w:val="-2"/>
        </w:rPr>
        <w:t>Accord de 1958 (AC.1) pour examen à leurs sessions de novembre 2021.</w:t>
      </w:r>
    </w:p>
    <w:p w14:paraId="2C373016" w14:textId="77777777" w:rsidR="00A74C3C" w:rsidRPr="00F66D1F" w:rsidRDefault="00A74C3C" w:rsidP="00A74C3C">
      <w:r w:rsidRPr="00F66D1F">
        <w:br w:type="page"/>
      </w:r>
    </w:p>
    <w:p w14:paraId="5C3C8A24" w14:textId="77777777" w:rsidR="00A74C3C" w:rsidRPr="00F66D1F" w:rsidRDefault="00A74C3C" w:rsidP="00A74C3C">
      <w:pPr>
        <w:pStyle w:val="SingleTxtG"/>
        <w:tabs>
          <w:tab w:val="left" w:pos="2268"/>
        </w:tabs>
        <w:rPr>
          <w:bCs/>
          <w:i/>
          <w:iCs/>
        </w:rPr>
      </w:pPr>
      <w:r w:rsidRPr="00F66D1F">
        <w:rPr>
          <w:bCs/>
          <w:i/>
          <w:iCs/>
        </w:rPr>
        <w:lastRenderedPageBreak/>
        <w:t>Annexe 9, partie A, ajouter un nouveau paragraphe 3.1.1.1 (après le paragraphe 3.1.1)</w:t>
      </w:r>
      <w:r w:rsidRPr="00F66D1F">
        <w:rPr>
          <w:bCs/>
        </w:rPr>
        <w:t>,</w:t>
      </w:r>
      <w:r w:rsidRPr="00F66D1F">
        <w:rPr>
          <w:bCs/>
          <w:i/>
          <w:iCs/>
        </w:rPr>
        <w:t xml:space="preserve"> </w:t>
      </w:r>
      <w:r w:rsidRPr="00F66D1F">
        <w:rPr>
          <w:bCs/>
        </w:rPr>
        <w:t>libellé comme suit :</w:t>
      </w:r>
    </w:p>
    <w:p w14:paraId="198C723A" w14:textId="55CAAC8C" w:rsidR="00A74C3C" w:rsidRPr="00F66D1F" w:rsidRDefault="00A74C3C" w:rsidP="00A74C3C">
      <w:pPr>
        <w:pStyle w:val="SingleTxtG"/>
        <w:ind w:left="2268" w:hanging="1134"/>
      </w:pPr>
      <w:r w:rsidRPr="00F66D1F">
        <w:rPr>
          <w:lang w:eastAsia="en-GB"/>
        </w:rPr>
        <w:t>« 3.1.1.1</w:t>
      </w:r>
      <w:r w:rsidRPr="00F66D1F">
        <w:rPr>
          <w:lang w:eastAsia="en-GB"/>
        </w:rPr>
        <w:tab/>
      </w:r>
      <w:r>
        <w:rPr>
          <w:lang w:eastAsia="en-GB"/>
        </w:rPr>
        <w:t>À défaut, l</w:t>
      </w:r>
      <w:r w:rsidRPr="00F66D1F">
        <w:rPr>
          <w:lang w:eastAsia="en-GB"/>
        </w:rPr>
        <w:t>e banc peut être équipé d</w:t>
      </w:r>
      <w:r>
        <w:rPr>
          <w:lang w:eastAsia="en-GB"/>
        </w:rPr>
        <w:t>’</w:t>
      </w:r>
      <w:r w:rsidRPr="00F66D1F">
        <w:rPr>
          <w:lang w:eastAsia="en-GB"/>
        </w:rPr>
        <w:t xml:space="preserve">un frein à disque </w:t>
      </w:r>
      <w:r w:rsidRPr="00FD1C47">
        <w:rPr>
          <w:lang w:eastAsia="en-GB"/>
        </w:rPr>
        <w:t>et d</w:t>
      </w:r>
      <w:r>
        <w:rPr>
          <w:lang w:eastAsia="en-GB"/>
        </w:rPr>
        <w:t>’</w:t>
      </w:r>
      <w:r w:rsidRPr="00FD1C47">
        <w:rPr>
          <w:lang w:eastAsia="en-GB"/>
        </w:rPr>
        <w:t xml:space="preserve">un disque correspondant </w:t>
      </w:r>
      <w:r>
        <w:rPr>
          <w:lang w:eastAsia="en-GB"/>
        </w:rPr>
        <w:t>d’</w:t>
      </w:r>
      <w:r w:rsidRPr="00F66D1F">
        <w:rPr>
          <w:lang w:eastAsia="en-GB"/>
        </w:rPr>
        <w:t xml:space="preserve">un diamètre de 278 </w:t>
      </w:r>
      <w:r>
        <w:rPr>
          <w:lang w:eastAsia="en-GB"/>
        </w:rPr>
        <w:sym w:font="Symbol" w:char="F0B1"/>
      </w:r>
      <w:r w:rsidRPr="00F66D1F">
        <w:rPr>
          <w:lang w:eastAsia="en-GB"/>
        </w:rPr>
        <w:t xml:space="preserve"> 2 mm </w:t>
      </w:r>
      <w:r>
        <w:rPr>
          <w:lang w:eastAsia="en-GB"/>
        </w:rPr>
        <w:t>permettant à</w:t>
      </w:r>
      <w:r w:rsidRPr="00F66D1F">
        <w:rPr>
          <w:lang w:eastAsia="en-GB"/>
        </w:rPr>
        <w:t xml:space="preserve"> un morceau rectangulaire du matériau de friction d</w:t>
      </w:r>
      <w:r>
        <w:rPr>
          <w:lang w:eastAsia="en-GB"/>
        </w:rPr>
        <w:t>’</w:t>
      </w:r>
      <w:r w:rsidRPr="00F66D1F">
        <w:rPr>
          <w:lang w:eastAsia="en-GB"/>
        </w:rPr>
        <w:t>une superficie de 44 cm</w:t>
      </w:r>
      <w:r w:rsidRPr="00F66D1F">
        <w:rPr>
          <w:vertAlign w:val="superscript"/>
          <w:lang w:eastAsia="en-GB"/>
        </w:rPr>
        <w:t>2</w:t>
      </w:r>
      <w:r w:rsidRPr="00F66D1F">
        <w:rPr>
          <w:lang w:eastAsia="en-GB"/>
        </w:rPr>
        <w:t xml:space="preserve"> </w:t>
      </w:r>
      <w:r>
        <w:rPr>
          <w:lang w:eastAsia="en-GB"/>
        </w:rPr>
        <w:sym w:font="Symbol" w:char="F0B1"/>
      </w:r>
      <w:r w:rsidRPr="00F66D1F">
        <w:rPr>
          <w:lang w:eastAsia="en-GB"/>
        </w:rPr>
        <w:t xml:space="preserve"> 0,5 cm</w:t>
      </w:r>
      <w:r w:rsidRPr="00F66D1F">
        <w:rPr>
          <w:vertAlign w:val="superscript"/>
          <w:lang w:eastAsia="en-GB"/>
        </w:rPr>
        <w:t>2</w:t>
      </w:r>
      <w:r w:rsidRPr="00F66D1F">
        <w:rPr>
          <w:lang w:eastAsia="en-GB"/>
        </w:rPr>
        <w:t xml:space="preserve"> et d</w:t>
      </w:r>
      <w:r>
        <w:rPr>
          <w:lang w:eastAsia="en-GB"/>
        </w:rPr>
        <w:t>’</w:t>
      </w:r>
      <w:r w:rsidRPr="00F66D1F">
        <w:rPr>
          <w:lang w:eastAsia="en-GB"/>
        </w:rPr>
        <w:t>une épaisseur d</w:t>
      </w:r>
      <w:r>
        <w:rPr>
          <w:lang w:eastAsia="en-GB"/>
        </w:rPr>
        <w:t>’</w:t>
      </w:r>
      <w:r w:rsidRPr="00F66D1F">
        <w:rPr>
          <w:lang w:eastAsia="en-GB"/>
        </w:rPr>
        <w:t xml:space="preserve">au moins 6 mm </w:t>
      </w:r>
      <w:r>
        <w:rPr>
          <w:lang w:eastAsia="en-GB"/>
        </w:rPr>
        <w:t>d’</w:t>
      </w:r>
      <w:r w:rsidRPr="00F66D1F">
        <w:rPr>
          <w:lang w:eastAsia="en-GB"/>
        </w:rPr>
        <w:t>être fixé sur les semelles du frein à disque.</w:t>
      </w:r>
    </w:p>
    <w:p w14:paraId="3C06EB2B" w14:textId="77777777" w:rsidR="00A74C3C" w:rsidRPr="00F66D1F" w:rsidRDefault="00A74C3C" w:rsidP="00A74C3C">
      <w:pPr>
        <w:pStyle w:val="SingleTxtG"/>
        <w:ind w:left="2268"/>
        <w:rPr>
          <w:lang w:eastAsia="en-GB"/>
        </w:rPr>
      </w:pPr>
      <w:r>
        <w:rPr>
          <w:lang w:eastAsia="en-GB"/>
        </w:rPr>
        <w:t>Dans ce cas,</w:t>
      </w:r>
      <w:r w:rsidRPr="00F66D1F">
        <w:rPr>
          <w:lang w:eastAsia="en-GB"/>
        </w:rPr>
        <w:t xml:space="preserve"> </w:t>
      </w:r>
      <w:r>
        <w:rPr>
          <w:lang w:eastAsia="en-GB"/>
        </w:rPr>
        <w:t xml:space="preserve">les </w:t>
      </w:r>
      <w:r w:rsidRPr="0061526A">
        <w:rPr>
          <w:lang w:eastAsia="en-GB"/>
        </w:rPr>
        <w:t>coefficient</w:t>
      </w:r>
      <w:r>
        <w:rPr>
          <w:lang w:eastAsia="en-GB"/>
        </w:rPr>
        <w:t>s</w:t>
      </w:r>
      <w:r w:rsidRPr="0061526A">
        <w:rPr>
          <w:lang w:eastAsia="en-GB"/>
        </w:rPr>
        <w:t xml:space="preserve"> </w:t>
      </w:r>
      <w:r>
        <w:rPr>
          <w:lang w:eastAsia="en-GB"/>
        </w:rPr>
        <w:t>de frottement</w:t>
      </w:r>
      <w:r w:rsidRPr="00F66D1F">
        <w:rPr>
          <w:lang w:eastAsia="en-GB"/>
        </w:rPr>
        <w:t xml:space="preserve"> </w:t>
      </w:r>
      <w:r>
        <w:rPr>
          <w:lang w:eastAsia="en-GB"/>
        </w:rPr>
        <w:t>enregistrés</w:t>
      </w:r>
      <w:r w:rsidRPr="00F66D1F">
        <w:rPr>
          <w:lang w:eastAsia="en-GB"/>
        </w:rPr>
        <w:t xml:space="preserve"> </w:t>
      </w:r>
      <w:r>
        <w:rPr>
          <w:lang w:eastAsia="en-GB"/>
        </w:rPr>
        <w:t xml:space="preserve">à utiliser pour les </w:t>
      </w:r>
      <w:r w:rsidRPr="00E36625">
        <w:rPr>
          <w:lang w:eastAsia="en-GB"/>
        </w:rPr>
        <w:t>essais de conformité de la production</w:t>
      </w:r>
      <w:r w:rsidRPr="00F66D1F">
        <w:rPr>
          <w:lang w:eastAsia="en-GB"/>
        </w:rPr>
        <w:t xml:space="preserve"> </w:t>
      </w:r>
      <w:r>
        <w:rPr>
          <w:lang w:eastAsia="en-GB"/>
        </w:rPr>
        <w:t>doivent être</w:t>
      </w:r>
      <w:r w:rsidRPr="00F66D1F">
        <w:rPr>
          <w:lang w:eastAsia="en-GB"/>
        </w:rPr>
        <w:t xml:space="preserve"> </w:t>
      </w:r>
      <w:r>
        <w:rPr>
          <w:lang w:eastAsia="en-GB"/>
        </w:rPr>
        <w:t xml:space="preserve">définis en </w:t>
      </w:r>
      <w:r w:rsidRPr="00F66D1F">
        <w:rPr>
          <w:lang w:eastAsia="en-GB"/>
        </w:rPr>
        <w:t>accord</w:t>
      </w:r>
      <w:r>
        <w:rPr>
          <w:lang w:eastAsia="en-GB"/>
        </w:rPr>
        <w:t xml:space="preserve"> avec le </w:t>
      </w:r>
      <w:r w:rsidRPr="00F66D1F">
        <w:rPr>
          <w:lang w:eastAsia="en-GB"/>
        </w:rPr>
        <w:t xml:space="preserve">service </w:t>
      </w:r>
      <w:r>
        <w:rPr>
          <w:lang w:eastAsia="en-GB"/>
        </w:rPr>
        <w:t xml:space="preserve">technique compétent dans le cadre d’essais </w:t>
      </w:r>
      <w:r w:rsidRPr="00F66D1F">
        <w:rPr>
          <w:lang w:eastAsia="en-GB"/>
        </w:rPr>
        <w:t>comparati</w:t>
      </w:r>
      <w:r>
        <w:rPr>
          <w:lang w:eastAsia="en-GB"/>
        </w:rPr>
        <w:t>fs</w:t>
      </w:r>
      <w:r w:rsidRPr="00F66D1F">
        <w:rPr>
          <w:lang w:eastAsia="en-GB"/>
        </w:rPr>
        <w:t xml:space="preserve"> </w:t>
      </w:r>
      <w:r>
        <w:rPr>
          <w:lang w:eastAsia="en-GB"/>
        </w:rPr>
        <w:t>réalisés sur un seul et même</w:t>
      </w:r>
      <w:r w:rsidRPr="00F66D1F">
        <w:rPr>
          <w:lang w:eastAsia="en-GB"/>
        </w:rPr>
        <w:t xml:space="preserve"> </w:t>
      </w:r>
      <w:r>
        <w:rPr>
          <w:lang w:eastAsia="en-GB"/>
        </w:rPr>
        <w:t>lot de</w:t>
      </w:r>
      <w:r w:rsidRPr="009C65E9">
        <w:rPr>
          <w:lang w:eastAsia="en-GB"/>
        </w:rPr>
        <w:t xml:space="preserve"> </w:t>
      </w:r>
      <w:r w:rsidRPr="00F66D1F">
        <w:rPr>
          <w:lang w:eastAsia="en-GB"/>
        </w:rPr>
        <w:t>matériau de friction</w:t>
      </w:r>
      <w:r>
        <w:rPr>
          <w:lang w:eastAsia="en-GB"/>
        </w:rPr>
        <w:t xml:space="preserve"> au moyen de l’appareillage</w:t>
      </w:r>
      <w:r w:rsidRPr="00F66D1F">
        <w:rPr>
          <w:lang w:eastAsia="en-GB"/>
        </w:rPr>
        <w:t xml:space="preserve"> </w:t>
      </w:r>
      <w:r>
        <w:rPr>
          <w:lang w:eastAsia="en-GB"/>
        </w:rPr>
        <w:t>indiqué au paragraphe </w:t>
      </w:r>
      <w:r w:rsidRPr="00F66D1F">
        <w:rPr>
          <w:lang w:eastAsia="en-GB"/>
        </w:rPr>
        <w:t xml:space="preserve">3.1.1 </w:t>
      </w:r>
      <w:r>
        <w:rPr>
          <w:lang w:eastAsia="en-GB"/>
        </w:rPr>
        <w:t>et de l’appareillage de remplacement</w:t>
      </w:r>
      <w:r w:rsidRPr="00F66D1F">
        <w:rPr>
          <w:lang w:eastAsia="en-GB"/>
        </w:rPr>
        <w:t>.</w:t>
      </w:r>
    </w:p>
    <w:p w14:paraId="7078B120" w14:textId="77777777" w:rsidR="00A74C3C" w:rsidRPr="00F66D1F" w:rsidRDefault="00A74C3C" w:rsidP="00A74C3C">
      <w:pPr>
        <w:pStyle w:val="SingleTxtG"/>
        <w:ind w:left="2268"/>
      </w:pPr>
      <w:r>
        <w:rPr>
          <w:lang w:eastAsia="en-GB"/>
        </w:rPr>
        <w:t>Le demandeur</w:t>
      </w:r>
      <w:r w:rsidRPr="00F66D1F">
        <w:rPr>
          <w:lang w:eastAsia="en-GB"/>
        </w:rPr>
        <w:t xml:space="preserve"> </w:t>
      </w:r>
      <w:r>
        <w:rPr>
          <w:lang w:eastAsia="en-GB"/>
        </w:rPr>
        <w:t xml:space="preserve">doit communiquer les </w:t>
      </w:r>
      <w:r w:rsidRPr="0061526A">
        <w:rPr>
          <w:lang w:eastAsia="en-GB"/>
        </w:rPr>
        <w:t>coefficient</w:t>
      </w:r>
      <w:r>
        <w:rPr>
          <w:lang w:eastAsia="en-GB"/>
        </w:rPr>
        <w:t>s</w:t>
      </w:r>
      <w:r w:rsidRPr="0061526A">
        <w:rPr>
          <w:lang w:eastAsia="en-GB"/>
        </w:rPr>
        <w:t xml:space="preserve"> </w:t>
      </w:r>
      <w:r>
        <w:rPr>
          <w:lang w:eastAsia="en-GB"/>
        </w:rPr>
        <w:t>de</w:t>
      </w:r>
      <w:r w:rsidRPr="00F66D1F">
        <w:rPr>
          <w:lang w:eastAsia="en-GB"/>
        </w:rPr>
        <w:t xml:space="preserve"> </w:t>
      </w:r>
      <w:r>
        <w:rPr>
          <w:lang w:eastAsia="en-GB"/>
        </w:rPr>
        <w:t>frottement résultant du recours à l’appareillage de remplacement</w:t>
      </w:r>
      <w:r w:rsidRPr="00F66D1F">
        <w:rPr>
          <w:lang w:eastAsia="en-GB"/>
        </w:rPr>
        <w:t xml:space="preserve"> </w:t>
      </w:r>
      <w:r>
        <w:rPr>
          <w:lang w:eastAsia="en-GB"/>
        </w:rPr>
        <w:t xml:space="preserve">conformément au </w:t>
      </w:r>
      <w:r w:rsidRPr="00F66D1F">
        <w:rPr>
          <w:lang w:eastAsia="en-GB"/>
        </w:rPr>
        <w:t>paragraph</w:t>
      </w:r>
      <w:r>
        <w:rPr>
          <w:lang w:eastAsia="en-GB"/>
        </w:rPr>
        <w:t>e</w:t>
      </w:r>
      <w:r w:rsidRPr="00F66D1F">
        <w:rPr>
          <w:lang w:eastAsia="en-GB"/>
        </w:rPr>
        <w:t> 3.4.1</w:t>
      </w:r>
      <w:r>
        <w:rPr>
          <w:lang w:eastAsia="en-GB"/>
        </w:rPr>
        <w:t xml:space="preserve"> de l’annexe 9 du présent</w:t>
      </w:r>
      <w:r w:rsidRPr="00F66D1F">
        <w:rPr>
          <w:lang w:eastAsia="en-GB"/>
        </w:rPr>
        <w:t xml:space="preserve"> </w:t>
      </w:r>
      <w:r>
        <w:rPr>
          <w:lang w:eastAsia="en-GB"/>
        </w:rPr>
        <w:t>Règlement et les</w:t>
      </w:r>
      <w:r w:rsidRPr="00F66D1F">
        <w:rPr>
          <w:lang w:eastAsia="en-GB"/>
        </w:rPr>
        <w:t xml:space="preserve"> résult</w:t>
      </w:r>
      <w:r>
        <w:rPr>
          <w:lang w:eastAsia="en-GB"/>
        </w:rPr>
        <w:t>at</w:t>
      </w:r>
      <w:r w:rsidRPr="00F66D1F">
        <w:rPr>
          <w:lang w:eastAsia="en-GB"/>
        </w:rPr>
        <w:t xml:space="preserve">s </w:t>
      </w:r>
      <w:r>
        <w:rPr>
          <w:lang w:eastAsia="en-GB"/>
        </w:rPr>
        <w:t>doivent être annexés au procès-verbal de l’homologation de type</w:t>
      </w:r>
      <w:r w:rsidRPr="00F66D1F">
        <w:rPr>
          <w:lang w:eastAsia="en-GB"/>
        </w:rPr>
        <w:t>. ».</w:t>
      </w:r>
    </w:p>
    <w:p w14:paraId="61301707" w14:textId="77777777" w:rsidR="00A74C3C" w:rsidRPr="00F66D1F" w:rsidRDefault="00A74C3C" w:rsidP="00A74C3C">
      <w:pPr>
        <w:spacing w:before="240"/>
        <w:jc w:val="center"/>
        <w:rPr>
          <w:u w:val="single"/>
        </w:rPr>
      </w:pPr>
      <w:r w:rsidRPr="00F66D1F">
        <w:rPr>
          <w:u w:val="single"/>
        </w:rPr>
        <w:tab/>
      </w:r>
      <w:r w:rsidRPr="00F66D1F">
        <w:rPr>
          <w:u w:val="single"/>
        </w:rPr>
        <w:tab/>
      </w:r>
      <w:r w:rsidRPr="00F66D1F">
        <w:rPr>
          <w:u w:val="single"/>
        </w:rPr>
        <w:tab/>
      </w:r>
    </w:p>
    <w:p w14:paraId="464E98F8" w14:textId="77777777" w:rsidR="00F9573C" w:rsidRDefault="00F9573C" w:rsidP="00A74C3C">
      <w:pPr>
        <w:spacing w:before="120" w:after="120" w:line="240" w:lineRule="exact"/>
      </w:pPr>
    </w:p>
    <w:sectPr w:rsidR="00F9573C" w:rsidSect="00A74C3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43864" w14:textId="77777777" w:rsidR="006245E3" w:rsidRDefault="006245E3" w:rsidP="00F95C08">
      <w:pPr>
        <w:spacing w:line="240" w:lineRule="auto"/>
      </w:pPr>
    </w:p>
  </w:endnote>
  <w:endnote w:type="continuationSeparator" w:id="0">
    <w:p w14:paraId="28D4C8BE" w14:textId="77777777" w:rsidR="006245E3" w:rsidRPr="00AC3823" w:rsidRDefault="006245E3" w:rsidP="00AC3823">
      <w:pPr>
        <w:pStyle w:val="Pieddepage"/>
      </w:pPr>
    </w:p>
  </w:endnote>
  <w:endnote w:type="continuationNotice" w:id="1">
    <w:p w14:paraId="78D0F091" w14:textId="77777777" w:rsidR="006245E3" w:rsidRDefault="006245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13D1" w14:textId="1CE1C105" w:rsidR="00A74C3C" w:rsidRPr="00A74C3C" w:rsidRDefault="00A74C3C" w:rsidP="00A74C3C">
    <w:pPr>
      <w:pStyle w:val="Pieddepage"/>
      <w:tabs>
        <w:tab w:val="right" w:pos="9638"/>
      </w:tabs>
    </w:pPr>
    <w:r w:rsidRPr="00A74C3C">
      <w:rPr>
        <w:b/>
        <w:sz w:val="18"/>
      </w:rPr>
      <w:fldChar w:fldCharType="begin"/>
    </w:r>
    <w:r w:rsidRPr="00A74C3C">
      <w:rPr>
        <w:b/>
        <w:sz w:val="18"/>
      </w:rPr>
      <w:instrText xml:space="preserve"> PAGE  \* MERGEFORMAT </w:instrText>
    </w:r>
    <w:r w:rsidRPr="00A74C3C">
      <w:rPr>
        <w:b/>
        <w:sz w:val="18"/>
      </w:rPr>
      <w:fldChar w:fldCharType="separate"/>
    </w:r>
    <w:r w:rsidRPr="00A74C3C">
      <w:rPr>
        <w:b/>
        <w:noProof/>
        <w:sz w:val="18"/>
      </w:rPr>
      <w:t>2</w:t>
    </w:r>
    <w:r w:rsidRPr="00A74C3C">
      <w:rPr>
        <w:b/>
        <w:sz w:val="18"/>
      </w:rPr>
      <w:fldChar w:fldCharType="end"/>
    </w:r>
    <w:r>
      <w:rPr>
        <w:b/>
        <w:sz w:val="18"/>
      </w:rPr>
      <w:tab/>
    </w:r>
    <w:r>
      <w:t>GE.21-12575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05549" w14:textId="10089AAF" w:rsidR="00A74C3C" w:rsidRPr="00A74C3C" w:rsidRDefault="00A74C3C" w:rsidP="00A74C3C">
    <w:pPr>
      <w:pStyle w:val="Pieddepage"/>
      <w:tabs>
        <w:tab w:val="right" w:pos="9638"/>
      </w:tabs>
      <w:rPr>
        <w:b/>
        <w:sz w:val="18"/>
      </w:rPr>
    </w:pPr>
    <w:r>
      <w:t>GE.21-12575</w:t>
    </w:r>
    <w:r>
      <w:tab/>
    </w:r>
    <w:r w:rsidRPr="00A74C3C">
      <w:rPr>
        <w:b/>
        <w:sz w:val="18"/>
      </w:rPr>
      <w:fldChar w:fldCharType="begin"/>
    </w:r>
    <w:r w:rsidRPr="00A74C3C">
      <w:rPr>
        <w:b/>
        <w:sz w:val="18"/>
      </w:rPr>
      <w:instrText xml:space="preserve"> PAGE  \* MERGEFORMAT </w:instrText>
    </w:r>
    <w:r w:rsidRPr="00A74C3C">
      <w:rPr>
        <w:b/>
        <w:sz w:val="18"/>
      </w:rPr>
      <w:fldChar w:fldCharType="separate"/>
    </w:r>
    <w:r w:rsidRPr="00A74C3C">
      <w:rPr>
        <w:b/>
        <w:noProof/>
        <w:sz w:val="18"/>
      </w:rPr>
      <w:t>3</w:t>
    </w:r>
    <w:r w:rsidRPr="00A74C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6301" w14:textId="3F6E9C11" w:rsidR="007F20FA" w:rsidRPr="00A74C3C" w:rsidRDefault="00A74C3C" w:rsidP="00A74C3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176BEAC" wp14:editId="4FE2447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21-12575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9FAC5B6" wp14:editId="66EE873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011021    011021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13A4B" w14:textId="77777777" w:rsidR="006245E3" w:rsidRPr="00AC3823" w:rsidRDefault="006245E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4BDE57" w14:textId="77777777" w:rsidR="006245E3" w:rsidRPr="00AC3823" w:rsidRDefault="006245E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68C2DA3" w14:textId="77777777" w:rsidR="006245E3" w:rsidRPr="00AC3823" w:rsidRDefault="006245E3">
      <w:pPr>
        <w:spacing w:line="240" w:lineRule="auto"/>
        <w:rPr>
          <w:sz w:val="2"/>
          <w:szCs w:val="2"/>
        </w:rPr>
      </w:pPr>
    </w:p>
  </w:footnote>
  <w:footnote w:id="2">
    <w:p w14:paraId="0CF051DF" w14:textId="77777777" w:rsidR="00A74C3C" w:rsidRPr="00994DE4" w:rsidRDefault="00A74C3C" w:rsidP="00A74C3C">
      <w:pPr>
        <w:pStyle w:val="Notedebasdepage"/>
        <w:rPr>
          <w:lang w:val="fr-FR"/>
        </w:rPr>
      </w:pPr>
      <w:r>
        <w:rPr>
          <w:sz w:val="20"/>
        </w:rPr>
        <w:tab/>
      </w:r>
      <w:r w:rsidRPr="00A74C3C">
        <w:rPr>
          <w:rStyle w:val="Appelnotedebasdep"/>
          <w:sz w:val="20"/>
          <w:vertAlign w:val="baseline"/>
          <w:lang w:val="fr-FR"/>
        </w:rPr>
        <w:t>*</w:t>
      </w:r>
      <w:r w:rsidRPr="00994DE4">
        <w:rPr>
          <w:lang w:val="fr-FR"/>
        </w:rPr>
        <w:tab/>
      </w:r>
      <w:r w:rsidRPr="005E240F">
        <w:rPr>
          <w:szCs w:val="18"/>
          <w:lang w:val="fr-FR"/>
        </w:rPr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</w:t>
      </w:r>
      <w:r w:rsidRPr="00994DE4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C9F5" w14:textId="62346042" w:rsidR="00A74C3C" w:rsidRPr="00A74C3C" w:rsidRDefault="00A74C3C">
    <w:pPr>
      <w:pStyle w:val="En-tte"/>
    </w:pPr>
    <w:fldSimple w:instr=" TITLE  \* MERGEFORMAT ">
      <w:r>
        <w:t>ECE/TRANS/WP.29/2021/139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00E65" w14:textId="492BFCC3" w:rsidR="00A74C3C" w:rsidRPr="00A74C3C" w:rsidRDefault="00A74C3C" w:rsidP="00A74C3C">
    <w:pPr>
      <w:pStyle w:val="En-tte"/>
      <w:jc w:val="right"/>
    </w:pPr>
    <w:fldSimple w:instr=" TITLE  \* MERGEFORMAT ">
      <w:r>
        <w:t>ECE/TRANS/WP.29/2021/139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E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35E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245E3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74C3C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810C5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2A0B95"/>
  <w15:docId w15:val="{72FFF941-1AA4-40FF-8531-CB75179F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basedOn w:val="Policepardfaut"/>
    <w:link w:val="Notedebasdepage"/>
    <w:uiPriority w:val="99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Policepardfaut"/>
    <w:link w:val="SingleTxtG"/>
    <w:qFormat/>
    <w:rsid w:val="00A74C3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74C3C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SingleTxtG"/>
    <w:link w:val="paraChar"/>
    <w:qFormat/>
    <w:rsid w:val="00A74C3C"/>
    <w:pPr>
      <w:kinsoku/>
      <w:overflowPunct/>
      <w:autoSpaceDE/>
      <w:autoSpaceDN/>
      <w:adjustRightInd/>
      <w:snapToGrid/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A74C3C"/>
    <w:rPr>
      <w:rFonts w:ascii="Times New Roman" w:eastAsia="Yu Mincho" w:hAnsi="Times New Roman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329</Words>
  <Characters>1814</Characters>
  <Application>Microsoft Office Word</Application>
  <DocSecurity>0</DocSecurity>
  <Lines>46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ECE/TRANS/WP.29/2021/139</vt:lpstr>
    </vt:vector>
  </TitlesOfParts>
  <Company>DCM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ECE/TRANS/WP.29/2021/139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2021-10-01T08:40:00Z</dcterms:created>
  <dcterms:modified xsi:type="dcterms:W3CDTF">2021-10-01T08:40:00Z</dcterms:modified>
</cp:coreProperties>
</file>