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FD1045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6F09B6" w14:textId="77777777" w:rsidR="002D5AAC" w:rsidRDefault="002D5AAC" w:rsidP="00C54C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D48BE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072987" w14:textId="6CA7A06C" w:rsidR="002D5AAC" w:rsidRDefault="00C54CBF" w:rsidP="00C54CBF">
            <w:pPr>
              <w:jc w:val="right"/>
            </w:pPr>
            <w:r w:rsidRPr="00C54CBF">
              <w:rPr>
                <w:sz w:val="40"/>
              </w:rPr>
              <w:t>ECE</w:t>
            </w:r>
            <w:r>
              <w:t>/TRANS/WP.15/2021/15</w:t>
            </w:r>
          </w:p>
        </w:tc>
      </w:tr>
      <w:tr w:rsidR="002D5AAC" w:rsidRPr="00614729" w14:paraId="6BB2E5B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0A192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7A1CD2" wp14:editId="54B0792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8482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B4755A" w14:textId="77777777" w:rsidR="002D5AAC" w:rsidRDefault="00C54C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E2CE38" w14:textId="77777777" w:rsidR="00C54CBF" w:rsidRDefault="00C54CBF" w:rsidP="00C54C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2021</w:t>
            </w:r>
          </w:p>
          <w:p w14:paraId="32C32CA0" w14:textId="77777777" w:rsidR="00C54CBF" w:rsidRDefault="00C54CBF" w:rsidP="00C54C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7C897A" w14:textId="35CC0656" w:rsidR="00C54CBF" w:rsidRPr="008D53B6" w:rsidRDefault="00C54CBF" w:rsidP="00C54C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244F7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2406D8" w14:textId="77777777" w:rsidR="00C54CBF" w:rsidRPr="00557E87" w:rsidRDefault="00C54CBF" w:rsidP="00C54CBF">
      <w:pPr>
        <w:spacing w:before="120"/>
        <w:rPr>
          <w:sz w:val="28"/>
          <w:szCs w:val="28"/>
        </w:rPr>
      </w:pPr>
      <w:r w:rsidRPr="00557E87">
        <w:rPr>
          <w:sz w:val="28"/>
          <w:szCs w:val="28"/>
        </w:rPr>
        <w:t>Комитет по внутреннему транспорту</w:t>
      </w:r>
    </w:p>
    <w:p w14:paraId="45274BC8" w14:textId="77777777" w:rsidR="00C54CBF" w:rsidRPr="00557E87" w:rsidRDefault="00C54CBF" w:rsidP="00C54CBF">
      <w:pPr>
        <w:spacing w:before="120"/>
        <w:rPr>
          <w:b/>
          <w:sz w:val="24"/>
          <w:szCs w:val="24"/>
        </w:rPr>
      </w:pPr>
      <w:r w:rsidRPr="00557E87">
        <w:rPr>
          <w:b/>
          <w:bCs/>
          <w:sz w:val="24"/>
          <w:szCs w:val="24"/>
        </w:rPr>
        <w:t>Рабочая группа по перевозкам опасных грузов</w:t>
      </w:r>
    </w:p>
    <w:p w14:paraId="0F932428" w14:textId="77777777" w:rsidR="00C54CBF" w:rsidRPr="00D810FC" w:rsidRDefault="00C54CBF" w:rsidP="00C54CBF">
      <w:pPr>
        <w:spacing w:before="120"/>
        <w:rPr>
          <w:rFonts w:eastAsia="SimSun"/>
          <w:b/>
        </w:rPr>
      </w:pPr>
      <w:r>
        <w:rPr>
          <w:b/>
          <w:bCs/>
        </w:rPr>
        <w:t>Сто десятая сессия</w:t>
      </w:r>
      <w:r>
        <w:t xml:space="preserve"> </w:t>
      </w:r>
    </w:p>
    <w:p w14:paraId="1ADEC69C" w14:textId="77777777" w:rsidR="00C54CBF" w:rsidRPr="00D810FC" w:rsidRDefault="00C54CBF" w:rsidP="00C54CBF">
      <w:pPr>
        <w:rPr>
          <w:rFonts w:eastAsia="SimSun"/>
        </w:rPr>
      </w:pPr>
      <w:r>
        <w:t>Женева, 8–12 ноября 2021 года</w:t>
      </w:r>
    </w:p>
    <w:p w14:paraId="6F760B5C" w14:textId="77777777" w:rsidR="00C54CBF" w:rsidRDefault="00C54CBF" w:rsidP="00C54CBF">
      <w:pPr>
        <w:autoSpaceDE w:val="0"/>
        <w:autoSpaceDN w:val="0"/>
        <w:adjustRightInd w:val="0"/>
      </w:pPr>
      <w:r>
        <w:t>Пункт 2 предварительной повестки дня:</w:t>
      </w:r>
    </w:p>
    <w:p w14:paraId="1E9ECD92" w14:textId="2DACB2A0" w:rsidR="00C54CBF" w:rsidRPr="007D0A41" w:rsidRDefault="00C54CBF" w:rsidP="00C54CBF">
      <w:pPr>
        <w:autoSpaceDE w:val="0"/>
        <w:autoSpaceDN w:val="0"/>
        <w:adjustRightInd w:val="0"/>
        <w:rPr>
          <w:b/>
          <w:bCs/>
        </w:rPr>
      </w:pPr>
      <w:r w:rsidRPr="007D0A41">
        <w:rPr>
          <w:b/>
          <w:bCs/>
        </w:rPr>
        <w:t xml:space="preserve">Восемьдесят третья сессия Комитета </w:t>
      </w:r>
      <w:r w:rsidR="00841894">
        <w:rPr>
          <w:b/>
          <w:bCs/>
        </w:rPr>
        <w:br/>
      </w:r>
      <w:r w:rsidRPr="007D0A41">
        <w:rPr>
          <w:b/>
          <w:bCs/>
        </w:rPr>
        <w:t>по внутреннему транспорту</w:t>
      </w:r>
    </w:p>
    <w:p w14:paraId="4D412B56" w14:textId="4547EF30" w:rsidR="00C54CBF" w:rsidRPr="00D810FC" w:rsidRDefault="00C54CBF" w:rsidP="00C54CBF">
      <w:pPr>
        <w:pStyle w:val="HChG"/>
      </w:pPr>
      <w:r>
        <w:tab/>
      </w:r>
      <w:r>
        <w:tab/>
      </w:r>
      <w:r>
        <w:rPr>
          <w:bCs/>
        </w:rPr>
        <w:t>Проект пересмотренного варианта «дорожной карты» по</w:t>
      </w:r>
      <w:r w:rsidR="00B81AAE">
        <w:rPr>
          <w:bCs/>
          <w:lang w:val="fr-CH"/>
        </w:rPr>
        <w:t> </w:t>
      </w:r>
      <w:r>
        <w:rPr>
          <w:bCs/>
        </w:rPr>
        <w:t>ДОПОГ</w:t>
      </w:r>
    </w:p>
    <w:p w14:paraId="58285F27" w14:textId="77777777" w:rsidR="00C54CBF" w:rsidRPr="00D810FC" w:rsidRDefault="00C54CBF" w:rsidP="00C54CBF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Записка секретариата</w:t>
      </w:r>
      <w:r w:rsidRPr="00B81AAE">
        <w:rPr>
          <w:b w:val="0"/>
          <w:bCs/>
          <w:sz w:val="20"/>
        </w:rPr>
        <w:footnoteReference w:customMarkFollows="1" w:id="1"/>
        <w:sym w:font="Symbol" w:char="F02A"/>
      </w:r>
    </w:p>
    <w:p w14:paraId="1FD73E00" w14:textId="77777777" w:rsidR="00C54CBF" w:rsidRPr="00D810FC" w:rsidRDefault="00C54CBF" w:rsidP="00C54CBF">
      <w:pPr>
        <w:spacing w:after="120"/>
        <w:ind w:left="1134" w:right="1134"/>
        <w:jc w:val="both"/>
      </w:pPr>
      <w:r>
        <w:t>1.</w:t>
      </w:r>
      <w:r>
        <w:tab/>
        <w:t>Согласно итогам обсуждения, состоявшегося на предыдущей сессии на основе неофициального документа INF.20, секретариат представляет в приложении пересмотренный вариант «дорожной карты» по ДОПОГ для рассмотрения Рабочей группой.</w:t>
      </w:r>
    </w:p>
    <w:p w14:paraId="1F724FE2" w14:textId="77777777" w:rsidR="00C54CBF" w:rsidRPr="00D810FC" w:rsidRDefault="00C54CBF" w:rsidP="00C54CBF">
      <w:pPr>
        <w:spacing w:after="120"/>
        <w:ind w:left="1134" w:right="1134"/>
        <w:jc w:val="both"/>
      </w:pPr>
      <w:r>
        <w:t>2.</w:t>
      </w:r>
      <w:r>
        <w:tab/>
        <w:t>Делегациям предлагается представить замечания по данному проекту пересмотренного варианта и передать дополнительные материалы. Делегации, желающие сделать это, могут также предложить дополнительный пункт о преимуществах ДОПОГ для экономики стран, присоединяющихся к ДОПОГ.</w:t>
      </w:r>
    </w:p>
    <w:p w14:paraId="7F6F4852" w14:textId="77777777" w:rsidR="00C54CBF" w:rsidRPr="00D810FC" w:rsidRDefault="00C54CBF" w:rsidP="00C54CBF">
      <w:pPr>
        <w:spacing w:after="120"/>
        <w:ind w:left="1134" w:right="1134"/>
        <w:jc w:val="both"/>
      </w:pPr>
      <w:r>
        <w:t>3.</w:t>
      </w:r>
      <w:r>
        <w:tab/>
        <w:t>Рабочая группа, возможно, пожелает доработать данный проект и принять его в качестве инструмента для содействия осуществлению Стратегии Комитета по внутреннему транспорту (КВТ) на период до 2030 года (см. документ КВТ ECE/TRANS/2021/3).</w:t>
      </w:r>
    </w:p>
    <w:p w14:paraId="6B366CF8" w14:textId="77777777" w:rsidR="00C54CBF" w:rsidRPr="00D810FC" w:rsidRDefault="00C54CBF" w:rsidP="00C54CBF">
      <w:pPr>
        <w:suppressAutoHyphens w:val="0"/>
        <w:spacing w:line="240" w:lineRule="auto"/>
        <w:rPr>
          <w:b/>
          <w:sz w:val="24"/>
        </w:rPr>
      </w:pPr>
      <w:r w:rsidRPr="00D810FC">
        <w:br w:type="page"/>
      </w:r>
    </w:p>
    <w:p w14:paraId="21FF579D" w14:textId="77777777" w:rsidR="00C54CBF" w:rsidRPr="00D810FC" w:rsidRDefault="00C54CBF" w:rsidP="00C54CBF">
      <w:pPr>
        <w:pStyle w:val="HChG"/>
      </w:pPr>
      <w:r>
        <w:rPr>
          <w:bCs/>
        </w:rPr>
        <w:lastRenderedPageBreak/>
        <w:t>Приложение</w:t>
      </w:r>
    </w:p>
    <w:p w14:paraId="5BD0DCB4" w14:textId="3BC7F358" w:rsidR="00C54CBF" w:rsidRPr="00D810FC" w:rsidRDefault="00C54CBF" w:rsidP="00C54CBF">
      <w:pPr>
        <w:pStyle w:val="HChG"/>
      </w:pPr>
      <w:r>
        <w:tab/>
      </w:r>
      <w:r>
        <w:tab/>
      </w:r>
      <w:r>
        <w:tab/>
      </w:r>
      <w:r>
        <w:rPr>
          <w:bCs/>
        </w:rPr>
        <w:t>«Дорожная карта» присоединения к Соглашению о</w:t>
      </w:r>
      <w:r w:rsidR="00E82979">
        <w:rPr>
          <w:bCs/>
          <w:lang w:val="fr-CH"/>
        </w:rPr>
        <w:t> </w:t>
      </w:r>
      <w:r>
        <w:rPr>
          <w:bCs/>
        </w:rPr>
        <w:t>международной дорожной перевозке опасных грузов (ДОПОГ) и его применения</w:t>
      </w:r>
    </w:p>
    <w:p w14:paraId="76AFC7D8" w14:textId="296DA8A0" w:rsidR="00C54CBF" w:rsidRPr="00D810FC" w:rsidRDefault="00C54CBF" w:rsidP="00E82979">
      <w:pPr>
        <w:spacing w:after="120"/>
        <w:ind w:left="1134" w:right="1134" w:firstLine="567"/>
        <w:jc w:val="both"/>
      </w:pPr>
      <w:r>
        <w:t xml:space="preserve">Цель «дорожной карты» </w:t>
      </w:r>
      <w:r w:rsidR="00E82979" w:rsidRPr="00E82979">
        <w:t>—</w:t>
      </w:r>
      <w:r>
        <w:t xml:space="preserve"> предоставить всеобъемлющую информацию экспертам и юрисконсультам министерств, в ведении которых находятся вопросы транспорта, а также сотрудникам других соответствующих министерств (например, охраны окружающей среды, внутренних дел, иностранных дел), президентских администраций и национальных парламентов стран, заинтересованных в присоединении к ДОПОГ. Она также призвана предоставить полезную информацию Договаривающимся сторонам ДОПОГ в процессе его применения. </w:t>
      </w:r>
    </w:p>
    <w:p w14:paraId="50929D3B" w14:textId="77777777" w:rsidR="00C54CBF" w:rsidRPr="007D0A41" w:rsidRDefault="00C54CBF" w:rsidP="00C54CBF">
      <w:pPr>
        <w:pStyle w:val="H1G"/>
      </w:pPr>
      <w:r>
        <w:tab/>
      </w:r>
      <w:r>
        <w:tab/>
      </w:r>
      <w:r>
        <w:rPr>
          <w:bCs/>
        </w:rPr>
        <w:t>Введение</w:t>
      </w:r>
    </w:p>
    <w:p w14:paraId="23A6D2B4" w14:textId="2AC9FDE7" w:rsidR="00C54CBF" w:rsidRPr="00002B2D" w:rsidRDefault="00C54CBF" w:rsidP="00E82979">
      <w:pPr>
        <w:spacing w:after="120"/>
        <w:ind w:left="1134" w:right="1134" w:firstLine="567"/>
        <w:jc w:val="both"/>
        <w:rPr>
          <w:bCs/>
        </w:rPr>
      </w:pPr>
      <w:r>
        <w:t>Перевозка опасных грузов автомобильным транспортом сопряжена с риском крупной аварии. Дорожно-транспортные происшествия приводят к гибели и травмированию людей, а также наносят ущерб имуществу и окружающей среде. Последствия могут быть еще более серьезными, если речь идет об опасных грузах, таких как топливо, г</w:t>
      </w:r>
      <w:r w:rsidR="00E82979">
        <w:t>а</w:t>
      </w:r>
      <w:r>
        <w:t>зы, химикаты или удобрения, которые приводят к опасным последствиям в результате разлива, взрыва, пожара или образования токсичного облака.</w:t>
      </w:r>
    </w:p>
    <w:p w14:paraId="51EDF6F1" w14:textId="77777777" w:rsidR="00C54CBF" w:rsidRPr="00D810FC" w:rsidRDefault="00C54CBF" w:rsidP="00E82979">
      <w:pPr>
        <w:spacing w:after="120"/>
        <w:ind w:left="1134" w:right="1134" w:firstLine="567"/>
        <w:jc w:val="both"/>
        <w:rPr>
          <w:bCs/>
        </w:rPr>
      </w:pPr>
      <w:r>
        <w:t xml:space="preserve">К счастью, существуют решения, позволяющие снизить эти риски. </w:t>
      </w:r>
    </w:p>
    <w:p w14:paraId="31275431" w14:textId="77777777" w:rsidR="00C54CBF" w:rsidRPr="00D810FC" w:rsidRDefault="00C54CBF" w:rsidP="00E82979">
      <w:pPr>
        <w:spacing w:after="120"/>
        <w:ind w:left="1134" w:right="1134" w:firstLine="567"/>
        <w:jc w:val="both"/>
        <w:rPr>
          <w:bCs/>
          <w:i/>
          <w:iCs/>
        </w:rPr>
      </w:pPr>
      <w:r>
        <w:rPr>
          <w:i/>
          <w:iCs/>
        </w:rPr>
        <w:t>Соглашение о международной дорожной перевозке опасных грузов (ДОПОГ) является хорошо зарекомендовавшим себя и передовым инструментом Организации Объединенных Наций, который уже более 50 лет помогает предотвращать такие аварии и уменьшать тяжесть их последствий.</w:t>
      </w:r>
    </w:p>
    <w:p w14:paraId="4CD5B112" w14:textId="77777777" w:rsidR="00C54CBF" w:rsidRPr="00D810FC" w:rsidRDefault="00C54CBF" w:rsidP="00E82979">
      <w:pPr>
        <w:spacing w:after="120"/>
        <w:ind w:left="1134" w:right="1134" w:firstLine="567"/>
        <w:jc w:val="both"/>
        <w:rPr>
          <w:bCs/>
        </w:rPr>
      </w:pPr>
      <w:r>
        <w:t>Инциденты с транспортными средствами ДОПОГ, перевозящими опасные грузы, часто заканчиваются отсутствием разлива или минимальным разливом, отсутствием пострадавших, а во многих случаях даже отсутствием значительного ущерба для груза, людей или окружающей среды. Напротив, аварии с участием транспортных средств, грузов и экипажа, не соответствующих требованиям ДОПОГ, часто имеют катастрофические последствия.</w:t>
      </w:r>
    </w:p>
    <w:p w14:paraId="3CF6CE24" w14:textId="77777777" w:rsidR="00C54CBF" w:rsidRPr="00D810FC" w:rsidRDefault="00C54CBF" w:rsidP="00E82979">
      <w:pPr>
        <w:spacing w:after="120"/>
        <w:ind w:left="1134" w:right="1134" w:firstLine="567"/>
        <w:jc w:val="both"/>
        <w:rPr>
          <w:i/>
          <w:iCs/>
        </w:rPr>
      </w:pPr>
      <w:r>
        <w:rPr>
          <w:i/>
          <w:iCs/>
        </w:rPr>
        <w:t>Основной целью ДОПОГ является уменьшение риска и последствий аварий с опасными грузами во время перевозки.</w:t>
      </w:r>
      <w:r>
        <w:t xml:space="preserve"> </w:t>
      </w:r>
    </w:p>
    <w:p w14:paraId="634F034F" w14:textId="72737E10" w:rsidR="00C54CBF" w:rsidRPr="00D810FC" w:rsidRDefault="00E82979" w:rsidP="00C54CBF">
      <w:pPr>
        <w:pStyle w:val="SingleTxtG"/>
      </w:pPr>
      <w:r>
        <w:tab/>
      </w:r>
      <w:r w:rsidR="00C54CBF">
        <w:t xml:space="preserve">Первоначально принятое как Европейское соглашение о международной дорожной перевозке опасных грузов, ДОПОГ вступило в силу 29 января 1968 года и с тех пор открыто для присоединения всех государств </w:t>
      </w:r>
      <w:r>
        <w:t>—</w:t>
      </w:r>
      <w:r w:rsidR="00C54CBF">
        <w:t xml:space="preserve"> членов Организации Объединенных Наций. Признавая, что для парламентов и законодательных органов ряда неевропейских стран слово «европейское» в названии соглашения оказалось препятствием для присоединения к ДОПОГ, Договаривающиеся стороны приняли в 2019 году поправку об изменении названия ДОПОГ на «Соглашение о международной дорожной перевозке опасных грузов» посредством исключения слова «европейское».</w:t>
      </w:r>
    </w:p>
    <w:p w14:paraId="693ECB6F" w14:textId="77777777" w:rsidR="00C54CBF" w:rsidRPr="00D73296" w:rsidRDefault="00C54CBF" w:rsidP="00C54CBF">
      <w:pPr>
        <w:pStyle w:val="H1G"/>
      </w:pPr>
      <w:r>
        <w:tab/>
      </w:r>
      <w:r>
        <w:tab/>
      </w:r>
      <w:r>
        <w:rPr>
          <w:bCs/>
        </w:rPr>
        <w:t>Содержание</w:t>
      </w:r>
    </w:p>
    <w:p w14:paraId="290F4415" w14:textId="53B813D0" w:rsidR="00C54CBF" w:rsidRDefault="00E82979" w:rsidP="00C54CBF">
      <w:pPr>
        <w:pStyle w:val="SingleTxtG"/>
      </w:pPr>
      <w:r>
        <w:tab/>
      </w:r>
      <w:r w:rsidR="00C54CBF">
        <w:t>В ДОПОГ содержатся:</w:t>
      </w:r>
    </w:p>
    <w:p w14:paraId="49B39C8A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t>общие принципы приема опасных грузов к международной дорожной перевозке;</w:t>
      </w:r>
    </w:p>
    <w:p w14:paraId="0A893BD8" w14:textId="77777777" w:rsidR="00C54CBF" w:rsidRPr="00170035" w:rsidRDefault="00C54CBF" w:rsidP="00C54CBF">
      <w:pPr>
        <w:pStyle w:val="Bullet1G"/>
        <w:numPr>
          <w:ilvl w:val="0"/>
          <w:numId w:val="22"/>
        </w:numPr>
      </w:pPr>
      <w:r>
        <w:t>условия перевозки;</w:t>
      </w:r>
    </w:p>
    <w:p w14:paraId="4DC97B8D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t>условия отступлений (специальные соглашения);</w:t>
      </w:r>
    </w:p>
    <w:p w14:paraId="45959EE6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lastRenderedPageBreak/>
        <w:t>условия применения дополнительных правил (по причинам, иным, чем безопасность при перевозке);</w:t>
      </w:r>
    </w:p>
    <w:p w14:paraId="17FDACC2" w14:textId="77777777" w:rsidR="00C54CBF" w:rsidRPr="00170035" w:rsidRDefault="00C54CBF" w:rsidP="00C54CBF">
      <w:pPr>
        <w:pStyle w:val="Bullet1G"/>
        <w:numPr>
          <w:ilvl w:val="0"/>
          <w:numId w:val="22"/>
        </w:numPr>
      </w:pPr>
      <w:r>
        <w:t>процедура разрешения споров;</w:t>
      </w:r>
    </w:p>
    <w:p w14:paraId="79D941B9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t>два технических приложения, в которые с 1968 года регулярно вносятся поправки:</w:t>
      </w:r>
    </w:p>
    <w:p w14:paraId="1EBB5FB4" w14:textId="3925CB9F" w:rsidR="00C54CBF" w:rsidRPr="00D810FC" w:rsidRDefault="00C54CBF" w:rsidP="00C54CBF">
      <w:pPr>
        <w:pStyle w:val="SingleTxtG"/>
        <w:ind w:left="1701"/>
      </w:pPr>
      <w:r>
        <w:t>приложение А содержит положения, относящиеся к грузам (классификация, упаковка, маркировка, документация, конструкция, испытания и утверждение тары/</w:t>
      </w:r>
      <w:r w:rsidR="00A752FF">
        <w:t>цистерн</w:t>
      </w:r>
      <w:r>
        <w:t>, перевозки) (части 1–7);</w:t>
      </w:r>
    </w:p>
    <w:p w14:paraId="15533BDC" w14:textId="77777777" w:rsidR="00C54CBF" w:rsidRPr="00002B2D" w:rsidRDefault="00C54CBF" w:rsidP="00C54CBF">
      <w:pPr>
        <w:pStyle w:val="SingleTxtG"/>
        <w:ind w:left="1701"/>
      </w:pPr>
      <w:r>
        <w:t>приложение В содержит положения, касающиеся экипажа транспортного средства (подготовка, снаряжение) и транспортного средства (конструкция, оборудование и условия эксплуатации) (части 8 и 9).</w:t>
      </w:r>
    </w:p>
    <w:p w14:paraId="352C14A1" w14:textId="086F18EB" w:rsidR="00C54CBF" w:rsidRPr="00D810FC" w:rsidRDefault="00C54CBF" w:rsidP="00C54CBF">
      <w:pPr>
        <w:pStyle w:val="SingleTxtG"/>
      </w:pPr>
      <w:r>
        <w:t xml:space="preserve">С электронными файлами ДОПОГ на английском, русском и французском языках можно ознакомиться на веб-сайте Отдела транспорта ЕЭК ООН: </w:t>
      </w:r>
      <w:hyperlink r:id="rId8" w:history="1">
        <w:r w:rsidR="00E82979" w:rsidRPr="00E82979">
          <w:rPr>
            <w:rStyle w:val="Hyperlink"/>
          </w:rPr>
          <w:t>https://unece.org/transport/dangerous-goods</w:t>
        </w:r>
      </w:hyperlink>
      <w:r w:rsidR="00E82979">
        <w:t xml:space="preserve">. </w:t>
      </w:r>
    </w:p>
    <w:p w14:paraId="772036AE" w14:textId="0E8307F8" w:rsidR="00C54CBF" w:rsidRPr="00D810FC" w:rsidRDefault="00C54CBF" w:rsidP="00C54CBF">
      <w:pPr>
        <w:pStyle w:val="H1G"/>
      </w:pPr>
      <w:r>
        <w:tab/>
      </w:r>
      <w:r>
        <w:tab/>
      </w:r>
      <w:r>
        <w:rPr>
          <w:bCs/>
        </w:rPr>
        <w:t xml:space="preserve">Повестка дня в области устойчивого развития на период </w:t>
      </w:r>
      <w:r w:rsidR="00E82979">
        <w:rPr>
          <w:bCs/>
        </w:rPr>
        <w:br/>
      </w:r>
      <w:r>
        <w:rPr>
          <w:bCs/>
        </w:rPr>
        <w:t>до 2030 года и безопасность дорожного движения</w:t>
      </w:r>
    </w:p>
    <w:p w14:paraId="29DEBB61" w14:textId="77777777" w:rsidR="00C54CBF" w:rsidRPr="00D810FC" w:rsidRDefault="00C54CBF" w:rsidP="00E82979">
      <w:pPr>
        <w:spacing w:after="120"/>
        <w:ind w:left="1134" w:right="1134" w:firstLine="567"/>
        <w:jc w:val="both"/>
      </w:pPr>
      <w:r>
        <w:t xml:space="preserve">Безопасности дорожного движения уделено особое внимание в Повестке дня в области устойчивого развития на период до 2030 года, принятой 25 сентября 2015 года Генеральной Ассамблеей Организации Объединенных Наций в резолюции 70/1 «Преобразование нашего мира: Повестка дня в области устойчивого развития на период до 2030 года». Задача 3.6 направлена на то, чтобы к 2030 году вдвое сократить во всем мире число смертей и травм в результате дорожно-транспортных происшествий. 31 августа 2020 года Генеральная Ассамблея Организации Объединенных Наций приняла новую резолюцию (A/74/299) о безопасности дорожного движения, в которой подтверждается ключевая роль ДОПОГ в рамках Стратегии Организации Объединенных Наций по обеспечению безопасности дорожного движения. </w:t>
      </w:r>
    </w:p>
    <w:p w14:paraId="60C74FFA" w14:textId="77777777" w:rsidR="00C54CBF" w:rsidRPr="00D810FC" w:rsidRDefault="00C54CBF" w:rsidP="00345354">
      <w:pPr>
        <w:spacing w:after="120"/>
        <w:ind w:left="1134" w:right="1134" w:firstLine="567"/>
        <w:jc w:val="both"/>
      </w:pPr>
      <w:r>
        <w:t>Действительно, одним из основополагающих аспектов безопасности дорожного движения является обеспечение безопасной перевозки опасных грузов. Дорожные перевозки необходимы для распределения этих грузов. Они также представляют значительный риск для безопасности дорожного движения.</w:t>
      </w:r>
    </w:p>
    <w:p w14:paraId="59541E8F" w14:textId="77777777" w:rsidR="00C54CBF" w:rsidRPr="00D810FC" w:rsidRDefault="00C54CBF" w:rsidP="00345354">
      <w:pPr>
        <w:spacing w:after="120"/>
        <w:ind w:left="1134" w:right="1134" w:firstLine="567"/>
        <w:jc w:val="both"/>
        <w:rPr>
          <w:i/>
          <w:iCs/>
        </w:rPr>
      </w:pPr>
      <w:r>
        <w:rPr>
          <w:i/>
          <w:iCs/>
        </w:rPr>
        <w:t>ДОПОГ предлагает высококачественны стандарты, которые должны соблюдаться для оптимального предотвращения последствий возможных аварий.</w:t>
      </w:r>
      <w:r>
        <w:t xml:space="preserve"> </w:t>
      </w:r>
    </w:p>
    <w:p w14:paraId="0B252DA4" w14:textId="77777777" w:rsidR="00C54CBF" w:rsidRPr="00D810FC" w:rsidRDefault="00C54CBF" w:rsidP="00345354">
      <w:pPr>
        <w:spacing w:after="120"/>
        <w:ind w:left="1134" w:right="1134" w:firstLine="567"/>
        <w:jc w:val="both"/>
      </w:pPr>
      <w:r>
        <w:t>Согласно этому соглашению, за исключением некоторых чрезмерно опасных грузов, другие опасные грузы допускаются к международной перевозке автотранспортными средствами при условии соблюдения изложенных в приложениях требований, касающихся упаковки, маркировки грузов и конструкции, оборудования и эксплуатации транспортных средств.</w:t>
      </w:r>
    </w:p>
    <w:p w14:paraId="2C54B051" w14:textId="77777777" w:rsidR="00C54CBF" w:rsidRPr="00D810FC" w:rsidRDefault="00C54CBF" w:rsidP="00C54CBF">
      <w:pPr>
        <w:pStyle w:val="H1G"/>
      </w:pPr>
      <w:r>
        <w:tab/>
      </w:r>
      <w:r>
        <w:tab/>
      </w:r>
      <w:r>
        <w:rPr>
          <w:bCs/>
        </w:rPr>
        <w:t>Договаривающиеся стороны и территориальная применимость</w:t>
      </w:r>
    </w:p>
    <w:p w14:paraId="47FCCEB2" w14:textId="77777777" w:rsidR="00C54CBF" w:rsidRPr="00D810FC" w:rsidRDefault="00C54CBF" w:rsidP="00345354">
      <w:pPr>
        <w:spacing w:after="120"/>
        <w:ind w:left="1134" w:right="1134" w:firstLine="567"/>
        <w:jc w:val="both"/>
      </w:pPr>
      <w:r>
        <w:t xml:space="preserve">По состоянию на [дата публикации] Договаривающимися сторонами ДОПОГ являлись следующие [...] государств: </w:t>
      </w:r>
    </w:p>
    <w:p w14:paraId="301947E0" w14:textId="2C45027B" w:rsidR="00C54CBF" w:rsidRPr="00D810FC" w:rsidRDefault="00C54CBF" w:rsidP="00614729">
      <w:pPr>
        <w:spacing w:after="120"/>
        <w:ind w:left="1134" w:right="1134" w:firstLine="567"/>
        <w:jc w:val="both"/>
      </w:pPr>
      <w:r>
        <w:t xml:space="preserve">[Включить перечень/включить карту]. С информацией о состоянии </w:t>
      </w:r>
      <w:r w:rsidR="00614729">
        <w:br/>
      </w:r>
      <w:r>
        <w:t xml:space="preserve">ДОПОГ можно ознакомиться на веб-сайте «Собрание договоров </w:t>
      </w:r>
      <w:r w:rsidR="00614729">
        <w:br/>
      </w:r>
      <w:r>
        <w:t xml:space="preserve">Организации Объединенных Наций» по следующему адресу: </w:t>
      </w:r>
      <w:hyperlink r:id="rId9" w:history="1">
        <w:r w:rsidR="00345354" w:rsidRPr="004A6C3F">
          <w:rPr>
            <w:rStyle w:val="Hyperlink"/>
          </w:rPr>
          <w:t>https://treaties.un.org/Pages/ViewDetails.aspx?src=TREATY&amp;mtdsg_no=XI-B-14&amp;chapter=11&amp;clang=_en</w:t>
        </w:r>
      </w:hyperlink>
      <w:r w:rsidR="00345354">
        <w:rPr>
          <w:rStyle w:val="Hyperlink"/>
        </w:rPr>
        <w:t>.</w:t>
      </w:r>
      <w:r w:rsidR="00345354">
        <w:t xml:space="preserve"> </w:t>
      </w:r>
    </w:p>
    <w:p w14:paraId="54E72B33" w14:textId="4F043FF8" w:rsidR="00C54CBF" w:rsidRPr="00D810FC" w:rsidRDefault="00C54CBF" w:rsidP="00345354">
      <w:pPr>
        <w:spacing w:after="120"/>
        <w:ind w:left="1134" w:right="1134" w:firstLine="567"/>
        <w:jc w:val="both"/>
      </w:pPr>
      <w:r>
        <w:t xml:space="preserve">ДОПОГ открыто для всех государств </w:t>
      </w:r>
      <w:r w:rsidR="00345354">
        <w:t>—</w:t>
      </w:r>
      <w:r>
        <w:t xml:space="preserve"> членов Организации Объединенных Наций.</w:t>
      </w:r>
    </w:p>
    <w:p w14:paraId="437120AA" w14:textId="5A503DAC" w:rsidR="00C54CBF" w:rsidRPr="00D810FC" w:rsidRDefault="00345354" w:rsidP="00C54CBF">
      <w:pPr>
        <w:pStyle w:val="SingleTxtG"/>
      </w:pPr>
      <w:r>
        <w:lastRenderedPageBreak/>
        <w:tab/>
      </w:r>
      <w:r w:rsidR="00C54CBF">
        <w:t xml:space="preserve">ДОПОГ применяется к перевозкам, осуществляемым через территорию по крайней мере двух из его Договаривающихся сторон. </w:t>
      </w:r>
    </w:p>
    <w:p w14:paraId="65FEEB21" w14:textId="7A198652" w:rsidR="00C54CBF" w:rsidRPr="00D810FC" w:rsidRDefault="00345354" w:rsidP="00C54CBF">
      <w:pPr>
        <w:pStyle w:val="SingleTxtG"/>
      </w:pPr>
      <w:r>
        <w:tab/>
      </w:r>
      <w:r w:rsidR="00C54CBF">
        <w:t xml:space="preserve">Кроме того, в интересах обеспечения единообразия и свободной торговли в рамках Европейского союза (ЕС) приложения А и В к ДОПОГ были также приняты государствами </w:t>
      </w:r>
      <w:r>
        <w:t>—</w:t>
      </w:r>
      <w:r w:rsidR="00C54CBF">
        <w:t xml:space="preserve"> членами ЕС в качестве основы для регулирования автомобильной перевозки опасных грузов в пределах их территорий и между ними (директива 2008/68/ЕС Европейского парламента и Совета от 24 сентября 2008 года о перевозке опасных грузов внутренним транспортом с внесенными в нее поправками). </w:t>
      </w:r>
    </w:p>
    <w:p w14:paraId="7F8F34DD" w14:textId="54262603" w:rsidR="00C54CBF" w:rsidRPr="00D810FC" w:rsidRDefault="00345354" w:rsidP="00C54CBF">
      <w:pPr>
        <w:pStyle w:val="SingleTxtG"/>
      </w:pPr>
      <w:r>
        <w:tab/>
      </w:r>
      <w:r w:rsidR="00C54CBF">
        <w:t>Требования приложений А и В к ДОПОГ были также приняты рядом стран, не являющихся членами ЕС, в качестве основы своего внутригосударственного законодательства.</w:t>
      </w:r>
    </w:p>
    <w:p w14:paraId="33EC075C" w14:textId="77777777" w:rsidR="00C54CBF" w:rsidRPr="00D810FC" w:rsidRDefault="00C54CBF" w:rsidP="00C54CBF">
      <w:pPr>
        <w:pStyle w:val="H1G"/>
      </w:pPr>
      <w:r>
        <w:tab/>
      </w:r>
      <w:r>
        <w:tab/>
      </w:r>
      <w:r>
        <w:rPr>
          <w:bCs/>
        </w:rPr>
        <w:t>Преимущества присоединения к ДОПОГ</w:t>
      </w:r>
    </w:p>
    <w:p w14:paraId="00E31EAE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Обеспечение безопасности</w:t>
      </w:r>
      <w:r w:rsidRPr="00280DA9">
        <w:rPr>
          <w:bCs/>
        </w:rPr>
        <w:t xml:space="preserve"> </w:t>
      </w:r>
      <w:r>
        <w:rPr>
          <w:bCs/>
        </w:rPr>
        <w:t>и охраны</w:t>
      </w:r>
    </w:p>
    <w:p w14:paraId="241CACEA" w14:textId="77777777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</w:pPr>
      <w:r>
        <w:rPr>
          <w:i/>
          <w:iCs/>
        </w:rPr>
        <w:t>ДОПОГ обеспечивает высокий уровен</w:t>
      </w:r>
      <w:r w:rsidRPr="005A248B">
        <w:rPr>
          <w:i/>
          <w:iCs/>
        </w:rPr>
        <w:t xml:space="preserve">ь </w:t>
      </w:r>
      <w:r w:rsidRPr="005A248B">
        <w:rPr>
          <w:bCs/>
          <w:i/>
          <w:iCs/>
        </w:rPr>
        <w:t>безопасности и охраны</w:t>
      </w:r>
      <w:r w:rsidRPr="005A248B">
        <w:rPr>
          <w:i/>
          <w:iCs/>
        </w:rPr>
        <w:t xml:space="preserve"> </w:t>
      </w:r>
      <w:r>
        <w:rPr>
          <w:i/>
          <w:iCs/>
        </w:rPr>
        <w:t>при международных перевозках опасных грузов.</w:t>
      </w:r>
      <w:r>
        <w:t xml:space="preserve"> </w:t>
      </w:r>
    </w:p>
    <w:p w14:paraId="7B224D38" w14:textId="77777777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</w:pPr>
      <w:r>
        <w:t>Положения ДОПОГ разрабатываются для предотвращения несчастных случаев во время погрузки, перевозки и разгрузки, а также для максимального смягчения последствий в случае инцидента или аварии.</w:t>
      </w:r>
    </w:p>
    <w:p w14:paraId="6DF95C3B" w14:textId="77777777" w:rsidR="00C54CBF" w:rsidRPr="00D810FC" w:rsidRDefault="00C54CBF" w:rsidP="00C54CBF">
      <w:pPr>
        <w:pStyle w:val="H4G"/>
        <w:rPr>
          <w:rFonts w:eastAsia="SimSun"/>
        </w:rPr>
      </w:pPr>
      <w:r>
        <w:tab/>
      </w:r>
      <w:r>
        <w:tab/>
      </w:r>
      <w:r>
        <w:rPr>
          <w:iCs/>
        </w:rPr>
        <w:t>Безопасное поведение участников дорожного движения</w:t>
      </w:r>
    </w:p>
    <w:p w14:paraId="125447D6" w14:textId="01AD4757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>Наращивание потенциала и подготовка персонала являются ключевыми компонентами безопасности дорожного движения. ДОПОГ содержит подробные положения по подготовке работников, участвующих в перевозке опасных грузов, в</w:t>
      </w:r>
      <w:r w:rsidR="00345354">
        <w:t> </w:t>
      </w:r>
      <w:r>
        <w:t xml:space="preserve">соответствии с их функциями и обязанностями. К ним относятся, например, водители, члены экипажа транспортного средства и консультанты по вопросам безопасности. Положения ДОПОГ, касающиеся подготовки работников, направлены на то, чтобы обеспечить им возможность вести себя безопасным образом при выполнении своих функций и принимать соответствующие меры для защиты себя и для того, чтобы избежать или предотвратить ущерб, риск для людей или окружающей среды в случае инцидента. </w:t>
      </w:r>
    </w:p>
    <w:p w14:paraId="46548EB8" w14:textId="77777777" w:rsidR="00C54CBF" w:rsidRPr="00D810FC" w:rsidRDefault="00C54CBF" w:rsidP="00C54CBF">
      <w:pPr>
        <w:pStyle w:val="H4G"/>
        <w:rPr>
          <w:rFonts w:eastAsia="SimSun"/>
        </w:rPr>
      </w:pPr>
      <w:r>
        <w:tab/>
      </w:r>
      <w:r>
        <w:tab/>
      </w:r>
      <w:r>
        <w:rPr>
          <w:iCs/>
        </w:rPr>
        <w:t>Безопасные транспортные средства</w:t>
      </w:r>
    </w:p>
    <w:p w14:paraId="34F4089A" w14:textId="7B90AF14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>Положения ДОПОГ направлены на обеспечение безопасной перевозки груза. Автоцистерны и транспортные средства, предназначенные для перевозки взрывчатых веществ, должны отвечать особым требованиям к конструкции (например, в</w:t>
      </w:r>
      <w:r w:rsidR="00345354">
        <w:t> </w:t>
      </w:r>
      <w:r>
        <w:t xml:space="preserve">отношении тормозных систем, электрооборудования, устойчивости). Они проходят ежегодный осмотр для подтверждения их пригодности к эксплуатации на дорогах и их соответствия требованиям ДОПОГ. </w:t>
      </w:r>
    </w:p>
    <w:p w14:paraId="10FADB08" w14:textId="77777777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 xml:space="preserve">Кроме того, на транспортных средствах, используемых для перевозки опасных грузов, должно иметься специальное оборудование для обеспечения безопасности, включая огнетушители и средства защиты, такие как маски и перчатки. </w:t>
      </w:r>
    </w:p>
    <w:p w14:paraId="02B188A5" w14:textId="77777777" w:rsidR="00C54CBF" w:rsidRPr="00D810FC" w:rsidRDefault="00C54CBF" w:rsidP="00C54CBF">
      <w:pPr>
        <w:pStyle w:val="H4G"/>
        <w:rPr>
          <w:rFonts w:eastAsia="SimSun"/>
        </w:rPr>
      </w:pPr>
      <w:r>
        <w:tab/>
      </w:r>
      <w:r>
        <w:tab/>
      </w:r>
      <w:r>
        <w:rPr>
          <w:iCs/>
        </w:rPr>
        <w:t>Безопасная дорожная инфраструктура</w:t>
      </w:r>
    </w:p>
    <w:p w14:paraId="6FD3C109" w14:textId="77777777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>На транспортные средства ДОПОГ могут распространяться конкретные ограничения движения, определенные на местном уровне в случае наличия особых рисков в определенных местах. Это включает в себя специальные ограничения скорости, дополнительные положения или ограничения для специальных сооружений, таких как мосты, или районов с особыми местными рисками, а также ограничения на перевозку опасных грузов в определенные дни недели.</w:t>
      </w:r>
    </w:p>
    <w:p w14:paraId="29A15EB9" w14:textId="77777777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 xml:space="preserve">После крупных аварий, произошедших в альпийских туннелях в 1999 году (Монблан, Тауэрн) и 2001 году (Сен-Готард), которые, впрочем, не были вызваны перевозкой опасных грузов, опасения по поводу перевозки опасных грузов в туннелях </w:t>
      </w:r>
      <w:r>
        <w:lastRenderedPageBreak/>
        <w:t>усилились, что привело к добавлению в ДОПОГ специальных ограничений на проезд через туннели.</w:t>
      </w:r>
    </w:p>
    <w:p w14:paraId="2EBBB1B4" w14:textId="77777777" w:rsidR="00C54CBF" w:rsidRPr="007D0A41" w:rsidRDefault="00C54CBF" w:rsidP="00C54CBF">
      <w:pPr>
        <w:pStyle w:val="H4G"/>
        <w:rPr>
          <w:rFonts w:eastAsia="SimSun"/>
        </w:rPr>
      </w:pPr>
      <w:r>
        <w:tab/>
      </w:r>
      <w:r>
        <w:tab/>
        <w:t>Меры, принимаемые</w:t>
      </w:r>
      <w:r>
        <w:rPr>
          <w:iCs/>
        </w:rPr>
        <w:t xml:space="preserve"> после дорожно-транспортных происшествий</w:t>
      </w:r>
    </w:p>
    <w:p w14:paraId="719D1FB4" w14:textId="77777777" w:rsidR="00C54CBF" w:rsidRPr="00002B2D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 xml:space="preserve">Согласованное информирование об опасности, соответствующая сигнализация транспортного средства, перевозящего опасные грузы, и стандартизированные письменные инструкции в соответствии с ДОПОГ помогают обеспечить быстрое, эффективное и надлежащее реагирование на чрезвычайные ситуации в случае аварий. </w:t>
      </w:r>
    </w:p>
    <w:p w14:paraId="33D62A03" w14:textId="77777777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 xml:space="preserve">Регулярно вносимые в ДОПОГ поправки также учитывают последствия инцидентов и аварий, которые выявили пробелы в существующих правилах и накопленном опыте. </w:t>
      </w:r>
    </w:p>
    <w:p w14:paraId="3A16850A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Облегчение торговли и пересечения границ</w:t>
      </w:r>
    </w:p>
    <w:p w14:paraId="0CFAA335" w14:textId="5FC7058A" w:rsidR="00C54CBF" w:rsidRPr="00D810FC" w:rsidRDefault="00C54CBF" w:rsidP="003453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>ДОПОГ является важным инструментом облегчения торговли и пересечения границ. Оно позволяет перевозчикам одной страны, являющейся Договаривающейся стороной, перевозить опасные грузы из своей страны через территорию и на территорию любой другой страны, являющейся Договаривающейся стороной, без предъявления дополнительных требований странами транзита или назначения. Тем не менее перевозки продолжают быть предметом внутригосударственных или международных предписаний, касающихся в целом дорожного движения, международных дорожных перевозок или международной торговли.</w:t>
      </w:r>
    </w:p>
    <w:p w14:paraId="0653E22D" w14:textId="77777777" w:rsidR="00C54CBF" w:rsidRPr="00D810FC" w:rsidRDefault="00C54CBF" w:rsidP="004933B2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>Статус Договаривающейся стороны ДОПОГ подразумевает взаимное признание свидетельств и утверждений, выданных компетентными органами ДОПОГ, таких как свидетельства о допущении транспортного средства к перевозке, официальные утверждения типа конструкции цистерны или свидетельства о подготовке водителя.</w:t>
      </w:r>
    </w:p>
    <w:p w14:paraId="5B189B7B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Связь с другими международными соглашениями и конвенциями</w:t>
      </w:r>
    </w:p>
    <w:p w14:paraId="5A11B44B" w14:textId="77777777" w:rsidR="00C54CBF" w:rsidRPr="00002B2D" w:rsidRDefault="00C54CBF" w:rsidP="004933B2">
      <w:pPr>
        <w:spacing w:after="120"/>
        <w:ind w:left="1134" w:right="1134" w:firstLine="567"/>
        <w:jc w:val="both"/>
        <w:rPr>
          <w:rFonts w:eastAsia="SimSun"/>
        </w:rPr>
      </w:pPr>
      <w:r>
        <w:t>Перевозка опасных грузов должна быть регламентирована с целью предотвращения, насколько это возможно, несчастных случаев с людьми либо причинения ущерба имуществу или ущерба окружающей среде, другим грузам или транспортным единицам. При наличии различающегося национального законодательства для различных видов транспорта международная торговля химическими веществами и опасными продуктами будет серьезно затруднена, если не станет невозможной и небезопасной. Кроме того, на опасные грузы распространяются другие правила, такие как правила безопасности труда, правила защиты прав потребителей, правила хранения, правила охраны окружающей среды.</w:t>
      </w:r>
    </w:p>
    <w:p w14:paraId="743E8FB0" w14:textId="77777777" w:rsidR="00C54CBF" w:rsidRPr="00D810FC" w:rsidRDefault="00C54CBF" w:rsidP="004933B2">
      <w:pPr>
        <w:spacing w:after="120"/>
        <w:ind w:left="1134" w:right="1134" w:firstLine="567"/>
        <w:jc w:val="both"/>
        <w:rPr>
          <w:rFonts w:eastAsia="SimSun"/>
        </w:rPr>
      </w:pPr>
      <w:r>
        <w:t>Для обеспечения согласованности между всеми этими системами регулирования Организация Объединенных Наций разработала механизмы согласования критериев классификации опасностей и средств информирования об опасности (Согласованная на глобальном уровне система классификации опасности и маркировки химической продукции), а также механизмы согласования условий перевозки для всех видов транспорта (Рекомендации Организации Объединенных Наций по перевозке опасных грузов).</w:t>
      </w:r>
    </w:p>
    <w:p w14:paraId="1F1B491A" w14:textId="77777777" w:rsidR="00C54CBF" w:rsidRPr="00D810FC" w:rsidRDefault="00C54CBF" w:rsidP="004933B2">
      <w:pPr>
        <w:spacing w:after="120"/>
        <w:ind w:left="1134" w:right="1134" w:firstLine="567"/>
        <w:jc w:val="both"/>
      </w:pPr>
      <w:r>
        <w:t xml:space="preserve">Перевозка опасных грузов регулируется национальными и международными правилами, основанными на Рекомендациях Организации Объединенных Наций по перевозке опасных грузов, Типовые правила (Типовые правила ООН). Типовые правила ООН подготовлены Подкомитетом экспертов по перевозке опасных грузов Экономического и Социального Совета Организации Объединенных Наций (ЭКОСОС), который обслуживается ЕЭК ООН. Они обновляются каждые два года и внедряются на мировом уровне для всех видов транспорта посредством применимых международных правовых документов. </w:t>
      </w:r>
    </w:p>
    <w:p w14:paraId="74D02F27" w14:textId="77777777" w:rsidR="00C54CBF" w:rsidRPr="00D810FC" w:rsidRDefault="00C54CBF" w:rsidP="004933B2">
      <w:pPr>
        <w:spacing w:after="120"/>
        <w:ind w:left="1134" w:right="1134" w:firstLine="397"/>
        <w:jc w:val="both"/>
      </w:pPr>
      <w:r>
        <w:t xml:space="preserve">Эти рекомендации содержат основные положения по безопасной перевозке опасных грузов, а именно: </w:t>
      </w:r>
    </w:p>
    <w:p w14:paraId="71ADDAA9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t>классификация и идентификация опасных грузов;</w:t>
      </w:r>
    </w:p>
    <w:p w14:paraId="35AA6A06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lastRenderedPageBreak/>
        <w:t>условия упаковки (включая стандарты на конструкцию тары и цистерн);</w:t>
      </w:r>
    </w:p>
    <w:p w14:paraId="65B23FEB" w14:textId="77777777" w:rsidR="00C54CBF" w:rsidRPr="00002B2D" w:rsidRDefault="00C54CBF" w:rsidP="00C54CBF">
      <w:pPr>
        <w:pStyle w:val="Bullet1G"/>
        <w:numPr>
          <w:ilvl w:val="0"/>
          <w:numId w:val="22"/>
        </w:numPr>
      </w:pPr>
      <w:r>
        <w:t>размещение знаков опасности, маркировки и больших знаков опасности на упаковках и транспортном оборудовании; и</w:t>
      </w:r>
    </w:p>
    <w:p w14:paraId="024B0F1D" w14:textId="77777777" w:rsidR="00C54CBF" w:rsidRDefault="00C54CBF" w:rsidP="00C54CBF">
      <w:pPr>
        <w:pStyle w:val="Bullet1G"/>
        <w:numPr>
          <w:ilvl w:val="0"/>
          <w:numId w:val="22"/>
        </w:numPr>
      </w:pPr>
      <w:r>
        <w:t>транспортная документация.</w:t>
      </w:r>
    </w:p>
    <w:p w14:paraId="148F7EDD" w14:textId="77777777" w:rsidR="00C54CBF" w:rsidRPr="00840D11" w:rsidRDefault="00C54CBF" w:rsidP="004933B2">
      <w:pPr>
        <w:spacing w:after="120"/>
        <w:ind w:left="1134" w:right="1134" w:firstLine="397"/>
        <w:jc w:val="both"/>
      </w:pPr>
      <w:r>
        <w:t>Они оформлены в виде «Типовых правил» с целью их применения ко всем видам транспорта и доступны на шести официальных языках Организации Объединенных Наций (английском, арабском, испанском, китайском, русском и французском). Это позволяет:</w:t>
      </w:r>
    </w:p>
    <w:p w14:paraId="6002A805" w14:textId="496936A9" w:rsidR="00C54CBF" w:rsidRPr="00002B2D" w:rsidRDefault="00C54CBF" w:rsidP="00C54CBF">
      <w:pPr>
        <w:pStyle w:val="Bullet1G"/>
        <w:numPr>
          <w:ilvl w:val="0"/>
          <w:numId w:val="22"/>
        </w:numPr>
      </w:pPr>
      <w:r>
        <w:t>непосредственно включить Типовые правила во все национальные и международные правила, действующие на различных видах транспорта, и</w:t>
      </w:r>
      <w:r w:rsidR="004933B2">
        <w:t> </w:t>
      </w:r>
      <w:r>
        <w:t>облегчить их обновление;</w:t>
      </w:r>
    </w:p>
    <w:p w14:paraId="60F4C073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t>повысить уровень унификации правил, регулирующих перевозку опасных грузов;</w:t>
      </w:r>
    </w:p>
    <w:p w14:paraId="2887E68D" w14:textId="77777777" w:rsidR="00C54CBF" w:rsidRPr="00002B2D" w:rsidRDefault="00C54CBF" w:rsidP="00C54CBF">
      <w:pPr>
        <w:pStyle w:val="Bullet1G"/>
        <w:numPr>
          <w:ilvl w:val="0"/>
          <w:numId w:val="22"/>
        </w:numPr>
      </w:pPr>
      <w:r>
        <w:t>обеспечить общую экономию ресурсов для правительств государств-членов, Организации Объединенных Наций и других международных организаций;</w:t>
      </w:r>
    </w:p>
    <w:p w14:paraId="00A482D9" w14:textId="77777777" w:rsidR="00C54CBF" w:rsidRDefault="00C54CBF" w:rsidP="00C54CBF">
      <w:pPr>
        <w:pStyle w:val="Bullet1G"/>
        <w:numPr>
          <w:ilvl w:val="0"/>
          <w:numId w:val="22"/>
        </w:numPr>
      </w:pPr>
      <w:r>
        <w:t>повысить «удобство пользования» правилами;</w:t>
      </w:r>
    </w:p>
    <w:p w14:paraId="423C6738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t>более четко определить обязанности участников перевозки; и</w:t>
      </w:r>
    </w:p>
    <w:p w14:paraId="2250A584" w14:textId="77777777" w:rsidR="00C54CBF" w:rsidRPr="00D810FC" w:rsidRDefault="00C54CBF" w:rsidP="00C54CBF">
      <w:pPr>
        <w:pStyle w:val="Bullet1G"/>
        <w:numPr>
          <w:ilvl w:val="0"/>
          <w:numId w:val="22"/>
        </w:numPr>
      </w:pPr>
      <w:r>
        <w:t>улучшить соблюдение правил при мультимодальных перевозках.</w:t>
      </w:r>
    </w:p>
    <w:p w14:paraId="0AEA738D" w14:textId="2E66D222" w:rsidR="00C54CBF" w:rsidRPr="00D810FC" w:rsidRDefault="00C54CBF" w:rsidP="004933B2">
      <w:pPr>
        <w:spacing w:after="120"/>
        <w:ind w:left="1134" w:right="1134" w:firstLine="397"/>
        <w:jc w:val="both"/>
      </w:pPr>
      <w:r>
        <w:t>Большинство стран мира, затрагиваемых морской перевозкой, включая страны</w:t>
      </w:r>
      <w:r w:rsidR="004933B2">
        <w:t xml:space="preserve"> — </w:t>
      </w:r>
      <w:r>
        <w:t xml:space="preserve">члены ЕЭК ООН, являются сторонами Международной конвенции по охране человеческой жизни на море (СОЛАС-74) и обязаны применять к морским перевозкам Международный кодекс морской перевозки опасных грузов (МКМПОГ). </w:t>
      </w:r>
    </w:p>
    <w:p w14:paraId="5F5F9D58" w14:textId="77777777" w:rsidR="00C54CBF" w:rsidRPr="00D810FC" w:rsidRDefault="00C54CBF" w:rsidP="004933B2">
      <w:pPr>
        <w:spacing w:after="120"/>
        <w:ind w:left="1134" w:right="1134" w:firstLine="397"/>
        <w:jc w:val="both"/>
      </w:pPr>
      <w:r>
        <w:t xml:space="preserve">Аналогичным образом, стороны Конвенции о международной гражданской авиации применяют Технические инструкции ИКАО по безопасной перевозке опасных грузов по воздуху (ТИ ИКАО). </w:t>
      </w:r>
    </w:p>
    <w:p w14:paraId="722430DA" w14:textId="15EEBE6E" w:rsidR="00C54CBF" w:rsidRPr="00D810FC" w:rsidRDefault="00C54CBF" w:rsidP="004933B2">
      <w:pPr>
        <w:spacing w:after="120"/>
        <w:ind w:left="1134" w:right="1134" w:firstLine="397"/>
        <w:jc w:val="both"/>
      </w:pPr>
      <w:r>
        <w:t>Три основных свода правил в области внутреннего транспорта, действующие в регионе ЕЭК ООН и за его пределами,</w:t>
      </w:r>
      <w:r w:rsidR="004933B2">
        <w:t xml:space="preserve"> — </w:t>
      </w:r>
      <w:r>
        <w:t xml:space="preserve">это ДОПОГ для автомобильного транспорта, Правила международной перевозки опасных грузов по железным дорогам (МПОГ) и Европейское соглашение о международной перевозке опасных грузов по внутренним водным путям (ВОПОГ). </w:t>
      </w:r>
    </w:p>
    <w:p w14:paraId="71730D02" w14:textId="77777777" w:rsidR="00C54CBF" w:rsidRPr="00D810FC" w:rsidRDefault="00C54CBF" w:rsidP="00F51FFC">
      <w:pPr>
        <w:spacing w:after="120"/>
        <w:ind w:left="1134" w:right="1134" w:firstLine="397"/>
        <w:jc w:val="both"/>
      </w:pPr>
      <w:r>
        <w:t xml:space="preserve">Эти международные конвенции и соглашения основаны на Типовых правилах ООН и дополнены требованиями, специфическими для каждого вида транспорта. </w:t>
      </w:r>
    </w:p>
    <w:p w14:paraId="65C702A1" w14:textId="5B53B911" w:rsidR="00C54CBF" w:rsidRPr="00002B2D" w:rsidRDefault="00C54CBF" w:rsidP="00F51FFC">
      <w:pPr>
        <w:spacing w:after="120"/>
        <w:ind w:left="1134" w:right="1134" w:firstLine="397"/>
        <w:jc w:val="both"/>
      </w:pPr>
      <w:r>
        <w:t>МПОГ, ДОПОГ и ВОПОГ содержат семь частей Типовых правил ООН и дополнительные главы для цистерн МПОГ/ДОПОГ, специальные положения о перевозке автомобильным, железнодорожным и внутренним водным транспортом, а</w:t>
      </w:r>
      <w:r w:rsidR="00F51FFC">
        <w:t> </w:t>
      </w:r>
      <w:r>
        <w:t>также о погрузке и разгрузке транспортных средств, вагонов и судов. Кроме того, ДОПОГ содержит часть 8, посвященную требованиям, касающимся экипажей, оборудования и эксплуатации транспортных средств, а также документации, и часть</w:t>
      </w:r>
      <w:r w:rsidR="00F51FFC">
        <w:t> </w:t>
      </w:r>
      <w:r>
        <w:t>9, касающуюся конструкции транспортных средств и их допущения к перевозке.</w:t>
      </w:r>
    </w:p>
    <w:p w14:paraId="1EBCD2E7" w14:textId="35EFA98D" w:rsidR="00C54CBF" w:rsidRPr="00002B2D" w:rsidRDefault="00F51FFC" w:rsidP="00C54CBF">
      <w:pPr>
        <w:pStyle w:val="SingleTxtG"/>
        <w:rPr>
          <w:i/>
          <w:iCs/>
        </w:rPr>
      </w:pPr>
      <w:r>
        <w:rPr>
          <w:i/>
          <w:iCs/>
        </w:rPr>
        <w:tab/>
      </w:r>
      <w:r w:rsidR="00C54CBF">
        <w:rPr>
          <w:i/>
          <w:iCs/>
        </w:rPr>
        <w:t>Положения ДОПОГ согласованы с положениями, применимыми к перевозкам по воздуху, по морю, железной дороге и внутренним водным путям, на основе Типовых правил ООН.</w:t>
      </w:r>
      <w:r w:rsidR="00C54CBF">
        <w:t xml:space="preserve"> </w:t>
      </w:r>
      <w:r w:rsidR="00C54CBF">
        <w:rPr>
          <w:i/>
          <w:iCs/>
        </w:rPr>
        <w:t>Это помогает обеспечить безопасность на протяжении всего интермодального пути, не создавая ненужных препятствий и задержек.</w:t>
      </w:r>
      <w:r w:rsidR="00C54CBF">
        <w:t xml:space="preserve"> </w:t>
      </w:r>
    </w:p>
    <w:p w14:paraId="4CF3976C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Доверие и уверенность</w:t>
      </w:r>
    </w:p>
    <w:p w14:paraId="3804EA38" w14:textId="46486109" w:rsidR="00C54CBF" w:rsidRPr="00D810FC" w:rsidRDefault="00F51FFC" w:rsidP="00C54CBF">
      <w:pPr>
        <w:pStyle w:val="SingleTxtG"/>
      </w:pPr>
      <w:r>
        <w:tab/>
      </w:r>
      <w:r w:rsidR="00C54CBF">
        <w:t xml:space="preserve">ДОПОГ поощряет переговоры и взаимное доверие между Договаривающимися сторонами. Оно обеспечивает основу для административного контроля и взаимной административной помощи. </w:t>
      </w:r>
    </w:p>
    <w:p w14:paraId="2F9A33F9" w14:textId="61BF75CD" w:rsidR="00C54CBF" w:rsidRPr="00D810FC" w:rsidRDefault="00F51FFC" w:rsidP="00C54CBF">
      <w:pPr>
        <w:pStyle w:val="SingleTxtG"/>
      </w:pPr>
      <w:r>
        <w:tab/>
      </w:r>
      <w:r w:rsidR="00C54CBF">
        <w:t xml:space="preserve">Рабочая группа по перевозкам опасных грузов (см. ниже), которая занимается вопросами ДОПОГ, является форумом для диалога и общения между компетентными органами. </w:t>
      </w:r>
    </w:p>
    <w:p w14:paraId="49C891D3" w14:textId="09172A05" w:rsidR="00C54CBF" w:rsidRPr="00D810FC" w:rsidRDefault="00F51FFC" w:rsidP="00C54CBF">
      <w:pPr>
        <w:pStyle w:val="SingleTxtG"/>
      </w:pPr>
      <w:r>
        <w:lastRenderedPageBreak/>
        <w:tab/>
      </w:r>
      <w:r w:rsidR="00C54CBF">
        <w:t xml:space="preserve">Статья 11 ДОПОГ определяет процедуру разрешения споров между Договаривающимися сторонами. </w:t>
      </w:r>
    </w:p>
    <w:p w14:paraId="2E8F3899" w14:textId="77777777" w:rsidR="00C54CBF" w:rsidRPr="00D810FC" w:rsidRDefault="00C54CBF" w:rsidP="00C54CBF">
      <w:pPr>
        <w:pStyle w:val="H1G"/>
      </w:pPr>
      <w:r>
        <w:tab/>
      </w:r>
      <w:r>
        <w:tab/>
      </w:r>
      <w:r>
        <w:rPr>
          <w:bCs/>
        </w:rPr>
        <w:t>Административное сопровождение ДОПОГ на международном уровне</w:t>
      </w:r>
    </w:p>
    <w:p w14:paraId="477B2378" w14:textId="003C1B90" w:rsidR="00C54CBF" w:rsidRPr="00D810FC" w:rsidRDefault="00C54CBF" w:rsidP="00F51FFC">
      <w:pPr>
        <w:spacing w:after="120"/>
        <w:ind w:left="1134" w:right="1134" w:firstLine="567"/>
        <w:jc w:val="both"/>
        <w:rPr>
          <w:rFonts w:eastAsia="SimSun"/>
        </w:rPr>
      </w:pPr>
      <w:r>
        <w:t xml:space="preserve">Вопросы разработки и обновления ДОПОГ обсуждаются вспомогательным органом Комитета по внутреннему транспорту ЕЭК ООН </w:t>
      </w:r>
      <w:r w:rsidR="00F51FFC">
        <w:t>—</w:t>
      </w:r>
      <w:r>
        <w:t xml:space="preserve"> Рабочей группой по перевозкам опасных грузов (WP.15). </w:t>
      </w:r>
    </w:p>
    <w:p w14:paraId="5A0C7CEC" w14:textId="77777777" w:rsidR="00C54CBF" w:rsidRPr="00D810FC" w:rsidRDefault="00C54CBF" w:rsidP="00F51FFC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>Рабочая группа по перевозкам опасных грузов (WP.15) занимается вопросами обеспечения безопасности и охраны при перевозке опасных грузов, а также разрабатывает и обновляет положения ДОПОГ. Рабочая группа принимает проекты поправок к приложениям к ДОПОГ и предлагает их Договаривающимся сторонам для окончательного принятия и вступления в силу в соответствии с договорно-правовой процедурой. На сессиях Рабочей группы также обсуждаются вопросы применения и толкования ДОПОГ.</w:t>
      </w:r>
    </w:p>
    <w:p w14:paraId="2C214AC5" w14:textId="3C2789AD" w:rsidR="00C54CBF" w:rsidRPr="00D810FC" w:rsidRDefault="00F51FFC" w:rsidP="00C54CBF">
      <w:pPr>
        <w:pStyle w:val="SingleTxtG"/>
        <w:rPr>
          <w:rFonts w:eastAsia="SimSun"/>
        </w:rPr>
      </w:pPr>
      <w:r>
        <w:tab/>
      </w:r>
      <w:r w:rsidR="00C54CBF">
        <w:t>Правила процедуры Рабочей группы опубликованы в документе ECE/TRANS/WP.15/190/Add.1 [включить ссылку]. Согласно этим правилам, любая страна, являющаяся членом Организации Объединенных Наций, может участвовать в ее деятельности. Все государства</w:t>
      </w:r>
      <w:r>
        <w:t xml:space="preserve"> — </w:t>
      </w:r>
      <w:r w:rsidR="00C54CBF">
        <w:t>члены ЕЭК ООН, включая те, которые не являются Договаривающимися сторонами ДОПОГ, могут голосовать по предложениям о поправках в ДОПОГ. Не являющиеся членами ЕЭК ООН страны, которые являются Договаривающимися сторонами ДОПОГ, также могут голосовать по таким предложениям, но не по другим обсуждаемым WP.15 вопросам, которые не связаны с ДОПОГ.</w:t>
      </w:r>
    </w:p>
    <w:p w14:paraId="143E23A9" w14:textId="1C79AAB4" w:rsidR="00C54CBF" w:rsidRPr="00D810FC" w:rsidRDefault="00C54CBF" w:rsidP="00F51FFC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</w:pPr>
      <w:r>
        <w:t xml:space="preserve">Ежегодно WP.15 проводит, как правило, две сессии </w:t>
      </w:r>
      <w:r w:rsidR="00F51FFC">
        <w:t>—</w:t>
      </w:r>
      <w:r>
        <w:t xml:space="preserve"> в мае и ноябре. На</w:t>
      </w:r>
      <w:r w:rsidR="00F51FFC">
        <w:t> </w:t>
      </w:r>
      <w:r>
        <w:t xml:space="preserve">каждой сессии присутствуют около 60 участников, представляющих Договаривающиеся стороны и их компетентные органы, а также другие страны, специализированные учреждения, межправительственные организации и неправительственные организации, заинтересованные в ее работе. К участию в сессии Рабочей группы приглашаются страны, намеревающиеся присоединиться к ДОПОГ. </w:t>
      </w:r>
    </w:p>
    <w:p w14:paraId="2EEAD7CC" w14:textId="732B3396" w:rsidR="00C54CBF" w:rsidRPr="00D810FC" w:rsidRDefault="00C54CBF" w:rsidP="00F51FFC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</w:rPr>
      </w:pPr>
      <w:r>
        <w:t xml:space="preserve">Доступ к информации о совещаниях WP.15 (расписание, повестка дня, документация и доклады) предоставляется бесплатно и без каких-либо ограничений на веб-сайте ЕЭК ООН: </w:t>
      </w:r>
      <w:hyperlink r:id="rId10" w:history="1">
        <w:r w:rsidR="00AE39EE" w:rsidRPr="008D5C1F">
          <w:rPr>
            <w:rStyle w:val="Hyperlink"/>
          </w:rPr>
          <w:t>https://unece.org/info/events/unece-meetings-and-events/transport/dangerous%20goods</w:t>
        </w:r>
      </w:hyperlink>
      <w:r w:rsidR="00AE39EE">
        <w:t>.</w:t>
      </w:r>
    </w:p>
    <w:p w14:paraId="026578F1" w14:textId="77777777" w:rsidR="00C54CBF" w:rsidRPr="00D810FC" w:rsidRDefault="00C54CBF" w:rsidP="00CA6A54">
      <w:pPr>
        <w:spacing w:after="120"/>
        <w:ind w:left="1134" w:right="1134" w:firstLine="567"/>
        <w:jc w:val="both"/>
      </w:pPr>
      <w:r>
        <w:t xml:space="preserve">Положения, общие для МПОГ, ДОПОГ и ВОПОГ, сначала обсуждаются и разрабатываются на Совместном совещании Комиссии экспертов МПОГ и Рабочей группы по перевозкам опасных грузов, которое обслуживается совместно ОТИФ и ЕЭК ООН. Затем эти положения утверждаются Рабочей группой по перевозкам опасных грузов перед их окончательным принятием. </w:t>
      </w:r>
    </w:p>
    <w:p w14:paraId="09DD6223" w14:textId="1D70E46B" w:rsidR="00C54CBF" w:rsidRPr="00D810FC" w:rsidRDefault="00C54CBF" w:rsidP="00CA6A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</w:pPr>
      <w:r>
        <w:t xml:space="preserve">Участие в сессиях Рабочей группы и Совместного совещания </w:t>
      </w:r>
      <w:r w:rsidR="00CA6A54">
        <w:t>—</w:t>
      </w:r>
      <w:r>
        <w:t xml:space="preserve"> это наилучший способ познакомиться друг с другом, обменяться опытом и обсудить вопросы применения. Важно, чтобы представители Договаривающихся сторон и промышленности были вовлечены в процесс принятия новых поправок на ранней стадии, чтобы можно было предвидеть их влияние на уровне стран. </w:t>
      </w:r>
    </w:p>
    <w:p w14:paraId="0D0A8F1E" w14:textId="77777777" w:rsidR="00C54CBF" w:rsidRPr="00D810FC" w:rsidRDefault="00C54CBF" w:rsidP="00CA6A54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 w:firstLine="567"/>
        <w:jc w:val="both"/>
        <w:rPr>
          <w:rFonts w:eastAsia="SimSun"/>
          <w:i/>
          <w:iCs/>
        </w:rPr>
      </w:pPr>
      <w:r>
        <w:rPr>
          <w:i/>
          <w:iCs/>
        </w:rPr>
        <w:t>Рекомендуется, чтобы страны, являющиеся Договаривающимися сторонами ДОПОГ, страны, желающие присоединиться к ДОПОГ, и страны, применяющие или намеревающиеся применять положения приложений к ДОПОГ в качестве национальных правил, принимали участие в этих совещаниях.</w:t>
      </w:r>
    </w:p>
    <w:p w14:paraId="6921376C" w14:textId="77777777" w:rsidR="00C54CBF" w:rsidRPr="00D810FC" w:rsidRDefault="00C54CBF" w:rsidP="00C54CBF">
      <w:pPr>
        <w:pStyle w:val="H1G"/>
      </w:pPr>
      <w:r>
        <w:tab/>
      </w:r>
      <w:r>
        <w:tab/>
      </w:r>
      <w:r>
        <w:rPr>
          <w:bCs/>
        </w:rPr>
        <w:t>Языки</w:t>
      </w:r>
    </w:p>
    <w:p w14:paraId="3A580A65" w14:textId="45CCC2CF" w:rsidR="00C54CBF" w:rsidRPr="00D810FC" w:rsidRDefault="00CA6A54" w:rsidP="00C54CBF">
      <w:pPr>
        <w:pStyle w:val="SingleTxtG"/>
      </w:pPr>
      <w:r>
        <w:tab/>
      </w:r>
      <w:r w:rsidR="00C54CBF">
        <w:t xml:space="preserve">Аутентичными текстами ДОПОГ являются тексты самого Соглашения </w:t>
      </w:r>
      <w:r>
        <w:br/>
      </w:r>
      <w:r w:rsidR="00C54CBF">
        <w:t xml:space="preserve">на английском и французском языках и текст требований, содержащихся в </w:t>
      </w:r>
      <w:r w:rsidR="00C54CBF">
        <w:lastRenderedPageBreak/>
        <w:t>приложениях</w:t>
      </w:r>
      <w:r>
        <w:t> </w:t>
      </w:r>
      <w:r w:rsidR="00C54CBF">
        <w:t>А и В (части 1–9), только на французском языке. Как предлагается в Соглашении, Генеральный секретарь в качестве депозитария ДОПОГ обеспечивает и обновляет официальный перевод приложений на английский язык. ЕЭК ООН также выпускает вариант ДОПОГ на русском языке, но этот перевод не имеет официального статуса.</w:t>
      </w:r>
    </w:p>
    <w:p w14:paraId="5E93A7AC" w14:textId="5B5A48C7" w:rsidR="00C54CBF" w:rsidRPr="00D810FC" w:rsidRDefault="00CA6A54" w:rsidP="00C54CBF">
      <w:pPr>
        <w:pStyle w:val="SingleTxtG"/>
      </w:pPr>
      <w:r>
        <w:tab/>
      </w:r>
      <w:r w:rsidR="00C54CBF">
        <w:t>Перевод на национальные языки, кроме французского, английского и русского, оставлен на усмотрение самих Договаривающихся сторон с учетом того, что большая часть текста ДОПОГ заимствована из Типовых правил ООН, которые имеются на всех шести языках ООН.</w:t>
      </w:r>
    </w:p>
    <w:p w14:paraId="6194494C" w14:textId="77777777" w:rsidR="00C54CBF" w:rsidRPr="00D810FC" w:rsidRDefault="00C54CBF" w:rsidP="00C54CBF">
      <w:pPr>
        <w:pStyle w:val="HChG"/>
      </w:pPr>
      <w:r>
        <w:tab/>
      </w:r>
      <w:r>
        <w:tab/>
      </w:r>
      <w:r>
        <w:rPr>
          <w:bCs/>
        </w:rPr>
        <w:t>Шаги в направлении присоединения</w:t>
      </w:r>
    </w:p>
    <w:p w14:paraId="10CCE452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Официальная и структурированная координация на национальном уровне</w:t>
      </w:r>
    </w:p>
    <w:p w14:paraId="1F5FCCFF" w14:textId="31A6E25F" w:rsidR="00C54CBF" w:rsidRPr="00D810FC" w:rsidRDefault="00CA6A54" w:rsidP="00C54CBF">
      <w:pPr>
        <w:pStyle w:val="SingleTxtG"/>
      </w:pPr>
      <w:r>
        <w:tab/>
      </w:r>
      <w:r w:rsidR="00C54CBF">
        <w:t xml:space="preserve">Правила, регулирующие перевозку опасных грузов, могут относиться к компетенции различных министерств или ведомств в зависимости от характера груза (химические вещества, взрывчатые вещества, радиоактивные материалы, отходы, лекарственные препараты, пестициды), цели перевозки и существующей административной структуры. Необходимо определить круг соответствующих министерств, ведомств и органов и предложить их представителям участвовать в процессе присоединения. </w:t>
      </w:r>
    </w:p>
    <w:p w14:paraId="394816BF" w14:textId="6A471573" w:rsidR="00C54CBF" w:rsidRPr="00D810FC" w:rsidRDefault="00CA6A54" w:rsidP="00C54CBF">
      <w:pPr>
        <w:pStyle w:val="SingleTxtG"/>
      </w:pPr>
      <w:r>
        <w:tab/>
      </w:r>
      <w:r w:rsidR="00C54CBF">
        <w:t>Неполный перечень министерств, ведомств и органов, обычно занимающихся вопросами перевозки опасных грузов, может включать органы и структуры, в ведении которых находятся вопросы транспорта, контроля за организацией движения и дорожной инспекции, подготовки водителей, промышленности, внутренних дел, окружающей среды, торговли, обороны, финансов, сельского хозяйства, труда, науки, образования, здравоохранения, ядерной безопасности.</w:t>
      </w:r>
    </w:p>
    <w:p w14:paraId="1D9D7B80" w14:textId="76F97F5C" w:rsidR="00C54CBF" w:rsidRPr="00D810FC" w:rsidRDefault="007634B1" w:rsidP="00C54CBF">
      <w:pPr>
        <w:pStyle w:val="SingleTxtG"/>
      </w:pPr>
      <w:r>
        <w:tab/>
      </w:r>
      <w:r w:rsidR="00C54CBF">
        <w:t>Следует провести консультации с представителями частного сектора и ассоциаций и по возможности привлечь их к участию в этом процессе в качестве представителей пользователей правил; речь идет о представителях химической/нефтяной/газовой промышленности, транспортного сектора, изготовителей тары/цистерн/транспортных средств, профессиональных союзов, ассоциаций по вопросам предотвращения несчастных случаев на производстве, обучающих организаций и т.</w:t>
      </w:r>
      <w:r w:rsidR="00C54CBF" w:rsidRPr="00DD4AE0">
        <w:t xml:space="preserve"> </w:t>
      </w:r>
      <w:r w:rsidR="00C54CBF">
        <w:t>д.</w:t>
      </w:r>
    </w:p>
    <w:p w14:paraId="3D97965F" w14:textId="5C97F337" w:rsidR="00C54CBF" w:rsidRPr="00D810FC" w:rsidRDefault="007634B1" w:rsidP="00C54CBF">
      <w:pPr>
        <w:pStyle w:val="SingleTxtG"/>
      </w:pPr>
      <w:r>
        <w:tab/>
      </w:r>
      <w:r w:rsidR="00C54CBF">
        <w:t>Необходимо обеспечить официальную координацию между всеми участниками, вовлеченными в процесс присоединения.</w:t>
      </w:r>
    </w:p>
    <w:p w14:paraId="7B708F2D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Предварительные шаги</w:t>
      </w:r>
    </w:p>
    <w:p w14:paraId="2831BB4B" w14:textId="4C5A7C7E" w:rsidR="00C54CBF" w:rsidRPr="00D810FC" w:rsidRDefault="007634B1" w:rsidP="00C54CBF">
      <w:pPr>
        <w:pStyle w:val="SingleTxtG"/>
      </w:pPr>
      <w:r>
        <w:tab/>
      </w:r>
      <w:r w:rsidR="00C54CBF">
        <w:t>Каждому государству, желающему применять ДОПОГ, следует:</w:t>
      </w:r>
    </w:p>
    <w:p w14:paraId="16EAEF29" w14:textId="77777777" w:rsidR="00C54CBF" w:rsidRPr="00D810FC" w:rsidRDefault="00C54CBF" w:rsidP="00C54CBF">
      <w:pPr>
        <w:pStyle w:val="SingleTxtG"/>
      </w:pPr>
      <w:r>
        <w:t>−</w:t>
      </w:r>
      <w:r>
        <w:tab/>
        <w:t>разработать процедуры для применения ДОПОГ в рамках международной перевозки опасных грузов. Эти процедуры могут быть связаны с переводом первоначального текста и поправок на соответствующий язык, проверками на автодорогах и объектах, толкованием, административной практикой обеспечения применения, последующими действиями в связи с обновлением правил, графиками вступления в силу, влиянием переходных периодов и т. д.;</w:t>
      </w:r>
    </w:p>
    <w:p w14:paraId="4DE5B33D" w14:textId="77777777" w:rsidR="00C54CBF" w:rsidRPr="00D810FC" w:rsidRDefault="00C54CBF" w:rsidP="00C54CBF">
      <w:pPr>
        <w:pStyle w:val="SingleTxtG"/>
      </w:pPr>
      <w:r>
        <w:t>−</w:t>
      </w:r>
      <w:r>
        <w:tab/>
        <w:t>создать необходимые органы по применению;</w:t>
      </w:r>
    </w:p>
    <w:p w14:paraId="0019FF9C" w14:textId="07273600" w:rsidR="00C54CBF" w:rsidRPr="00002B2D" w:rsidRDefault="00C54CBF" w:rsidP="00C54CBF">
      <w:pPr>
        <w:pStyle w:val="SingleTxtG"/>
      </w:pPr>
      <w:r>
        <w:t>–</w:t>
      </w:r>
      <w:r>
        <w:tab/>
        <w:t xml:space="preserve">назначить соответствующие компетентные органы или структуры, которые будут заниматься классификацией грузов, допущением, испытаниями и сертификацией тары, цистерн и транспортных средств, обучением и аттестацией водителей и консультантов по вопросам безопасности перевозки опасных грузов </w:t>
      </w:r>
      <w:r w:rsidR="007634B1">
        <w:br/>
      </w:r>
      <w:r>
        <w:t>и т.</w:t>
      </w:r>
      <w:r w:rsidR="007634B1">
        <w:t> </w:t>
      </w:r>
      <w:r>
        <w:t>д., и обеспечить, чтобы они были надлежащим образом подготовлены и располагали надлежащими процедурами, с учетом того что им, возможно, необходимо будет выдавать свидетельства в соответствии с ДОПОГ. Эти обязанности могут быть возложены на один административный орган, в ведении которого может находиться также перевозка опасных грузов другими видами транспорта;</w:t>
      </w:r>
    </w:p>
    <w:p w14:paraId="006FABFD" w14:textId="77777777" w:rsidR="00C54CBF" w:rsidRPr="00D810FC" w:rsidRDefault="00C54CBF" w:rsidP="00C54CBF">
      <w:pPr>
        <w:pStyle w:val="SingleTxtG"/>
      </w:pPr>
      <w:r>
        <w:lastRenderedPageBreak/>
        <w:t>–</w:t>
      </w:r>
      <w:r>
        <w:tab/>
        <w:t>назначить координационный центр по вопросам применения на национальном уровне и сотрудничества с другими государствами (через Рабочую группу ЕЭК ООН по перевозкам опасных грузов), учитывая наличие экспертного опыта и ресурсов. Этот координационный центр может представлять компетентный орган на международных совещаниях, и в этом случае он должен быть уполномочен принимать решения от имени компетентного органа;</w:t>
      </w:r>
    </w:p>
    <w:p w14:paraId="5725B1BF" w14:textId="77777777" w:rsidR="00C54CBF" w:rsidRPr="00D810FC" w:rsidRDefault="00C54CBF" w:rsidP="00C54CBF">
      <w:pPr>
        <w:pStyle w:val="SingleTxtG"/>
      </w:pPr>
      <w:r>
        <w:t>−</w:t>
      </w:r>
      <w:r>
        <w:tab/>
        <w:t>предоставить необходимые финансовые и людские ресурсы для обеспечения участия экспертов в работе сессий соответствующих международных органов, отвечающих за разработку правил и стандартов, подкрепляющих эти правила.</w:t>
      </w:r>
    </w:p>
    <w:p w14:paraId="5C20D45F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Установление норм</w:t>
      </w:r>
    </w:p>
    <w:p w14:paraId="728039D1" w14:textId="064F5C45" w:rsidR="00C54CBF" w:rsidRPr="00D810FC" w:rsidRDefault="007634B1" w:rsidP="00C54CBF">
      <w:pPr>
        <w:pStyle w:val="SingleTxtG"/>
      </w:pPr>
      <w:r>
        <w:tab/>
      </w:r>
      <w:r w:rsidR="00C54CBF">
        <w:t>Национальный координационный орган должен разработать или адаптировать существующие национальные законы и правила, которые могут затрагивать международную перевозку опасных грузов в соответствии с ДОПОГ. Необходимо оценить состояние существующих правил, которые могут частично совпадать с ДОПОГ; речь идет о правилах, касающихся вопросов безопасности, отходов, туннелей, почтовых услуг, перевозки опасных грузов другими видами транспорта, безопасности дорожного движения, ограничений движения и т. д.</w:t>
      </w:r>
    </w:p>
    <w:p w14:paraId="3C370A0D" w14:textId="2D93745F" w:rsidR="00C54CBF" w:rsidRPr="00D810FC" w:rsidRDefault="007634B1" w:rsidP="00C54CBF">
      <w:pPr>
        <w:pStyle w:val="SingleTxtG"/>
      </w:pPr>
      <w:r>
        <w:tab/>
      </w:r>
      <w:r w:rsidR="00C54CBF">
        <w:t xml:space="preserve">В целях содействия применению ДОПОГ рекомендуется, насколько это возможно, привести законодательство, применяемое в сфере внутренних перевозок опасных грузов, в соответствие с ДОПОГ. </w:t>
      </w:r>
    </w:p>
    <w:p w14:paraId="268969C5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Присоединение</w:t>
      </w:r>
    </w:p>
    <w:p w14:paraId="00AB6444" w14:textId="77777777" w:rsidR="00C54CBF" w:rsidRPr="00D810FC" w:rsidRDefault="00C54CBF" w:rsidP="007634B1">
      <w:pPr>
        <w:spacing w:after="120"/>
        <w:ind w:left="1134" w:right="1134" w:firstLine="567"/>
        <w:jc w:val="both"/>
      </w:pPr>
      <w:r>
        <w:t>Для ратификации ДОПОГ страны должны сдать на хранение документ о присоединении.</w:t>
      </w:r>
    </w:p>
    <w:p w14:paraId="4A3232EF" w14:textId="77777777" w:rsidR="00C54CBF" w:rsidRPr="00D810FC" w:rsidRDefault="00C54CBF" w:rsidP="007634B1">
      <w:pPr>
        <w:spacing w:after="120"/>
        <w:ind w:left="1134" w:right="1134" w:firstLine="567"/>
        <w:jc w:val="both"/>
      </w:pPr>
      <w:r>
        <w:t>Процесс присоединения следует начинать в соответствии с внутригосударственным правом/конституцией в консультации с ведомствами, компетентными в области международных дел (например, департаментом международных отношений или министерством иностранных дел).</w:t>
      </w:r>
    </w:p>
    <w:p w14:paraId="02D8D771" w14:textId="77777777" w:rsidR="00C54CBF" w:rsidRPr="00D810FC" w:rsidRDefault="00C54CBF" w:rsidP="007634B1">
      <w:pPr>
        <w:spacing w:after="120"/>
        <w:ind w:left="1134" w:right="1134" w:firstLine="567"/>
        <w:jc w:val="both"/>
      </w:pPr>
      <w:r>
        <w:t>Для того чтобы обеспечить вступление в силу Протокола 1993 года о внесении поправок в пункт а) статьи 1 и пункты 1 и 3 b) статьи 14 ДОПОГ, необходимо, чтобы соответствующее государство сдало на хранение документ о присоединении как к ДОПОГ, так и к Протоколу 1993 года.</w:t>
      </w:r>
    </w:p>
    <w:p w14:paraId="53CDB61C" w14:textId="77777777" w:rsidR="00C54CBF" w:rsidRPr="00002B2D" w:rsidRDefault="00C54CBF" w:rsidP="007634B1">
      <w:pPr>
        <w:spacing w:after="120"/>
        <w:ind w:left="1134" w:right="1134" w:firstLine="567"/>
        <w:jc w:val="both"/>
        <w:rPr>
          <w:iCs/>
        </w:rPr>
      </w:pPr>
      <w:r>
        <w:t>Глава государства или правительства, министр иностранных дел или лицо, временно осуществляющее полномочия одного из этих уполномоченных лиц, подписывает документ о присоединении, который подлежит сдаче на хранение Генеральному секретарю.</w:t>
      </w:r>
    </w:p>
    <w:p w14:paraId="6CC92AB2" w14:textId="4D329C36" w:rsidR="00C54CBF" w:rsidRPr="00CE4566" w:rsidRDefault="007634B1" w:rsidP="00C54CBF">
      <w:pPr>
        <w:pStyle w:val="SingleTxtG"/>
        <w:rPr>
          <w:b/>
          <w:lang w:val="en-US"/>
        </w:rPr>
      </w:pPr>
      <w:r>
        <w:tab/>
      </w:r>
      <w:r w:rsidR="00C54CBF">
        <w:t xml:space="preserve">Полезную информацию о шагах, которые необходимо предпринять для присоединения к международному договору, можно найти в Руководстве по международным договорам, подготовленном Договорной секцией Управления по правовым вопросам. Руководство по международным договорам имеется на шести официальных языках Организации Объединенных Наций. </w:t>
      </w:r>
      <w:r w:rsidR="00C54CBF" w:rsidRPr="00CE4566">
        <w:rPr>
          <w:lang w:val="en-US"/>
        </w:rPr>
        <w:t>URL:</w:t>
      </w:r>
      <w:r w:rsidR="00614729" w:rsidRPr="00CE4566">
        <w:rPr>
          <w:lang w:val="en-US"/>
        </w:rPr>
        <w:t xml:space="preserve"> </w:t>
      </w:r>
      <w:hyperlink r:id="rId11" w:history="1">
        <w:r w:rsidRPr="00CE4566">
          <w:rPr>
            <w:rStyle w:val="Hyperlink"/>
            <w:lang w:val="en-US"/>
          </w:rPr>
          <w:t>https://treaties.un.org/pages/Resource.aspx?path=Publication/TH/Page1_en.xml</w:t>
        </w:r>
      </w:hyperlink>
      <w:r w:rsidRPr="00CE4566">
        <w:rPr>
          <w:rStyle w:val="Hyperlink"/>
          <w:lang w:val="en-US"/>
        </w:rPr>
        <w:t>.</w:t>
      </w:r>
      <w:r w:rsidRPr="00CE4566">
        <w:rPr>
          <w:lang w:val="en-US"/>
        </w:rPr>
        <w:t xml:space="preserve"> </w:t>
      </w:r>
    </w:p>
    <w:p w14:paraId="7C77DB75" w14:textId="082F6696" w:rsidR="00C54CBF" w:rsidRPr="00D810FC" w:rsidRDefault="007634B1" w:rsidP="00C54CBF">
      <w:pPr>
        <w:pStyle w:val="SingleTxtG"/>
        <w:rPr>
          <w:rStyle w:val="SingleTxtGChar"/>
        </w:rPr>
      </w:pPr>
      <w:r w:rsidRPr="00CE4566">
        <w:rPr>
          <w:lang w:val="en-US"/>
        </w:rPr>
        <w:tab/>
      </w:r>
      <w:r w:rsidR="00C54CBF">
        <w:t>В Руководстве по международным договорам</w:t>
      </w:r>
      <w:r w:rsidR="00C54CBF" w:rsidRPr="00F75220">
        <w:t xml:space="preserve"> </w:t>
      </w:r>
      <w:r w:rsidR="00C54CBF">
        <w:t>содержится типовой документ о присоединении.</w:t>
      </w:r>
    </w:p>
    <w:p w14:paraId="1D2B0DD1" w14:textId="5659D06E" w:rsidR="00C54CBF" w:rsidRPr="00D810FC" w:rsidRDefault="007634B1" w:rsidP="00C54CBF">
      <w:pPr>
        <w:pStyle w:val="SingleTxtG"/>
        <w:rPr>
          <w:rStyle w:val="SingleTxtGChar"/>
        </w:rPr>
      </w:pPr>
      <w:r>
        <w:tab/>
      </w:r>
      <w:r w:rsidR="00C54CBF">
        <w:t>Процедура присоединения не связана с какими-либо расходами.</w:t>
      </w:r>
    </w:p>
    <w:p w14:paraId="17BDDD93" w14:textId="77777777" w:rsidR="00C54CBF" w:rsidRPr="00D810FC" w:rsidRDefault="00C54CBF" w:rsidP="00C54CBF">
      <w:pPr>
        <w:pStyle w:val="H23G"/>
        <w:rPr>
          <w:rStyle w:val="SingleTxtGChar"/>
        </w:rPr>
      </w:pPr>
      <w:r>
        <w:tab/>
      </w:r>
      <w:r>
        <w:tab/>
        <w:t>Вступление в силу</w:t>
      </w:r>
    </w:p>
    <w:p w14:paraId="69EA114A" w14:textId="704F53FA" w:rsidR="00C54CBF" w:rsidRPr="00D810FC" w:rsidRDefault="007634B1" w:rsidP="00C54CBF">
      <w:pPr>
        <w:pStyle w:val="SingleTxtG"/>
        <w:rPr>
          <w:rStyle w:val="SingleTxtGChar"/>
        </w:rPr>
      </w:pPr>
      <w:r>
        <w:tab/>
      </w:r>
      <w:r w:rsidR="00C54CBF">
        <w:t>ДОПОГ вступает в силу для присоединяющейся страны по истечении одного месяца со дня сдачи на хранение документа о присоединении. Ратификация юридически обязывает государство применять Соглашение с учетом действующих оговорок, пониманий и заявлений.</w:t>
      </w:r>
    </w:p>
    <w:p w14:paraId="53A62943" w14:textId="1BC150EA" w:rsidR="00C54CBF" w:rsidRPr="00D810FC" w:rsidRDefault="007634B1" w:rsidP="00C54CBF">
      <w:pPr>
        <w:pStyle w:val="SingleTxtG"/>
      </w:pPr>
      <w:r>
        <w:lastRenderedPageBreak/>
        <w:tab/>
      </w:r>
      <w:r w:rsidR="00C54CBF">
        <w:t xml:space="preserve">Ратификация ДОПОГ не должна оказывать негативного влияния на текущие торговые отношения, если с некоторыми странами уже существуют специальные договоренности. Для поддержания текущей торговли с соседними странами временные отступления от требований ДОПОГ могут оговариваться в каждом конкретном случае с другими Договаривающимися сторонами путем заключения двусторонних/многосторонних соглашений (пункт 3 статьи 4 ДОПОГ и раздел 1.5.1 приложения А) при условии сохранения надлежащего уровня безопасности. </w:t>
      </w:r>
    </w:p>
    <w:p w14:paraId="2889BFF7" w14:textId="6EBE8A5D" w:rsidR="00C54CBF" w:rsidRPr="00002B2D" w:rsidRDefault="00784708" w:rsidP="00C54CBF">
      <w:pPr>
        <w:pStyle w:val="SingleTxtG"/>
      </w:pPr>
      <w:r>
        <w:tab/>
      </w:r>
      <w:r w:rsidR="00C54CBF">
        <w:t>Процедура подписания таких двусторонних или многосторонних соглашений и уведомления о них изложена в приложении [...] [Соответствующее приложение будет указано в окончательном варианте].</w:t>
      </w:r>
    </w:p>
    <w:p w14:paraId="47962B4A" w14:textId="77777777" w:rsidR="00C54CBF" w:rsidRPr="00D810FC" w:rsidRDefault="00C54CBF" w:rsidP="00C54CBF">
      <w:pPr>
        <w:pStyle w:val="H1G"/>
      </w:pPr>
      <w:r>
        <w:tab/>
      </w:r>
      <w:r>
        <w:tab/>
      </w:r>
      <w:r>
        <w:tab/>
      </w:r>
      <w:r>
        <w:rPr>
          <w:bCs/>
        </w:rPr>
        <w:t>Применение/практические последствия присоединения к ДОПОГ</w:t>
      </w:r>
    </w:p>
    <w:p w14:paraId="67079770" w14:textId="7AAA18E2" w:rsidR="00C54CBF" w:rsidRPr="00D810FC" w:rsidRDefault="00784708" w:rsidP="00C54CBF">
      <w:pPr>
        <w:pStyle w:val="SingleTxtG"/>
        <w:rPr>
          <w:bCs/>
        </w:rPr>
      </w:pPr>
      <w:r>
        <w:tab/>
      </w:r>
      <w:r w:rsidR="00C54CBF">
        <w:t>В приложениях к ДОПОГ содержатся условия перевозки, которые должны соблюдаться различными вовлеченными сторонами. Договаривающиеся стороны должны сами создать административные структуры, необходимые для применения ДОПОГ в стране, например для экзаменования водителей, желающих получить свидетельство о подготовке по ДОПОГ, выдачи свидетельств о подготовке консультантов по вопросам безопасности перевозок опасных грузов, утверждения изготовленной в стране тары, допущения транспортных средств</w:t>
      </w:r>
      <w:r w:rsidR="00C54CBF" w:rsidRPr="002D6330">
        <w:t xml:space="preserve"> </w:t>
      </w:r>
      <w:r w:rsidR="00C54CBF">
        <w:t>к перевозке, организации проверок и т. д.</w:t>
      </w:r>
    </w:p>
    <w:p w14:paraId="2949908F" w14:textId="6CC2ED36" w:rsidR="00C54CBF" w:rsidRPr="00D810FC" w:rsidRDefault="00784708" w:rsidP="00C54CBF">
      <w:pPr>
        <w:pStyle w:val="SingleTxtG"/>
      </w:pPr>
      <w:r>
        <w:tab/>
      </w:r>
      <w:r w:rsidR="00C54CBF">
        <w:t>С текстом ДОПОГ можно ознакомиться на веб-сайте ЕЭК ООН. См.</w:t>
      </w:r>
      <w:r>
        <w:t> </w:t>
      </w:r>
      <w:hyperlink r:id="rId12" w:history="1">
        <w:r w:rsidRPr="008D5C1F">
          <w:rPr>
            <w:rStyle w:val="Hyperlink"/>
          </w:rPr>
          <w:t>https://unece.org/about-adr</w:t>
        </w:r>
      </w:hyperlink>
      <w:r>
        <w:t xml:space="preserve">. </w:t>
      </w:r>
    </w:p>
    <w:p w14:paraId="063B94DF" w14:textId="6682784E" w:rsidR="00C54CBF" w:rsidRPr="00D810FC" w:rsidRDefault="00784708" w:rsidP="00C54CBF">
      <w:pPr>
        <w:pStyle w:val="SingleTxtG"/>
      </w:pPr>
      <w:r>
        <w:tab/>
      </w:r>
      <w:r w:rsidR="00C54CBF">
        <w:t>Наиболее важными для администрации являются часть 1, часть 6, касающаяся утверждения тары, цистерн и т. д., глава 8.2, касающаяся подготовки водителей, и</w:t>
      </w:r>
      <w:r>
        <w:t> </w:t>
      </w:r>
      <w:r w:rsidR="00C54CBF">
        <w:t>часть 9, касающаяся допущения транспортных средств</w:t>
      </w:r>
      <w:r w:rsidR="00C54CBF" w:rsidRPr="0039652C">
        <w:t xml:space="preserve"> </w:t>
      </w:r>
      <w:r w:rsidR="00C54CBF">
        <w:t>к перевозке.</w:t>
      </w:r>
    </w:p>
    <w:p w14:paraId="36CAD719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Обновление</w:t>
      </w:r>
    </w:p>
    <w:p w14:paraId="1EAABABE" w14:textId="77777777" w:rsidR="00C54CBF" w:rsidRPr="00D810FC" w:rsidRDefault="00C54CBF" w:rsidP="00784708">
      <w:pPr>
        <w:spacing w:after="120"/>
        <w:ind w:left="1134" w:right="1134" w:firstLine="567"/>
        <w:jc w:val="both"/>
      </w:pPr>
      <w:r>
        <w:t>Приложения А и В к ДОПОГ регулярно изменяются и обновляются в соответствии с решениями Рабочей группы по перевозкам опасных грузов (WP.15) и Совместного совещания Комиссии экспертов МПОГ и Рабочей группы по перевозкам опасных грузов (Совместное совещание МПОГ/ДОПОГ/ВОПОГ) (WP.15/AC.1).</w:t>
      </w:r>
    </w:p>
    <w:p w14:paraId="16CACAA4" w14:textId="77777777" w:rsidR="00C54CBF" w:rsidRPr="00D810FC" w:rsidRDefault="00C54CBF" w:rsidP="00784708">
      <w:pPr>
        <w:spacing w:after="120"/>
        <w:ind w:left="1134" w:right="1134" w:firstLine="567"/>
        <w:jc w:val="both"/>
      </w:pPr>
      <w:bookmarkStart w:id="0" w:name="112a2"/>
      <w:bookmarkEnd w:id="0"/>
      <w:r>
        <w:t>Необходимо создать механизм для принятия последующих мер. Это подразумевает, в частности, регулярное участие в работе сессий WP.15 и Совместного совещания, информирование заинтересованных сторон и установление процедур для применения серий поправок, принимаемых Договаривающимися сторонами каждые два года.</w:t>
      </w:r>
    </w:p>
    <w:p w14:paraId="7CCCB138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Назначение и утверждение компетентных органов и уполномоченных орган</w:t>
      </w:r>
      <w:r>
        <w:t>изаций</w:t>
      </w:r>
    </w:p>
    <w:p w14:paraId="53B7A1A9" w14:textId="4D556D55" w:rsidR="00C54CBF" w:rsidRPr="00D810FC" w:rsidRDefault="00C54CBF" w:rsidP="00784708">
      <w:pPr>
        <w:spacing w:after="120"/>
        <w:ind w:left="1134" w:right="1134" w:firstLine="567"/>
        <w:jc w:val="both"/>
      </w:pPr>
      <w:r>
        <w:t>Назначение и утверждение компетентных органов и различных организаций, таких как учебные институты, экзаменующие организации, институты по испытаниям тары или цистерн, органы по допущению транспортных средств</w:t>
      </w:r>
      <w:r w:rsidRPr="002A7D0D">
        <w:t xml:space="preserve"> </w:t>
      </w:r>
      <w:r>
        <w:t xml:space="preserve">к перевозке, </w:t>
      </w:r>
      <w:r w:rsidR="00784708">
        <w:t>—</w:t>
      </w:r>
      <w:r>
        <w:t xml:space="preserve"> это исключительная обязанность Договаривающихся сторон; ЕЭК ООН не участвует в этом процессе и не утверждает учебные институты. </w:t>
      </w:r>
    </w:p>
    <w:p w14:paraId="46C1B506" w14:textId="77777777" w:rsidR="00C54CBF" w:rsidRPr="00D810FC" w:rsidRDefault="00C54CBF" w:rsidP="00784708">
      <w:pPr>
        <w:spacing w:after="120"/>
        <w:ind w:left="1134" w:right="1134" w:firstLine="567"/>
        <w:jc w:val="both"/>
      </w:pPr>
      <w:r>
        <w:t xml:space="preserve">Для стран, разделенных на регионы, рекомендуется определить компетентный орган на национальном уровне. </w:t>
      </w:r>
    </w:p>
    <w:p w14:paraId="104A7ED9" w14:textId="61502F1E" w:rsidR="00C54CBF" w:rsidRPr="00002B2D" w:rsidRDefault="00784708" w:rsidP="00C54CBF">
      <w:pPr>
        <w:pStyle w:val="SingleTxtG"/>
      </w:pPr>
      <w:r>
        <w:tab/>
      </w:r>
      <w:r w:rsidR="00C54CBF">
        <w:t>В соответствии с разделом 1.8.3 ДОПОГ Договаривающиеся стороны сообщают ЕЭК ООН адреса органов и назначенных ими организаций, обладающих, согласно внутригосударственному законодательству, компетенцией в вопросах применения ДОПОГ, указывая в каждом случае соответствующее положение ДОПОГ, а также адреса, по которым надлежит направлять соответствующие заявки. См. приложение [...] [Соответствующее приложение с перечнем данных, которые должны быть переданы в секретариат ЕЭК ООН, будет включено в окончательный вариант].</w:t>
      </w:r>
    </w:p>
    <w:p w14:paraId="14F1123E" w14:textId="07930F46" w:rsidR="00C54CBF" w:rsidRPr="002A6D06" w:rsidRDefault="00784708" w:rsidP="00C54CBF">
      <w:pPr>
        <w:pStyle w:val="SingleTxtG"/>
        <w:rPr>
          <w:lang w:val="en-US"/>
        </w:rPr>
      </w:pPr>
      <w:r>
        <w:lastRenderedPageBreak/>
        <w:tab/>
      </w:r>
      <w:r w:rsidR="00C54CBF">
        <w:t xml:space="preserve">Обновленный перечень контактных данных о компетентных органах, полученных от Договаривающихся сторон, опубликован на веб-сайте. </w:t>
      </w:r>
      <w:r w:rsidR="00C54CBF" w:rsidRPr="002A6D06">
        <w:rPr>
          <w:lang w:val="en-US"/>
        </w:rPr>
        <w:t>URL</w:t>
      </w:r>
      <w:r w:rsidR="00C54CBF">
        <w:rPr>
          <w:lang w:val="en-US"/>
        </w:rPr>
        <w:t>:</w:t>
      </w:r>
      <w:r w:rsidR="00C54CBF" w:rsidRPr="002A6D06">
        <w:rPr>
          <w:lang w:val="en-US"/>
        </w:rPr>
        <w:t xml:space="preserve"> </w:t>
      </w:r>
      <w:hyperlink r:id="rId13" w:history="1">
        <w:r w:rsidRPr="008D5C1F">
          <w:rPr>
            <w:rStyle w:val="Hyperlink"/>
            <w:lang w:val="en-US"/>
          </w:rPr>
          <w:t>https://unece.org/transport/dangerous-goods/country-information-competent-authorities-notifications</w:t>
        </w:r>
      </w:hyperlink>
      <w:r w:rsidRPr="00784708">
        <w:rPr>
          <w:lang w:val="en-US"/>
        </w:rPr>
        <w:t xml:space="preserve">. </w:t>
      </w:r>
      <w:r w:rsidR="00C54CBF" w:rsidRPr="002A6D06">
        <w:rPr>
          <w:lang w:val="en-US"/>
        </w:rPr>
        <w:t xml:space="preserve"> </w:t>
      </w:r>
    </w:p>
    <w:p w14:paraId="7F558BF8" w14:textId="77777777" w:rsidR="00C54CBF" w:rsidRPr="00D810FC" w:rsidRDefault="00C54CBF" w:rsidP="00C54CB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2A6D06">
        <w:rPr>
          <w:lang w:val="en-US"/>
        </w:rPr>
        <w:tab/>
      </w:r>
      <w:r w:rsidRPr="002A6D06">
        <w:rPr>
          <w:lang w:val="en-US"/>
        </w:rPr>
        <w:tab/>
      </w:r>
      <w:r>
        <w:rPr>
          <w:b/>
          <w:bCs/>
        </w:rPr>
        <w:t>Выдача свидетельств</w:t>
      </w:r>
      <w:r>
        <w:t xml:space="preserve"> </w:t>
      </w:r>
    </w:p>
    <w:p w14:paraId="0FE792D2" w14:textId="77777777" w:rsidR="00C54CBF" w:rsidRPr="00D810FC" w:rsidRDefault="00C54CBF" w:rsidP="00784708">
      <w:pPr>
        <w:spacing w:after="120"/>
        <w:ind w:left="1134" w:right="1134" w:firstLine="567"/>
        <w:jc w:val="both"/>
      </w:pPr>
      <w:r>
        <w:t xml:space="preserve">В некоторых случаях ДОПОГ требует выдачи свидетельств, признаваемых другими Договаривающимися сторонами (свидетельств об утверждении цистерн или тары, об официальном утверждении типа транспортных средств, о подготовке водителей и т. д.). Возможно, будет целесообразно выбрать организацию, которая будет обеспечивать быструю и эффективную выдачу этих свидетельств и должна будет также располагать механизмом сбора соответствующих данных. Выдача свидетельств может относиться к компетенции местных ведомств или органов власти. В этом случае какой-либо центральный орган должен обеспечивать согласование и осуществлять сбор данных. </w:t>
      </w:r>
    </w:p>
    <w:p w14:paraId="41F84127" w14:textId="59B9CDBF" w:rsidR="00C54CBF" w:rsidRPr="00002B2D" w:rsidRDefault="00C54CBF" w:rsidP="00784708">
      <w:pPr>
        <w:spacing w:after="120"/>
        <w:ind w:left="1134" w:right="1134" w:firstLine="567"/>
        <w:jc w:val="both"/>
      </w:pPr>
      <w:r>
        <w:t xml:space="preserve">В соответствии с пунктом 8.2.2.8.5 ДОПОГ Договаривающиеся стороны </w:t>
      </w:r>
      <w:r w:rsidRPr="00154C5D">
        <w:rPr>
          <w:color w:val="000000" w:themeColor="text1"/>
        </w:rPr>
        <w:t>п</w:t>
      </w:r>
      <w:r w:rsidR="00154C5D" w:rsidRPr="00154C5D">
        <w:rPr>
          <w:color w:val="000000" w:themeColor="text1"/>
        </w:rPr>
        <w:t>е</w:t>
      </w:r>
      <w:r w:rsidRPr="00154C5D">
        <w:rPr>
          <w:color w:val="000000" w:themeColor="text1"/>
        </w:rPr>
        <w:t>редают с</w:t>
      </w:r>
      <w:r>
        <w:t>екретариату ЕЭК ООН пример образца свидетельств ДОПОГ о подготовке водителя, выданных в их странах. Договаривающиеся стороны передают также пояснения, позволяющие проверять соответствие свидетельств переданным примерам образцов. См. приложение [...] [Соответствующее приложение с перечнем данных, которые должны быть переданы в секретариат ЕЭК ООН, будет включено в окончательный вариант].</w:t>
      </w:r>
    </w:p>
    <w:p w14:paraId="6BE85E37" w14:textId="4E3377D8" w:rsidR="00C54CBF" w:rsidRPr="00D810FC" w:rsidRDefault="00C54CBF" w:rsidP="00784708">
      <w:pPr>
        <w:spacing w:after="120"/>
        <w:ind w:left="1134" w:right="1134" w:firstLine="567"/>
        <w:jc w:val="both"/>
      </w:pPr>
      <w:r>
        <w:t xml:space="preserve">Эти образцы и связанные с ними данные опубликованы на веб-сайте. </w:t>
      </w:r>
      <w:r w:rsidRPr="002A6D06">
        <w:rPr>
          <w:lang w:val="en-US"/>
        </w:rPr>
        <w:t>URL</w:t>
      </w:r>
      <w:r w:rsidRPr="008D4D35">
        <w:t xml:space="preserve">: </w:t>
      </w:r>
      <w:hyperlink r:id="rId14" w:history="1">
        <w:r w:rsidR="00154C5D" w:rsidRPr="008D5C1F">
          <w:rPr>
            <w:rStyle w:val="Hyperlink"/>
          </w:rPr>
          <w:t>https://unece.org/adr-certificates-0</w:t>
        </w:r>
      </w:hyperlink>
      <w:r w:rsidR="00154C5D">
        <w:t>.</w:t>
      </w:r>
    </w:p>
    <w:p w14:paraId="4C735725" w14:textId="77777777" w:rsidR="00C54CBF" w:rsidRPr="00D810FC" w:rsidRDefault="00C54CBF" w:rsidP="00C54CBF">
      <w:pPr>
        <w:pStyle w:val="H23G"/>
      </w:pPr>
      <w:r>
        <w:tab/>
      </w:r>
      <w:r>
        <w:tab/>
      </w:r>
      <w:r>
        <w:rPr>
          <w:bCs/>
        </w:rPr>
        <w:t>Проверки и обеспечение соблюдения</w:t>
      </w:r>
    </w:p>
    <w:p w14:paraId="7FE30752" w14:textId="77777777" w:rsidR="00C54CBF" w:rsidRPr="00D810FC" w:rsidRDefault="00C54CBF" w:rsidP="00154C5D">
      <w:pPr>
        <w:spacing w:after="120"/>
        <w:ind w:left="1134" w:right="1134" w:firstLine="567"/>
        <w:jc w:val="both"/>
      </w:pPr>
      <w:r>
        <w:t xml:space="preserve">ДОПОГ представляет собой соглашение между государствами и не предусматривает наличие какого-либо общего органа для обеспечения соблюдения его положений. На практике проверки на автомагистралях осуществляются компетентными органами Договаривающихся сторон, и несоблюдение положений Соглашения может привести к возбуждению национальными органами иска против нарушителей в соответствии с их внутригосударственным законодательством. </w:t>
      </w:r>
    </w:p>
    <w:p w14:paraId="439CCFAC" w14:textId="77777777" w:rsidR="00C54CBF" w:rsidRPr="00D810FC" w:rsidRDefault="00C54CBF" w:rsidP="00154C5D">
      <w:pPr>
        <w:spacing w:after="120"/>
        <w:ind w:left="1134" w:right="1134" w:firstLine="567"/>
        <w:jc w:val="both"/>
      </w:pPr>
      <w:r>
        <w:t>Проверки или другие правоприменительные действия обычно осуществляются под непосредственным руководством национальных органов, назначенных для этих целей. Количество проверок и уровень санкций в случае нарушения правил могут значительно различаться в разных странах, однако проверки считаются необходимыми для обеспечения соблюдения требований. Они также являются эффективным инструментом для выявления проблем, связанных с безопасностью перевозки опасных грузов или практической применимостью правил, и для совершенствования правил.</w:t>
      </w:r>
    </w:p>
    <w:p w14:paraId="71D7CF20" w14:textId="77777777" w:rsidR="00C54CBF" w:rsidRPr="00D810FC" w:rsidRDefault="00C54CBF" w:rsidP="00154C5D">
      <w:pPr>
        <w:spacing w:after="120"/>
        <w:ind w:left="1134" w:right="1134" w:firstLine="567"/>
        <w:jc w:val="both"/>
      </w:pPr>
      <w:r>
        <w:t>Следует определить процедуры проведения проверок и процедуры, необходимые для предотвращения, выявления, контроля и урегулирования случаев нарушения правил.</w:t>
      </w:r>
    </w:p>
    <w:p w14:paraId="7F31F010" w14:textId="77777777" w:rsidR="00C54CBF" w:rsidRPr="00D810FC" w:rsidRDefault="00C54CBF" w:rsidP="00C54CB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Процедуры, применяемые в случае аварии</w:t>
      </w:r>
    </w:p>
    <w:p w14:paraId="39D39651" w14:textId="77777777" w:rsidR="00C54CBF" w:rsidRPr="00D810FC" w:rsidRDefault="00C54CBF" w:rsidP="00154C5D">
      <w:pPr>
        <w:spacing w:after="120"/>
        <w:ind w:left="1134" w:right="1134" w:firstLine="567"/>
        <w:jc w:val="both"/>
      </w:pPr>
      <w:r>
        <w:t>Аварии, связанные с опасными грузами, часто требуют вмешательства различных аварийных служб, и необходимо установить процедуры взаимного информирования и координации. Следует также изучить возможности сотрудничества между соседними государствами.</w:t>
      </w:r>
    </w:p>
    <w:p w14:paraId="053A68B0" w14:textId="77777777" w:rsidR="00C54CBF" w:rsidRPr="00D810FC" w:rsidRDefault="00C54CBF" w:rsidP="00154C5D">
      <w:pPr>
        <w:spacing w:after="120"/>
        <w:ind w:left="1134" w:right="1134" w:firstLine="567"/>
        <w:jc w:val="both"/>
      </w:pPr>
      <w:r>
        <w:t>Обеспечение готовности к чрезвычайным ситуациям может также включать участие в программах, связанных с применением интеллектуальных транспортных систем для обнаружения и отслеживания опасных грузов.</w:t>
      </w:r>
    </w:p>
    <w:p w14:paraId="2CCED173" w14:textId="77777777" w:rsidR="00C54CBF" w:rsidRPr="00002B2D" w:rsidRDefault="00C54CBF" w:rsidP="00154C5D">
      <w:pPr>
        <w:spacing w:after="120"/>
        <w:ind w:left="1134" w:right="1134" w:firstLine="567"/>
        <w:jc w:val="both"/>
      </w:pPr>
      <w:r>
        <w:t xml:space="preserve">Представление отчетов о серьезных авариях или инцидентах, произошедших во время погрузки, наполнения, перевозки или разгрузки опасных грузов, является обязательным согласно ДОПОГ. В соответствии с разделом 1.8.5 ДОПОГ погрузчик, </w:t>
      </w:r>
      <w:r>
        <w:lastRenderedPageBreak/>
        <w:t>ответственный за наполнение, перевозчик или грузоотправитель, в зависимости от обстоятельств, должен представить отчет компетентному органу страны, в которой соответствующее происшествие имело место.</w:t>
      </w:r>
    </w:p>
    <w:p w14:paraId="1545F462" w14:textId="77777777" w:rsidR="00C54CBF" w:rsidRPr="00D810FC" w:rsidRDefault="00C54CBF" w:rsidP="00C54CBF">
      <w:pPr>
        <w:pStyle w:val="H1G"/>
      </w:pPr>
      <w:r>
        <w:tab/>
      </w:r>
      <w:r>
        <w:tab/>
      </w:r>
      <w:r>
        <w:rPr>
          <w:bCs/>
        </w:rPr>
        <w:t>Заключение</w:t>
      </w:r>
    </w:p>
    <w:p w14:paraId="37BD11A5" w14:textId="77777777" w:rsidR="00C54CBF" w:rsidRPr="00D810FC" w:rsidRDefault="00C54CBF" w:rsidP="00154C5D">
      <w:pPr>
        <w:spacing w:after="120"/>
        <w:ind w:left="1134" w:right="1134" w:firstLine="567"/>
        <w:jc w:val="both"/>
      </w:pPr>
      <w:r>
        <w:t>Присоединение к ДОПОГ и тщательное выполнение положений, содержащихся в приложениях А и В, при осуществлении международных перевозок, как ожидается, поможет странам избежать длительного и дорогостоящего процесса разработки и обновления отдельных правил, касающихся перевозки опасных грузов. Положения ДОПОГ уже доказали свою успешность в обеспечении безопасности и охраны и согласованы с правилами других видов транспорта.</w:t>
      </w:r>
    </w:p>
    <w:p w14:paraId="6B5AA9B3" w14:textId="77777777" w:rsidR="00C54CBF" w:rsidRPr="00D810FC" w:rsidRDefault="00C54CBF" w:rsidP="00154C5D">
      <w:pPr>
        <w:spacing w:after="120"/>
        <w:ind w:left="1134" w:right="1134" w:firstLine="567"/>
        <w:jc w:val="both"/>
      </w:pPr>
      <w:r>
        <w:t>Проблемы с соблюдением правил могут возникнуть в странах, где требования, применяемые к международным перевозкам, отличаются от требований, применяемых на национальном уровне к внутренним перевозкам. Это может создать проблемы для применения правил, соблюдения положений о безопасности</w:t>
      </w:r>
      <w:r w:rsidRPr="00CC4E97">
        <w:t xml:space="preserve"> </w:t>
      </w:r>
      <w:r>
        <w:t>и охране и проведения проверок на дорогах. Согласование правил, применимых к внутренним перевозкам опасных грузов, и национальных стандартов в области безопасности транспортных средств с ДОПОГ настоятельно рекомендуется и доказало свою эффективность в повышении безопасности дорожного движения.</w:t>
      </w:r>
    </w:p>
    <w:p w14:paraId="102D322A" w14:textId="77777777" w:rsidR="00C54CBF" w:rsidRPr="00D810FC" w:rsidRDefault="00C54CBF" w:rsidP="00154C5D">
      <w:pPr>
        <w:spacing w:after="120"/>
        <w:ind w:left="1134" w:right="1134" w:firstLine="567"/>
        <w:jc w:val="both"/>
        <w:rPr>
          <w:i/>
          <w:iCs/>
        </w:rPr>
      </w:pPr>
      <w:r>
        <w:rPr>
          <w:i/>
          <w:iCs/>
        </w:rPr>
        <w:t>Странам, желающим достичь высокого уровня безопасности и охраны при перевозке опасных грузов и безопасности дорожного движения в целом, предлагается присоединиться к ДОПОГ и в полной мере применять его, поддерживая прогресс в деле выполнения задач по обеспечению безопасности дорожного движения в рамках Целей в области устойчивого развития.</w:t>
      </w:r>
      <w:r>
        <w:t xml:space="preserve"> </w:t>
      </w:r>
    </w:p>
    <w:p w14:paraId="30EA2BBB" w14:textId="77777777" w:rsidR="00C54CBF" w:rsidRPr="00D810FC" w:rsidRDefault="00C54CBF" w:rsidP="00C54CBF">
      <w:pPr>
        <w:pStyle w:val="H1G"/>
      </w:pPr>
      <w:r>
        <w:tab/>
      </w:r>
      <w:r>
        <w:tab/>
      </w:r>
      <w:r>
        <w:rPr>
          <w:bCs/>
        </w:rPr>
        <w:t>Где получить дополнительную информацию</w:t>
      </w:r>
    </w:p>
    <w:p w14:paraId="229C80CC" w14:textId="1499E1B9" w:rsidR="00C54CBF" w:rsidRPr="00D810FC" w:rsidRDefault="00C54CBF" w:rsidP="00C54CBF">
      <w:pPr>
        <w:pStyle w:val="SingleTxtG"/>
      </w:pPr>
      <w:r>
        <w:tab/>
        <w:t>Любой запрос по поводу применения ДОПОГ следует направлять соответствующему компетентному органу. Дополнительную информацию можно получить на веб-сайте Отдела транспорта ЕЭК ООН</w:t>
      </w:r>
      <w:r w:rsidRPr="00E07825">
        <w:t>.</w:t>
      </w:r>
      <w:r w:rsidRPr="007F5E33">
        <w:t xml:space="preserve"> </w:t>
      </w:r>
      <w:r>
        <w:rPr>
          <w:lang w:val="en-US"/>
        </w:rPr>
        <w:t>URL</w:t>
      </w:r>
      <w:r w:rsidRPr="006E1FF9">
        <w:t xml:space="preserve">: </w:t>
      </w:r>
      <w:hyperlink r:id="rId15" w:history="1">
        <w:r w:rsidR="00154C5D" w:rsidRPr="008D5C1F">
          <w:rPr>
            <w:rStyle w:val="Hyperlink"/>
          </w:rPr>
          <w:t>https://unece.org/transport/dangerous-goods</w:t>
        </w:r>
      </w:hyperlink>
      <w:r w:rsidR="00154C5D">
        <w:t xml:space="preserve">. </w:t>
      </w:r>
      <w:r>
        <w:t xml:space="preserve"> </w:t>
      </w:r>
    </w:p>
    <w:p w14:paraId="6905E01C" w14:textId="77777777" w:rsidR="00C54CBF" w:rsidRPr="00D810FC" w:rsidRDefault="00C54CBF" w:rsidP="00C54CBF">
      <w:pPr>
        <w:pStyle w:val="SingleTxtG"/>
      </w:pPr>
      <w:r>
        <w:tab/>
        <w:t>На указанном веб-сайте, обновляемом на регулярной основе, содержится следующая информация:</w:t>
      </w:r>
    </w:p>
    <w:p w14:paraId="21736F63" w14:textId="77777777" w:rsidR="00C54CBF" w:rsidRPr="00D810FC" w:rsidRDefault="00C54CBF" w:rsidP="00C54CBF">
      <w:pPr>
        <w:pStyle w:val="SingleTxtG"/>
      </w:pPr>
      <w:r>
        <w:t>–</w:t>
      </w:r>
      <w:r>
        <w:tab/>
        <w:t>общая информация о ДОПОГ;</w:t>
      </w:r>
    </w:p>
    <w:p w14:paraId="6484DAF1" w14:textId="77777777" w:rsidR="00C54CBF" w:rsidRPr="00D810FC" w:rsidRDefault="00C54CBF" w:rsidP="00C54CBF">
      <w:pPr>
        <w:pStyle w:val="SingleTxtG"/>
      </w:pPr>
      <w:r>
        <w:t>–</w:t>
      </w:r>
      <w:r>
        <w:tab/>
        <w:t>Соглашение;</w:t>
      </w:r>
    </w:p>
    <w:p w14:paraId="57D02F4F" w14:textId="77777777" w:rsidR="00C54CBF" w:rsidRPr="00D810FC" w:rsidRDefault="00C54CBF" w:rsidP="00C54CBF">
      <w:pPr>
        <w:pStyle w:val="SingleTxtG"/>
      </w:pPr>
      <w:r>
        <w:t>–</w:t>
      </w:r>
      <w:r>
        <w:tab/>
        <w:t>Протокол о подписании;</w:t>
      </w:r>
    </w:p>
    <w:p w14:paraId="68B3C8C8" w14:textId="77777777" w:rsidR="00C54CBF" w:rsidRPr="00D810FC" w:rsidRDefault="00C54CBF" w:rsidP="00C54CBF">
      <w:pPr>
        <w:pStyle w:val="SingleTxtG"/>
      </w:pPr>
      <w:r>
        <w:t>–</w:t>
      </w:r>
      <w:r>
        <w:tab/>
        <w:t>статус ДОПОГ;</w:t>
      </w:r>
    </w:p>
    <w:p w14:paraId="542A8DC0" w14:textId="77777777" w:rsidR="00C54CBF" w:rsidRPr="00D810FC" w:rsidRDefault="00C54CBF" w:rsidP="00C54CBF">
      <w:pPr>
        <w:pStyle w:val="SingleTxtG"/>
      </w:pPr>
      <w:r>
        <w:t>–</w:t>
      </w:r>
      <w:r>
        <w:tab/>
        <w:t>уведомления депозитария;</w:t>
      </w:r>
    </w:p>
    <w:p w14:paraId="7F8CEA91" w14:textId="77777777" w:rsidR="00C54CBF" w:rsidRPr="00D810FC" w:rsidRDefault="00C54CBF" w:rsidP="00C54CBF">
      <w:pPr>
        <w:pStyle w:val="SingleTxtG"/>
      </w:pPr>
      <w:r>
        <w:t>–</w:t>
      </w:r>
      <w:r>
        <w:tab/>
        <w:t>информация о странах (компетентные органы, уведомления);</w:t>
      </w:r>
    </w:p>
    <w:p w14:paraId="5C0FCB7D" w14:textId="77777777" w:rsidR="00C54CBF" w:rsidRPr="00D810FC" w:rsidRDefault="00C54CBF" w:rsidP="00C54CBF">
      <w:pPr>
        <w:pStyle w:val="SingleTxtG"/>
      </w:pPr>
      <w:r>
        <w:t>–</w:t>
      </w:r>
      <w:r>
        <w:tab/>
        <w:t>варианты на различных языках (ДОПОГ, письменные инструкции);</w:t>
      </w:r>
    </w:p>
    <w:p w14:paraId="64FE5C57" w14:textId="77777777" w:rsidR="00C54CBF" w:rsidRPr="00D810FC" w:rsidRDefault="00C54CBF" w:rsidP="00C54CBF">
      <w:pPr>
        <w:pStyle w:val="SingleTxtG"/>
      </w:pPr>
      <w:r>
        <w:t>–</w:t>
      </w:r>
      <w:r>
        <w:tab/>
        <w:t>многосторонние соглашения;</w:t>
      </w:r>
    </w:p>
    <w:p w14:paraId="0D295EF5" w14:textId="77777777" w:rsidR="00C54CBF" w:rsidRPr="00D810FC" w:rsidRDefault="00C54CBF" w:rsidP="00C54CBF">
      <w:pPr>
        <w:pStyle w:val="SingleTxtG"/>
      </w:pPr>
      <w:r>
        <w:t>–</w:t>
      </w:r>
      <w:r>
        <w:tab/>
        <w:t>текущее и предыдущие издания ДОПОГ (файлы) и поправки;</w:t>
      </w:r>
    </w:p>
    <w:p w14:paraId="072C9F52" w14:textId="77777777" w:rsidR="00C54CBF" w:rsidRPr="00D810FC" w:rsidRDefault="00C54CBF" w:rsidP="00C54CBF">
      <w:pPr>
        <w:pStyle w:val="SingleTxtG"/>
      </w:pPr>
      <w:r>
        <w:t>–</w:t>
      </w:r>
      <w:r>
        <w:tab/>
        <w:t>данные о публикации и исправления.</w:t>
      </w:r>
    </w:p>
    <w:p w14:paraId="55E8B6BF" w14:textId="037787A5" w:rsidR="00C54CBF" w:rsidRPr="00D810FC" w:rsidRDefault="000E345C" w:rsidP="00105D48">
      <w:pPr>
        <w:pStyle w:val="SingleTxtG"/>
      </w:pPr>
      <w:r>
        <w:tab/>
      </w:r>
      <w:r w:rsidR="00C54CBF">
        <w:t>По вопросам толкования положений ДОПОГ следует обращаться в национальные компетентные органы по ДОПОГ. См.</w:t>
      </w:r>
      <w:r w:rsidR="001C2447">
        <w:t> </w:t>
      </w:r>
      <w:hyperlink r:id="rId16" w:history="1">
        <w:r w:rsidR="00C54CBF" w:rsidRPr="008D5C1F">
          <w:rPr>
            <w:rStyle w:val="Hyperlink"/>
          </w:rPr>
          <w:t>https://unece.org/transport/dangerous-goods/country-information-competent-authorities-notifications</w:t>
        </w:r>
      </w:hyperlink>
      <w:r w:rsidR="00C54CBF" w:rsidRPr="00C54CBF">
        <w:t>.</w:t>
      </w:r>
    </w:p>
    <w:p w14:paraId="7C95943F" w14:textId="35273C65" w:rsidR="00E12C5F" w:rsidRPr="008D53B6" w:rsidRDefault="00C54CBF" w:rsidP="00C54CBF">
      <w:pPr>
        <w:spacing w:before="240"/>
        <w:jc w:val="center"/>
      </w:pPr>
      <w:r w:rsidRPr="00D810FC">
        <w:rPr>
          <w:u w:val="single"/>
        </w:rPr>
        <w:tab/>
      </w:r>
      <w:r w:rsidRPr="00D810FC">
        <w:rPr>
          <w:u w:val="single"/>
        </w:rPr>
        <w:tab/>
      </w:r>
      <w:r w:rsidRPr="00D810FC">
        <w:rPr>
          <w:u w:val="single"/>
        </w:rPr>
        <w:tab/>
      </w:r>
    </w:p>
    <w:sectPr w:rsidR="00E12C5F" w:rsidRPr="008D53B6" w:rsidSect="00C54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77579" w14:textId="77777777" w:rsidR="00346EA4" w:rsidRPr="00A312BC" w:rsidRDefault="00346EA4" w:rsidP="00A312BC"/>
  </w:endnote>
  <w:endnote w:type="continuationSeparator" w:id="0">
    <w:p w14:paraId="496A8056" w14:textId="77777777" w:rsidR="00346EA4" w:rsidRPr="00A312BC" w:rsidRDefault="00346EA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CD46" w14:textId="663AFD45" w:rsidR="00C54CBF" w:rsidRPr="00C54CBF" w:rsidRDefault="00C54CBF">
    <w:pPr>
      <w:pStyle w:val="Footer"/>
    </w:pPr>
    <w:r w:rsidRPr="00C54CBF">
      <w:rPr>
        <w:b/>
        <w:sz w:val="18"/>
      </w:rPr>
      <w:fldChar w:fldCharType="begin"/>
    </w:r>
    <w:r w:rsidRPr="00C54CBF">
      <w:rPr>
        <w:b/>
        <w:sz w:val="18"/>
      </w:rPr>
      <w:instrText xml:space="preserve"> PAGE  \* MERGEFORMAT </w:instrText>
    </w:r>
    <w:r w:rsidRPr="00C54CBF">
      <w:rPr>
        <w:b/>
        <w:sz w:val="18"/>
      </w:rPr>
      <w:fldChar w:fldCharType="separate"/>
    </w:r>
    <w:r w:rsidRPr="00C54CBF">
      <w:rPr>
        <w:b/>
        <w:noProof/>
        <w:sz w:val="18"/>
      </w:rPr>
      <w:t>2</w:t>
    </w:r>
    <w:r w:rsidRPr="00C54CBF">
      <w:rPr>
        <w:b/>
        <w:sz w:val="18"/>
      </w:rPr>
      <w:fldChar w:fldCharType="end"/>
    </w:r>
    <w:r>
      <w:rPr>
        <w:b/>
        <w:sz w:val="18"/>
      </w:rPr>
      <w:tab/>
    </w:r>
    <w:r>
      <w:t>GE.21-11979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42FD" w14:textId="10A83CFE" w:rsidR="00C54CBF" w:rsidRPr="00C54CBF" w:rsidRDefault="00C54CBF" w:rsidP="00C54CBF">
    <w:pPr>
      <w:pStyle w:val="Footer"/>
      <w:tabs>
        <w:tab w:val="clear" w:pos="9639"/>
        <w:tab w:val="right" w:pos="9638"/>
      </w:tabs>
      <w:rPr>
        <w:b/>
        <w:sz w:val="18"/>
      </w:rPr>
    </w:pPr>
    <w:r>
      <w:t>GE.21-11979</w:t>
    </w:r>
    <w:r>
      <w:tab/>
    </w:r>
    <w:r w:rsidRPr="00C54CBF">
      <w:rPr>
        <w:b/>
        <w:sz w:val="18"/>
      </w:rPr>
      <w:fldChar w:fldCharType="begin"/>
    </w:r>
    <w:r w:rsidRPr="00C54CBF">
      <w:rPr>
        <w:b/>
        <w:sz w:val="18"/>
      </w:rPr>
      <w:instrText xml:space="preserve"> PAGE  \* MERGEFORMAT </w:instrText>
    </w:r>
    <w:r w:rsidRPr="00C54CBF">
      <w:rPr>
        <w:b/>
        <w:sz w:val="18"/>
      </w:rPr>
      <w:fldChar w:fldCharType="separate"/>
    </w:r>
    <w:r w:rsidRPr="00C54CBF">
      <w:rPr>
        <w:b/>
        <w:noProof/>
        <w:sz w:val="18"/>
      </w:rPr>
      <w:t>3</w:t>
    </w:r>
    <w:r w:rsidRPr="00C54C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F1A2" w14:textId="00C710A5" w:rsidR="00042B72" w:rsidRPr="00C54CBF" w:rsidRDefault="00C54CBF" w:rsidP="00C54CBF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F2E465" wp14:editId="5BF92F1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21-11979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1862EF" wp14:editId="031E343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060921  150921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D233" w14:textId="77777777" w:rsidR="00346EA4" w:rsidRPr="001075E9" w:rsidRDefault="00346EA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AFCCDE" w14:textId="77777777" w:rsidR="00346EA4" w:rsidRDefault="00346EA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532E27" w14:textId="77777777" w:rsidR="00C54CBF" w:rsidRDefault="00C54CBF" w:rsidP="00C54CBF">
      <w:pPr>
        <w:pStyle w:val="FootnoteText"/>
        <w:tabs>
          <w:tab w:val="left" w:pos="720"/>
        </w:tabs>
        <w:ind w:left="1418" w:right="1260" w:hanging="284"/>
        <w:jc w:val="both"/>
      </w:pPr>
      <w:r w:rsidRPr="00B81AAE">
        <w:rPr>
          <w:rStyle w:val="FootnoteReference"/>
          <w:sz w:val="20"/>
          <w:vertAlign w:val="baseline"/>
        </w:rPr>
        <w:sym w:font="Symbol" w:char="F02A"/>
      </w:r>
      <w:r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D75D" w14:textId="4C7030BC" w:rsidR="00C54CBF" w:rsidRPr="00C54CBF" w:rsidRDefault="008F1803">
    <w:pPr>
      <w:pStyle w:val="Header"/>
    </w:pPr>
    <w:fldSimple w:instr=" TITLE  \* MERGEFORMAT ">
      <w:r>
        <w:t>ECE/TRANS/WP.15/2021/15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90B0" w14:textId="3AAA48A0" w:rsidR="00C54CBF" w:rsidRPr="00C54CBF" w:rsidRDefault="008F1803" w:rsidP="00C54CBF">
    <w:pPr>
      <w:pStyle w:val="Header"/>
      <w:jc w:val="right"/>
    </w:pPr>
    <w:fldSimple w:instr=" TITLE  \* MERGEFORMAT ">
      <w:r>
        <w:t>ECE/TRANS/WP.15/2021/15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0A42" w14:textId="77777777" w:rsidR="00C54CBF" w:rsidRDefault="00C54CBF" w:rsidP="00C54CB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A4"/>
    <w:rsid w:val="00033EE1"/>
    <w:rsid w:val="00042B72"/>
    <w:rsid w:val="000558BD"/>
    <w:rsid w:val="000B57E7"/>
    <w:rsid w:val="000B6373"/>
    <w:rsid w:val="000E1278"/>
    <w:rsid w:val="000E345C"/>
    <w:rsid w:val="000E4E5B"/>
    <w:rsid w:val="000F09DF"/>
    <w:rsid w:val="000F61B2"/>
    <w:rsid w:val="00105D48"/>
    <w:rsid w:val="001075E9"/>
    <w:rsid w:val="0014152F"/>
    <w:rsid w:val="00154C5D"/>
    <w:rsid w:val="00180183"/>
    <w:rsid w:val="0018024D"/>
    <w:rsid w:val="0018649F"/>
    <w:rsid w:val="00196389"/>
    <w:rsid w:val="001B3EF6"/>
    <w:rsid w:val="001C2447"/>
    <w:rsid w:val="001C7A89"/>
    <w:rsid w:val="002534C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354"/>
    <w:rsid w:val="00346EA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33B2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4729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34B1"/>
    <w:rsid w:val="00784708"/>
    <w:rsid w:val="00792497"/>
    <w:rsid w:val="00806737"/>
    <w:rsid w:val="00825F8D"/>
    <w:rsid w:val="00834B71"/>
    <w:rsid w:val="00841894"/>
    <w:rsid w:val="0086445C"/>
    <w:rsid w:val="00894693"/>
    <w:rsid w:val="008A08D7"/>
    <w:rsid w:val="008A37C8"/>
    <w:rsid w:val="008B6909"/>
    <w:rsid w:val="008D53B6"/>
    <w:rsid w:val="008F1803"/>
    <w:rsid w:val="008F7609"/>
    <w:rsid w:val="00906890"/>
    <w:rsid w:val="00911BE4"/>
    <w:rsid w:val="00951972"/>
    <w:rsid w:val="009608F3"/>
    <w:rsid w:val="009A24AC"/>
    <w:rsid w:val="009A5946"/>
    <w:rsid w:val="009C59D7"/>
    <w:rsid w:val="009C6FE6"/>
    <w:rsid w:val="009D7E7D"/>
    <w:rsid w:val="00A14DA8"/>
    <w:rsid w:val="00A312BC"/>
    <w:rsid w:val="00A752FF"/>
    <w:rsid w:val="00A84021"/>
    <w:rsid w:val="00A84D35"/>
    <w:rsid w:val="00A917B3"/>
    <w:rsid w:val="00AB4B51"/>
    <w:rsid w:val="00AE39EE"/>
    <w:rsid w:val="00B10CC7"/>
    <w:rsid w:val="00B36DF7"/>
    <w:rsid w:val="00B539E7"/>
    <w:rsid w:val="00B62458"/>
    <w:rsid w:val="00B81AAE"/>
    <w:rsid w:val="00BC18B2"/>
    <w:rsid w:val="00BD33EE"/>
    <w:rsid w:val="00BE1CC7"/>
    <w:rsid w:val="00C106D6"/>
    <w:rsid w:val="00C119AE"/>
    <w:rsid w:val="00C54CBF"/>
    <w:rsid w:val="00C60F0C"/>
    <w:rsid w:val="00C71E84"/>
    <w:rsid w:val="00C805C9"/>
    <w:rsid w:val="00C92939"/>
    <w:rsid w:val="00CA1679"/>
    <w:rsid w:val="00CA6A54"/>
    <w:rsid w:val="00CB151C"/>
    <w:rsid w:val="00CE4566"/>
    <w:rsid w:val="00CE5A1A"/>
    <w:rsid w:val="00CF55F6"/>
    <w:rsid w:val="00D33D63"/>
    <w:rsid w:val="00D5253A"/>
    <w:rsid w:val="00D7594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2979"/>
    <w:rsid w:val="00EA2C9F"/>
    <w:rsid w:val="00EA420E"/>
    <w:rsid w:val="00ED0BDA"/>
    <w:rsid w:val="00EE142A"/>
    <w:rsid w:val="00EF1360"/>
    <w:rsid w:val="00EF3220"/>
    <w:rsid w:val="00F2523A"/>
    <w:rsid w:val="00F43903"/>
    <w:rsid w:val="00F51FFC"/>
    <w:rsid w:val="00F604E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AC2770"/>
  <w15:docId w15:val="{25C9A593-BBAD-40DE-AC21-EF3395E0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C54CBF"/>
    <w:rPr>
      <w:lang w:val="ru-RU" w:eastAsia="en-US"/>
    </w:rPr>
  </w:style>
  <w:style w:type="character" w:customStyle="1" w:styleId="HChGChar">
    <w:name w:val="_ H _Ch_G Char"/>
    <w:link w:val="HChG"/>
    <w:qFormat/>
    <w:rsid w:val="00C54CBF"/>
    <w:rPr>
      <w:b/>
      <w:sz w:val="28"/>
      <w:lang w:val="ru-RU" w:eastAsia="ru-RU"/>
    </w:rPr>
  </w:style>
  <w:style w:type="character" w:customStyle="1" w:styleId="H1GChar">
    <w:name w:val="_ H_1_G Char"/>
    <w:link w:val="H1G"/>
    <w:qFormat/>
    <w:rsid w:val="00C54CBF"/>
    <w:rPr>
      <w:b/>
      <w:sz w:val="24"/>
      <w:lang w:val="ru-RU" w:eastAsia="ru-RU"/>
    </w:rPr>
  </w:style>
  <w:style w:type="character" w:customStyle="1" w:styleId="H23GChar">
    <w:name w:val="_ H_2/3_G Char"/>
    <w:link w:val="H23G"/>
    <w:rsid w:val="00C54CBF"/>
    <w:rPr>
      <w:b/>
      <w:lang w:val="ru-RU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5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angerous-goods" TargetMode="External"/><Relationship Id="rId13" Type="http://schemas.openxmlformats.org/officeDocument/2006/relationships/hyperlink" Target="https://unece.org/transport/dangerous-goods/country-information-competent-authorities-notification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hyperlink" Target="https://unece.org/about-ad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nece.org/transport/dangerous-goods/country-information-competent-authorities-notification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eaties.un.org/pages/Resource.aspx?path=Publication/TH/Page1_en.x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ece.org/transport/dangerous-goo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ece.org/info/events/unece-meetings-and-events/transport/dangerous%20good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eaties.un.org/Pages/ViewDetails.aspx?src=TREATY&amp;mtdsg_no=XI-B-14&amp;chapter=11&amp;clang=_en" TargetMode="External"/><Relationship Id="rId14" Type="http://schemas.openxmlformats.org/officeDocument/2006/relationships/hyperlink" Target="https://unece.org/adr-certificates-0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5355</Words>
  <Characters>30528</Characters>
  <Application>Microsoft Office Word</Application>
  <DocSecurity>0</DocSecurity>
  <Lines>254</Lines>
  <Paragraphs>71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ECE/TRANS/WP.15/2021/15</vt:lpstr>
      <vt:lpstr>A/</vt:lpstr>
      <vt:lpstr>A/</vt:lpstr>
    </vt:vector>
  </TitlesOfParts>
  <Company>DCM</Company>
  <LinksUpToDate>false</LinksUpToDate>
  <CharactersWithSpaces>35812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ECE/TRANS/WP.15/2021/15</dc:title>
  <dc:subject/>
  <dc:creator>Olga OVTCHINNIKOVA</dc:creator>
  <cp:keywords/>
  <cp:lastModifiedBy>Christine Barrio-Champeau</cp:lastModifiedBy>
  <cp:revision>2</cp:revision>
  <cp:lastPrinted>2021-09-15T13:00:00Z</cp:lastPrinted>
  <dcterms:created xsi:type="dcterms:W3CDTF">2021-10-21T14:42:00Z</dcterms:created>
  <dcterms:modified xsi:type="dcterms:W3CDTF">2021-10-21T14:42:00Z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