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D44E" w14:textId="77777777" w:rsidR="007145FF" w:rsidRPr="001D2E9B" w:rsidRDefault="007145FF" w:rsidP="007145FF">
      <w:pPr>
        <w:spacing w:before="120"/>
        <w:rPr>
          <w:b/>
          <w:sz w:val="28"/>
          <w:szCs w:val="28"/>
        </w:rPr>
      </w:pPr>
      <w:r w:rsidRPr="001D2E9B">
        <w:rPr>
          <w:b/>
          <w:sz w:val="28"/>
          <w:szCs w:val="28"/>
        </w:rPr>
        <w:t>Economic Commission for Europe</w:t>
      </w:r>
    </w:p>
    <w:p w14:paraId="4D639C43" w14:textId="77777777" w:rsidR="007145FF" w:rsidRPr="001D2E9B" w:rsidRDefault="007145FF" w:rsidP="007145FF">
      <w:pPr>
        <w:spacing w:before="120"/>
        <w:rPr>
          <w:sz w:val="28"/>
          <w:szCs w:val="28"/>
        </w:rPr>
      </w:pPr>
      <w:r w:rsidRPr="001D2E9B">
        <w:rPr>
          <w:sz w:val="28"/>
          <w:szCs w:val="28"/>
        </w:rPr>
        <w:t>Inland Transport Committee</w:t>
      </w:r>
    </w:p>
    <w:p w14:paraId="016E8DB6" w14:textId="77777777" w:rsidR="007145FF" w:rsidRPr="001D2E9B" w:rsidRDefault="007145FF" w:rsidP="007145FF">
      <w:pPr>
        <w:spacing w:before="120"/>
        <w:rPr>
          <w:b/>
          <w:sz w:val="24"/>
          <w:szCs w:val="24"/>
        </w:rPr>
      </w:pPr>
      <w:r w:rsidRPr="001D2E9B">
        <w:rPr>
          <w:b/>
          <w:sz w:val="24"/>
          <w:szCs w:val="24"/>
        </w:rPr>
        <w:t>Working Party on the Transport of Dangerous Goods</w:t>
      </w:r>
    </w:p>
    <w:p w14:paraId="093F2AA7" w14:textId="77777777" w:rsidR="007145FF" w:rsidRPr="001D2E9B" w:rsidRDefault="007145FF" w:rsidP="007145FF">
      <w:pPr>
        <w:spacing w:before="120"/>
        <w:rPr>
          <w:b/>
        </w:rPr>
      </w:pPr>
      <w:r w:rsidRPr="001D2E9B">
        <w:rPr>
          <w:b/>
        </w:rPr>
        <w:t>110th session</w:t>
      </w:r>
    </w:p>
    <w:p w14:paraId="16BDA4F7" w14:textId="3035AE57" w:rsidR="00C06FD0" w:rsidRPr="001D2E9B" w:rsidRDefault="007145FF" w:rsidP="00C06FD0">
      <w:r w:rsidRPr="001D2E9B">
        <w:t>Geneva, 8–12 November 2021</w:t>
      </w:r>
      <w:r w:rsidRPr="001D2E9B">
        <w:br/>
      </w:r>
      <w:r w:rsidR="00C06FD0" w:rsidRPr="001D2E9B">
        <w:rPr>
          <w:rFonts w:eastAsia="SimSun"/>
        </w:rPr>
        <w:t xml:space="preserve">Item </w:t>
      </w:r>
      <w:r w:rsidR="00C06FD0" w:rsidRPr="001D2E9B">
        <w:t>5 (b) of the provisional agenda</w:t>
      </w:r>
      <w:r w:rsidR="00B84FD6">
        <w:tab/>
      </w:r>
      <w:r w:rsidR="00B84FD6">
        <w:tab/>
      </w:r>
      <w:r w:rsidR="00B84FD6">
        <w:tab/>
      </w:r>
      <w:r w:rsidR="00B84FD6">
        <w:tab/>
      </w:r>
      <w:r w:rsidR="00B84FD6">
        <w:tab/>
      </w:r>
      <w:r w:rsidR="00B84FD6">
        <w:tab/>
      </w:r>
      <w:r w:rsidR="00B84FD6">
        <w:tab/>
        <w:t>1 October 2021</w:t>
      </w:r>
    </w:p>
    <w:p w14:paraId="046E5267" w14:textId="77777777" w:rsidR="00C06FD0" w:rsidRPr="001D2E9B" w:rsidRDefault="00C06FD0" w:rsidP="00C06FD0">
      <w:pPr>
        <w:rPr>
          <w:b/>
          <w:bCs/>
        </w:rPr>
      </w:pPr>
      <w:r w:rsidRPr="001D2E9B">
        <w:rPr>
          <w:b/>
          <w:bCs/>
        </w:rPr>
        <w:t>Proposals for amendments to annexes A and B of ADR:</w:t>
      </w:r>
    </w:p>
    <w:p w14:paraId="1BEF118A" w14:textId="175BF583" w:rsidR="00290943" w:rsidRPr="001D2E9B" w:rsidRDefault="00C06FD0" w:rsidP="00C06FD0">
      <w:r w:rsidRPr="001D2E9B">
        <w:rPr>
          <w:b/>
          <w:bCs/>
          <w:szCs w:val="24"/>
        </w:rPr>
        <w:t>miscellaneous proposals</w:t>
      </w:r>
    </w:p>
    <w:p w14:paraId="083FA8EF" w14:textId="77777777" w:rsidR="00A520EF" w:rsidRDefault="000C497A" w:rsidP="00A520E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fr-FR"/>
        </w:rPr>
      </w:pPr>
      <w:r w:rsidRPr="001D2E9B">
        <w:tab/>
      </w:r>
      <w:r w:rsidRPr="001D2E9B">
        <w:tab/>
      </w:r>
      <w:r w:rsidR="00A520EF" w:rsidRPr="00B47586">
        <w:rPr>
          <w:b/>
          <w:sz w:val="28"/>
          <w:lang w:eastAsia="fr-FR"/>
        </w:rPr>
        <w:t xml:space="preserve">Requirements on security for dangerous goods carried in accordance with 1.1.3.6 </w:t>
      </w:r>
      <w:r w:rsidR="00A520EF">
        <w:rPr>
          <w:b/>
          <w:sz w:val="28"/>
          <w:lang w:eastAsia="fr-FR"/>
        </w:rPr>
        <w:t>– Correction to ECE/TRANS/WP.15/2021/8</w:t>
      </w:r>
    </w:p>
    <w:p w14:paraId="0D409D63" w14:textId="77777777" w:rsidR="00A520EF" w:rsidRDefault="00A520EF" w:rsidP="00A520EF">
      <w:pPr>
        <w:pStyle w:val="H1G"/>
        <w:rPr>
          <w:lang w:eastAsia="fr-FR"/>
        </w:rPr>
      </w:pPr>
      <w:r w:rsidRPr="00B47586">
        <w:rPr>
          <w:lang w:eastAsia="fr-FR"/>
        </w:rPr>
        <w:tab/>
      </w:r>
      <w:r w:rsidRPr="00B47586">
        <w:rPr>
          <w:lang w:eastAsia="fr-FR"/>
        </w:rPr>
        <w:tab/>
      </w:r>
      <w:r>
        <w:rPr>
          <w:lang w:eastAsia="fr-FR"/>
        </w:rPr>
        <w:t>Note by the secretariat</w:t>
      </w:r>
    </w:p>
    <w:p w14:paraId="02E29A2A" w14:textId="77777777" w:rsidR="00A520EF" w:rsidRDefault="00A520EF" w:rsidP="00A520EF">
      <w:pPr>
        <w:pStyle w:val="SingleTxtG"/>
        <w:rPr>
          <w:lang w:eastAsia="fr-FR"/>
        </w:rPr>
      </w:pPr>
      <w:r>
        <w:rPr>
          <w:lang w:eastAsia="fr-FR"/>
        </w:rPr>
        <w:t xml:space="preserve">When submitting document </w:t>
      </w:r>
      <w:r w:rsidRPr="00B47586">
        <w:rPr>
          <w:lang w:eastAsia="fr-FR"/>
        </w:rPr>
        <w:t>ECE/TRANS/WP.15/2021/8</w:t>
      </w:r>
      <w:r>
        <w:rPr>
          <w:lang w:eastAsia="fr-FR"/>
        </w:rPr>
        <w:t>, the secretariat introduced an error in the layout of Alternative 2. In the proposal from Sweden and Norway “</w:t>
      </w:r>
      <w:r w:rsidRPr="00E565EB">
        <w:rPr>
          <w:lang w:eastAsia="fr-FR"/>
        </w:rPr>
        <w:t>of UN Nos. 0029, 0030, 0059, 0065, 0073, 0104, 0237, 0255, 0267, 0288, 0289, 0290, 0360, 0361, 0364, 0365, 0366, 0439, 0440, 0441, 0455, 0456, 0500, 0512 and 0513</w:t>
      </w:r>
      <w:r>
        <w:rPr>
          <w:lang w:eastAsia="fr-FR"/>
        </w:rPr>
        <w:t>” is deemed to be deleted.</w:t>
      </w:r>
    </w:p>
    <w:p w14:paraId="4A40DD67" w14:textId="77777777" w:rsidR="00A520EF" w:rsidRDefault="00A520EF" w:rsidP="00A520EF">
      <w:pPr>
        <w:pStyle w:val="SingleTxtG"/>
        <w:rPr>
          <w:lang w:eastAsia="fr-FR"/>
        </w:rPr>
      </w:pPr>
      <w:r>
        <w:rPr>
          <w:lang w:eastAsia="fr-FR"/>
        </w:rPr>
        <w:t>The layout of the text should be corrected to read as follows.</w:t>
      </w:r>
    </w:p>
    <w:p w14:paraId="357A8F57" w14:textId="77777777" w:rsidR="00A520EF" w:rsidRDefault="00A520EF" w:rsidP="00A520EF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English</w:t>
      </w:r>
    </w:p>
    <w:p w14:paraId="39D9BBB2" w14:textId="77777777" w:rsidR="00A520EF" w:rsidRPr="003912CD" w:rsidRDefault="00A520EF" w:rsidP="00A520EF">
      <w:pPr>
        <w:pStyle w:val="H1G"/>
      </w:pPr>
      <w:r>
        <w:tab/>
      </w:r>
      <w:r>
        <w:tab/>
      </w:r>
      <w:r w:rsidRPr="003912CD">
        <w:t>Alternative 2</w:t>
      </w:r>
    </w:p>
    <w:p w14:paraId="71027341" w14:textId="77777777" w:rsidR="00A520EF" w:rsidRPr="003912CD" w:rsidRDefault="00A520EF" w:rsidP="00A520EF">
      <w:pPr>
        <w:pStyle w:val="SingleTxtG"/>
        <w:tabs>
          <w:tab w:val="left" w:pos="1134"/>
        </w:tabs>
        <w:ind w:right="850"/>
        <w:jc w:val="left"/>
      </w:pPr>
      <w:r>
        <w:t>11.</w:t>
      </w:r>
      <w:r>
        <w:tab/>
      </w:r>
      <w:r w:rsidRPr="003912CD">
        <w:t xml:space="preserve">In case the proposal above would not be adopted, we propose a second alternative which only deals with amendments covering class 1. </w:t>
      </w:r>
    </w:p>
    <w:p w14:paraId="060C6B6B" w14:textId="77777777" w:rsidR="00A520EF" w:rsidRPr="004670B8" w:rsidRDefault="00A520EF" w:rsidP="00A520EF">
      <w:pPr>
        <w:pStyle w:val="SingleTxtG"/>
      </w:pPr>
      <w:r w:rsidRPr="004670B8">
        <w:t>Amend the first indent in 1.1.3.6.2 as follows (added text underlined, deleted text strikethrough):</w:t>
      </w:r>
    </w:p>
    <w:p w14:paraId="2581A371" w14:textId="77777777" w:rsidR="00A520EF" w:rsidRPr="003912CD" w:rsidRDefault="00A520EF" w:rsidP="00A520EF">
      <w:pPr>
        <w:pStyle w:val="SingleTxtG"/>
      </w:pPr>
      <w:r>
        <w:t>“-</w:t>
      </w:r>
      <w:r>
        <w:tab/>
      </w:r>
      <w:r w:rsidRPr="003912CD">
        <w:t xml:space="preserve">Chapter 1.10 except for </w:t>
      </w:r>
      <w:r w:rsidRPr="003912CD">
        <w:rPr>
          <w:u w:val="single"/>
        </w:rPr>
        <w:t>high consequence dangerous goods of</w:t>
      </w:r>
      <w:r w:rsidRPr="003912CD">
        <w:t xml:space="preserve"> Class 1 explosives </w:t>
      </w:r>
      <w:r w:rsidRPr="003912CD">
        <w:rPr>
          <w:u w:val="single"/>
        </w:rPr>
        <w:t xml:space="preserve">(according to subsection 1.10.3.1) </w:t>
      </w:r>
      <w:r w:rsidRPr="003912CD">
        <w:t>  </w:t>
      </w:r>
      <w:r w:rsidRPr="00B47586">
        <w:rPr>
          <w:strike/>
        </w:rPr>
        <w:t>of UN Nos. 0029, 0030, 0059, 0065, 0073, 0104, 0237, 0255, 0267, 0288, 0289, 0290, 0360, 0361, 0364, 0365, 0366, 0439, 0440, 0441, 0455, 0456, 0500, 0512 and 0513</w:t>
      </w:r>
      <w:r w:rsidRPr="003912CD">
        <w:t xml:space="preserve"> and except for Class 7 excepted packages of UN Nos. 2910 and 2911 if the activity level exceeds the A₂ value;</w:t>
      </w:r>
      <w:r>
        <w:t>”</w:t>
      </w:r>
    </w:p>
    <w:p w14:paraId="7967E909" w14:textId="77777777" w:rsidR="00A520EF" w:rsidRDefault="00A520EF" w:rsidP="00A520EF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French</w:t>
      </w:r>
    </w:p>
    <w:p w14:paraId="2263E6F2" w14:textId="77777777" w:rsidR="00A520EF" w:rsidRPr="00B47586" w:rsidRDefault="00A520EF" w:rsidP="00A520E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270" w:lineRule="exact"/>
        <w:ind w:left="1134" w:right="1134" w:hanging="1134"/>
        <w:outlineLvl w:val="2"/>
        <w:rPr>
          <w:rFonts w:eastAsiaTheme="minorHAnsi"/>
          <w:b/>
          <w:sz w:val="24"/>
          <w:lang w:val="fr-CH"/>
        </w:rPr>
      </w:pPr>
      <w:r w:rsidRPr="00B47586">
        <w:rPr>
          <w:rFonts w:eastAsiaTheme="minorHAnsi"/>
          <w:b/>
          <w:sz w:val="24"/>
          <w:lang w:val="fr-FR"/>
        </w:rPr>
        <w:tab/>
      </w:r>
      <w:r w:rsidRPr="00B47586">
        <w:rPr>
          <w:rFonts w:eastAsiaTheme="minorHAnsi"/>
          <w:b/>
          <w:sz w:val="24"/>
          <w:lang w:val="fr-FR"/>
        </w:rPr>
        <w:tab/>
        <w:t>Variante 2</w:t>
      </w:r>
    </w:p>
    <w:p w14:paraId="6D9FA24F" w14:textId="77777777" w:rsidR="00A520EF" w:rsidRPr="00B47586" w:rsidRDefault="00A520EF" w:rsidP="00A520EF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850"/>
        <w:rPr>
          <w:rFonts w:eastAsiaTheme="minorHAnsi"/>
          <w:lang w:val="fr-CH"/>
        </w:rPr>
      </w:pPr>
      <w:r w:rsidRPr="00B47586">
        <w:rPr>
          <w:rFonts w:eastAsiaTheme="minorHAnsi"/>
          <w:lang w:val="fr-FR"/>
        </w:rPr>
        <w:t>11.</w:t>
      </w:r>
      <w:r w:rsidRPr="00B47586">
        <w:rPr>
          <w:rFonts w:eastAsiaTheme="minorHAnsi"/>
          <w:lang w:val="fr-FR"/>
        </w:rPr>
        <w:tab/>
        <w:t xml:space="preserve">Au cas où la proposition ci-dessus ne serait pas adoptée, nous proposons une solution de rechange qui ne concerne que les amendements portant sur la classe 1. </w:t>
      </w:r>
    </w:p>
    <w:p w14:paraId="2022AD15" w14:textId="77777777" w:rsidR="00A520EF" w:rsidRPr="00B47586" w:rsidRDefault="00A520EF" w:rsidP="00A520E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Theme="minorHAnsi"/>
          <w:lang w:val="fr-CH"/>
        </w:rPr>
      </w:pPr>
      <w:r w:rsidRPr="00B47586">
        <w:rPr>
          <w:rFonts w:eastAsiaTheme="minorHAnsi"/>
          <w:lang w:val="fr-FR"/>
        </w:rPr>
        <w:t>Modifier le premier tiret du 1.1.3.6.2 comme suit (les modifications figurent en caractères soulignés pour les ajouts et biffés pour les suppressions) :</w:t>
      </w:r>
    </w:p>
    <w:p w14:paraId="6D56C62F" w14:textId="77777777" w:rsidR="00A520EF" w:rsidRPr="00B47586" w:rsidRDefault="00A520EF" w:rsidP="00A520E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Theme="minorHAnsi"/>
          <w:lang w:val="fr-CH"/>
        </w:rPr>
      </w:pPr>
      <w:r w:rsidRPr="00B47586">
        <w:rPr>
          <w:rFonts w:eastAsiaTheme="minorHAnsi"/>
          <w:lang w:val="fr-FR"/>
        </w:rPr>
        <w:t>« –</w:t>
      </w:r>
      <w:r w:rsidRPr="00B47586">
        <w:rPr>
          <w:rFonts w:eastAsiaTheme="minorHAnsi"/>
          <w:lang w:val="fr-FR"/>
        </w:rPr>
        <w:tab/>
        <w:t xml:space="preserve">Chapitre 1.10, à l’exception </w:t>
      </w:r>
      <w:r w:rsidRPr="00B47586">
        <w:rPr>
          <w:rFonts w:eastAsiaTheme="minorHAnsi"/>
          <w:u w:val="single"/>
          <w:lang w:val="fr-FR"/>
        </w:rPr>
        <w:t>des matières dangereuses à haut risque</w:t>
      </w:r>
      <w:r w:rsidRPr="00B47586">
        <w:rPr>
          <w:rFonts w:eastAsiaTheme="minorHAnsi"/>
          <w:lang w:val="fr-FR"/>
        </w:rPr>
        <w:t xml:space="preserve"> des explosifs de la classe 1 </w:t>
      </w:r>
      <w:r w:rsidRPr="00B47586">
        <w:rPr>
          <w:rFonts w:eastAsiaTheme="minorHAnsi"/>
          <w:u w:val="single"/>
          <w:lang w:val="fr-FR"/>
        </w:rPr>
        <w:t>(conformément à la sous-section 1.10.3.1),</w:t>
      </w:r>
      <w:r w:rsidRPr="00B47586">
        <w:rPr>
          <w:rFonts w:eastAsiaTheme="minorHAnsi"/>
          <w:lang w:val="fr-FR"/>
        </w:rPr>
        <w:t xml:space="preserve"> </w:t>
      </w:r>
      <w:proofErr w:type="spellStart"/>
      <w:r w:rsidRPr="00B47586">
        <w:rPr>
          <w:rFonts w:eastAsiaTheme="minorHAnsi"/>
          <w:strike/>
          <w:lang w:val="fr-FR"/>
        </w:rPr>
        <w:t>des</w:t>
      </w:r>
      <w:proofErr w:type="spellEnd"/>
      <w:r w:rsidRPr="00B47586">
        <w:rPr>
          <w:rFonts w:eastAsiaTheme="minorHAnsi"/>
          <w:strike/>
          <w:lang w:val="fr-FR"/>
        </w:rPr>
        <w:t xml:space="preserve"> Nos ONU 0029, 0030, 0059, 0065, 0073, 0104, 0237, 0255, 0267, 0288, 0289, 0290, 0360, 0361, 0364, 0365, 0366, 0439, 0440, 0441, 0455, 0456, 0500, 0512 et 0513 </w:t>
      </w:r>
      <w:r w:rsidRPr="00B47586">
        <w:rPr>
          <w:rFonts w:eastAsiaTheme="minorHAnsi"/>
          <w:lang w:val="fr-FR"/>
        </w:rPr>
        <w:t>et à l’exception des colis exceptés de la classe 7, Nos ONU 2910 et 2911, si la limite d’activité dépasse la valeur A</w:t>
      </w:r>
      <w:r w:rsidRPr="00B47586">
        <w:rPr>
          <w:rFonts w:eastAsiaTheme="minorHAnsi"/>
          <w:vertAlign w:val="subscript"/>
          <w:lang w:val="fr-FR"/>
        </w:rPr>
        <w:t>2 </w:t>
      </w:r>
      <w:r w:rsidRPr="00B47586">
        <w:rPr>
          <w:rFonts w:eastAsiaTheme="minorHAnsi"/>
          <w:lang w:val="fr-FR"/>
        </w:rPr>
        <w:t>; .».</w:t>
      </w:r>
    </w:p>
    <w:p w14:paraId="34FDE4D2" w14:textId="77777777" w:rsidR="00A520EF" w:rsidRPr="00B47586" w:rsidRDefault="00A520EF" w:rsidP="00A520EF">
      <w:pPr>
        <w:rPr>
          <w:strike/>
          <w:lang w:eastAsia="fr-FR"/>
        </w:rPr>
      </w:pPr>
    </w:p>
    <w:p w14:paraId="0B402DED" w14:textId="77777777" w:rsidR="00A520EF" w:rsidRDefault="00A520EF" w:rsidP="00A520EF">
      <w:pPr>
        <w:pStyle w:val="HChG"/>
        <w:rPr>
          <w:lang w:eastAsia="fr-FR"/>
        </w:rPr>
      </w:pPr>
      <w:r>
        <w:rPr>
          <w:lang w:eastAsia="fr-FR"/>
        </w:rPr>
        <w:lastRenderedPageBreak/>
        <w:tab/>
      </w:r>
      <w:r>
        <w:rPr>
          <w:lang w:eastAsia="fr-FR"/>
        </w:rPr>
        <w:tab/>
        <w:t>Russian</w:t>
      </w:r>
    </w:p>
    <w:p w14:paraId="382E8436" w14:textId="77777777" w:rsidR="00A520EF" w:rsidRPr="00B47586" w:rsidRDefault="00A520EF" w:rsidP="00A520E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B47586">
        <w:rPr>
          <w:b/>
          <w:sz w:val="24"/>
          <w:lang w:val="ru-RU" w:eastAsia="ru-RU"/>
        </w:rPr>
        <w:tab/>
      </w:r>
      <w:r w:rsidRPr="00B47586">
        <w:rPr>
          <w:b/>
          <w:sz w:val="24"/>
          <w:lang w:val="ru-RU" w:eastAsia="ru-RU"/>
        </w:rPr>
        <w:tab/>
      </w:r>
      <w:r w:rsidRPr="00B47586">
        <w:rPr>
          <w:b/>
          <w:bCs/>
          <w:sz w:val="24"/>
          <w:lang w:val="ru-RU" w:eastAsia="ru-RU"/>
        </w:rPr>
        <w:t>Альтернативный вариант 2</w:t>
      </w:r>
    </w:p>
    <w:p w14:paraId="6B92DE69" w14:textId="77777777" w:rsidR="00A520EF" w:rsidRPr="00B47586" w:rsidRDefault="00A520EF" w:rsidP="00A520EF">
      <w:pPr>
        <w:tabs>
          <w:tab w:val="left" w:pos="1134"/>
          <w:tab w:val="left" w:pos="1701"/>
          <w:tab w:val="left" w:pos="2268"/>
          <w:tab w:val="left" w:pos="2835"/>
        </w:tabs>
        <w:spacing w:after="120"/>
        <w:ind w:left="1134" w:right="1133"/>
        <w:jc w:val="both"/>
        <w:rPr>
          <w:lang w:val="ru-RU"/>
        </w:rPr>
      </w:pPr>
      <w:r w:rsidRPr="00B47586">
        <w:rPr>
          <w:lang w:val="ru-RU"/>
        </w:rPr>
        <w:t>11.</w:t>
      </w:r>
      <w:r w:rsidRPr="00B47586">
        <w:rPr>
          <w:lang w:val="ru-RU"/>
        </w:rPr>
        <w:tab/>
        <w:t xml:space="preserve">В случае, если вышеизложенное предложение не будет принято, мы предлагаем второй альтернативный вариант, который предусматривает только поправки, касающиеся класса 1. </w:t>
      </w:r>
    </w:p>
    <w:p w14:paraId="7C6B5754" w14:textId="77777777" w:rsidR="00A520EF" w:rsidRPr="00B47586" w:rsidRDefault="00A520EF" w:rsidP="00A520EF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B47586">
        <w:rPr>
          <w:lang w:val="ru-RU"/>
        </w:rPr>
        <w:t>Изменить первый подпункт в пункте 1.1.3.6.2 следующим образом (добавленный текст подчеркнут, исключенный текст зачеркнут):</w:t>
      </w:r>
    </w:p>
    <w:p w14:paraId="3D023504" w14:textId="77777777" w:rsidR="00A520EF" w:rsidRPr="00B47586" w:rsidRDefault="00A520EF" w:rsidP="00A520EF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B47586">
        <w:rPr>
          <w:lang w:val="ru-RU"/>
        </w:rPr>
        <w:t>«–</w:t>
      </w:r>
      <w:r w:rsidRPr="00B47586">
        <w:rPr>
          <w:lang w:val="ru-RU"/>
        </w:rPr>
        <w:tab/>
        <w:t>глава 1.10, кроме взрывчатых веществ и изделий класса 1</w:t>
      </w:r>
      <w:r w:rsidRPr="00B47586">
        <w:rPr>
          <w:u w:val="single"/>
          <w:lang w:val="ru-RU"/>
        </w:rPr>
        <w:t>, относящихся к грузам повышенной опасности (в соответствии с подразделом 1.10.3.1),</w:t>
      </w:r>
      <w:r w:rsidRPr="00B47586">
        <w:rPr>
          <w:lang w:val="ru-RU"/>
        </w:rPr>
        <w:t xml:space="preserve"> </w:t>
      </w:r>
      <w:r w:rsidRPr="00B47586">
        <w:rPr>
          <w:strike/>
          <w:lang w:val="ru-RU"/>
        </w:rPr>
        <w:t xml:space="preserve">под № ООН 0029, 0030, 0059, 0065, 0073, 0104, 0237, 0255, 0267, 0288, 0289, 0290, 0360, 0361, 0364, 0365, 0366, 0439, 0440, 0441, 0455, 0456, 0500, 0512 и 0513 </w:t>
      </w:r>
      <w:r w:rsidRPr="00B47586">
        <w:rPr>
          <w:lang w:val="ru-RU"/>
        </w:rPr>
        <w:t>и кроме освобожденных упаковок класса 7 под № ООН 2910 и 2911, если уровень активности превышает значение А</w:t>
      </w:r>
      <w:r w:rsidRPr="00B47586">
        <w:rPr>
          <w:vertAlign w:val="subscript"/>
          <w:lang w:val="ru-RU"/>
        </w:rPr>
        <w:t>2</w:t>
      </w:r>
      <w:r w:rsidRPr="00B47586">
        <w:rPr>
          <w:lang w:val="ru-RU"/>
        </w:rPr>
        <w:t>;».</w:t>
      </w:r>
    </w:p>
    <w:p w14:paraId="18B8ABE7" w14:textId="77777777" w:rsidR="00A520EF" w:rsidRPr="00B47586" w:rsidRDefault="00A520EF" w:rsidP="00A520EF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7FA78166" w14:textId="77777777" w:rsidR="00A520EF" w:rsidRPr="00B47586" w:rsidRDefault="00A520EF" w:rsidP="00A520EF"/>
    <w:p w14:paraId="7E283C57" w14:textId="581C2701" w:rsidR="001B128F" w:rsidRPr="001D2E9B" w:rsidRDefault="001B128F" w:rsidP="00A520EF">
      <w:pPr>
        <w:pStyle w:val="HChG"/>
      </w:pPr>
    </w:p>
    <w:sectPr w:rsidR="001B128F" w:rsidRPr="001D2E9B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4DF1" w14:textId="77777777" w:rsidR="00724314" w:rsidRDefault="00724314"/>
  </w:endnote>
  <w:endnote w:type="continuationSeparator" w:id="0">
    <w:p w14:paraId="104330C1" w14:textId="77777777" w:rsidR="00724314" w:rsidRDefault="00724314"/>
  </w:endnote>
  <w:endnote w:type="continuationNotice" w:id="1">
    <w:p w14:paraId="594BA027" w14:textId="77777777" w:rsidR="00724314" w:rsidRDefault="0072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CEC0" w14:textId="77777777" w:rsidR="00724314" w:rsidRPr="000B175B" w:rsidRDefault="007243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59A53" w14:textId="77777777" w:rsidR="00724314" w:rsidRPr="00FC68B7" w:rsidRDefault="007243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2C82B7" w14:textId="77777777" w:rsidR="00724314" w:rsidRDefault="0072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9BB" w14:textId="1B71C515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A520EF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D3" w14:textId="55B4C70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357F4">
      <w:rPr>
        <w:lang w:val="fr-CH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F59" w14:textId="0C573D00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87A3C">
      <w:rPr>
        <w:sz w:val="28"/>
        <w:szCs w:val="28"/>
        <w:lang w:val="fr-CH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9C0AC7"/>
    <w:multiLevelType w:val="multilevel"/>
    <w:tmpl w:val="57524FD4"/>
    <w:numStyleLink w:val="Listformatnumreradlista"/>
  </w:abstractNum>
  <w:abstractNum w:abstractNumId="16" w15:restartNumberingAfterBreak="0">
    <w:nsid w:val="0C3D33AE"/>
    <w:multiLevelType w:val="multilevel"/>
    <w:tmpl w:val="57524FD4"/>
    <w:numStyleLink w:val="Listformatnumreradlista"/>
  </w:abstractNum>
  <w:abstractNum w:abstractNumId="17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383CE4"/>
    <w:multiLevelType w:val="multilevel"/>
    <w:tmpl w:val="57524FD4"/>
    <w:numStyleLink w:val="Listformatnumreradlista"/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8BA5DE8"/>
    <w:multiLevelType w:val="multilevel"/>
    <w:tmpl w:val="57524FD4"/>
    <w:numStyleLink w:val="Listformatnumreradlista"/>
  </w:abstractNum>
  <w:abstractNum w:abstractNumId="22" w15:restartNumberingAfterBreak="0">
    <w:nsid w:val="194D613A"/>
    <w:multiLevelType w:val="multilevel"/>
    <w:tmpl w:val="57524FD4"/>
    <w:numStyleLink w:val="Listformatnumreradlista"/>
  </w:abstractNum>
  <w:abstractNum w:abstractNumId="23" w15:restartNumberingAfterBreak="0">
    <w:nsid w:val="22990A06"/>
    <w:multiLevelType w:val="multilevel"/>
    <w:tmpl w:val="60181320"/>
    <w:numStyleLink w:val="Listformatpunktlista"/>
  </w:abstractNum>
  <w:abstractNum w:abstractNumId="2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2DB712C"/>
    <w:multiLevelType w:val="multilevel"/>
    <w:tmpl w:val="60181320"/>
    <w:numStyleLink w:val="Listformatpunktlista"/>
  </w:abstractNum>
  <w:abstractNum w:abstractNumId="26" w15:restartNumberingAfterBreak="0">
    <w:nsid w:val="39CD1D12"/>
    <w:multiLevelType w:val="multilevel"/>
    <w:tmpl w:val="60181320"/>
    <w:numStyleLink w:val="Listformatpunktlista"/>
  </w:abstractNum>
  <w:abstractNum w:abstractNumId="27" w15:restartNumberingAfterBreak="0">
    <w:nsid w:val="3FAD100E"/>
    <w:multiLevelType w:val="multilevel"/>
    <w:tmpl w:val="57524FD4"/>
    <w:numStyleLink w:val="Listformatnumreradlista"/>
  </w:abstractNum>
  <w:abstractNum w:abstractNumId="28" w15:restartNumberingAfterBreak="0">
    <w:nsid w:val="43F12C66"/>
    <w:multiLevelType w:val="multilevel"/>
    <w:tmpl w:val="57524FD4"/>
    <w:numStyleLink w:val="Listformatnumreradlista"/>
  </w:abstractNum>
  <w:abstractNum w:abstractNumId="29" w15:restartNumberingAfterBreak="0">
    <w:nsid w:val="489247E1"/>
    <w:multiLevelType w:val="multilevel"/>
    <w:tmpl w:val="60181320"/>
    <w:numStyleLink w:val="Listformatpunktlista"/>
  </w:abstractNum>
  <w:abstractNum w:abstractNumId="30" w15:restartNumberingAfterBreak="0">
    <w:nsid w:val="4C2F6A9E"/>
    <w:multiLevelType w:val="multilevel"/>
    <w:tmpl w:val="60181320"/>
    <w:numStyleLink w:val="Listformatpunktlista"/>
  </w:abstractNum>
  <w:abstractNum w:abstractNumId="31" w15:restartNumberingAfterBreak="0">
    <w:nsid w:val="4DF73661"/>
    <w:multiLevelType w:val="multilevel"/>
    <w:tmpl w:val="57524FD4"/>
    <w:numStyleLink w:val="Listformatnumreradlista"/>
  </w:abstractNum>
  <w:abstractNum w:abstractNumId="3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F3B1745"/>
    <w:multiLevelType w:val="multilevel"/>
    <w:tmpl w:val="57524FD4"/>
    <w:numStyleLink w:val="Listformatnumreradlista"/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DC55CB"/>
    <w:multiLevelType w:val="hybridMultilevel"/>
    <w:tmpl w:val="FAB0F760"/>
    <w:lvl w:ilvl="0" w:tplc="5C325F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3DD6901"/>
    <w:multiLevelType w:val="multilevel"/>
    <w:tmpl w:val="57524FD4"/>
    <w:numStyleLink w:val="Listformatnumreradlista"/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246F"/>
    <w:multiLevelType w:val="multilevel"/>
    <w:tmpl w:val="57524FD4"/>
    <w:numStyleLink w:val="Listformatnumreradlista"/>
  </w:abstractNum>
  <w:abstractNum w:abstractNumId="39" w15:restartNumberingAfterBreak="0">
    <w:nsid w:val="6A283D9D"/>
    <w:multiLevelType w:val="multilevel"/>
    <w:tmpl w:val="57524FD4"/>
    <w:numStyleLink w:val="Listformatnumreradlista"/>
  </w:abstractNum>
  <w:abstractNum w:abstractNumId="40" w15:restartNumberingAfterBreak="0">
    <w:nsid w:val="6BE0332A"/>
    <w:multiLevelType w:val="multilevel"/>
    <w:tmpl w:val="60181320"/>
    <w:numStyleLink w:val="Listformatpunktlista"/>
  </w:abstractNum>
  <w:abstractNum w:abstractNumId="41" w15:restartNumberingAfterBreak="0">
    <w:nsid w:val="6C5F3424"/>
    <w:multiLevelType w:val="multilevel"/>
    <w:tmpl w:val="57524FD4"/>
    <w:numStyleLink w:val="Listformatnumreradlista"/>
  </w:abstractNum>
  <w:abstractNum w:abstractNumId="42" w15:restartNumberingAfterBreak="0">
    <w:nsid w:val="714D73B9"/>
    <w:multiLevelType w:val="multilevel"/>
    <w:tmpl w:val="57524FD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870688"/>
    <w:multiLevelType w:val="multilevel"/>
    <w:tmpl w:val="60181320"/>
    <w:numStyleLink w:val="Listformatpunktlista"/>
  </w:abstractNum>
  <w:abstractNum w:abstractNumId="44" w15:restartNumberingAfterBreak="0">
    <w:nsid w:val="732A57D2"/>
    <w:multiLevelType w:val="multilevel"/>
    <w:tmpl w:val="60181320"/>
    <w:numStyleLink w:val="Listformatpunktlista"/>
  </w:abstractNum>
  <w:abstractNum w:abstractNumId="45" w15:restartNumberingAfterBreak="0">
    <w:nsid w:val="743A1588"/>
    <w:multiLevelType w:val="multilevel"/>
    <w:tmpl w:val="60181320"/>
    <w:numStyleLink w:val="Listformatpunktlista"/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C27A3"/>
    <w:multiLevelType w:val="multilevel"/>
    <w:tmpl w:val="60181320"/>
    <w:numStyleLink w:val="Listformatpunktlista"/>
  </w:abstractNum>
  <w:abstractNum w:abstractNumId="48" w15:restartNumberingAfterBreak="0">
    <w:nsid w:val="7AB00C41"/>
    <w:multiLevelType w:val="multilevel"/>
    <w:tmpl w:val="60181320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6C3D01"/>
    <w:multiLevelType w:val="multilevel"/>
    <w:tmpl w:val="57524FD4"/>
    <w:numStyleLink w:val="Listformatnumreradlist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0"/>
  </w:num>
  <w:num w:numId="13">
    <w:abstractNumId w:val="14"/>
  </w:num>
  <w:num w:numId="14">
    <w:abstractNumId w:val="37"/>
  </w:num>
  <w:num w:numId="15">
    <w:abstractNumId w:val="46"/>
  </w:num>
  <w:num w:numId="16">
    <w:abstractNumId w:val="32"/>
  </w:num>
  <w:num w:numId="17">
    <w:abstractNumId w:val="17"/>
  </w:num>
  <w:num w:numId="18">
    <w:abstractNumId w:val="24"/>
  </w:num>
  <w:num w:numId="19">
    <w:abstractNumId w:val="26"/>
  </w:num>
  <w:num w:numId="20">
    <w:abstractNumId w:val="19"/>
  </w:num>
  <w:num w:numId="21">
    <w:abstractNumId w:val="28"/>
  </w:num>
  <w:num w:numId="22">
    <w:abstractNumId w:val="16"/>
  </w:num>
  <w:num w:numId="23">
    <w:abstractNumId w:val="31"/>
  </w:num>
  <w:num w:numId="24">
    <w:abstractNumId w:val="15"/>
  </w:num>
  <w:num w:numId="25">
    <w:abstractNumId w:val="13"/>
  </w:num>
  <w:num w:numId="26">
    <w:abstractNumId w:val="10"/>
  </w:num>
  <w:num w:numId="27">
    <w:abstractNumId w:val="47"/>
  </w:num>
  <w:num w:numId="28">
    <w:abstractNumId w:val="40"/>
  </w:num>
  <w:num w:numId="29">
    <w:abstractNumId w:val="21"/>
  </w:num>
  <w:num w:numId="30">
    <w:abstractNumId w:val="33"/>
  </w:num>
  <w:num w:numId="31">
    <w:abstractNumId w:val="18"/>
  </w:num>
  <w:num w:numId="32">
    <w:abstractNumId w:val="41"/>
  </w:num>
  <w:num w:numId="33">
    <w:abstractNumId w:val="36"/>
  </w:num>
  <w:num w:numId="34">
    <w:abstractNumId w:val="39"/>
  </w:num>
  <w:num w:numId="35">
    <w:abstractNumId w:val="22"/>
  </w:num>
  <w:num w:numId="36">
    <w:abstractNumId w:val="27"/>
  </w:num>
  <w:num w:numId="37">
    <w:abstractNumId w:val="38"/>
  </w:num>
  <w:num w:numId="38">
    <w:abstractNumId w:val="49"/>
  </w:num>
  <w:num w:numId="39">
    <w:abstractNumId w:val="12"/>
  </w:num>
  <w:num w:numId="40">
    <w:abstractNumId w:val="42"/>
  </w:num>
  <w:num w:numId="41">
    <w:abstractNumId w:val="25"/>
  </w:num>
  <w:num w:numId="42">
    <w:abstractNumId w:val="23"/>
  </w:num>
  <w:num w:numId="43">
    <w:abstractNumId w:val="44"/>
  </w:num>
  <w:num w:numId="44">
    <w:abstractNumId w:val="43"/>
  </w:num>
  <w:num w:numId="45">
    <w:abstractNumId w:val="29"/>
  </w:num>
  <w:num w:numId="46">
    <w:abstractNumId w:val="11"/>
  </w:num>
  <w:num w:numId="47">
    <w:abstractNumId w:val="30"/>
  </w:num>
  <w:num w:numId="48">
    <w:abstractNumId w:val="45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404E5"/>
    <w:rsid w:val="00042739"/>
    <w:rsid w:val="000457B4"/>
    <w:rsid w:val="00046B1F"/>
    <w:rsid w:val="00047596"/>
    <w:rsid w:val="00050F6B"/>
    <w:rsid w:val="00052E85"/>
    <w:rsid w:val="000575AC"/>
    <w:rsid w:val="00057E97"/>
    <w:rsid w:val="000646F4"/>
    <w:rsid w:val="0006491B"/>
    <w:rsid w:val="00065AD1"/>
    <w:rsid w:val="00065C6D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E0415"/>
    <w:rsid w:val="000E0492"/>
    <w:rsid w:val="000E0637"/>
    <w:rsid w:val="000E1362"/>
    <w:rsid w:val="000F2981"/>
    <w:rsid w:val="00110035"/>
    <w:rsid w:val="001103AA"/>
    <w:rsid w:val="00110611"/>
    <w:rsid w:val="00111A5C"/>
    <w:rsid w:val="0011666B"/>
    <w:rsid w:val="00121D95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26DF"/>
    <w:rsid w:val="001D2E9B"/>
    <w:rsid w:val="001D3A03"/>
    <w:rsid w:val="001D4954"/>
    <w:rsid w:val="001D4AEC"/>
    <w:rsid w:val="001D7750"/>
    <w:rsid w:val="001E3EEF"/>
    <w:rsid w:val="001E4C81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E6FFC"/>
    <w:rsid w:val="004E77B2"/>
    <w:rsid w:val="004F6969"/>
    <w:rsid w:val="0050113C"/>
    <w:rsid w:val="00504B2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67A22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3768"/>
    <w:rsid w:val="007047A9"/>
    <w:rsid w:val="00705894"/>
    <w:rsid w:val="007145FF"/>
    <w:rsid w:val="00724314"/>
    <w:rsid w:val="00724C17"/>
    <w:rsid w:val="0072632A"/>
    <w:rsid w:val="007327D5"/>
    <w:rsid w:val="0073593C"/>
    <w:rsid w:val="00735E74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51CB"/>
    <w:rsid w:val="007931F7"/>
    <w:rsid w:val="00796040"/>
    <w:rsid w:val="007A0D0E"/>
    <w:rsid w:val="007A2F1B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357C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7EB6"/>
    <w:rsid w:val="00961785"/>
    <w:rsid w:val="00965DD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306B"/>
    <w:rsid w:val="009D6B04"/>
    <w:rsid w:val="009E076B"/>
    <w:rsid w:val="009E5596"/>
    <w:rsid w:val="009E7286"/>
    <w:rsid w:val="009F5A70"/>
    <w:rsid w:val="00A00697"/>
    <w:rsid w:val="00A00A3F"/>
    <w:rsid w:val="00A01489"/>
    <w:rsid w:val="00A03381"/>
    <w:rsid w:val="00A046A3"/>
    <w:rsid w:val="00A144E6"/>
    <w:rsid w:val="00A2275B"/>
    <w:rsid w:val="00A278F2"/>
    <w:rsid w:val="00A3026E"/>
    <w:rsid w:val="00A32DEF"/>
    <w:rsid w:val="00A338F1"/>
    <w:rsid w:val="00A35BE0"/>
    <w:rsid w:val="00A4373C"/>
    <w:rsid w:val="00A45485"/>
    <w:rsid w:val="00A520EF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87A3C"/>
    <w:rsid w:val="00A94361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434F"/>
    <w:rsid w:val="00AF4570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4C28"/>
    <w:rsid w:val="00B777AE"/>
    <w:rsid w:val="00B77D05"/>
    <w:rsid w:val="00B81206"/>
    <w:rsid w:val="00B81E12"/>
    <w:rsid w:val="00B84FD6"/>
    <w:rsid w:val="00B876F7"/>
    <w:rsid w:val="00B903D2"/>
    <w:rsid w:val="00B946EE"/>
    <w:rsid w:val="00B96BDE"/>
    <w:rsid w:val="00BB3F2F"/>
    <w:rsid w:val="00BC3FA0"/>
    <w:rsid w:val="00BC5010"/>
    <w:rsid w:val="00BC74E9"/>
    <w:rsid w:val="00BD43A5"/>
    <w:rsid w:val="00BE3161"/>
    <w:rsid w:val="00BE7AAC"/>
    <w:rsid w:val="00BE7E8E"/>
    <w:rsid w:val="00BF0CF2"/>
    <w:rsid w:val="00BF2EF3"/>
    <w:rsid w:val="00BF48D9"/>
    <w:rsid w:val="00BF548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DF5"/>
    <w:rsid w:val="00C438D1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653FA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73DF"/>
    <w:rsid w:val="00D858D0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3FC3"/>
    <w:rsid w:val="00EB09F5"/>
    <w:rsid w:val="00EB3B4B"/>
    <w:rsid w:val="00EC0EC1"/>
    <w:rsid w:val="00EC211A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52C77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8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3014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5</cp:revision>
  <cp:lastPrinted>2018-05-09T09:23:00Z</cp:lastPrinted>
  <dcterms:created xsi:type="dcterms:W3CDTF">2021-09-27T07:15:00Z</dcterms:created>
  <dcterms:modified xsi:type="dcterms:W3CDTF">2021-10-01T11:44:00Z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