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2B4B" w14:textId="77777777" w:rsidR="00F55358" w:rsidRDefault="00F55358" w:rsidP="00F55358">
      <w:pPr>
        <w:spacing w:before="120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</w:rPr>
        <w:t>Economic Commission for Europe</w:t>
      </w:r>
    </w:p>
    <w:p w14:paraId="7CF1A8F8" w14:textId="77777777" w:rsidR="00F55358" w:rsidRDefault="00F55358" w:rsidP="00F5535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5DEC324B" w14:textId="77777777" w:rsidR="00F55358" w:rsidRDefault="00F55358" w:rsidP="00F5535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49525F5B" w14:textId="77777777" w:rsidR="00F55358" w:rsidRDefault="00F55358" w:rsidP="00F55358">
      <w:pPr>
        <w:spacing w:before="120"/>
        <w:rPr>
          <w:b/>
          <w:bCs/>
        </w:rPr>
      </w:pPr>
      <w:r>
        <w:rPr>
          <w:b/>
          <w:bCs/>
        </w:rPr>
        <w:t>110th session</w:t>
      </w:r>
    </w:p>
    <w:p w14:paraId="7821066A" w14:textId="7D982C45" w:rsidR="00F55358" w:rsidRDefault="00F55358" w:rsidP="004C2639">
      <w:pPr>
        <w:rPr>
          <w:rFonts w:eastAsia="SimSun"/>
        </w:rPr>
      </w:pPr>
      <w:r>
        <w:t>Geneva, 8 - 12 November 2021</w:t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957638">
        <w:tab/>
      </w:r>
      <w:r w:rsidR="00957638">
        <w:tab/>
      </w:r>
    </w:p>
    <w:p w14:paraId="6CAA6371" w14:textId="77777777" w:rsidR="004C2639" w:rsidRPr="001D2E9B" w:rsidRDefault="004C2639" w:rsidP="004C2639">
      <w:r w:rsidRPr="001D2E9B">
        <w:rPr>
          <w:rFonts w:eastAsia="SimSun"/>
        </w:rPr>
        <w:t xml:space="preserve">Item </w:t>
      </w:r>
      <w:r>
        <w:t>4</w:t>
      </w:r>
      <w:r w:rsidRPr="001D2E9B">
        <w:t xml:space="preserve"> of the provisional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October 2021</w:t>
      </w:r>
    </w:p>
    <w:p w14:paraId="5FB5DBC3" w14:textId="77777777" w:rsidR="004C2639" w:rsidRPr="00037A73" w:rsidRDefault="004C2639" w:rsidP="004C2639">
      <w:pPr>
        <w:rPr>
          <w:b/>
          <w:bCs/>
        </w:rPr>
      </w:pPr>
      <w:r w:rsidRPr="00037A73">
        <w:rPr>
          <w:b/>
          <w:bCs/>
        </w:rPr>
        <w:t>Work of the RID/ADR/ADN Joint Meeting</w:t>
      </w:r>
    </w:p>
    <w:p w14:paraId="44BB1060" w14:textId="0E04A2F2" w:rsidR="004C2639" w:rsidRPr="00414C61" w:rsidRDefault="004C2639" w:rsidP="004C263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414C61">
        <w:rPr>
          <w:b/>
          <w:sz w:val="28"/>
        </w:rPr>
        <w:tab/>
      </w:r>
      <w:r w:rsidRPr="00414C61">
        <w:rPr>
          <w:b/>
          <w:sz w:val="28"/>
        </w:rPr>
        <w:tab/>
      </w:r>
      <w:r>
        <w:rPr>
          <w:b/>
          <w:sz w:val="28"/>
        </w:rPr>
        <w:t>A</w:t>
      </w:r>
      <w:r w:rsidRPr="00414C61">
        <w:rPr>
          <w:b/>
          <w:sz w:val="28"/>
        </w:rPr>
        <w:t xml:space="preserve">mendments adopted by the Joint Meeting </w:t>
      </w:r>
      <w:r>
        <w:rPr>
          <w:b/>
          <w:sz w:val="28"/>
        </w:rPr>
        <w:t>– Pending issues</w:t>
      </w:r>
    </w:p>
    <w:p w14:paraId="576FF94E" w14:textId="77777777" w:rsidR="004C2639" w:rsidRPr="00414C61" w:rsidRDefault="004C2639" w:rsidP="004C2639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414C61">
        <w:rPr>
          <w:b/>
        </w:rPr>
        <w:tab/>
      </w:r>
      <w:r w:rsidRPr="00414C61">
        <w:rPr>
          <w:b/>
        </w:rPr>
        <w:tab/>
        <w:t>Note by the secretariat</w:t>
      </w:r>
    </w:p>
    <w:p w14:paraId="7DBC1BA5" w14:textId="4CD0A8A3" w:rsidR="004C2639" w:rsidRDefault="00566D50" w:rsidP="004C2639">
      <w:pPr>
        <w:spacing w:after="120"/>
        <w:ind w:left="1134" w:right="1134"/>
        <w:jc w:val="both"/>
      </w:pPr>
      <w:r>
        <w:t>1.</w:t>
      </w:r>
      <w:r>
        <w:tab/>
      </w:r>
      <w:r w:rsidR="004C2639" w:rsidRPr="00414C61">
        <w:t xml:space="preserve">The secretariat reproduces hereafter the draft amendments to ADR adopted by the Joint Meeting at its Autumn </w:t>
      </w:r>
      <w:r w:rsidR="004C2639">
        <w:t>2020</w:t>
      </w:r>
      <w:r w:rsidR="004C2639" w:rsidRPr="00414C61">
        <w:t xml:space="preserve"> session and Spring and Autumn </w:t>
      </w:r>
      <w:r w:rsidR="004C2639">
        <w:t>2021</w:t>
      </w:r>
      <w:r w:rsidR="004C2639" w:rsidRPr="00414C61">
        <w:t xml:space="preserve"> sessions </w:t>
      </w:r>
      <w:r w:rsidR="004C2639">
        <w:t xml:space="preserve">still in square brackets. </w:t>
      </w:r>
    </w:p>
    <w:p w14:paraId="24D8C43C" w14:textId="4DE51263" w:rsidR="00566D50" w:rsidRDefault="00566D50" w:rsidP="004C2639">
      <w:pPr>
        <w:spacing w:after="120"/>
        <w:ind w:left="1134" w:right="1134"/>
        <w:jc w:val="both"/>
      </w:pPr>
      <w:r>
        <w:t>2.</w:t>
      </w:r>
      <w:r>
        <w:tab/>
        <w:t xml:space="preserve">The Working Party will have to consider these </w:t>
      </w:r>
      <w:r w:rsidR="001C3FFC">
        <w:t xml:space="preserve">draft </w:t>
      </w:r>
      <w:r>
        <w:t>amendments at its next session</w:t>
      </w:r>
      <w:r w:rsidR="001C3FFC">
        <w:t xml:space="preserve"> for final endorsement</w:t>
      </w:r>
      <w:r>
        <w:t>.</w:t>
      </w:r>
    </w:p>
    <w:p w14:paraId="26158797" w14:textId="43CE7935" w:rsidR="00566D50" w:rsidRPr="00566D50" w:rsidRDefault="00566D50" w:rsidP="00566D50">
      <w:pPr>
        <w:pStyle w:val="H1G"/>
      </w:pPr>
      <w:r>
        <w:tab/>
      </w:r>
      <w:r>
        <w:tab/>
      </w:r>
      <w:r w:rsidRPr="00566D50">
        <w:t>New referenced standards needed to be confirmed at the next session</w:t>
      </w:r>
    </w:p>
    <w:p w14:paraId="22FF6494" w14:textId="231F6E29" w:rsidR="00566D50" w:rsidRPr="00566D50" w:rsidRDefault="00566D50" w:rsidP="00566D50">
      <w:pPr>
        <w:spacing w:after="120"/>
        <w:ind w:left="1134" w:right="1134"/>
        <w:rPr>
          <w:rFonts w:cs="Arial"/>
          <w:szCs w:val="22"/>
        </w:rPr>
      </w:pPr>
      <w:r>
        <w:rPr>
          <w:rFonts w:cs="Arial"/>
          <w:szCs w:val="22"/>
        </w:rPr>
        <w:t>3.</w:t>
      </w:r>
      <w:r>
        <w:rPr>
          <w:rFonts w:cs="Arial"/>
          <w:szCs w:val="22"/>
        </w:rPr>
        <w:tab/>
      </w:r>
      <w:r w:rsidRPr="00566D50">
        <w:rPr>
          <w:rFonts w:cs="Arial"/>
          <w:szCs w:val="22"/>
        </w:rPr>
        <w:t xml:space="preserve">The dates of some referenced standards </w:t>
      </w:r>
      <w:r>
        <w:rPr>
          <w:rFonts w:cs="Arial"/>
          <w:szCs w:val="22"/>
        </w:rPr>
        <w:t xml:space="preserve">adopted by the Joint meeting </w:t>
      </w:r>
      <w:r w:rsidRPr="00566D50">
        <w:rPr>
          <w:rFonts w:cs="Arial"/>
          <w:szCs w:val="22"/>
        </w:rPr>
        <w:t xml:space="preserve">have been placed in square brackets because the standards have still not been published. </w:t>
      </w:r>
    </w:p>
    <w:p w14:paraId="3AC24880" w14:textId="5AA52F5D" w:rsidR="00566D50" w:rsidRPr="00566D50" w:rsidRDefault="00566D50" w:rsidP="00566D50">
      <w:pPr>
        <w:spacing w:after="120"/>
        <w:ind w:left="1134" w:right="1134"/>
        <w:rPr>
          <w:rFonts w:cs="Arial"/>
          <w:szCs w:val="22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 w:rsidRPr="00566D50">
        <w:rPr>
          <w:rFonts w:cs="Arial"/>
          <w:szCs w:val="22"/>
        </w:rPr>
        <w:t>These standards will be adopted for reference if they are published before the May 2022 session of WP.15.</w:t>
      </w:r>
    </w:p>
    <w:p w14:paraId="7D916E73" w14:textId="70D8292E" w:rsidR="00566D50" w:rsidRPr="00566D50" w:rsidRDefault="00566D50" w:rsidP="008D6ABC">
      <w:pPr>
        <w:spacing w:after="120"/>
        <w:ind w:left="2835" w:right="1134" w:hanging="1134"/>
        <w:jc w:val="both"/>
        <w:rPr>
          <w:lang w:eastAsia="fr-FR"/>
        </w:rPr>
      </w:pPr>
      <w:r w:rsidRPr="00566D50">
        <w:rPr>
          <w:lang w:eastAsia="fr-FR"/>
        </w:rPr>
        <w:t>4.1.4.1, P200</w:t>
      </w:r>
      <w:r w:rsidRPr="00566D50">
        <w:rPr>
          <w:lang w:eastAsia="fr-FR"/>
        </w:rPr>
        <w:tab/>
      </w:r>
      <w:proofErr w:type="gramStart"/>
      <w:r w:rsidRPr="00566D50">
        <w:rPr>
          <w:lang w:eastAsia="fr-FR"/>
        </w:rPr>
        <w:t>In</w:t>
      </w:r>
      <w:proofErr w:type="gramEnd"/>
      <w:r w:rsidRPr="00566D50">
        <w:rPr>
          <w:lang w:eastAsia="fr-FR"/>
        </w:rPr>
        <w:t xml:space="preserve"> (11), replace the row for “EN 1439:2017” for the following new row:</w:t>
      </w:r>
    </w:p>
    <w:tbl>
      <w:tblPr>
        <w:tblW w:w="7761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560"/>
        <w:gridCol w:w="4536"/>
      </w:tblGrid>
      <w:tr w:rsidR="00566D50" w:rsidRPr="00566D50" w14:paraId="435DECE3" w14:textId="77777777" w:rsidTr="008D6ABC">
        <w:trPr>
          <w:cantSplit/>
        </w:trPr>
        <w:tc>
          <w:tcPr>
            <w:tcW w:w="1665" w:type="dxa"/>
          </w:tcPr>
          <w:p w14:paraId="4F4739EC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lang w:eastAsia="fr-FR"/>
              </w:rPr>
              <w:t>(7) (ADR:) and (10) ta (b)</w:t>
            </w:r>
          </w:p>
        </w:tc>
        <w:tc>
          <w:tcPr>
            <w:tcW w:w="1560" w:type="dxa"/>
          </w:tcPr>
          <w:p w14:paraId="7A85EE38" w14:textId="77777777" w:rsidR="00566D50" w:rsidRPr="00566D50" w:rsidRDefault="00566D50" w:rsidP="00566D50">
            <w:pPr>
              <w:widowControl w:val="0"/>
              <w:spacing w:before="60" w:after="120"/>
              <w:rPr>
                <w:lang w:eastAsia="fr-FR"/>
              </w:rPr>
            </w:pPr>
            <w:r w:rsidRPr="00566D50">
              <w:rPr>
                <w:lang w:eastAsia="fr-FR"/>
              </w:rPr>
              <w:t xml:space="preserve">EN </w:t>
            </w:r>
            <w:proofErr w:type="gramStart"/>
            <w:r w:rsidRPr="00566D50">
              <w:rPr>
                <w:lang w:eastAsia="fr-FR"/>
              </w:rPr>
              <w:t>1439:[</w:t>
            </w:r>
            <w:proofErr w:type="gramEnd"/>
            <w:r w:rsidRPr="00566D50">
              <w:rPr>
                <w:lang w:eastAsia="fr-FR"/>
              </w:rPr>
              <w:t>2022]</w:t>
            </w:r>
          </w:p>
        </w:tc>
        <w:tc>
          <w:tcPr>
            <w:tcW w:w="4536" w:type="dxa"/>
          </w:tcPr>
          <w:p w14:paraId="7F10D23A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iCs/>
                <w:lang w:eastAsia="fr-FR"/>
              </w:rPr>
              <w:t>LPG equipment and accessories - Procedure for checking transportable refillable LPG cylinders before, during and after filling</w:t>
            </w:r>
          </w:p>
        </w:tc>
      </w:tr>
    </w:tbl>
    <w:p w14:paraId="05559703" w14:textId="77777777" w:rsidR="00566D50" w:rsidRPr="00566D50" w:rsidRDefault="00566D50" w:rsidP="008D6ABC">
      <w:pPr>
        <w:spacing w:before="120" w:after="120"/>
        <w:ind w:left="2835" w:right="1134" w:hanging="1134"/>
        <w:jc w:val="both"/>
        <w:rPr>
          <w:lang w:eastAsia="fr-FR"/>
        </w:rPr>
      </w:pPr>
      <w:r w:rsidRPr="00566D50">
        <w:rPr>
          <w:lang w:eastAsia="fr-FR"/>
        </w:rPr>
        <w:tab/>
        <w:t xml:space="preserve">In (12), 2.1, replace “EN 1439:2017” by “EN </w:t>
      </w:r>
      <w:proofErr w:type="gramStart"/>
      <w:r w:rsidRPr="00566D50">
        <w:rPr>
          <w:lang w:eastAsia="fr-FR"/>
        </w:rPr>
        <w:t>1439:[</w:t>
      </w:r>
      <w:proofErr w:type="gramEnd"/>
      <w:r w:rsidRPr="00566D50">
        <w:rPr>
          <w:lang w:eastAsia="fr-FR"/>
        </w:rPr>
        <w:t>2022] (or until 31 December 2024, EN 1439:2017)”.</w:t>
      </w:r>
    </w:p>
    <w:p w14:paraId="3F8EF9B3" w14:textId="77777777" w:rsidR="00566D50" w:rsidRPr="00566D50" w:rsidRDefault="00566D50" w:rsidP="008D6ABC">
      <w:pPr>
        <w:spacing w:after="120"/>
        <w:ind w:left="2835" w:right="1134" w:hanging="1134"/>
        <w:jc w:val="both"/>
        <w:rPr>
          <w:i/>
          <w:iCs/>
          <w:lang w:eastAsia="fr-FR"/>
        </w:rPr>
      </w:pPr>
      <w:r w:rsidRPr="00566D50">
        <w:rPr>
          <w:i/>
          <w:iCs/>
          <w:lang w:eastAsia="fr-FR"/>
        </w:rPr>
        <w:t>(Reference document: ECE/TRANS/WP.15/AC.1/162)</w:t>
      </w:r>
    </w:p>
    <w:p w14:paraId="6B0E16ED" w14:textId="77777777" w:rsidR="00566D50" w:rsidRPr="00566D50" w:rsidRDefault="00566D50" w:rsidP="008D6ABC">
      <w:pPr>
        <w:spacing w:after="120"/>
        <w:ind w:left="2835" w:right="1134" w:hanging="1134"/>
        <w:jc w:val="both"/>
        <w:rPr>
          <w:lang w:eastAsia="fr-FR"/>
        </w:rPr>
      </w:pPr>
      <w:r w:rsidRPr="00566D50">
        <w:rPr>
          <w:rFonts w:cs="Arial"/>
          <w:szCs w:val="22"/>
        </w:rPr>
        <w:t>6.2.4.1</w:t>
      </w:r>
      <w:r w:rsidRPr="00566D50">
        <w:rPr>
          <w:lang w:eastAsia="fr-FR"/>
        </w:rPr>
        <w:t xml:space="preserve"> </w:t>
      </w:r>
      <w:r w:rsidRPr="00566D50">
        <w:rPr>
          <w:lang w:eastAsia="fr-FR"/>
        </w:rPr>
        <w:tab/>
        <w:t>Amend the table “for closures” as follows:</w:t>
      </w:r>
    </w:p>
    <w:p w14:paraId="16926634" w14:textId="77777777" w:rsidR="00566D50" w:rsidRPr="00566D50" w:rsidRDefault="00566D50" w:rsidP="008D6ABC">
      <w:pPr>
        <w:spacing w:before="120" w:after="120"/>
        <w:ind w:left="2835" w:right="1134" w:hanging="1134"/>
        <w:jc w:val="both"/>
        <w:rPr>
          <w:lang w:eastAsia="fr-FR"/>
        </w:rPr>
      </w:pPr>
      <w:r w:rsidRPr="00566D50">
        <w:rPr>
          <w:lang w:eastAsia="fr-FR"/>
        </w:rPr>
        <w:tab/>
        <w:t>- At the end, insert the following new row:</w:t>
      </w:r>
    </w:p>
    <w:tbl>
      <w:tblPr>
        <w:tblW w:w="7477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402"/>
        <w:gridCol w:w="1134"/>
        <w:gridCol w:w="851"/>
        <w:gridCol w:w="425"/>
      </w:tblGrid>
      <w:tr w:rsidR="00566D50" w:rsidRPr="00566D50" w14:paraId="2C9BD7EC" w14:textId="77777777" w:rsidTr="008D6ABC">
        <w:tc>
          <w:tcPr>
            <w:tcW w:w="1665" w:type="dxa"/>
            <w:vAlign w:val="center"/>
          </w:tcPr>
          <w:p w14:paraId="0967A625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bCs/>
                <w:lang w:eastAsia="fr-FR"/>
              </w:rPr>
              <w:t xml:space="preserve">EN </w:t>
            </w:r>
            <w:proofErr w:type="gramStart"/>
            <w:r w:rsidRPr="00566D50">
              <w:rPr>
                <w:bCs/>
                <w:lang w:eastAsia="fr-FR"/>
              </w:rPr>
              <w:t>13799:[</w:t>
            </w:r>
            <w:proofErr w:type="gramEnd"/>
            <w:r w:rsidRPr="00566D50">
              <w:rPr>
                <w:bCs/>
                <w:lang w:eastAsia="fr-FR"/>
              </w:rPr>
              <w:t>2022]</w:t>
            </w:r>
          </w:p>
        </w:tc>
        <w:tc>
          <w:tcPr>
            <w:tcW w:w="3402" w:type="dxa"/>
          </w:tcPr>
          <w:p w14:paraId="685D9754" w14:textId="77777777" w:rsidR="00566D50" w:rsidRPr="00566D50" w:rsidRDefault="00566D50" w:rsidP="00566D50">
            <w:pPr>
              <w:widowControl w:val="0"/>
              <w:spacing w:before="60" w:after="120"/>
              <w:rPr>
                <w:lang w:eastAsia="fr-FR"/>
              </w:rPr>
            </w:pPr>
            <w:r w:rsidRPr="00566D50">
              <w:rPr>
                <w:bCs/>
                <w:lang w:eastAsia="fr-FR"/>
              </w:rPr>
              <w:t>LPG equipment and accessories – Contents gauges for Liquefied Petroleum Gas (LPG) pressure vessels</w:t>
            </w:r>
          </w:p>
        </w:tc>
        <w:tc>
          <w:tcPr>
            <w:tcW w:w="1134" w:type="dxa"/>
            <w:vAlign w:val="center"/>
          </w:tcPr>
          <w:p w14:paraId="69837310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lang w:eastAsia="fr-FR"/>
              </w:rPr>
              <w:t>6.2.3.1 and 6.2.3.3</w:t>
            </w:r>
          </w:p>
        </w:tc>
        <w:tc>
          <w:tcPr>
            <w:tcW w:w="851" w:type="dxa"/>
            <w:vAlign w:val="center"/>
          </w:tcPr>
          <w:p w14:paraId="72E22F2F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lang w:eastAsia="fr-FR"/>
              </w:rPr>
              <w:t>Until further notice</w:t>
            </w:r>
          </w:p>
        </w:tc>
        <w:tc>
          <w:tcPr>
            <w:tcW w:w="425" w:type="dxa"/>
            <w:vAlign w:val="center"/>
          </w:tcPr>
          <w:p w14:paraId="6A39205F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</w:p>
        </w:tc>
      </w:tr>
    </w:tbl>
    <w:p w14:paraId="178443BB" w14:textId="77777777" w:rsidR="008D6ABC" w:rsidRPr="00566D50" w:rsidRDefault="008D6ABC" w:rsidP="008D6ABC">
      <w:pPr>
        <w:spacing w:after="120"/>
        <w:ind w:left="2835" w:right="1134" w:hanging="1134"/>
        <w:jc w:val="both"/>
        <w:rPr>
          <w:i/>
          <w:iCs/>
          <w:lang w:eastAsia="fr-FR"/>
        </w:rPr>
      </w:pPr>
      <w:r w:rsidRPr="00566D50">
        <w:rPr>
          <w:i/>
          <w:iCs/>
          <w:lang w:eastAsia="fr-FR"/>
        </w:rPr>
        <w:t>(Reference document: ECE/TRANS/WP.15/AC.1/162)</w:t>
      </w:r>
    </w:p>
    <w:p w14:paraId="1C167A8F" w14:textId="77777777" w:rsidR="00566D50" w:rsidRPr="00566D50" w:rsidRDefault="00566D50" w:rsidP="008D6ABC">
      <w:pPr>
        <w:spacing w:after="120"/>
        <w:ind w:left="2835" w:right="1134" w:hanging="1134"/>
        <w:jc w:val="both"/>
        <w:rPr>
          <w:lang w:eastAsia="fr-FR"/>
        </w:rPr>
      </w:pPr>
      <w:r w:rsidRPr="00566D50">
        <w:rPr>
          <w:lang w:eastAsia="fr-FR"/>
        </w:rPr>
        <w:t>6.8.2.6.1</w:t>
      </w:r>
      <w:r w:rsidRPr="00566D50">
        <w:rPr>
          <w:lang w:eastAsia="fr-FR"/>
        </w:rPr>
        <w:tab/>
        <w:t>In the table, under “For equipment”:</w:t>
      </w:r>
    </w:p>
    <w:p w14:paraId="25687646" w14:textId="77777777" w:rsidR="00566D50" w:rsidRPr="00566D50" w:rsidRDefault="00566D50" w:rsidP="008D6ABC">
      <w:pPr>
        <w:spacing w:after="120"/>
        <w:ind w:left="2835" w:right="1134" w:hanging="1134"/>
        <w:jc w:val="both"/>
        <w:rPr>
          <w:lang w:eastAsia="fr-FR"/>
        </w:rPr>
      </w:pPr>
      <w:r w:rsidRPr="00566D50">
        <w:rPr>
          <w:lang w:eastAsia="fr-FR"/>
        </w:rPr>
        <w:tab/>
        <w:t>- Insert the following new row after the last row.</w:t>
      </w:r>
    </w:p>
    <w:tbl>
      <w:tblPr>
        <w:tblW w:w="7477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3402"/>
        <w:gridCol w:w="1134"/>
        <w:gridCol w:w="851"/>
        <w:gridCol w:w="425"/>
      </w:tblGrid>
      <w:tr w:rsidR="00566D50" w:rsidRPr="00566D50" w14:paraId="2611378B" w14:textId="77777777" w:rsidTr="008D6ABC">
        <w:tc>
          <w:tcPr>
            <w:tcW w:w="1665" w:type="dxa"/>
            <w:vAlign w:val="center"/>
          </w:tcPr>
          <w:p w14:paraId="338E295B" w14:textId="77777777" w:rsidR="00566D50" w:rsidRPr="00566D50" w:rsidRDefault="00566D50" w:rsidP="00566D50">
            <w:pPr>
              <w:widowControl w:val="0"/>
              <w:spacing w:before="60" w:after="60"/>
              <w:rPr>
                <w:strike/>
                <w:lang w:eastAsia="fr-FR"/>
              </w:rPr>
            </w:pPr>
            <w:r w:rsidRPr="00566D50">
              <w:rPr>
                <w:bCs/>
                <w:lang w:eastAsia="fr-FR"/>
              </w:rPr>
              <w:t xml:space="preserve">EN </w:t>
            </w:r>
            <w:proofErr w:type="gramStart"/>
            <w:r w:rsidRPr="00566D50">
              <w:rPr>
                <w:bCs/>
                <w:lang w:eastAsia="fr-FR"/>
              </w:rPr>
              <w:t>13799:[</w:t>
            </w:r>
            <w:proofErr w:type="gramEnd"/>
            <w:r w:rsidRPr="00566D50">
              <w:rPr>
                <w:bCs/>
                <w:lang w:eastAsia="fr-FR"/>
              </w:rPr>
              <w:t>2022]</w:t>
            </w:r>
          </w:p>
        </w:tc>
        <w:tc>
          <w:tcPr>
            <w:tcW w:w="3402" w:type="dxa"/>
          </w:tcPr>
          <w:p w14:paraId="6FD55E4C" w14:textId="77777777" w:rsidR="00566D50" w:rsidRPr="00566D50" w:rsidRDefault="00566D50" w:rsidP="00566D50">
            <w:pPr>
              <w:keepLines/>
              <w:widowControl w:val="0"/>
              <w:spacing w:before="60" w:after="120"/>
              <w:rPr>
                <w:strike/>
                <w:lang w:eastAsia="fr-FR"/>
              </w:rPr>
            </w:pPr>
            <w:r w:rsidRPr="00566D50">
              <w:rPr>
                <w:bCs/>
                <w:lang w:eastAsia="fr-FR"/>
              </w:rPr>
              <w:t>LPG equipment and accessories – Contents gauges for Liquefied Petroleum Gas (LPG) pressure vessels</w:t>
            </w:r>
          </w:p>
        </w:tc>
        <w:tc>
          <w:tcPr>
            <w:tcW w:w="1134" w:type="dxa"/>
            <w:vAlign w:val="center"/>
          </w:tcPr>
          <w:p w14:paraId="678F8C6F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lang w:eastAsia="fr-FR"/>
              </w:rPr>
              <w:t>6.8.2.2.1 and 6.8.2.2.11</w:t>
            </w:r>
          </w:p>
        </w:tc>
        <w:tc>
          <w:tcPr>
            <w:tcW w:w="851" w:type="dxa"/>
            <w:vAlign w:val="center"/>
          </w:tcPr>
          <w:p w14:paraId="090B5DDD" w14:textId="77777777" w:rsidR="00566D50" w:rsidRPr="00566D50" w:rsidRDefault="00566D50" w:rsidP="00566D50">
            <w:pPr>
              <w:widowControl w:val="0"/>
              <w:spacing w:before="60" w:after="60"/>
              <w:rPr>
                <w:lang w:eastAsia="fr-FR"/>
              </w:rPr>
            </w:pPr>
            <w:r w:rsidRPr="00566D50">
              <w:rPr>
                <w:lang w:eastAsia="fr-FR"/>
              </w:rPr>
              <w:t>Until further notice</w:t>
            </w:r>
          </w:p>
        </w:tc>
        <w:tc>
          <w:tcPr>
            <w:tcW w:w="425" w:type="dxa"/>
            <w:vAlign w:val="center"/>
          </w:tcPr>
          <w:p w14:paraId="141C8B1B" w14:textId="77777777" w:rsidR="00566D50" w:rsidRPr="00566D50" w:rsidRDefault="00566D50" w:rsidP="00566D50">
            <w:pPr>
              <w:widowControl w:val="0"/>
              <w:spacing w:before="60" w:after="60"/>
              <w:rPr>
                <w:strike/>
                <w:lang w:eastAsia="fr-FR"/>
              </w:rPr>
            </w:pPr>
          </w:p>
        </w:tc>
      </w:tr>
    </w:tbl>
    <w:p w14:paraId="4827198D" w14:textId="77777777" w:rsidR="008D6ABC" w:rsidRPr="00566D50" w:rsidRDefault="008D6ABC" w:rsidP="008D6ABC">
      <w:pPr>
        <w:spacing w:after="120"/>
        <w:ind w:left="2835" w:right="1134" w:hanging="1134"/>
        <w:jc w:val="both"/>
        <w:rPr>
          <w:i/>
          <w:iCs/>
          <w:lang w:eastAsia="fr-FR"/>
        </w:rPr>
      </w:pPr>
      <w:r w:rsidRPr="00566D50">
        <w:rPr>
          <w:i/>
          <w:iCs/>
          <w:lang w:eastAsia="fr-FR"/>
        </w:rPr>
        <w:t>(Reference document: ECE/TRANS/WP.15/AC.1/162)</w:t>
      </w:r>
    </w:p>
    <w:p w14:paraId="1466B8DC" w14:textId="4A224F2A" w:rsidR="008D6ABC" w:rsidRPr="00566D50" w:rsidRDefault="008D6ABC" w:rsidP="008D6ABC">
      <w:pPr>
        <w:pStyle w:val="H1G"/>
      </w:pPr>
      <w:r>
        <w:lastRenderedPageBreak/>
        <w:tab/>
      </w:r>
      <w:r>
        <w:tab/>
      </w:r>
      <w:r>
        <w:t>Text kept in square brackets pending decision at the Joint Meeting</w:t>
      </w:r>
    </w:p>
    <w:p w14:paraId="15101F09" w14:textId="1AAB8582" w:rsidR="00566D50" w:rsidRPr="00566D50" w:rsidRDefault="008D6ABC" w:rsidP="00566D50">
      <w:pPr>
        <w:spacing w:after="120"/>
        <w:ind w:left="1134" w:right="1134"/>
        <w:jc w:val="both"/>
        <w:rPr>
          <w:rFonts w:cs="Arial"/>
          <w:szCs w:val="22"/>
        </w:rPr>
      </w:pPr>
      <w:r>
        <w:rPr>
          <w:rFonts w:cs="Arial"/>
          <w:szCs w:val="22"/>
        </w:rPr>
        <w:t>5.</w:t>
      </w:r>
      <w:r>
        <w:rPr>
          <w:rFonts w:cs="Arial"/>
          <w:szCs w:val="22"/>
        </w:rPr>
        <w:tab/>
        <w:t>The following amendments were already endorsed by WP.15 at its 109</w:t>
      </w:r>
      <w:r w:rsidRPr="008D6ABC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session. At its Autumn 2021 session, the Joint Meeting decided to keep them in square brackets </w:t>
      </w:r>
      <w:r w:rsidR="00566D50" w:rsidRPr="00566D50">
        <w:rPr>
          <w:rFonts w:cs="Arial"/>
          <w:szCs w:val="22"/>
        </w:rPr>
        <w:t xml:space="preserve">pending clearance by the representative of Italy in </w:t>
      </w:r>
      <w:r>
        <w:rPr>
          <w:rFonts w:cs="Arial"/>
          <w:szCs w:val="22"/>
        </w:rPr>
        <w:t>the Spring 2022 session.</w:t>
      </w:r>
    </w:p>
    <w:p w14:paraId="268348DB" w14:textId="77777777" w:rsidR="00566D50" w:rsidRPr="00566D50" w:rsidRDefault="00566D50" w:rsidP="008D6ABC">
      <w:pPr>
        <w:spacing w:after="120"/>
        <w:ind w:left="2268" w:right="1134"/>
        <w:jc w:val="both"/>
        <w:rPr>
          <w:rFonts w:cs="Arial"/>
          <w:szCs w:val="22"/>
        </w:rPr>
      </w:pPr>
      <w:r w:rsidRPr="00566D50">
        <w:rPr>
          <w:rFonts w:cs="Arial"/>
          <w:szCs w:val="22"/>
        </w:rPr>
        <w:t>6.2.4.1</w:t>
      </w:r>
      <w:r w:rsidRPr="00566D50">
        <w:rPr>
          <w:rFonts w:cs="Arial"/>
          <w:szCs w:val="22"/>
        </w:rPr>
        <w:tab/>
      </w:r>
      <w:r w:rsidRPr="00566D50">
        <w:rPr>
          <w:rFonts w:cs="Arial"/>
          <w:szCs w:val="22"/>
        </w:rPr>
        <w:tab/>
        <w:t xml:space="preserve">Amend the Table, under </w:t>
      </w:r>
      <w:r w:rsidRPr="00566D50">
        <w:rPr>
          <w:bCs/>
        </w:rPr>
        <w:t>“</w:t>
      </w:r>
      <w:r w:rsidRPr="00566D50">
        <w:rPr>
          <w:rFonts w:cs="Arial"/>
          <w:szCs w:val="22"/>
        </w:rPr>
        <w:t>for design and construction</w:t>
      </w:r>
      <w:r w:rsidRPr="00566D50">
        <w:rPr>
          <w:bCs/>
        </w:rPr>
        <w:t>”</w:t>
      </w:r>
      <w:r w:rsidRPr="00566D50">
        <w:rPr>
          <w:rFonts w:cs="Arial"/>
          <w:szCs w:val="22"/>
        </w:rPr>
        <w:t xml:space="preserve"> as follows:</w:t>
      </w:r>
    </w:p>
    <w:p w14:paraId="158EAFF6" w14:textId="77777777" w:rsidR="00566D50" w:rsidRPr="00566D50" w:rsidRDefault="00566D50" w:rsidP="008D6ABC">
      <w:pPr>
        <w:spacing w:before="120" w:after="120"/>
        <w:ind w:left="3402" w:right="1134"/>
        <w:jc w:val="both"/>
        <w:rPr>
          <w:bCs/>
        </w:rPr>
      </w:pPr>
      <w:r w:rsidRPr="00566D50">
        <w:rPr>
          <w:bCs/>
        </w:rPr>
        <w:t>[For “EN 12245:2002”, in column (2), insert the following Note:</w:t>
      </w:r>
    </w:p>
    <w:p w14:paraId="1E011EE6" w14:textId="77777777" w:rsidR="00566D50" w:rsidRPr="00566D50" w:rsidRDefault="00566D50" w:rsidP="008D6ABC">
      <w:pPr>
        <w:spacing w:after="120"/>
        <w:ind w:left="3402" w:right="1134"/>
        <w:jc w:val="both"/>
        <w:rPr>
          <w:bCs/>
        </w:rPr>
      </w:pPr>
      <w:r w:rsidRPr="00566D50">
        <w:rPr>
          <w:i/>
          <w:iCs/>
        </w:rPr>
        <w:t>“</w:t>
      </w:r>
      <w:r w:rsidRPr="00566D50">
        <w:rPr>
          <w:b/>
          <w:bCs/>
          <w:i/>
          <w:iCs/>
        </w:rPr>
        <w:t>NOTE:</w:t>
      </w:r>
      <w:r w:rsidRPr="00566D50">
        <w:rPr>
          <w:bCs/>
          <w:i/>
          <w:iCs/>
        </w:rPr>
        <w:tab/>
        <w:t>This standard shall not be used for gases classified as LPG.”</w:t>
      </w:r>
      <w:r w:rsidRPr="00566D50">
        <w:rPr>
          <w:bCs/>
        </w:rPr>
        <w:t>]</w:t>
      </w:r>
    </w:p>
    <w:p w14:paraId="2C0B2FAD" w14:textId="77777777" w:rsidR="00566D50" w:rsidRPr="00566D50" w:rsidRDefault="00566D50" w:rsidP="008D6ABC">
      <w:pPr>
        <w:spacing w:after="120"/>
        <w:ind w:left="3402" w:right="1134"/>
        <w:jc w:val="both"/>
        <w:rPr>
          <w:bCs/>
        </w:rPr>
      </w:pPr>
      <w:r w:rsidRPr="00566D50">
        <w:rPr>
          <w:b/>
          <w:bCs/>
          <w:lang w:val="x-none"/>
        </w:rPr>
        <w:t>[</w:t>
      </w:r>
      <w:r w:rsidRPr="00566D50">
        <w:rPr>
          <w:lang w:val="x-none"/>
        </w:rPr>
        <w:t xml:space="preserve">For </w:t>
      </w:r>
      <w:r w:rsidRPr="00566D50">
        <w:rPr>
          <w:bCs/>
          <w:lang w:val="x-none"/>
        </w:rPr>
        <w:t>“</w:t>
      </w:r>
      <w:r w:rsidRPr="00566D50">
        <w:rPr>
          <w:lang w:val="x-none"/>
        </w:rPr>
        <w:t>EN 12245:2002</w:t>
      </w:r>
      <w:r w:rsidRPr="00566D50">
        <w:rPr>
          <w:bCs/>
          <w:lang w:val="x-none"/>
        </w:rPr>
        <w:t>”</w:t>
      </w:r>
      <w:r w:rsidRPr="00566D50">
        <w:rPr>
          <w:lang w:val="x-none"/>
        </w:rPr>
        <w:t>, in</w:t>
      </w:r>
      <w:r w:rsidRPr="00566D50">
        <w:rPr>
          <w:bCs/>
          <w:lang w:val="x-none"/>
        </w:rPr>
        <w:t xml:space="preserve"> column (5), insert </w:t>
      </w:r>
      <w:r w:rsidRPr="00566D50">
        <w:rPr>
          <w:bCs/>
        </w:rPr>
        <w:t>“31 December 2023, for cylinders for LPG”.]</w:t>
      </w:r>
    </w:p>
    <w:p w14:paraId="4430DCAF" w14:textId="77777777" w:rsidR="00566D50" w:rsidRPr="00566D50" w:rsidRDefault="00566D50" w:rsidP="008D6ABC">
      <w:pPr>
        <w:spacing w:after="120"/>
        <w:ind w:left="3402" w:right="1134"/>
        <w:jc w:val="both"/>
        <w:rPr>
          <w:bCs/>
        </w:rPr>
      </w:pPr>
      <w:r w:rsidRPr="00566D50">
        <w:rPr>
          <w:bCs/>
        </w:rPr>
        <w:t>[For “EN 12245:2009 + A1:2011”, in column (2), number the existing Note to be “NOTE 1” and insert a new Note as follows:</w:t>
      </w:r>
    </w:p>
    <w:p w14:paraId="218F0170" w14:textId="77777777" w:rsidR="00566D50" w:rsidRPr="00566D50" w:rsidRDefault="00566D50" w:rsidP="008D6ABC">
      <w:pPr>
        <w:spacing w:after="120"/>
        <w:ind w:left="2268" w:right="1134"/>
        <w:jc w:val="both"/>
        <w:rPr>
          <w:bCs/>
        </w:rPr>
      </w:pPr>
      <w:r w:rsidRPr="00566D50">
        <w:rPr>
          <w:bCs/>
        </w:rPr>
        <w:t>“</w:t>
      </w:r>
      <w:r w:rsidRPr="00566D50">
        <w:rPr>
          <w:b/>
          <w:bCs/>
          <w:i/>
          <w:iCs/>
        </w:rPr>
        <w:t>NOTE 2:</w:t>
      </w:r>
      <w:r w:rsidRPr="00566D50">
        <w:rPr>
          <w:bCs/>
          <w:i/>
          <w:iCs/>
        </w:rPr>
        <w:tab/>
        <w:t>This standard shall not be used for gases classified as LPG.</w:t>
      </w:r>
      <w:r w:rsidRPr="00566D50">
        <w:rPr>
          <w:bCs/>
        </w:rPr>
        <w:t>”]</w:t>
      </w:r>
    </w:p>
    <w:p w14:paraId="0636F3B1" w14:textId="77777777" w:rsidR="00566D50" w:rsidRPr="00566D50" w:rsidRDefault="00566D50" w:rsidP="008D6ABC">
      <w:pPr>
        <w:spacing w:after="120"/>
        <w:ind w:left="3402" w:right="1134"/>
        <w:jc w:val="both"/>
        <w:rPr>
          <w:bCs/>
        </w:rPr>
      </w:pPr>
      <w:r w:rsidRPr="00566D50">
        <w:rPr>
          <w:bCs/>
          <w:lang w:val="x-none"/>
        </w:rPr>
        <w:t xml:space="preserve">[For “EN 12245:2009 + A1:2011”, in column (5), insert </w:t>
      </w:r>
      <w:r w:rsidRPr="00566D50">
        <w:rPr>
          <w:bCs/>
        </w:rPr>
        <w:t>“31 December 2023, for cylinders for LPG”.]</w:t>
      </w:r>
    </w:p>
    <w:p w14:paraId="052F8427" w14:textId="77777777" w:rsidR="00566D50" w:rsidRPr="00566D50" w:rsidRDefault="00566D50" w:rsidP="008D6ABC">
      <w:pPr>
        <w:spacing w:after="120"/>
        <w:ind w:left="2268" w:right="1134"/>
        <w:jc w:val="both"/>
        <w:rPr>
          <w:i/>
          <w:iCs/>
          <w:lang w:eastAsia="fr-FR"/>
        </w:rPr>
      </w:pPr>
      <w:r w:rsidRPr="00566D50">
        <w:rPr>
          <w:i/>
          <w:iCs/>
          <w:lang w:eastAsia="fr-FR"/>
        </w:rPr>
        <w:t>(Reference document: ECE/TRANS/WP.15/253)</w:t>
      </w:r>
    </w:p>
    <w:p w14:paraId="16930D09" w14:textId="27214005" w:rsidR="008D6ABC" w:rsidRPr="00566D50" w:rsidRDefault="008D6ABC" w:rsidP="008D6ABC">
      <w:pPr>
        <w:pStyle w:val="H1G"/>
      </w:pPr>
      <w:r>
        <w:tab/>
      </w:r>
      <w:r>
        <w:tab/>
        <w:t xml:space="preserve">Text kept in square brackets pending </w:t>
      </w:r>
      <w:r w:rsidR="00DB0DDF" w:rsidRPr="00DB0DDF">
        <w:t>confirmation by the standing working group of the RID Committee of Experts</w:t>
      </w:r>
    </w:p>
    <w:p w14:paraId="6925E16F" w14:textId="109A5845" w:rsidR="00DB0DDF" w:rsidRPr="00566D50" w:rsidRDefault="00DB0DDF" w:rsidP="00DB0DDF">
      <w:pPr>
        <w:spacing w:after="120"/>
        <w:ind w:left="1134" w:right="1134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>
        <w:rPr>
          <w:rFonts w:cs="Arial"/>
          <w:szCs w:val="22"/>
        </w:rPr>
        <w:t>.</w:t>
      </w:r>
      <w:r>
        <w:rPr>
          <w:rFonts w:cs="Arial"/>
          <w:szCs w:val="22"/>
        </w:rPr>
        <w:tab/>
        <w:t>The following amendments were already endorsed by WP.15 at its 109</w:t>
      </w:r>
      <w:r w:rsidRPr="008D6ABC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session. At its Autumn 2021 session, the Joint Meeting decided to keep them in square brackets </w:t>
      </w:r>
      <w:r w:rsidRPr="00566D50">
        <w:rPr>
          <w:rFonts w:cs="Arial"/>
          <w:szCs w:val="22"/>
        </w:rPr>
        <w:t xml:space="preserve">pending </w:t>
      </w:r>
      <w:r w:rsidRPr="00DB0DDF">
        <w:t>confirmation by the standing working group of the RID Committee of Experts</w:t>
      </w:r>
      <w:r>
        <w:rPr>
          <w:rFonts w:cs="Arial"/>
          <w:szCs w:val="22"/>
        </w:rPr>
        <w:t>.</w:t>
      </w:r>
    </w:p>
    <w:p w14:paraId="064C291A" w14:textId="730B1DF4" w:rsidR="008D6ABC" w:rsidRPr="00970AD4" w:rsidRDefault="008D6ABC" w:rsidP="00DB0DDF">
      <w:pPr>
        <w:spacing w:after="120"/>
        <w:ind w:left="1701" w:right="1134"/>
        <w:jc w:val="both"/>
        <w:rPr>
          <w:b/>
        </w:rPr>
      </w:pPr>
      <w:r w:rsidRPr="00970AD4">
        <w:t>[1.6.4</w:t>
      </w:r>
      <w:r w:rsidRPr="00970AD4">
        <w:tab/>
      </w:r>
      <w:r w:rsidRPr="00970AD4">
        <w:tab/>
        <w:t>Insert the following new transitional provision:</w:t>
      </w:r>
    </w:p>
    <w:p w14:paraId="32D175C1" w14:textId="77777777" w:rsidR="008D6ABC" w:rsidRPr="00970AD4" w:rsidRDefault="008D6ABC" w:rsidP="00DB0DDF">
      <w:pPr>
        <w:spacing w:after="120"/>
        <w:ind w:left="2835" w:right="1134"/>
        <w:jc w:val="both"/>
      </w:pPr>
      <w:r w:rsidRPr="00970AD4">
        <w:t>“1.6.4.56</w:t>
      </w:r>
      <w:r w:rsidRPr="00970AD4">
        <w:tab/>
        <w:t>Tank-containers constructed before 1 July 2023 in accordance with the requirements in force up to 31 December 2022, but which do not conform to the requirements of 6.8.2.2.4 second paragraph applicable from 1 January 2023 may still be used.”]</w:t>
      </w:r>
    </w:p>
    <w:p w14:paraId="47925DC4" w14:textId="77777777" w:rsidR="00566D50" w:rsidRPr="00566D50" w:rsidRDefault="00566D50" w:rsidP="00DB0DDF">
      <w:pPr>
        <w:spacing w:after="120"/>
        <w:ind w:left="1701" w:right="1134"/>
        <w:jc w:val="both"/>
        <w:rPr>
          <w:rFonts w:cs="Arial"/>
          <w:szCs w:val="22"/>
        </w:rPr>
      </w:pPr>
      <w:r w:rsidRPr="00566D50">
        <w:rPr>
          <w:rFonts w:cs="Arial"/>
          <w:szCs w:val="22"/>
        </w:rPr>
        <w:t>6.8.2.2.4</w:t>
      </w:r>
      <w:r w:rsidRPr="00566D50">
        <w:rPr>
          <w:rFonts w:cs="Arial"/>
          <w:szCs w:val="22"/>
        </w:rPr>
        <w:tab/>
        <w:t>After the first sentence, insert in the right-hand column:</w:t>
      </w:r>
    </w:p>
    <w:tbl>
      <w:tblPr>
        <w:tblW w:w="8246" w:type="dxa"/>
        <w:tblInd w:w="15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5"/>
        <w:gridCol w:w="4561"/>
      </w:tblGrid>
      <w:tr w:rsidR="00566D50" w:rsidRPr="00566D50" w14:paraId="63D48C45" w14:textId="77777777" w:rsidTr="00DB0DDF">
        <w:trPr>
          <w:cantSplit/>
        </w:trPr>
        <w:tc>
          <w:tcPr>
            <w:tcW w:w="3685" w:type="dxa"/>
            <w:tcBorders>
              <w:right w:val="single" w:sz="4" w:space="0" w:color="auto"/>
            </w:tcBorders>
          </w:tcPr>
          <w:p w14:paraId="55241406" w14:textId="77777777" w:rsidR="00566D50" w:rsidRPr="00566D50" w:rsidRDefault="00566D50" w:rsidP="00566D50"/>
        </w:tc>
        <w:tc>
          <w:tcPr>
            <w:tcW w:w="4561" w:type="dxa"/>
            <w:tcBorders>
              <w:left w:val="single" w:sz="4" w:space="0" w:color="auto"/>
            </w:tcBorders>
          </w:tcPr>
          <w:p w14:paraId="642112A1" w14:textId="77777777" w:rsidR="00566D50" w:rsidRPr="00566D50" w:rsidRDefault="00566D50" w:rsidP="00566D50">
            <w:pPr>
              <w:tabs>
                <w:tab w:val="left" w:pos="1418"/>
                <w:tab w:val="left" w:pos="2977"/>
                <w:tab w:val="left" w:pos="4395"/>
              </w:tabs>
              <w:ind w:right="665"/>
              <w:jc w:val="both"/>
              <w:rPr>
                <w:bCs/>
              </w:rPr>
            </w:pPr>
            <w:r w:rsidRPr="00566D50">
              <w:rPr>
                <w:rFonts w:cs="Arial"/>
                <w:bCs/>
                <w:szCs w:val="22"/>
              </w:rPr>
              <w:t>[</w:t>
            </w:r>
            <w:r w:rsidRPr="00566D50">
              <w:rPr>
                <w:bCs/>
                <w:iCs/>
              </w:rPr>
              <w:t>“</w:t>
            </w:r>
            <w:r w:rsidRPr="00566D50">
              <w:rPr>
                <w:rFonts w:cs="Arial"/>
                <w:bCs/>
                <w:szCs w:val="22"/>
              </w:rPr>
              <w:t>These openings for tank-containers with [a capacity of more than 40 000 litres / a gross weight of more than 36 000 kg] intended for the carriage of [liquids] / [substances in the liquid state] which are not divided by partitions or surge plates into sections of not more than 7 500 litres capacity shall be provided with closures designed for a test pressure of at least 0.4 MPa (4 bar). Hinged dome covers for these tank-containers with a test pressure of more than 0.6 MPa (6 bar) shall not be permitted.</w:t>
            </w:r>
            <w:r w:rsidRPr="00566D50">
              <w:rPr>
                <w:bCs/>
                <w:iCs/>
              </w:rPr>
              <w:t>”</w:t>
            </w:r>
            <w:r w:rsidRPr="00566D50">
              <w:rPr>
                <w:rFonts w:cs="Arial"/>
                <w:bCs/>
                <w:szCs w:val="22"/>
              </w:rPr>
              <w:t>]</w:t>
            </w:r>
          </w:p>
        </w:tc>
      </w:tr>
    </w:tbl>
    <w:p w14:paraId="3BB07F29" w14:textId="77777777" w:rsidR="00DB0DDF" w:rsidRPr="00566D50" w:rsidRDefault="00DB0DDF" w:rsidP="00DB0DDF">
      <w:pPr>
        <w:spacing w:before="120" w:after="120"/>
        <w:ind w:left="2268" w:right="1134"/>
        <w:jc w:val="both"/>
        <w:rPr>
          <w:i/>
          <w:iCs/>
          <w:lang w:eastAsia="fr-FR"/>
        </w:rPr>
      </w:pPr>
      <w:r w:rsidRPr="00566D50">
        <w:rPr>
          <w:i/>
          <w:iCs/>
          <w:lang w:eastAsia="fr-FR"/>
        </w:rPr>
        <w:t>(Reference document: ECE/TRANS/WP.15/253)</w:t>
      </w:r>
    </w:p>
    <w:p w14:paraId="2CE6ADEB" w14:textId="77777777" w:rsidR="00B73B96" w:rsidRPr="002D54BC" w:rsidRDefault="00B73B96" w:rsidP="00B73B96">
      <w:pPr>
        <w:spacing w:before="240"/>
        <w:jc w:val="center"/>
        <w:rPr>
          <w:u w:val="single"/>
        </w:rPr>
      </w:pPr>
      <w:r w:rsidRPr="002D54BC">
        <w:rPr>
          <w:u w:val="single"/>
        </w:rPr>
        <w:tab/>
      </w:r>
      <w:r w:rsidRPr="002D54BC">
        <w:rPr>
          <w:u w:val="single"/>
        </w:rPr>
        <w:tab/>
      </w:r>
      <w:r w:rsidRPr="002D54BC">
        <w:rPr>
          <w:u w:val="single"/>
        </w:rPr>
        <w:tab/>
      </w:r>
    </w:p>
    <w:sectPr w:rsidR="00B73B96" w:rsidRPr="002D54BC" w:rsidSect="000C4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CE1F" w14:textId="77777777" w:rsidR="001043F5" w:rsidRDefault="001043F5"/>
  </w:endnote>
  <w:endnote w:type="continuationSeparator" w:id="0">
    <w:p w14:paraId="352A7F3B" w14:textId="77777777" w:rsidR="001043F5" w:rsidRDefault="001043F5"/>
  </w:endnote>
  <w:endnote w:type="continuationNotice" w:id="1">
    <w:p w14:paraId="08C6F9F6" w14:textId="77777777" w:rsidR="001043F5" w:rsidRDefault="00104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13BA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7C0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15541" w14:textId="77777777" w:rsidR="001043F5" w:rsidRPr="000B175B" w:rsidRDefault="001043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5E674A" w14:textId="77777777" w:rsidR="001043F5" w:rsidRPr="00FC68B7" w:rsidRDefault="001043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352CF6" w14:textId="77777777" w:rsidR="001043F5" w:rsidRDefault="00104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E9BB" w14:textId="68A47B10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3C34D6">
      <w:rPr>
        <w:lang w:val="fr-CH"/>
      </w:rPr>
      <w:t>1</w:t>
    </w:r>
    <w:r w:rsidR="00DB0DDF">
      <w:rPr>
        <w:lang w:val="fr-CH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492D3" w14:textId="3560760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6D4A39">
      <w:rPr>
        <w:lang w:val="fr-CH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EF59" w14:textId="7419254A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700E41">
      <w:rPr>
        <w:sz w:val="28"/>
        <w:szCs w:val="28"/>
        <w:lang w:val="fr-CH"/>
      </w:rPr>
      <w:t>1</w:t>
    </w:r>
    <w:r w:rsidR="004C2639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10574"/>
    <w:multiLevelType w:val="hybridMultilevel"/>
    <w:tmpl w:val="E6DABA16"/>
    <w:lvl w:ilvl="0" w:tplc="2C066F5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42C4"/>
    <w:rsid w:val="00005CBF"/>
    <w:rsid w:val="00011932"/>
    <w:rsid w:val="000162D9"/>
    <w:rsid w:val="000241F2"/>
    <w:rsid w:val="00026D9C"/>
    <w:rsid w:val="000404E5"/>
    <w:rsid w:val="00042739"/>
    <w:rsid w:val="000457B4"/>
    <w:rsid w:val="00046B1F"/>
    <w:rsid w:val="00047596"/>
    <w:rsid w:val="00050F6B"/>
    <w:rsid w:val="00052E85"/>
    <w:rsid w:val="000575AC"/>
    <w:rsid w:val="00057E97"/>
    <w:rsid w:val="000646F4"/>
    <w:rsid w:val="0006491B"/>
    <w:rsid w:val="00065AD1"/>
    <w:rsid w:val="00065C6D"/>
    <w:rsid w:val="00072C8C"/>
    <w:rsid w:val="000733B5"/>
    <w:rsid w:val="00081815"/>
    <w:rsid w:val="00084795"/>
    <w:rsid w:val="0008497C"/>
    <w:rsid w:val="00085285"/>
    <w:rsid w:val="000931C0"/>
    <w:rsid w:val="00096C84"/>
    <w:rsid w:val="000A17BA"/>
    <w:rsid w:val="000A213A"/>
    <w:rsid w:val="000A309E"/>
    <w:rsid w:val="000A78F4"/>
    <w:rsid w:val="000A7999"/>
    <w:rsid w:val="000B0595"/>
    <w:rsid w:val="000B175B"/>
    <w:rsid w:val="000B3A0F"/>
    <w:rsid w:val="000B491C"/>
    <w:rsid w:val="000B4EF7"/>
    <w:rsid w:val="000C2C03"/>
    <w:rsid w:val="000C2D2E"/>
    <w:rsid w:val="000C497A"/>
    <w:rsid w:val="000D08B9"/>
    <w:rsid w:val="000D3E3E"/>
    <w:rsid w:val="000D4266"/>
    <w:rsid w:val="000E0415"/>
    <w:rsid w:val="000E0492"/>
    <w:rsid w:val="000E0637"/>
    <w:rsid w:val="000E1362"/>
    <w:rsid w:val="000F2981"/>
    <w:rsid w:val="001043F5"/>
    <w:rsid w:val="00110035"/>
    <w:rsid w:val="001103AA"/>
    <w:rsid w:val="00110611"/>
    <w:rsid w:val="00111A5C"/>
    <w:rsid w:val="0011666B"/>
    <w:rsid w:val="00121D95"/>
    <w:rsid w:val="00130A16"/>
    <w:rsid w:val="0013299E"/>
    <w:rsid w:val="00145971"/>
    <w:rsid w:val="00147062"/>
    <w:rsid w:val="00153C2C"/>
    <w:rsid w:val="00164FF7"/>
    <w:rsid w:val="00165F3A"/>
    <w:rsid w:val="0016663C"/>
    <w:rsid w:val="001723AA"/>
    <w:rsid w:val="0017318C"/>
    <w:rsid w:val="00173696"/>
    <w:rsid w:val="001746C1"/>
    <w:rsid w:val="00175E6F"/>
    <w:rsid w:val="00177C0F"/>
    <w:rsid w:val="001817D6"/>
    <w:rsid w:val="00186EEA"/>
    <w:rsid w:val="001A1D4B"/>
    <w:rsid w:val="001A2105"/>
    <w:rsid w:val="001A6E11"/>
    <w:rsid w:val="001A6F83"/>
    <w:rsid w:val="001B128F"/>
    <w:rsid w:val="001B4B04"/>
    <w:rsid w:val="001C346C"/>
    <w:rsid w:val="001C3FF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68FC"/>
    <w:rsid w:val="001E7B67"/>
    <w:rsid w:val="001F239D"/>
    <w:rsid w:val="001F715D"/>
    <w:rsid w:val="002017D8"/>
    <w:rsid w:val="00202DA8"/>
    <w:rsid w:val="00207AC3"/>
    <w:rsid w:val="00210872"/>
    <w:rsid w:val="00210C59"/>
    <w:rsid w:val="00211E0B"/>
    <w:rsid w:val="00222DF8"/>
    <w:rsid w:val="00223A66"/>
    <w:rsid w:val="00224D92"/>
    <w:rsid w:val="0022549B"/>
    <w:rsid w:val="00234DF2"/>
    <w:rsid w:val="00237818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517D"/>
    <w:rsid w:val="00275325"/>
    <w:rsid w:val="0027769C"/>
    <w:rsid w:val="00282751"/>
    <w:rsid w:val="00282E77"/>
    <w:rsid w:val="00284318"/>
    <w:rsid w:val="002864E1"/>
    <w:rsid w:val="00286B4D"/>
    <w:rsid w:val="00290943"/>
    <w:rsid w:val="0029372B"/>
    <w:rsid w:val="002A2DD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25ACC"/>
    <w:rsid w:val="003336F3"/>
    <w:rsid w:val="00336DB6"/>
    <w:rsid w:val="00352709"/>
    <w:rsid w:val="00353B6A"/>
    <w:rsid w:val="003563FB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2CB7"/>
    <w:rsid w:val="003A6810"/>
    <w:rsid w:val="003B173B"/>
    <w:rsid w:val="003B2A95"/>
    <w:rsid w:val="003B4873"/>
    <w:rsid w:val="003C0075"/>
    <w:rsid w:val="003C2CC4"/>
    <w:rsid w:val="003C34D6"/>
    <w:rsid w:val="003C7018"/>
    <w:rsid w:val="003D1847"/>
    <w:rsid w:val="003D4B23"/>
    <w:rsid w:val="003D5C99"/>
    <w:rsid w:val="003D6CB1"/>
    <w:rsid w:val="003E130E"/>
    <w:rsid w:val="003E7397"/>
    <w:rsid w:val="003E77BB"/>
    <w:rsid w:val="003F596A"/>
    <w:rsid w:val="004021CB"/>
    <w:rsid w:val="004066A5"/>
    <w:rsid w:val="00410C89"/>
    <w:rsid w:val="004114BC"/>
    <w:rsid w:val="00421FE8"/>
    <w:rsid w:val="00422E03"/>
    <w:rsid w:val="0042319F"/>
    <w:rsid w:val="004236BE"/>
    <w:rsid w:val="004240EB"/>
    <w:rsid w:val="0042588A"/>
    <w:rsid w:val="00426B9B"/>
    <w:rsid w:val="004325CB"/>
    <w:rsid w:val="00442A83"/>
    <w:rsid w:val="00443285"/>
    <w:rsid w:val="0045495B"/>
    <w:rsid w:val="004561E5"/>
    <w:rsid w:val="004565C6"/>
    <w:rsid w:val="004570B1"/>
    <w:rsid w:val="00463723"/>
    <w:rsid w:val="004711F4"/>
    <w:rsid w:val="004732BE"/>
    <w:rsid w:val="0047379F"/>
    <w:rsid w:val="00483811"/>
    <w:rsid w:val="0048397A"/>
    <w:rsid w:val="00485CBB"/>
    <w:rsid w:val="004866B7"/>
    <w:rsid w:val="00490D93"/>
    <w:rsid w:val="004A27BC"/>
    <w:rsid w:val="004A2BD3"/>
    <w:rsid w:val="004A30C9"/>
    <w:rsid w:val="004A5098"/>
    <w:rsid w:val="004A6F63"/>
    <w:rsid w:val="004B1837"/>
    <w:rsid w:val="004B2EAF"/>
    <w:rsid w:val="004C2461"/>
    <w:rsid w:val="004C2639"/>
    <w:rsid w:val="004C2EC8"/>
    <w:rsid w:val="004C7462"/>
    <w:rsid w:val="004D0588"/>
    <w:rsid w:val="004D1404"/>
    <w:rsid w:val="004D33EE"/>
    <w:rsid w:val="004E6FFC"/>
    <w:rsid w:val="004E77B2"/>
    <w:rsid w:val="004F6969"/>
    <w:rsid w:val="0050113C"/>
    <w:rsid w:val="00504B2D"/>
    <w:rsid w:val="005142F0"/>
    <w:rsid w:val="0052136D"/>
    <w:rsid w:val="00522680"/>
    <w:rsid w:val="00525CA7"/>
    <w:rsid w:val="00527225"/>
    <w:rsid w:val="0052775E"/>
    <w:rsid w:val="005357F4"/>
    <w:rsid w:val="0053784E"/>
    <w:rsid w:val="0054034C"/>
    <w:rsid w:val="005420F2"/>
    <w:rsid w:val="00544504"/>
    <w:rsid w:val="00547B54"/>
    <w:rsid w:val="0055167B"/>
    <w:rsid w:val="00552CEB"/>
    <w:rsid w:val="0056099E"/>
    <w:rsid w:val="00561B06"/>
    <w:rsid w:val="005628B6"/>
    <w:rsid w:val="0056374F"/>
    <w:rsid w:val="00566D50"/>
    <w:rsid w:val="00575310"/>
    <w:rsid w:val="00575B3B"/>
    <w:rsid w:val="00575C6F"/>
    <w:rsid w:val="0057735C"/>
    <w:rsid w:val="005778AE"/>
    <w:rsid w:val="0058105D"/>
    <w:rsid w:val="005813C3"/>
    <w:rsid w:val="005816C6"/>
    <w:rsid w:val="00591D4E"/>
    <w:rsid w:val="005941EC"/>
    <w:rsid w:val="005958A0"/>
    <w:rsid w:val="00596156"/>
    <w:rsid w:val="0059724D"/>
    <w:rsid w:val="005A1A08"/>
    <w:rsid w:val="005A2E0F"/>
    <w:rsid w:val="005A3960"/>
    <w:rsid w:val="005A619C"/>
    <w:rsid w:val="005A7D56"/>
    <w:rsid w:val="005B3DB3"/>
    <w:rsid w:val="005B4E13"/>
    <w:rsid w:val="005C342F"/>
    <w:rsid w:val="005C551E"/>
    <w:rsid w:val="005D0D8E"/>
    <w:rsid w:val="005D36CF"/>
    <w:rsid w:val="005D4078"/>
    <w:rsid w:val="005D4D80"/>
    <w:rsid w:val="005D7CAC"/>
    <w:rsid w:val="005E526F"/>
    <w:rsid w:val="005E5BC9"/>
    <w:rsid w:val="005F497E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57E0"/>
    <w:rsid w:val="006159FF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0126"/>
    <w:rsid w:val="00662BB6"/>
    <w:rsid w:val="00662CFB"/>
    <w:rsid w:val="006642B6"/>
    <w:rsid w:val="0066792F"/>
    <w:rsid w:val="00672FDA"/>
    <w:rsid w:val="00673A86"/>
    <w:rsid w:val="00675849"/>
    <w:rsid w:val="00676606"/>
    <w:rsid w:val="00684C21"/>
    <w:rsid w:val="006904BE"/>
    <w:rsid w:val="006924F6"/>
    <w:rsid w:val="00695084"/>
    <w:rsid w:val="006A1DA6"/>
    <w:rsid w:val="006A2530"/>
    <w:rsid w:val="006A32FE"/>
    <w:rsid w:val="006A681C"/>
    <w:rsid w:val="006B12C6"/>
    <w:rsid w:val="006C1AF1"/>
    <w:rsid w:val="006C2420"/>
    <w:rsid w:val="006C3589"/>
    <w:rsid w:val="006C4AFF"/>
    <w:rsid w:val="006C74F5"/>
    <w:rsid w:val="006D08C7"/>
    <w:rsid w:val="006D289F"/>
    <w:rsid w:val="006D37AF"/>
    <w:rsid w:val="006D4A39"/>
    <w:rsid w:val="006D51D0"/>
    <w:rsid w:val="006D5FB9"/>
    <w:rsid w:val="006E0AEF"/>
    <w:rsid w:val="006E1D88"/>
    <w:rsid w:val="006E564B"/>
    <w:rsid w:val="006E5927"/>
    <w:rsid w:val="006E7191"/>
    <w:rsid w:val="00700E41"/>
    <w:rsid w:val="007011A3"/>
    <w:rsid w:val="00703577"/>
    <w:rsid w:val="00703768"/>
    <w:rsid w:val="007047A9"/>
    <w:rsid w:val="00705894"/>
    <w:rsid w:val="007145FF"/>
    <w:rsid w:val="00724C17"/>
    <w:rsid w:val="0072632A"/>
    <w:rsid w:val="007327D5"/>
    <w:rsid w:val="0073593C"/>
    <w:rsid w:val="00735E74"/>
    <w:rsid w:val="00737E7A"/>
    <w:rsid w:val="00752B30"/>
    <w:rsid w:val="007609DA"/>
    <w:rsid w:val="007629C8"/>
    <w:rsid w:val="00763EA8"/>
    <w:rsid w:val="0076669C"/>
    <w:rsid w:val="0077047D"/>
    <w:rsid w:val="007708A5"/>
    <w:rsid w:val="00773A18"/>
    <w:rsid w:val="007851CB"/>
    <w:rsid w:val="007931F7"/>
    <w:rsid w:val="00796040"/>
    <w:rsid w:val="007A0D0E"/>
    <w:rsid w:val="007A2F1B"/>
    <w:rsid w:val="007A63B6"/>
    <w:rsid w:val="007B2176"/>
    <w:rsid w:val="007B249A"/>
    <w:rsid w:val="007B5332"/>
    <w:rsid w:val="007B6BA5"/>
    <w:rsid w:val="007C3390"/>
    <w:rsid w:val="007C38EF"/>
    <w:rsid w:val="007C4CB5"/>
    <w:rsid w:val="007C4F4B"/>
    <w:rsid w:val="007C554F"/>
    <w:rsid w:val="007D3162"/>
    <w:rsid w:val="007D784A"/>
    <w:rsid w:val="007E01E9"/>
    <w:rsid w:val="007E1827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00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04E2"/>
    <w:rsid w:val="008C271F"/>
    <w:rsid w:val="008C4B88"/>
    <w:rsid w:val="008D2334"/>
    <w:rsid w:val="008D244D"/>
    <w:rsid w:val="008D6ABC"/>
    <w:rsid w:val="008E0678"/>
    <w:rsid w:val="008E2D75"/>
    <w:rsid w:val="008E329B"/>
    <w:rsid w:val="008E5914"/>
    <w:rsid w:val="008E6D2E"/>
    <w:rsid w:val="008E7508"/>
    <w:rsid w:val="008E79BD"/>
    <w:rsid w:val="008E7E09"/>
    <w:rsid w:val="008F31D2"/>
    <w:rsid w:val="008F6553"/>
    <w:rsid w:val="0090002A"/>
    <w:rsid w:val="009049EC"/>
    <w:rsid w:val="00904B8F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61A"/>
    <w:rsid w:val="00936E4A"/>
    <w:rsid w:val="009374B4"/>
    <w:rsid w:val="00940F93"/>
    <w:rsid w:val="00950197"/>
    <w:rsid w:val="00957638"/>
    <w:rsid w:val="00957EB6"/>
    <w:rsid w:val="00961785"/>
    <w:rsid w:val="00965DD5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56B6"/>
    <w:rsid w:val="0099747B"/>
    <w:rsid w:val="009A0830"/>
    <w:rsid w:val="009A0E8D"/>
    <w:rsid w:val="009A5C6E"/>
    <w:rsid w:val="009A6244"/>
    <w:rsid w:val="009A776B"/>
    <w:rsid w:val="009A7D9E"/>
    <w:rsid w:val="009B26E7"/>
    <w:rsid w:val="009B5CF9"/>
    <w:rsid w:val="009C0B8E"/>
    <w:rsid w:val="009C306B"/>
    <w:rsid w:val="009D6B04"/>
    <w:rsid w:val="009E076B"/>
    <w:rsid w:val="009E5596"/>
    <w:rsid w:val="009E7286"/>
    <w:rsid w:val="009F5A70"/>
    <w:rsid w:val="00A00697"/>
    <w:rsid w:val="00A00A3F"/>
    <w:rsid w:val="00A01489"/>
    <w:rsid w:val="00A03381"/>
    <w:rsid w:val="00A046A3"/>
    <w:rsid w:val="00A144E6"/>
    <w:rsid w:val="00A278F2"/>
    <w:rsid w:val="00A3026E"/>
    <w:rsid w:val="00A32DEF"/>
    <w:rsid w:val="00A338F1"/>
    <w:rsid w:val="00A35BE0"/>
    <w:rsid w:val="00A4373C"/>
    <w:rsid w:val="00A45485"/>
    <w:rsid w:val="00A54C24"/>
    <w:rsid w:val="00A568EC"/>
    <w:rsid w:val="00A6129C"/>
    <w:rsid w:val="00A65994"/>
    <w:rsid w:val="00A72178"/>
    <w:rsid w:val="00A72F22"/>
    <w:rsid w:val="00A7360F"/>
    <w:rsid w:val="00A748A6"/>
    <w:rsid w:val="00A7585D"/>
    <w:rsid w:val="00A769F4"/>
    <w:rsid w:val="00A76D88"/>
    <w:rsid w:val="00A776B4"/>
    <w:rsid w:val="00A77EA9"/>
    <w:rsid w:val="00A820AF"/>
    <w:rsid w:val="00A86C48"/>
    <w:rsid w:val="00A94361"/>
    <w:rsid w:val="00AA0CD7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AF434F"/>
    <w:rsid w:val="00AF4570"/>
    <w:rsid w:val="00B0107C"/>
    <w:rsid w:val="00B02C99"/>
    <w:rsid w:val="00B15F1E"/>
    <w:rsid w:val="00B170C8"/>
    <w:rsid w:val="00B30179"/>
    <w:rsid w:val="00B33B8F"/>
    <w:rsid w:val="00B3446B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4F3"/>
    <w:rsid w:val="00B6553F"/>
    <w:rsid w:val="00B7025D"/>
    <w:rsid w:val="00B72BE1"/>
    <w:rsid w:val="00B73B96"/>
    <w:rsid w:val="00B74C28"/>
    <w:rsid w:val="00B777AE"/>
    <w:rsid w:val="00B77D05"/>
    <w:rsid w:val="00B81206"/>
    <w:rsid w:val="00B81E12"/>
    <w:rsid w:val="00B876F7"/>
    <w:rsid w:val="00B903D2"/>
    <w:rsid w:val="00B946EE"/>
    <w:rsid w:val="00B96BDE"/>
    <w:rsid w:val="00BB3F2F"/>
    <w:rsid w:val="00BC3FA0"/>
    <w:rsid w:val="00BC5010"/>
    <w:rsid w:val="00BC74E9"/>
    <w:rsid w:val="00BD43A5"/>
    <w:rsid w:val="00BE3161"/>
    <w:rsid w:val="00BE7AAC"/>
    <w:rsid w:val="00BF0CF2"/>
    <w:rsid w:val="00BF2EF3"/>
    <w:rsid w:val="00BF48D9"/>
    <w:rsid w:val="00BF5486"/>
    <w:rsid w:val="00BF67DE"/>
    <w:rsid w:val="00BF68A8"/>
    <w:rsid w:val="00BF76F9"/>
    <w:rsid w:val="00C06FD0"/>
    <w:rsid w:val="00C11661"/>
    <w:rsid w:val="00C11A03"/>
    <w:rsid w:val="00C14EC4"/>
    <w:rsid w:val="00C17B9D"/>
    <w:rsid w:val="00C22C0C"/>
    <w:rsid w:val="00C25CAF"/>
    <w:rsid w:val="00C2766D"/>
    <w:rsid w:val="00C34337"/>
    <w:rsid w:val="00C36DF5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B75BF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36D7"/>
    <w:rsid w:val="00D04C98"/>
    <w:rsid w:val="00D11F71"/>
    <w:rsid w:val="00D12F38"/>
    <w:rsid w:val="00D13D3B"/>
    <w:rsid w:val="00D2002F"/>
    <w:rsid w:val="00D2031B"/>
    <w:rsid w:val="00D2089B"/>
    <w:rsid w:val="00D21BAC"/>
    <w:rsid w:val="00D248B6"/>
    <w:rsid w:val="00D25FE2"/>
    <w:rsid w:val="00D3022D"/>
    <w:rsid w:val="00D329C1"/>
    <w:rsid w:val="00D35589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1FF"/>
    <w:rsid w:val="00D61562"/>
    <w:rsid w:val="00D712B8"/>
    <w:rsid w:val="00D773DF"/>
    <w:rsid w:val="00D858D0"/>
    <w:rsid w:val="00D95303"/>
    <w:rsid w:val="00D978C6"/>
    <w:rsid w:val="00DA1781"/>
    <w:rsid w:val="00DA3C1C"/>
    <w:rsid w:val="00DB0DDF"/>
    <w:rsid w:val="00DB12D7"/>
    <w:rsid w:val="00DB539C"/>
    <w:rsid w:val="00DB5C6F"/>
    <w:rsid w:val="00DB6987"/>
    <w:rsid w:val="00DC1C1D"/>
    <w:rsid w:val="00DC2A81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1A71"/>
    <w:rsid w:val="00E22415"/>
    <w:rsid w:val="00E27346"/>
    <w:rsid w:val="00E27B0C"/>
    <w:rsid w:val="00E3251A"/>
    <w:rsid w:val="00E33162"/>
    <w:rsid w:val="00E35514"/>
    <w:rsid w:val="00E366E6"/>
    <w:rsid w:val="00E37533"/>
    <w:rsid w:val="00E43BF2"/>
    <w:rsid w:val="00E5372B"/>
    <w:rsid w:val="00E64514"/>
    <w:rsid w:val="00E64CFF"/>
    <w:rsid w:val="00E6717E"/>
    <w:rsid w:val="00E70BBC"/>
    <w:rsid w:val="00E71BC8"/>
    <w:rsid w:val="00E7260F"/>
    <w:rsid w:val="00E73F5D"/>
    <w:rsid w:val="00E77E4E"/>
    <w:rsid w:val="00E87BF2"/>
    <w:rsid w:val="00E91B79"/>
    <w:rsid w:val="00E93FF0"/>
    <w:rsid w:val="00E94ED4"/>
    <w:rsid w:val="00E95ED7"/>
    <w:rsid w:val="00E96630"/>
    <w:rsid w:val="00E97BAF"/>
    <w:rsid w:val="00EA3FC3"/>
    <w:rsid w:val="00EB09F5"/>
    <w:rsid w:val="00EB3B4B"/>
    <w:rsid w:val="00EC0EC1"/>
    <w:rsid w:val="00EC211A"/>
    <w:rsid w:val="00EC60D8"/>
    <w:rsid w:val="00ED099A"/>
    <w:rsid w:val="00ED7297"/>
    <w:rsid w:val="00ED7A2A"/>
    <w:rsid w:val="00EE105C"/>
    <w:rsid w:val="00EE5A98"/>
    <w:rsid w:val="00EE5EA4"/>
    <w:rsid w:val="00EF1D7F"/>
    <w:rsid w:val="00EF4C20"/>
    <w:rsid w:val="00F015F8"/>
    <w:rsid w:val="00F12849"/>
    <w:rsid w:val="00F12D83"/>
    <w:rsid w:val="00F15436"/>
    <w:rsid w:val="00F23D5B"/>
    <w:rsid w:val="00F25064"/>
    <w:rsid w:val="00F259E5"/>
    <w:rsid w:val="00F31E5F"/>
    <w:rsid w:val="00F333A2"/>
    <w:rsid w:val="00F36F52"/>
    <w:rsid w:val="00F37C38"/>
    <w:rsid w:val="00F42032"/>
    <w:rsid w:val="00F424E8"/>
    <w:rsid w:val="00F44998"/>
    <w:rsid w:val="00F52C77"/>
    <w:rsid w:val="00F55358"/>
    <w:rsid w:val="00F55403"/>
    <w:rsid w:val="00F6100A"/>
    <w:rsid w:val="00F66C5E"/>
    <w:rsid w:val="00F71495"/>
    <w:rsid w:val="00F71BEF"/>
    <w:rsid w:val="00F7208B"/>
    <w:rsid w:val="00F75087"/>
    <w:rsid w:val="00F8066F"/>
    <w:rsid w:val="00F87036"/>
    <w:rsid w:val="00F93781"/>
    <w:rsid w:val="00F95073"/>
    <w:rsid w:val="00F97AB4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0E6B2"/>
  <w15:docId w15:val="{DC84DC67-A5DC-42B5-B6B5-4C3E8011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1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0646F4"/>
    <w:rPr>
      <w:color w:val="auto"/>
      <w:u w:val="none"/>
    </w:rPr>
  </w:style>
  <w:style w:type="paragraph" w:styleId="List">
    <w:name w:val="List"/>
    <w:basedOn w:val="Normal"/>
    <w:uiPriority w:val="99"/>
    <w:qFormat/>
    <w:rsid w:val="008A6C4F"/>
    <w:pPr>
      <w:ind w:left="283" w:hanging="283"/>
    </w:pPr>
  </w:style>
  <w:style w:type="paragraph" w:styleId="List2">
    <w:name w:val="List 2"/>
    <w:basedOn w:val="Normal"/>
    <w:uiPriority w:val="99"/>
    <w:rsid w:val="008A6C4F"/>
    <w:pPr>
      <w:ind w:left="566" w:hanging="283"/>
    </w:pPr>
  </w:style>
  <w:style w:type="paragraph" w:styleId="List3">
    <w:name w:val="List 3"/>
    <w:basedOn w:val="Normal"/>
    <w:uiPriority w:val="99"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qFormat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uiPriority w:val="98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rsid w:val="00271AEC"/>
    <w:rPr>
      <w:lang w:eastAsia="en-US"/>
    </w:rPr>
  </w:style>
  <w:style w:type="character" w:customStyle="1" w:styleId="HChGChar">
    <w:name w:val="_ H _Ch_G Char"/>
    <w:link w:val="HChG"/>
    <w:qFormat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0C497A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1"/>
    <w:rsid w:val="001B128F"/>
    <w:rPr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B128F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1B128F"/>
    <w:rPr>
      <w:lang w:eastAsia="en-US"/>
    </w:rPr>
  </w:style>
  <w:style w:type="numbering" w:customStyle="1" w:styleId="Listformatpunktlista">
    <w:name w:val="Listformat punktlista"/>
    <w:uiPriority w:val="99"/>
    <w:rsid w:val="001B128F"/>
    <w:pPr>
      <w:numPr>
        <w:numId w:val="16"/>
      </w:numPr>
    </w:pPr>
  </w:style>
  <w:style w:type="paragraph" w:customStyle="1" w:styleId="Normalefterlista">
    <w:name w:val="Normal efter lista"/>
    <w:next w:val="Normal"/>
    <w:semiHidden/>
    <w:rsid w:val="001B128F"/>
    <w:pPr>
      <w:spacing w:before="120" w:after="160" w:line="259" w:lineRule="auto"/>
      <w:ind w:left="360" w:hanging="360"/>
    </w:pPr>
    <w:rPr>
      <w:rFonts w:asciiTheme="minorHAnsi" w:eastAsiaTheme="minorHAnsi" w:hAnsiTheme="minorHAnsi" w:cstheme="minorBidi"/>
      <w:sz w:val="23"/>
      <w:szCs w:val="23"/>
      <w:lang w:val="sv-SE" w:eastAsia="en-US"/>
    </w:rPr>
  </w:style>
  <w:style w:type="numbering" w:customStyle="1" w:styleId="Listformatnumreradlista">
    <w:name w:val="Listformat numreradlista"/>
    <w:uiPriority w:val="99"/>
    <w:rsid w:val="001B128F"/>
    <w:pPr>
      <w:numPr>
        <w:numId w:val="17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1B128F"/>
    <w:rPr>
      <w:lang w:eastAsia="en-US"/>
    </w:rPr>
  </w:style>
  <w:style w:type="paragraph" w:customStyle="1" w:styleId="Dokumentinfo">
    <w:name w:val="Dokument info"/>
    <w:next w:val="Normal"/>
    <w:uiPriority w:val="99"/>
    <w:semiHidden/>
    <w:rsid w:val="001B128F"/>
    <w:pPr>
      <w:spacing w:line="259" w:lineRule="auto"/>
    </w:pPr>
    <w:rPr>
      <w:rFonts w:asciiTheme="majorHAnsi" w:eastAsiaTheme="minorHAnsi" w:hAnsiTheme="majorHAnsi" w:cstheme="minorBidi"/>
      <w:sz w:val="18"/>
      <w:szCs w:val="23"/>
      <w:lang w:val="sv-SE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1B128F"/>
    <w:rPr>
      <w:lang w:eastAsia="en-US"/>
    </w:rPr>
  </w:style>
  <w:style w:type="paragraph" w:customStyle="1" w:styleId="Erref">
    <w:name w:val="Er ref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Adressat">
    <w:name w:val="Adressat"/>
    <w:basedOn w:val="Date"/>
    <w:next w:val="Normal"/>
    <w:semiHidden/>
    <w:rsid w:val="001B128F"/>
    <w:pPr>
      <w:suppressAutoHyphens w:val="0"/>
      <w:spacing w:after="160" w:line="259" w:lineRule="auto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B128F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B128F"/>
    <w:rPr>
      <w:sz w:val="16"/>
      <w:lang w:eastAsia="en-US"/>
    </w:rPr>
  </w:style>
  <w:style w:type="paragraph" w:customStyle="1" w:styleId="Sidfotsrubrik">
    <w:name w:val="Sidfotsrubrik"/>
    <w:basedOn w:val="Footer"/>
    <w:next w:val="Footer"/>
    <w:semiHidden/>
    <w:rsid w:val="001B128F"/>
    <w:pPr>
      <w:tabs>
        <w:tab w:val="center" w:pos="4536"/>
        <w:tab w:val="right" w:pos="9072"/>
      </w:tabs>
      <w:suppressAutoHyphens w:val="0"/>
      <w:spacing w:after="160"/>
    </w:pPr>
    <w:rPr>
      <w:rFonts w:asciiTheme="majorHAnsi" w:eastAsiaTheme="minorHAnsi" w:hAnsiTheme="majorHAnsi" w:cstheme="minorBidi"/>
      <w:b/>
      <w:szCs w:val="23"/>
      <w:lang w:val="sv-SE"/>
    </w:rPr>
  </w:style>
  <w:style w:type="paragraph" w:customStyle="1" w:styleId="Sidnr">
    <w:name w:val="Sidnr"/>
    <w:basedOn w:val="Footer"/>
    <w:semiHidden/>
    <w:rsid w:val="001B128F"/>
    <w:pPr>
      <w:tabs>
        <w:tab w:val="center" w:pos="4536"/>
        <w:tab w:val="right" w:pos="9072"/>
      </w:tabs>
      <w:suppressAutoHyphens w:val="0"/>
      <w:spacing w:after="160"/>
      <w:ind w:left="360" w:hanging="360"/>
    </w:pPr>
    <w:rPr>
      <w:rFonts w:asciiTheme="majorHAnsi" w:eastAsiaTheme="minorHAnsi" w:hAnsiTheme="majorHAnsi" w:cstheme="minorBidi"/>
      <w:sz w:val="18"/>
      <w:szCs w:val="23"/>
      <w:lang w:val="sv-SE"/>
    </w:rPr>
  </w:style>
  <w:style w:type="paragraph" w:customStyle="1" w:styleId="Normalefterpunktlista">
    <w:name w:val="Normal efter punktlista"/>
    <w:basedOn w:val="Normalefterlista"/>
    <w:next w:val="Normal"/>
    <w:semiHidden/>
    <w:rsid w:val="001B128F"/>
  </w:style>
  <w:style w:type="paragraph" w:customStyle="1" w:styleId="Dokumentrubrik">
    <w:name w:val="Dokument rubrik"/>
    <w:basedOn w:val="Normal"/>
    <w:uiPriority w:val="99"/>
    <w:semiHidden/>
    <w:rsid w:val="001B128F"/>
    <w:pPr>
      <w:suppressAutoHyphens w:val="0"/>
      <w:spacing w:line="259" w:lineRule="auto"/>
    </w:pPr>
    <w:rPr>
      <w:rFonts w:asciiTheme="majorHAnsi" w:eastAsiaTheme="minorHAnsi" w:hAnsiTheme="majorHAnsi" w:cstheme="minorBidi"/>
      <w:b/>
      <w:sz w:val="18"/>
      <w:szCs w:val="23"/>
      <w:lang w:val="sv-SE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1B128F"/>
    <w:pPr>
      <w:suppressAutoHyphens w:val="0"/>
      <w:spacing w:after="160" w:line="259" w:lineRule="auto"/>
    </w:pPr>
    <w:rPr>
      <w:rFonts w:asciiTheme="minorHAnsi" w:eastAsiaTheme="minorHAnsi" w:hAnsiTheme="minorHAnsi" w:cstheme="minorBidi"/>
      <w:b/>
      <w:sz w:val="23"/>
      <w:szCs w:val="23"/>
      <w:lang w:val="sv-SE"/>
    </w:rPr>
  </w:style>
  <w:style w:type="paragraph" w:customStyle="1" w:styleId="msonormal0">
    <w:name w:val="msonormal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font0">
    <w:name w:val="font0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lang w:val="sv-SE" w:eastAsia="sv-SE"/>
    </w:rPr>
  </w:style>
  <w:style w:type="paragraph" w:customStyle="1" w:styleId="font5">
    <w:name w:val="font5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color w:val="FF0000"/>
      <w:lang w:val="sv-SE" w:eastAsia="sv-SE"/>
    </w:rPr>
  </w:style>
  <w:style w:type="paragraph" w:customStyle="1" w:styleId="xl73">
    <w:name w:val="xl73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4">
    <w:name w:val="xl74"/>
    <w:basedOn w:val="Normal"/>
    <w:rsid w:val="001B128F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75">
    <w:name w:val="xl7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6">
    <w:name w:val="xl7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77">
    <w:name w:val="xl7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78">
    <w:name w:val="xl78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79">
    <w:name w:val="xl79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0">
    <w:name w:val="xl80"/>
    <w:basedOn w:val="Normal"/>
    <w:rsid w:val="001B128F"/>
    <w:pPr>
      <w:pBdr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1">
    <w:name w:val="xl81"/>
    <w:basedOn w:val="Normal"/>
    <w:rsid w:val="001B128F"/>
    <w:pPr>
      <w:pBdr>
        <w:left w:val="single" w:sz="8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2">
    <w:name w:val="xl82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83">
    <w:name w:val="xl83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4">
    <w:name w:val="xl8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5">
    <w:name w:val="xl8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6">
    <w:name w:val="xl8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87">
    <w:name w:val="xl8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8">
    <w:name w:val="xl8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89">
    <w:name w:val="xl8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0">
    <w:name w:val="xl9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1">
    <w:name w:val="xl91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2">
    <w:name w:val="xl92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3">
    <w:name w:val="xl9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4">
    <w:name w:val="xl9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5">
    <w:name w:val="xl95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6">
    <w:name w:val="xl9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97">
    <w:name w:val="xl9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8">
    <w:name w:val="xl98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99">
    <w:name w:val="xl99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0">
    <w:name w:val="xl10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1">
    <w:name w:val="xl10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2">
    <w:name w:val="xl10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3">
    <w:name w:val="xl103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4">
    <w:name w:val="xl104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5">
    <w:name w:val="xl10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6">
    <w:name w:val="xl106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07">
    <w:name w:val="xl10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08">
    <w:name w:val="xl10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09">
    <w:name w:val="xl10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0">
    <w:name w:val="xl110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1">
    <w:name w:val="xl11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2">
    <w:name w:val="xl11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3">
    <w:name w:val="xl11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4">
    <w:name w:val="xl11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5">
    <w:name w:val="xl11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6">
    <w:name w:val="xl116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17">
    <w:name w:val="xl117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8">
    <w:name w:val="xl118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19">
    <w:name w:val="xl119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0">
    <w:name w:val="xl120"/>
    <w:basedOn w:val="Normal"/>
    <w:rsid w:val="001B128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1">
    <w:name w:val="xl121"/>
    <w:basedOn w:val="Normal"/>
    <w:rsid w:val="001B128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2">
    <w:name w:val="xl12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3">
    <w:name w:val="xl12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24">
    <w:name w:val="xl124"/>
    <w:basedOn w:val="Normal"/>
    <w:rsid w:val="001B128F"/>
    <w:pP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5">
    <w:name w:val="xl12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6">
    <w:name w:val="xl12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27">
    <w:name w:val="xl12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18"/>
      <w:szCs w:val="18"/>
      <w:lang w:val="sv-SE" w:eastAsia="sv-SE"/>
    </w:rPr>
  </w:style>
  <w:style w:type="paragraph" w:customStyle="1" w:styleId="xl128">
    <w:name w:val="xl12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29">
    <w:name w:val="xl12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0">
    <w:name w:val="xl130"/>
    <w:basedOn w:val="Normal"/>
    <w:rsid w:val="001B128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1">
    <w:name w:val="xl131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32">
    <w:name w:val="xl13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3">
    <w:name w:val="xl133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4">
    <w:name w:val="xl134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5">
    <w:name w:val="xl135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6">
    <w:name w:val="xl136"/>
    <w:basedOn w:val="Normal"/>
    <w:rsid w:val="001B128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37">
    <w:name w:val="xl137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38">
    <w:name w:val="xl13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sv-SE" w:eastAsia="sv-SE"/>
    </w:rPr>
  </w:style>
  <w:style w:type="paragraph" w:customStyle="1" w:styleId="xl139">
    <w:name w:val="xl13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color w:val="00B050"/>
      <w:sz w:val="24"/>
      <w:szCs w:val="24"/>
      <w:lang w:val="sv-SE" w:eastAsia="sv-SE"/>
    </w:rPr>
  </w:style>
  <w:style w:type="paragraph" w:customStyle="1" w:styleId="xl140">
    <w:name w:val="xl140"/>
    <w:basedOn w:val="Normal"/>
    <w:rsid w:val="001B128F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1">
    <w:name w:val="xl141"/>
    <w:basedOn w:val="Normal"/>
    <w:rsid w:val="001B128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2">
    <w:name w:val="xl142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sz w:val="18"/>
      <w:szCs w:val="18"/>
      <w:lang w:val="sv-SE" w:eastAsia="sv-SE"/>
    </w:rPr>
  </w:style>
  <w:style w:type="paragraph" w:customStyle="1" w:styleId="xl143">
    <w:name w:val="xl143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4">
    <w:name w:val="xl144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5">
    <w:name w:val="xl145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6">
    <w:name w:val="xl146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7">
    <w:name w:val="xl147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top"/>
    </w:pPr>
    <w:rPr>
      <w:sz w:val="24"/>
      <w:szCs w:val="24"/>
      <w:lang w:val="sv-SE" w:eastAsia="sv-SE"/>
    </w:rPr>
  </w:style>
  <w:style w:type="paragraph" w:customStyle="1" w:styleId="xl148">
    <w:name w:val="xl148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49">
    <w:name w:val="xl149"/>
    <w:basedOn w:val="Normal"/>
    <w:rsid w:val="001B1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customStyle="1" w:styleId="xl150">
    <w:name w:val="xl150"/>
    <w:basedOn w:val="Normal"/>
    <w:rsid w:val="001B12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rsid w:val="001B12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3"/>
      <w:szCs w:val="23"/>
      <w:lang w:val="sv-SE"/>
    </w:rPr>
  </w:style>
  <w:style w:type="paragraph" w:customStyle="1" w:styleId="xl71">
    <w:name w:val="xl71"/>
    <w:basedOn w:val="Normal"/>
    <w:rsid w:val="001B128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xl72">
    <w:name w:val="xl72"/>
    <w:basedOn w:val="Normal"/>
    <w:rsid w:val="001B128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val="sv-SE" w:eastAsia="sv-SE"/>
    </w:rPr>
  </w:style>
  <w:style w:type="paragraph" w:customStyle="1" w:styleId="Tabelltekst">
    <w:name w:val="Tabelltekst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luft-venstre">
    <w:name w:val="Tabelltekst-luft-venstre"/>
    <w:uiPriority w:val="99"/>
    <w:rsid w:val="001B128F"/>
    <w:pPr>
      <w:widowControl w:val="0"/>
      <w:autoSpaceDE w:val="0"/>
      <w:autoSpaceDN w:val="0"/>
      <w:adjustRightInd w:val="0"/>
      <w:spacing w:line="176" w:lineRule="exact"/>
    </w:pPr>
    <w:rPr>
      <w:rFonts w:eastAsiaTheme="minorEastAsia"/>
      <w:sz w:val="16"/>
      <w:szCs w:val="16"/>
      <w:lang w:val="nb-NO" w:eastAsia="nb-NO"/>
    </w:rPr>
  </w:style>
  <w:style w:type="paragraph" w:customStyle="1" w:styleId="Tabelltekst-senter">
    <w:name w:val="Tabelltekst-senter"/>
    <w:uiPriority w:val="99"/>
    <w:rsid w:val="001B128F"/>
    <w:pPr>
      <w:widowControl w:val="0"/>
      <w:autoSpaceDE w:val="0"/>
      <w:autoSpaceDN w:val="0"/>
      <w:adjustRightInd w:val="0"/>
      <w:spacing w:line="176" w:lineRule="exact"/>
      <w:jc w:val="center"/>
    </w:pPr>
    <w:rPr>
      <w:rFonts w:eastAsiaTheme="minorEastAsia"/>
      <w:sz w:val="16"/>
      <w:szCs w:val="16"/>
      <w:lang w:val="nb-NO" w:eastAsia="nb-NO"/>
    </w:rPr>
  </w:style>
  <w:style w:type="paragraph" w:customStyle="1" w:styleId="Overskrift2">
    <w:name w:val="Overskrift 2+"/>
    <w:uiPriority w:val="99"/>
    <w:rsid w:val="001B128F"/>
    <w:pPr>
      <w:widowControl w:val="0"/>
      <w:autoSpaceDE w:val="0"/>
      <w:autoSpaceDN w:val="0"/>
      <w:adjustRightInd w:val="0"/>
      <w:spacing w:line="20" w:lineRule="exact"/>
      <w:jc w:val="both"/>
    </w:pPr>
    <w:rPr>
      <w:rFonts w:eastAsiaTheme="minorEastAsia"/>
      <w:sz w:val="24"/>
      <w:szCs w:val="24"/>
      <w:lang w:val="nb-NO" w:eastAsia="nb-NO"/>
    </w:rPr>
  </w:style>
  <w:style w:type="character" w:customStyle="1" w:styleId="H1GChar">
    <w:name w:val="_ H_1_G Char"/>
    <w:link w:val="H1G"/>
    <w:rsid w:val="00F424E8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E671A-6ED4-4D84-9487-762821ED5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9E8BE-5496-4520-83CD-47BC963139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0D49A-DC60-4169-AEB8-2A533F082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8C27F-2618-451D-B5A5-28FBB778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4224</CharactersWithSpaces>
  <SharedDoc>false</SharedDoc>
  <HLinks>
    <vt:vector size="6" baseType="variant">
      <vt:variant>
        <vt:i4>2359356</vt:i4>
      </vt:variant>
      <vt:variant>
        <vt:i4>0</vt:i4>
      </vt:variant>
      <vt:variant>
        <vt:i4>0</vt:i4>
      </vt:variant>
      <vt:variant>
        <vt:i4>5</vt:i4>
      </vt:variant>
      <vt:variant>
        <vt:lpwstr>https://unece.org/transport/events/itc-inland-transport-committee-83rd-session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cp:lastModifiedBy>Sabrina Mansion</cp:lastModifiedBy>
  <cp:revision>4</cp:revision>
  <cp:lastPrinted>2018-05-09T09:23:00Z</cp:lastPrinted>
  <dcterms:created xsi:type="dcterms:W3CDTF">2021-10-22T13:25:00Z</dcterms:created>
  <dcterms:modified xsi:type="dcterms:W3CDTF">2021-10-22T14:00:00Z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12718000</vt:r8>
  </property>
</Properties>
</file>