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41B238BD" w14:textId="77777777" w:rsidTr="006476E1">
        <w:trPr>
          <w:trHeight w:val="851"/>
        </w:trPr>
        <w:tc>
          <w:tcPr>
            <w:tcW w:w="1259" w:type="dxa"/>
            <w:tcBorders>
              <w:top w:val="nil"/>
              <w:left w:val="nil"/>
              <w:bottom w:val="single" w:sz="4" w:space="0" w:color="auto"/>
              <w:right w:val="nil"/>
            </w:tcBorders>
          </w:tcPr>
          <w:p w14:paraId="6764367C" w14:textId="77777777" w:rsidR="00E52109" w:rsidRPr="002A32CB" w:rsidRDefault="00E52109" w:rsidP="004858F5"/>
        </w:tc>
        <w:tc>
          <w:tcPr>
            <w:tcW w:w="2236" w:type="dxa"/>
            <w:tcBorders>
              <w:top w:val="nil"/>
              <w:left w:val="nil"/>
              <w:bottom w:val="single" w:sz="4" w:space="0" w:color="auto"/>
              <w:right w:val="nil"/>
            </w:tcBorders>
            <w:vAlign w:val="bottom"/>
          </w:tcPr>
          <w:p w14:paraId="0A8B1E46"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16151423" w14:textId="3E76580A" w:rsidR="00E52109" w:rsidRDefault="00993D78" w:rsidP="00993D78">
            <w:pPr>
              <w:suppressAutoHyphens w:val="0"/>
              <w:jc w:val="right"/>
            </w:pPr>
            <w:r w:rsidRPr="00993D78">
              <w:rPr>
                <w:sz w:val="40"/>
              </w:rPr>
              <w:t>ST</w:t>
            </w:r>
            <w:r>
              <w:t>/SG/AC.10/C.3/2021/</w:t>
            </w:r>
            <w:r w:rsidR="00625A4C">
              <w:t>39</w:t>
            </w:r>
          </w:p>
        </w:tc>
      </w:tr>
      <w:tr w:rsidR="00E52109" w14:paraId="4E9FBE1E" w14:textId="77777777" w:rsidTr="006476E1">
        <w:trPr>
          <w:trHeight w:val="2835"/>
        </w:trPr>
        <w:tc>
          <w:tcPr>
            <w:tcW w:w="1259" w:type="dxa"/>
            <w:tcBorders>
              <w:top w:val="single" w:sz="4" w:space="0" w:color="auto"/>
              <w:left w:val="nil"/>
              <w:bottom w:val="single" w:sz="12" w:space="0" w:color="auto"/>
              <w:right w:val="nil"/>
            </w:tcBorders>
          </w:tcPr>
          <w:p w14:paraId="6D378313" w14:textId="77777777" w:rsidR="00E52109" w:rsidRDefault="00E52109" w:rsidP="006476E1">
            <w:pPr>
              <w:spacing w:before="120"/>
              <w:jc w:val="center"/>
            </w:pPr>
            <w:r>
              <w:rPr>
                <w:noProof/>
                <w:lang w:val="fr-CH" w:eastAsia="fr-CH"/>
              </w:rPr>
              <w:drawing>
                <wp:inline distT="0" distB="0" distL="0" distR="0" wp14:anchorId="71C4F87B" wp14:editId="2C7D8D2E">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05AC56A2"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1EF53607" w14:textId="77777777" w:rsidR="00D94B05" w:rsidRDefault="00993D78" w:rsidP="00993D78">
            <w:pPr>
              <w:suppressAutoHyphens w:val="0"/>
              <w:spacing w:before="240" w:line="240" w:lineRule="exact"/>
            </w:pPr>
            <w:r>
              <w:t>Distr.: General</w:t>
            </w:r>
          </w:p>
          <w:p w14:paraId="2267A95F" w14:textId="2406559F" w:rsidR="00993D78" w:rsidRDefault="00B04D7A" w:rsidP="00993D78">
            <w:pPr>
              <w:suppressAutoHyphens w:val="0"/>
              <w:spacing w:line="240" w:lineRule="exact"/>
            </w:pPr>
            <w:r>
              <w:t xml:space="preserve">14 </w:t>
            </w:r>
            <w:r w:rsidR="00993D78">
              <w:t>September 2021</w:t>
            </w:r>
          </w:p>
          <w:p w14:paraId="158A207D" w14:textId="77777777" w:rsidR="00993D78" w:rsidRDefault="00993D78" w:rsidP="00993D78">
            <w:pPr>
              <w:suppressAutoHyphens w:val="0"/>
              <w:spacing w:line="240" w:lineRule="exact"/>
            </w:pPr>
          </w:p>
          <w:p w14:paraId="3F843987" w14:textId="6F0D2B5B" w:rsidR="00993D78" w:rsidRDefault="00993D78" w:rsidP="00993D78">
            <w:pPr>
              <w:suppressAutoHyphens w:val="0"/>
              <w:spacing w:line="240" w:lineRule="exact"/>
            </w:pPr>
            <w:r>
              <w:t>Original: English</w:t>
            </w:r>
          </w:p>
        </w:tc>
      </w:tr>
    </w:tbl>
    <w:p w14:paraId="227B2177" w14:textId="77777777" w:rsidR="00937E22" w:rsidRPr="006500BA" w:rsidRDefault="00937E22"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68BF94EA" w14:textId="77777777" w:rsidR="00937E22" w:rsidRPr="006500BA" w:rsidRDefault="00937E22" w:rsidP="004858F5">
      <w:pPr>
        <w:spacing w:before="120"/>
        <w:rPr>
          <w:rFonts w:ascii="Helv" w:hAnsi="Helv" w:cs="Helv"/>
          <w:b/>
          <w:color w:val="000000"/>
        </w:rPr>
      </w:pPr>
      <w:r w:rsidRPr="006500BA">
        <w:rPr>
          <w:b/>
        </w:rPr>
        <w:t xml:space="preserve">Sub-Committee of Experts on the </w:t>
      </w:r>
      <w:r>
        <w:rPr>
          <w:b/>
        </w:rPr>
        <w:t>Transport of Dangerous Goods</w:t>
      </w:r>
    </w:p>
    <w:p w14:paraId="42825F68" w14:textId="77777777" w:rsidR="00C9141D" w:rsidRPr="006500BA" w:rsidRDefault="00C9141D" w:rsidP="00C9141D">
      <w:pPr>
        <w:spacing w:before="120"/>
        <w:rPr>
          <w:b/>
        </w:rPr>
      </w:pPr>
      <w:r>
        <w:rPr>
          <w:b/>
        </w:rPr>
        <w:t xml:space="preserve">Fifty-ninth </w:t>
      </w:r>
      <w:r w:rsidRPr="006500BA">
        <w:rPr>
          <w:b/>
        </w:rPr>
        <w:t>session</w:t>
      </w:r>
    </w:p>
    <w:p w14:paraId="1E92DE78" w14:textId="6ADB89BE" w:rsidR="00C9141D" w:rsidRDefault="00C9141D" w:rsidP="00C9141D">
      <w:pPr>
        <w:rPr>
          <w:lang w:val="en-US"/>
        </w:rPr>
      </w:pPr>
      <w:r w:rsidRPr="006500BA">
        <w:t>Geneva,</w:t>
      </w:r>
      <w:r>
        <w:t xml:space="preserve"> 29 November – 8 December 2021</w:t>
      </w:r>
      <w:r>
        <w:br/>
      </w:r>
      <w:r>
        <w:rPr>
          <w:lang w:val="en-US"/>
        </w:rPr>
        <w:t xml:space="preserve">Item </w:t>
      </w:r>
      <w:r w:rsidR="00517561">
        <w:rPr>
          <w:lang w:val="en-US"/>
        </w:rPr>
        <w:t>3</w:t>
      </w:r>
      <w:r>
        <w:rPr>
          <w:lang w:val="en-US"/>
        </w:rPr>
        <w:t xml:space="preserve"> of the provisional agenda</w:t>
      </w:r>
    </w:p>
    <w:p w14:paraId="034037DC" w14:textId="77777777" w:rsidR="00517561" w:rsidRPr="00B846D6" w:rsidRDefault="00517561" w:rsidP="00517561">
      <w:pPr>
        <w:rPr>
          <w:b/>
          <w:bCs/>
          <w:lang w:val="en-US"/>
        </w:rPr>
      </w:pPr>
      <w:r w:rsidRPr="007552FA">
        <w:rPr>
          <w:b/>
          <w:bCs/>
        </w:rPr>
        <w:t xml:space="preserve">Listing, </w:t>
      </w:r>
      <w:proofErr w:type="gramStart"/>
      <w:r w:rsidRPr="007552FA">
        <w:rPr>
          <w:b/>
          <w:bCs/>
        </w:rPr>
        <w:t>classification</w:t>
      </w:r>
      <w:proofErr w:type="gramEnd"/>
      <w:r w:rsidRPr="007552FA">
        <w:rPr>
          <w:b/>
          <w:bCs/>
        </w:rPr>
        <w:t xml:space="preserve"> and packing</w:t>
      </w:r>
    </w:p>
    <w:p w14:paraId="0B3D7267" w14:textId="7AB64B38" w:rsidR="0004545F" w:rsidRPr="00B762C5" w:rsidRDefault="0004545F" w:rsidP="000B2259">
      <w:pPr>
        <w:pStyle w:val="HChG"/>
        <w:ind w:right="1417"/>
      </w:pPr>
      <w:r w:rsidRPr="00246045">
        <w:tab/>
      </w:r>
      <w:r w:rsidRPr="00246045">
        <w:tab/>
      </w:r>
      <w:r>
        <w:t xml:space="preserve">New UN entry </w:t>
      </w:r>
      <w:r w:rsidRPr="00B762C5">
        <w:t xml:space="preserve">for </w:t>
      </w:r>
      <w:r w:rsidRPr="00577233">
        <w:t xml:space="preserve">Quinone dioxime </w:t>
      </w:r>
      <w:r>
        <w:t xml:space="preserve">(also known as </w:t>
      </w:r>
      <w:r w:rsidRPr="006249E1">
        <w:t>1,4</w:t>
      </w:r>
      <w:r w:rsidR="000B2259">
        <w:noBreakHyphen/>
      </w:r>
      <w:r w:rsidRPr="006249E1">
        <w:t>benzoquinone dioxime</w:t>
      </w:r>
      <w:r>
        <w:t xml:space="preserve">, or </w:t>
      </w:r>
      <w:r w:rsidRPr="00577233">
        <w:t>p-benzoquinone dioxime</w:t>
      </w:r>
      <w:r>
        <w:t>; CAS no. 105-11-3)</w:t>
      </w:r>
    </w:p>
    <w:p w14:paraId="0F39F67C" w14:textId="200A3D24" w:rsidR="00B01F87" w:rsidRDefault="0004545F" w:rsidP="00B01F87">
      <w:pPr>
        <w:pStyle w:val="H1G"/>
      </w:pPr>
      <w:r w:rsidRPr="00B762C5">
        <w:tab/>
      </w:r>
      <w:r w:rsidRPr="00B762C5">
        <w:tab/>
      </w:r>
      <w:r w:rsidR="008205A3">
        <w:t>Submitted</w:t>
      </w:r>
      <w:r w:rsidRPr="00B762C5">
        <w:t xml:space="preserve"> by </w:t>
      </w:r>
      <w:r>
        <w:t>the Council on Safe Transportation of Hazardous Articles (COSTHA)</w:t>
      </w:r>
      <w:r w:rsidR="007A5F59">
        <w:rPr>
          <w:rStyle w:val="FootnoteReference"/>
        </w:rPr>
        <w:footnoteReference w:id="2"/>
      </w:r>
    </w:p>
    <w:p w14:paraId="5E3B319D" w14:textId="3F5DDED2" w:rsidR="0004545F" w:rsidRPr="00B762C5" w:rsidRDefault="0004545F" w:rsidP="00B01F87">
      <w:pPr>
        <w:pStyle w:val="H1G"/>
      </w:pPr>
      <w:r w:rsidRPr="00B762C5">
        <w:tab/>
      </w:r>
      <w:r w:rsidRPr="00B762C5">
        <w:tab/>
        <w:t>Introduction</w:t>
      </w:r>
    </w:p>
    <w:p w14:paraId="1FEB4388" w14:textId="5EE866A4" w:rsidR="0004545F" w:rsidRDefault="0004545F" w:rsidP="0004545F">
      <w:pPr>
        <w:pStyle w:val="SingleTxtG"/>
        <w:numPr>
          <w:ilvl w:val="0"/>
          <w:numId w:val="14"/>
        </w:numPr>
        <w:ind w:left="1170" w:firstLine="0"/>
      </w:pPr>
      <w:r w:rsidRPr="00577233">
        <w:t>Quinone dioxime</w:t>
      </w:r>
      <w:r>
        <w:t xml:space="preserve"> (QDO; </w:t>
      </w:r>
      <w:r w:rsidR="00A12CB0" w:rsidRPr="00A12CB0">
        <w:t>Chemical Abstracts Service</w:t>
      </w:r>
      <w:r w:rsidR="00A12CB0">
        <w:t xml:space="preserve"> (</w:t>
      </w:r>
      <w:r w:rsidRPr="00577233">
        <w:t>CAS</w:t>
      </w:r>
      <w:r w:rsidR="00A12CB0">
        <w:t>)</w:t>
      </w:r>
      <w:r w:rsidRPr="00577233">
        <w:t xml:space="preserve"> no. 105-11-3)</w:t>
      </w:r>
      <w:r>
        <w:t xml:space="preserve"> is a solid that is manufactured worldwide by some </w:t>
      </w:r>
      <w:r w:rsidR="00336D7B">
        <w:t>forty</w:t>
      </w:r>
      <w:r>
        <w:t xml:space="preserve"> companies and is v</w:t>
      </w:r>
      <w:r w:rsidRPr="006F5305">
        <w:t>ariously classif</w:t>
      </w:r>
      <w:r>
        <w:t xml:space="preserve">ied </w:t>
      </w:r>
      <w:r w:rsidRPr="006F5305">
        <w:t>as unregulated or as Div</w:t>
      </w:r>
      <w:r w:rsidR="00471C63">
        <w:t>ision</w:t>
      </w:r>
      <w:r w:rsidRPr="006F5305">
        <w:t xml:space="preserve"> 4.1</w:t>
      </w:r>
      <w:r w:rsidR="008D68E2">
        <w:t>, packing group</w:t>
      </w:r>
      <w:r w:rsidRPr="006F5305">
        <w:t xml:space="preserve"> PG II</w:t>
      </w:r>
      <w:r>
        <w:t xml:space="preserve"> or PG III as confirmed by the current </w:t>
      </w:r>
      <w:r w:rsidR="00F96635">
        <w:t>European Chemicals Agency (</w:t>
      </w:r>
      <w:r>
        <w:t>ECHA</w:t>
      </w:r>
      <w:r w:rsidR="00F96635">
        <w:t>)</w:t>
      </w:r>
      <w:r>
        <w:t xml:space="preserve"> classification data.</w:t>
      </w:r>
      <w:r w:rsidR="00935CFB">
        <w:rPr>
          <w:rStyle w:val="FootnoteReference"/>
        </w:rPr>
        <w:footnoteReference w:customMarkFollows="1" w:id="3"/>
        <w:t>1</w:t>
      </w:r>
    </w:p>
    <w:p w14:paraId="1F8A76AD" w14:textId="0C6EF3AA" w:rsidR="0004545F" w:rsidRDefault="0004545F" w:rsidP="0004545F">
      <w:pPr>
        <w:pStyle w:val="SingleTxtG"/>
        <w:numPr>
          <w:ilvl w:val="0"/>
          <w:numId w:val="14"/>
        </w:numPr>
        <w:ind w:left="1170" w:firstLine="0"/>
      </w:pPr>
      <w:r>
        <w:t xml:space="preserve">First patented in 1945, beginning in 1956, QDO has been manufactured and safely transported without any known incident for more than </w:t>
      </w:r>
      <w:r w:rsidR="002B7E0C">
        <w:t>sixty</w:t>
      </w:r>
      <w:r>
        <w:t xml:space="preserve"> years. A predominant use of QDO is in the manufacture of tires. </w:t>
      </w:r>
      <w:r w:rsidRPr="007402D7">
        <w:t xml:space="preserve">QDO is a rubber vulcanization curative and accelerator </w:t>
      </w:r>
      <w:r>
        <w:t xml:space="preserve">producing </w:t>
      </w:r>
      <w:r w:rsidRPr="007402D7">
        <w:t xml:space="preserve">unique properties. QDO </w:t>
      </w:r>
      <w:r>
        <w:t xml:space="preserve">is important to tire safety and hence transport safety in that it imparts to tire rubber a </w:t>
      </w:r>
      <w:r w:rsidRPr="007402D7">
        <w:t xml:space="preserve">high </w:t>
      </w:r>
      <w:proofErr w:type="spellStart"/>
      <w:r w:rsidRPr="007402D7">
        <w:t>impermeability</w:t>
      </w:r>
      <w:proofErr w:type="spellEnd"/>
      <w:r w:rsidRPr="007402D7">
        <w:t xml:space="preserve"> through high-density polymer / molecular cross-linking, and resistance to de-crosslinking when attacked by heat or chemicals. </w:t>
      </w:r>
      <w:r>
        <w:t xml:space="preserve">These same advantages are also relevant to other </w:t>
      </w:r>
      <w:r w:rsidRPr="007402D7">
        <w:t xml:space="preserve">essential industries such as </w:t>
      </w:r>
      <w:r>
        <w:t>those engaged in manufacturing</w:t>
      </w:r>
      <w:r w:rsidRPr="007402D7">
        <w:t xml:space="preserve"> medical bottle closures, </w:t>
      </w:r>
      <w:r>
        <w:t xml:space="preserve">worker </w:t>
      </w:r>
      <w:r w:rsidRPr="007402D7">
        <w:t xml:space="preserve">chemical </w:t>
      </w:r>
      <w:r>
        <w:t>personal protection equipment (PPE), high voltage insulators, as well as for production of pharmaceuticals.</w:t>
      </w:r>
    </w:p>
    <w:p w14:paraId="1DF77C27" w14:textId="5E5539E7" w:rsidR="0004545F" w:rsidRDefault="0004545F" w:rsidP="0004545F">
      <w:pPr>
        <w:pStyle w:val="SingleTxtG"/>
        <w:numPr>
          <w:ilvl w:val="0"/>
          <w:numId w:val="14"/>
        </w:numPr>
        <w:ind w:left="1170" w:firstLine="0"/>
      </w:pPr>
      <w:r>
        <w:t>It is estimated that worldwide over 1350 tons of QDO are manufactured annually with known manufacturing locations in the U</w:t>
      </w:r>
      <w:r w:rsidR="00397C3C">
        <w:t xml:space="preserve">nited </w:t>
      </w:r>
      <w:r>
        <w:t>S</w:t>
      </w:r>
      <w:r w:rsidR="00397C3C">
        <w:t>tates of America</w:t>
      </w:r>
      <w:r>
        <w:t>, Germany, China, Russia, and India.</w:t>
      </w:r>
    </w:p>
    <w:p w14:paraId="3A62AB93" w14:textId="6805C6AA" w:rsidR="0004545F" w:rsidRPr="00D92B08" w:rsidRDefault="0004545F" w:rsidP="0004545F">
      <w:pPr>
        <w:pStyle w:val="SingleTxtG"/>
        <w:numPr>
          <w:ilvl w:val="0"/>
          <w:numId w:val="14"/>
        </w:numPr>
        <w:suppressAutoHyphens w:val="0"/>
        <w:kinsoku/>
        <w:overflowPunct/>
        <w:autoSpaceDE/>
        <w:autoSpaceDN/>
        <w:adjustRightInd/>
        <w:snapToGrid/>
        <w:spacing w:after="160" w:line="259" w:lineRule="auto"/>
        <w:ind w:left="1170" w:firstLine="0"/>
        <w:rPr>
          <w:b/>
          <w:bCs/>
        </w:rPr>
      </w:pPr>
      <w:r>
        <w:t>Uncertainty over the classification of QDO has recently arisen based on REACH testing showing QDO to meet criteria in test series 6(c). More than likely, many substances classified as flammable liquids or flammable solids demonstrate more severe or similar burning behaviour than that of QDO, especially when evaluated by thermal flux alone.</w:t>
      </w:r>
    </w:p>
    <w:p w14:paraId="26DD6FD6" w14:textId="76A9D9D0" w:rsidR="0004545F" w:rsidRDefault="0004545F" w:rsidP="0004545F">
      <w:pPr>
        <w:pStyle w:val="SingleTxtG"/>
        <w:ind w:left="1170"/>
      </w:pPr>
      <w:r>
        <w:lastRenderedPageBreak/>
        <w:t>5.</w:t>
      </w:r>
      <w:r w:rsidR="005074A6">
        <w:tab/>
      </w:r>
      <w:r>
        <w:t>As discussed below in more detail, QDO is not intended to function as an explosive or as a pyrotechnic and does not pose a hazard warranting its consideration as an explosive substance based on the UN definition in 2.1.1.3(a) and will not “… cause damage to the surroundings” by explosion. Classification of QDO as a Class 1 explosive would misrepresent its predominant hazard of flammable solid, per 2.1.1.1(a): “…</w:t>
      </w:r>
      <w:r w:rsidR="00F15C84">
        <w:t xml:space="preserve"> </w:t>
      </w:r>
      <w:r>
        <w:t>except those … where the predominant hazard is appropriate to another class”.</w:t>
      </w:r>
    </w:p>
    <w:p w14:paraId="1818276E" w14:textId="1B24E39A" w:rsidR="0004545F" w:rsidRDefault="002B4133" w:rsidP="002B4133">
      <w:pPr>
        <w:pStyle w:val="SingleTxtG"/>
      </w:pPr>
      <w:r>
        <w:t>6.</w:t>
      </w:r>
      <w:r>
        <w:tab/>
      </w:r>
      <w:r w:rsidR="0004545F">
        <w:t xml:space="preserve">Assignment of a UN number and proper shipping name to QDO is proposed to resolve the current uncertainty regarding its correct classification. The purpose of this proposal is to establish a uniform classification for QDO as a Packing Group II, Division 4.1 flammable solid. A completed data sheet is attached as an </w:t>
      </w:r>
      <w:r w:rsidR="00093750">
        <w:t>a</w:t>
      </w:r>
      <w:r w:rsidR="0004545F">
        <w:t>nnex.</w:t>
      </w:r>
    </w:p>
    <w:p w14:paraId="71AD73C2" w14:textId="19B5EF7D" w:rsidR="0004545F" w:rsidRPr="00243CD1" w:rsidRDefault="005074A6" w:rsidP="005074A6">
      <w:pPr>
        <w:pStyle w:val="H23G"/>
      </w:pPr>
      <w:r>
        <w:tab/>
      </w:r>
      <w:r>
        <w:tab/>
      </w:r>
      <w:r w:rsidR="0004545F" w:rsidRPr="00243CD1">
        <w:t xml:space="preserve">Classification of </w:t>
      </w:r>
      <w:r w:rsidR="003763CA">
        <w:t>s</w:t>
      </w:r>
      <w:r w:rsidR="0004545F" w:rsidRPr="00243CD1">
        <w:t xml:space="preserve">ubstances not </w:t>
      </w:r>
      <w:r w:rsidR="003763CA">
        <w:t>i</w:t>
      </w:r>
      <w:r w:rsidR="0004545F" w:rsidRPr="00243CD1">
        <w:t xml:space="preserve">ntended to </w:t>
      </w:r>
      <w:r w:rsidR="003763CA">
        <w:t>f</w:t>
      </w:r>
      <w:r w:rsidR="0004545F" w:rsidRPr="00243CD1">
        <w:t xml:space="preserve">unction as </w:t>
      </w:r>
      <w:r w:rsidR="003763CA">
        <w:t>e</w:t>
      </w:r>
      <w:r w:rsidR="0004545F" w:rsidRPr="00243CD1">
        <w:t>xplosives</w:t>
      </w:r>
    </w:p>
    <w:p w14:paraId="263EE0A6" w14:textId="335677D9" w:rsidR="0004545F" w:rsidRDefault="005074A6" w:rsidP="005074A6">
      <w:pPr>
        <w:pStyle w:val="SingleTxtG"/>
      </w:pPr>
      <w:r>
        <w:tab/>
        <w:t>7.</w:t>
      </w:r>
      <w:r>
        <w:tab/>
      </w:r>
      <w:r w:rsidR="0004545F">
        <w:t xml:space="preserve">The Model Regulations identifies which substances, though not intended to function as </w:t>
      </w:r>
      <w:r w:rsidR="0004545F" w:rsidRPr="005074A6">
        <w:t>explosives</w:t>
      </w:r>
      <w:r w:rsidR="0004545F">
        <w:t xml:space="preserve">, must nevertheless still be considered explosives substances. Under 2.1.1.3(a), a substance which, though not intended to function as an explosive, </w:t>
      </w:r>
      <w:proofErr w:type="gramStart"/>
      <w:r w:rsidR="0004545F">
        <w:t>is considered to be</w:t>
      </w:r>
      <w:proofErr w:type="gramEnd"/>
      <w:r w:rsidR="0004545F">
        <w:t xml:space="preserve"> an explosive substance when the substance:</w:t>
      </w:r>
    </w:p>
    <w:p w14:paraId="553D0DDB" w14:textId="77777777" w:rsidR="0004545F" w:rsidRPr="000C5BC8" w:rsidRDefault="0004545F" w:rsidP="005074A6">
      <w:pPr>
        <w:pStyle w:val="SingleTxtG"/>
        <w:ind w:left="1701"/>
      </w:pPr>
      <w:r w:rsidRPr="000C5BC8">
        <w:t>“</w:t>
      </w:r>
      <w:r w:rsidRPr="00D572A5">
        <w:rPr>
          <w:u w:val="single"/>
        </w:rPr>
        <w:t>is in itself capable, by chemical reaction, of producing gas at such a temperature and pressure and at such a speed as to cause damage to the surroundings</w:t>
      </w:r>
      <w:r w:rsidRPr="000C5BC8">
        <w:t>.”</w:t>
      </w:r>
    </w:p>
    <w:p w14:paraId="22496453" w14:textId="60BB7457" w:rsidR="0004545F" w:rsidRDefault="0004545F" w:rsidP="0004545F">
      <w:pPr>
        <w:pStyle w:val="SingleTxtG"/>
        <w:ind w:left="1170"/>
      </w:pPr>
      <w:r>
        <w:t>Further as also noted under 2.1.1.1(a), substances are excluded from Class 1 when the “predominant hazard is appropriate to another class”</w:t>
      </w:r>
      <w:r w:rsidR="00B82EC4">
        <w:t>.</w:t>
      </w:r>
    </w:p>
    <w:p w14:paraId="749A8EDA" w14:textId="30F7DBD8" w:rsidR="0004545F" w:rsidRDefault="002F0BE6" w:rsidP="002F0BE6">
      <w:pPr>
        <w:pStyle w:val="SingleTxtG"/>
        <w:ind w:left="1170"/>
      </w:pPr>
      <w:r>
        <w:t>8.</w:t>
      </w:r>
      <w:r>
        <w:tab/>
      </w:r>
      <w:r w:rsidR="0004545F">
        <w:t>Analogously other regulations define explosive substances in a similar manner.</w:t>
      </w:r>
    </w:p>
    <w:p w14:paraId="68674511" w14:textId="5895F946" w:rsidR="0004545F" w:rsidRDefault="002F0BE6" w:rsidP="002F0BE6">
      <w:pPr>
        <w:pStyle w:val="SingleTxtG"/>
        <w:ind w:left="1701"/>
      </w:pPr>
      <w:r>
        <w:tab/>
        <w:t>(a)</w:t>
      </w:r>
      <w:r>
        <w:tab/>
      </w:r>
      <w:r w:rsidR="0004545F">
        <w:t xml:space="preserve">The ADR defines explosives substances as “solid or liquid substances (or mixtures </w:t>
      </w:r>
      <w:r w:rsidR="0004545F" w:rsidRPr="002F0BE6">
        <w:t>of</w:t>
      </w:r>
      <w:r w:rsidR="0004545F">
        <w:t xml:space="preserve"> substances) capable by chemical reaction of producing gases at such a temperature and pressure and at such a speed as to cause damage to the surroundings”</w:t>
      </w:r>
      <w:r w:rsidR="00824889">
        <w:t>.</w:t>
      </w:r>
    </w:p>
    <w:p w14:paraId="5CD19163" w14:textId="56640E5D" w:rsidR="0004545F" w:rsidRDefault="00C30F19" w:rsidP="0001585B">
      <w:pPr>
        <w:pStyle w:val="SingleTxtG"/>
        <w:ind w:left="1701"/>
      </w:pPr>
      <w:r>
        <w:t>(b)</w:t>
      </w:r>
      <w:r>
        <w:tab/>
      </w:r>
      <w:r w:rsidR="0004545F">
        <w:t>The U</w:t>
      </w:r>
      <w:r w:rsidR="00D572A5">
        <w:t xml:space="preserve">nited </w:t>
      </w:r>
      <w:r w:rsidR="0004545F">
        <w:t>S</w:t>
      </w:r>
      <w:r w:rsidR="00D572A5">
        <w:t>tates</w:t>
      </w:r>
      <w:r w:rsidR="0004545F">
        <w:t xml:space="preserve"> Department of Transportation regulations defines explosive substances as including:</w:t>
      </w:r>
    </w:p>
    <w:p w14:paraId="6EC3789A" w14:textId="5787ECBC" w:rsidR="0004545F" w:rsidRDefault="0004545F" w:rsidP="00F95A67">
      <w:pPr>
        <w:pStyle w:val="SingleTxtG"/>
        <w:ind w:left="2268"/>
      </w:pPr>
      <w:r>
        <w:t>“</w:t>
      </w:r>
      <w:r w:rsidRPr="00383850">
        <w:t xml:space="preserve">an explosive means any substance or article, including a device, which is designed to function by explosion (i.e., an extremely rapid release of gas and heat) </w:t>
      </w:r>
      <w:r w:rsidRPr="00DE7F03">
        <w:rPr>
          <w:u w:val="single"/>
        </w:rPr>
        <w:t xml:space="preserve">or </w:t>
      </w:r>
      <w:r w:rsidRPr="00440375">
        <w:rPr>
          <w:u w:val="single"/>
        </w:rPr>
        <w:t>which</w:t>
      </w:r>
      <w:r w:rsidRPr="00DE7F03">
        <w:rPr>
          <w:u w:val="single"/>
        </w:rPr>
        <w:t>, by chemical reaction within itself, is able to function in a similar manner even if not designed to function by explosion, unless the substance or article is otherwise classed under the provisions of this subchapter</w:t>
      </w:r>
      <w:r>
        <w:t>”</w:t>
      </w:r>
      <w:r w:rsidR="00D572A5">
        <w:t>.</w:t>
      </w:r>
    </w:p>
    <w:p w14:paraId="5BF68C87" w14:textId="3FF527A9" w:rsidR="0004545F" w:rsidRDefault="00F95A67" w:rsidP="0001585B">
      <w:pPr>
        <w:pStyle w:val="SingleTxtG"/>
        <w:ind w:left="1701"/>
      </w:pPr>
      <w:r>
        <w:tab/>
        <w:t>(c)</w:t>
      </w:r>
      <w:r>
        <w:tab/>
      </w:r>
      <w:r w:rsidR="0004545F">
        <w:t>Likewise, the Canadian T</w:t>
      </w:r>
      <w:r w:rsidR="0078710A">
        <w:t>ra</w:t>
      </w:r>
      <w:r w:rsidR="00FF467B">
        <w:t>n</w:t>
      </w:r>
      <w:r w:rsidR="0078710A">
        <w:t xml:space="preserve">sport </w:t>
      </w:r>
      <w:r w:rsidR="00FF467B">
        <w:t xml:space="preserve">of </w:t>
      </w:r>
      <w:r w:rsidR="0004545F">
        <w:t>D</w:t>
      </w:r>
      <w:r w:rsidR="00FF467B">
        <w:t xml:space="preserve">angerous </w:t>
      </w:r>
      <w:r w:rsidR="0004545F">
        <w:t>G</w:t>
      </w:r>
      <w:r w:rsidR="00FF467B">
        <w:t>oods</w:t>
      </w:r>
      <w:r w:rsidR="0004545F">
        <w:t xml:space="preserve"> regulations include substances not intended to function as explosives when they are:</w:t>
      </w:r>
    </w:p>
    <w:p w14:paraId="1C79F621" w14:textId="77777777" w:rsidR="0004545F" w:rsidRDefault="0004545F" w:rsidP="00F95A67">
      <w:pPr>
        <w:pStyle w:val="SingleTxtG"/>
        <w:ind w:left="2268"/>
      </w:pPr>
      <w:r>
        <w:t>“capable, by chemical reaction, of producing gas at a temperature, pressure and speed that would damage the surroundings;”</w:t>
      </w:r>
    </w:p>
    <w:p w14:paraId="0DE416B9" w14:textId="4B346E47" w:rsidR="0004545F" w:rsidRDefault="001C5783" w:rsidP="001C5783">
      <w:pPr>
        <w:pStyle w:val="SingleTxtG"/>
        <w:ind w:left="1170"/>
      </w:pPr>
      <w:r>
        <w:t>9.</w:t>
      </w:r>
      <w:r>
        <w:tab/>
      </w:r>
      <w:r w:rsidR="0004545F">
        <w:t>From the above regulation excerpts, it is seen that the transport regulations consistently exclude a substance not intended to function as an explosive unless it is:</w:t>
      </w:r>
    </w:p>
    <w:p w14:paraId="02487CAB" w14:textId="47078008" w:rsidR="0004545F" w:rsidRDefault="0004545F" w:rsidP="001C5783">
      <w:pPr>
        <w:pStyle w:val="SingleTxtG"/>
        <w:ind w:left="1701"/>
      </w:pPr>
      <w:r>
        <w:t>“</w:t>
      </w:r>
      <w:r w:rsidRPr="00537D8E">
        <w:t xml:space="preserve">itself capable, by chemical reaction, of producing gas at such a temperature and pressure and at such a speed as to cause </w:t>
      </w:r>
      <w:r w:rsidRPr="001C5783">
        <w:t>damage</w:t>
      </w:r>
      <w:r w:rsidRPr="00537D8E">
        <w:t xml:space="preserve"> to the surroundings</w:t>
      </w:r>
      <w:r>
        <w:t>”</w:t>
      </w:r>
      <w:r w:rsidR="00F65006">
        <w:t>.</w:t>
      </w:r>
    </w:p>
    <w:p w14:paraId="31E36E36" w14:textId="387C3B9F" w:rsidR="0004545F" w:rsidRDefault="001C5783" w:rsidP="001C5783">
      <w:pPr>
        <w:pStyle w:val="SingleTxtG"/>
        <w:ind w:left="1080"/>
      </w:pPr>
      <w:r>
        <w:t>10.</w:t>
      </w:r>
      <w:r>
        <w:tab/>
      </w:r>
      <w:r w:rsidR="0004545F">
        <w:t xml:space="preserve">Significantly, there is no criterion indicating a substance not intended to function as an explosive is considered an explosive substance on the basis of ordinary burning characteristics which </w:t>
      </w:r>
      <w:r w:rsidR="0004545F" w:rsidRPr="00091805">
        <w:rPr>
          <w:u w:val="single"/>
        </w:rPr>
        <w:t>do not produce</w:t>
      </w:r>
      <w:r w:rsidR="0004545F">
        <w:t xml:space="preserve"> “gas at a temperature and pressure at such a speed as to cause damage to the surroundings”</w:t>
      </w:r>
      <w:r w:rsidR="007444DF">
        <w:t>.</w:t>
      </w:r>
      <w:r w:rsidR="0004545F">
        <w:t xml:space="preserve"> Rather, substances where the “predominant hazard” is ordinary burning are appropriately covered in other classes (e.g., Classes 2.1, 3 and 4). Still others with energetic properties may be classified as self-reactive substances or organic peroxides.</w:t>
      </w:r>
    </w:p>
    <w:p w14:paraId="7D07C909" w14:textId="7EB417D2" w:rsidR="0004545F" w:rsidRPr="00FC3B7A" w:rsidRDefault="001C5783" w:rsidP="001C5783">
      <w:pPr>
        <w:pStyle w:val="H23G"/>
      </w:pPr>
      <w:r>
        <w:tab/>
      </w:r>
      <w:r>
        <w:tab/>
      </w:r>
      <w:r w:rsidR="0004545F">
        <w:t>Testing/</w:t>
      </w:r>
      <w:r w:rsidR="00C5205B">
        <w:t>c</w:t>
      </w:r>
      <w:r w:rsidR="0004545F" w:rsidRPr="00FC3B7A">
        <w:t>lassification of QDO</w:t>
      </w:r>
    </w:p>
    <w:p w14:paraId="2EB850B0" w14:textId="62DCCEA3" w:rsidR="0004545F" w:rsidRDefault="0091708B" w:rsidP="0091708B">
      <w:pPr>
        <w:pStyle w:val="SingleTxtG"/>
        <w:ind w:left="1080"/>
      </w:pPr>
      <w:r w:rsidRPr="0091708B">
        <w:t>11.</w:t>
      </w:r>
      <w:r>
        <w:rPr>
          <w:i/>
          <w:iCs/>
        </w:rPr>
        <w:tab/>
      </w:r>
      <w:r w:rsidR="0004545F" w:rsidRPr="00371B0F">
        <w:rPr>
          <w:i/>
          <w:iCs/>
        </w:rPr>
        <w:t xml:space="preserve">QDO Fire </w:t>
      </w:r>
      <w:r w:rsidR="0004545F">
        <w:rPr>
          <w:i/>
          <w:iCs/>
        </w:rPr>
        <w:t>B</w:t>
      </w:r>
      <w:r w:rsidR="0004545F" w:rsidRPr="00371B0F">
        <w:rPr>
          <w:i/>
          <w:iCs/>
        </w:rPr>
        <w:t xml:space="preserve">ehaviour. </w:t>
      </w:r>
      <w:r w:rsidR="0004545F">
        <w:t xml:space="preserve">A fire test of more than 135.2 kg mass in </w:t>
      </w:r>
      <w:r w:rsidR="0004545F" w:rsidRPr="00184001">
        <w:t>three</w:t>
      </w:r>
      <w:r w:rsidR="0004545F">
        <w:t xml:space="preserve"> </w:t>
      </w:r>
      <w:r w:rsidR="0004545F" w:rsidRPr="00184001">
        <w:t>45</w:t>
      </w:r>
      <w:r w:rsidR="0004545F">
        <w:t xml:space="preserve"> kg fibreboard drums of QDO in accordance with the UN 6(c) test showed that it produced a flame radius of 2 meters (see figure 1).</w:t>
      </w:r>
    </w:p>
    <w:p w14:paraId="3903D2DE" w14:textId="3DB19E81" w:rsidR="0004545F" w:rsidRPr="00965AD7" w:rsidRDefault="0091708B" w:rsidP="0091708B">
      <w:pPr>
        <w:suppressAutoHyphens w:val="0"/>
        <w:kinsoku/>
        <w:overflowPunct/>
        <w:autoSpaceDE/>
        <w:autoSpaceDN/>
        <w:adjustRightInd/>
        <w:snapToGrid/>
        <w:spacing w:after="160" w:line="259" w:lineRule="auto"/>
        <w:jc w:val="center"/>
        <w:rPr>
          <w:b/>
          <w:bCs/>
        </w:rPr>
      </w:pPr>
      <w:r w:rsidRPr="0091708B">
        <w:rPr>
          <w:b/>
          <w:bCs/>
        </w:rPr>
        <w:lastRenderedPageBreak/>
        <w:t>F</w:t>
      </w:r>
      <w:r w:rsidR="0004545F">
        <w:rPr>
          <w:b/>
          <w:bCs/>
        </w:rPr>
        <w:t xml:space="preserve">igure 1. </w:t>
      </w:r>
      <w:r w:rsidR="0004545F" w:rsidRPr="00965AD7">
        <w:rPr>
          <w:b/>
          <w:bCs/>
        </w:rPr>
        <w:t xml:space="preserve">External </w:t>
      </w:r>
      <w:r w:rsidR="00A84840">
        <w:rPr>
          <w:b/>
          <w:bCs/>
        </w:rPr>
        <w:t>f</w:t>
      </w:r>
      <w:r w:rsidR="0004545F" w:rsidRPr="00965AD7">
        <w:rPr>
          <w:b/>
          <w:bCs/>
        </w:rPr>
        <w:t xml:space="preserve">ire </w:t>
      </w:r>
      <w:r w:rsidR="00A84840">
        <w:rPr>
          <w:b/>
          <w:bCs/>
        </w:rPr>
        <w:t>t</w:t>
      </w:r>
      <w:r w:rsidR="0004545F" w:rsidRPr="00965AD7">
        <w:rPr>
          <w:b/>
          <w:bCs/>
        </w:rPr>
        <w:t>est</w:t>
      </w:r>
    </w:p>
    <w:p w14:paraId="62BD60B1" w14:textId="058D7BAB" w:rsidR="0004545F" w:rsidRDefault="0004545F" w:rsidP="0004545F">
      <w:pPr>
        <w:pStyle w:val="SingleTxtG"/>
        <w:ind w:left="1689"/>
      </w:pPr>
      <w:r>
        <w:t>Wood shavings were inserted between the wooden slats and soaked with a gasoline/diesel mixture.</w:t>
      </w:r>
    </w:p>
    <w:p w14:paraId="16336289" w14:textId="77777777" w:rsidR="0004545F" w:rsidRDefault="0004545F" w:rsidP="0004545F">
      <w:pPr>
        <w:pStyle w:val="SingleTxtG"/>
        <w:ind w:left="1689"/>
      </w:pPr>
      <w:r>
        <w:rPr>
          <w:noProof/>
        </w:rPr>
        <w:drawing>
          <wp:inline distT="0" distB="0" distL="0" distR="0" wp14:anchorId="4D30F437" wp14:editId="6A15C34F">
            <wp:extent cx="2354580" cy="1584325"/>
            <wp:effectExtent l="0" t="0" r="7620" b="0"/>
            <wp:docPr id="41" name="image12.jpeg" descr="A picture containing text, ground, outdoor, dirt&#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2.jpeg" descr="A picture containing text, ground, outdoor, dirt&#10;&#10;Description automatically generated"/>
                    <pic:cNvPicPr/>
                  </pic:nvPicPr>
                  <pic:blipFill>
                    <a:blip r:embed="rId12" cstate="print"/>
                    <a:stretch>
                      <a:fillRect/>
                    </a:stretch>
                  </pic:blipFill>
                  <pic:spPr>
                    <a:xfrm>
                      <a:off x="0" y="0"/>
                      <a:ext cx="2354580" cy="1584325"/>
                    </a:xfrm>
                    <a:prstGeom prst="rect">
                      <a:avLst/>
                    </a:prstGeom>
                  </pic:spPr>
                </pic:pic>
              </a:graphicData>
            </a:graphic>
          </wp:inline>
        </w:drawing>
      </w:r>
      <w:r>
        <w:rPr>
          <w:noProof/>
        </w:rPr>
        <w:drawing>
          <wp:inline distT="0" distB="0" distL="0" distR="0" wp14:anchorId="5FF2AC07" wp14:editId="7BBE6BD2">
            <wp:extent cx="2416175" cy="1633220"/>
            <wp:effectExtent l="0" t="0" r="3175" b="5080"/>
            <wp:docPr id="43" name="image13.jpeg" descr="A picture containing outdoor, tree, grass, weapon&#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13.jpeg" descr="A picture containing outdoor, tree, grass, weapon&#10;&#10;Description automatically generated"/>
                    <pic:cNvPicPr/>
                  </pic:nvPicPr>
                  <pic:blipFill>
                    <a:blip r:embed="rId13" cstate="print"/>
                    <a:stretch>
                      <a:fillRect/>
                    </a:stretch>
                  </pic:blipFill>
                  <pic:spPr>
                    <a:xfrm>
                      <a:off x="0" y="0"/>
                      <a:ext cx="2416175" cy="1633220"/>
                    </a:xfrm>
                    <a:prstGeom prst="rect">
                      <a:avLst/>
                    </a:prstGeom>
                  </pic:spPr>
                </pic:pic>
              </a:graphicData>
            </a:graphic>
          </wp:inline>
        </w:drawing>
      </w:r>
    </w:p>
    <w:p w14:paraId="4C57DB64" w14:textId="77777777" w:rsidR="0004545F" w:rsidRDefault="0004545F" w:rsidP="0004545F">
      <w:pPr>
        <w:pStyle w:val="SingleTxtG"/>
        <w:ind w:left="1689"/>
      </w:pPr>
      <w:r>
        <w:t>Test set-up for external fire test, full fire phase (maximum flame) after ignition</w:t>
      </w:r>
    </w:p>
    <w:p w14:paraId="46C9695F" w14:textId="7B37624E" w:rsidR="0004545F" w:rsidRDefault="001942F1" w:rsidP="001942F1">
      <w:pPr>
        <w:pStyle w:val="SingleTxtG"/>
        <w:ind w:left="1080"/>
      </w:pPr>
      <w:r>
        <w:t>12.</w:t>
      </w:r>
      <w:r>
        <w:tab/>
      </w:r>
      <w:r w:rsidR="0004545F">
        <w:t>As can be seen from photos (see figure 1), the burning behaviour of QDO in combination with wood shavings soaked with a gasoline/diesel mixture and wood is less severe than might be expected of many flammable liquids (e.g., diesel oil) when tested under similar conditions. Further, fire intensity is not even a classification criterion that is applicable to dangerous goods other than substances or articles intended to function as explosives.</w:t>
      </w:r>
    </w:p>
    <w:p w14:paraId="37DC4E75" w14:textId="4CE6E9F3" w:rsidR="0004545F" w:rsidRDefault="001942F1" w:rsidP="001942F1">
      <w:pPr>
        <w:pStyle w:val="SingleTxtG"/>
        <w:ind w:left="1080"/>
      </w:pPr>
      <w:r>
        <w:t>13.</w:t>
      </w:r>
      <w:r>
        <w:tab/>
      </w:r>
      <w:r w:rsidR="0004545F">
        <w:t xml:space="preserve">Such burning behaviour is not unlike that of many flammable liquids and solids for which the appropriate hazard classification is other than Class 1. QDO does not detonate based on the Test Series 1 </w:t>
      </w:r>
      <w:r w:rsidR="00861007">
        <w:t>g</w:t>
      </w:r>
      <w:r w:rsidR="0004545F">
        <w:t xml:space="preserve">ap </w:t>
      </w:r>
      <w:r w:rsidR="00861007">
        <w:t>t</w:t>
      </w:r>
      <w:r w:rsidR="0004545F">
        <w:t xml:space="preserve">est, a test more severe than that required for transport. Importantly, from testing there was no indication that QDO will </w:t>
      </w:r>
      <w:r w:rsidR="0004545F" w:rsidRPr="00537D8E">
        <w:t>produc</w:t>
      </w:r>
      <w:r w:rsidR="0004545F">
        <w:t>e</w:t>
      </w:r>
      <w:r w:rsidR="0004545F" w:rsidRPr="00537D8E">
        <w:t xml:space="preserve"> </w:t>
      </w:r>
      <w:r w:rsidR="0004545F">
        <w:t>“</w:t>
      </w:r>
      <w:r w:rsidR="0004545F" w:rsidRPr="00537D8E">
        <w:t>gas at such a temperature and pressure and at such a speed as to cause damage to the surroundings</w:t>
      </w:r>
      <w:r w:rsidR="0004545F">
        <w:t>”</w:t>
      </w:r>
      <w:r w:rsidR="00357084">
        <w:t>.</w:t>
      </w:r>
      <w:r w:rsidR="0004545F">
        <w:t xml:space="preserve"> As such there is no basis for considering it as an explosive substance in that, as a substance not intended to function as an explosive, it does not meet the defining criteria for an explosive substance in 2.1.1.3.</w:t>
      </w:r>
    </w:p>
    <w:p w14:paraId="19BABC64" w14:textId="483CF574" w:rsidR="0004545F" w:rsidRDefault="001942F1" w:rsidP="001942F1">
      <w:pPr>
        <w:pStyle w:val="SingleTxtG"/>
        <w:ind w:left="1080"/>
      </w:pPr>
      <w:r w:rsidRPr="001942F1">
        <w:t>14.</w:t>
      </w:r>
      <w:r>
        <w:rPr>
          <w:i/>
          <w:iCs/>
        </w:rPr>
        <w:tab/>
      </w:r>
      <w:r w:rsidR="0004545F">
        <w:rPr>
          <w:i/>
          <w:iCs/>
        </w:rPr>
        <w:t xml:space="preserve">QDO </w:t>
      </w:r>
      <w:r w:rsidR="0004545F" w:rsidRPr="00FC18B9">
        <w:rPr>
          <w:i/>
          <w:iCs/>
        </w:rPr>
        <w:t>SADT.</w:t>
      </w:r>
      <w:r w:rsidR="0004545F">
        <w:t xml:space="preserve"> QDO was tested by a German laboratory and determined to have a </w:t>
      </w:r>
      <w:r w:rsidR="00697205">
        <w:t xml:space="preserve">self-accelerating decomposition temperature </w:t>
      </w:r>
      <w:r w:rsidR="006A4B72">
        <w:t>(</w:t>
      </w:r>
      <w:r w:rsidR="0004545F">
        <w:t>SADT</w:t>
      </w:r>
      <w:r w:rsidR="006A4B72">
        <w:t>)</w:t>
      </w:r>
      <w:r w:rsidR="0004545F">
        <w:t xml:space="preserve"> of greater than 75</w:t>
      </w:r>
      <w:r w:rsidR="00211E21">
        <w:t xml:space="preserve"> °</w:t>
      </w:r>
      <w:r w:rsidR="0004545F">
        <w:t xml:space="preserve">C when tested using the </w:t>
      </w:r>
      <w:r w:rsidR="00864F62">
        <w:t>h</w:t>
      </w:r>
      <w:r w:rsidR="0004545F">
        <w:t xml:space="preserve">eat </w:t>
      </w:r>
      <w:r w:rsidR="00864F62">
        <w:t>a</w:t>
      </w:r>
      <w:r w:rsidR="0004545F">
        <w:t xml:space="preserve">ccumulation </w:t>
      </w:r>
      <w:r w:rsidR="00864F62">
        <w:t>s</w:t>
      </w:r>
      <w:r w:rsidR="0004545F">
        <w:t xml:space="preserve">torage </w:t>
      </w:r>
      <w:r w:rsidR="00864F62">
        <w:t>t</w:t>
      </w:r>
      <w:r w:rsidR="0004545F">
        <w:t>est (</w:t>
      </w:r>
      <w:r w:rsidR="0004545F" w:rsidRPr="002E0BEF">
        <w:t>UN H.4</w:t>
      </w:r>
      <w:r w:rsidR="0004545F">
        <w:t>). Further QDO was determined to have an onset decomposition temperature of 227</w:t>
      </w:r>
      <w:r w:rsidR="006A4E92">
        <w:t xml:space="preserve"> °</w:t>
      </w:r>
      <w:r w:rsidR="0004545F">
        <w:t xml:space="preserve">C indicating </w:t>
      </w:r>
      <w:proofErr w:type="gramStart"/>
      <w:r w:rsidR="0004545F">
        <w:t>on the basis of</w:t>
      </w:r>
      <w:proofErr w:type="gramEnd"/>
      <w:r w:rsidR="0004545F">
        <w:t xml:space="preserve"> new provisions in the UN Manual</w:t>
      </w:r>
      <w:r w:rsidR="00ED61C2">
        <w:t xml:space="preserve"> of Tests and Criteria</w:t>
      </w:r>
      <w:r w:rsidR="0004545F">
        <w:t xml:space="preserve"> (see </w:t>
      </w:r>
      <w:r w:rsidR="00613EED">
        <w:t xml:space="preserve">para. </w:t>
      </w:r>
      <w:r w:rsidR="00613EED" w:rsidRPr="00670A43">
        <w:t>20.3.4</w:t>
      </w:r>
      <w:r w:rsidR="00613EED">
        <w:t xml:space="preserve"> of the </w:t>
      </w:r>
      <w:r w:rsidR="0004545F">
        <w:t>7</w:t>
      </w:r>
      <w:r w:rsidR="0004545F" w:rsidRPr="00D57E71">
        <w:rPr>
          <w:vertAlign w:val="superscript"/>
        </w:rPr>
        <w:t>th</w:t>
      </w:r>
      <w:r w:rsidR="0004545F">
        <w:t xml:space="preserve"> </w:t>
      </w:r>
      <w:r w:rsidR="00583694">
        <w:t xml:space="preserve">revised </w:t>
      </w:r>
      <w:r w:rsidR="0004545F">
        <w:t>edition</w:t>
      </w:r>
      <w:r w:rsidR="00670A43">
        <w:t>, as amended by Amendment 1</w:t>
      </w:r>
      <w:r w:rsidR="0004545F">
        <w:t>) that its SADT is significantly higher (i.e., on the order of 120</w:t>
      </w:r>
      <w:r w:rsidR="00986FC0">
        <w:t xml:space="preserve"> °</w:t>
      </w:r>
      <w:r w:rsidR="0004545F">
        <w:t>C or more). In any case QDO does not qualify as a Division 4.1 self-reactive substance at any level.</w:t>
      </w:r>
    </w:p>
    <w:p w14:paraId="2BDA12A9" w14:textId="71E3E3A6" w:rsidR="0004545F" w:rsidRPr="00D85A3E" w:rsidRDefault="001942F1" w:rsidP="001942F1">
      <w:pPr>
        <w:pStyle w:val="SingleTxtG"/>
        <w:ind w:left="1080"/>
        <w:rPr>
          <w:b/>
          <w:bCs/>
        </w:rPr>
      </w:pPr>
      <w:r w:rsidRPr="001942F1">
        <w:t>15.</w:t>
      </w:r>
      <w:r>
        <w:rPr>
          <w:i/>
          <w:iCs/>
        </w:rPr>
        <w:tab/>
      </w:r>
      <w:r w:rsidR="0004545F" w:rsidRPr="00D85A3E">
        <w:rPr>
          <w:i/>
          <w:iCs/>
        </w:rPr>
        <w:t xml:space="preserve">Division 4.1 Flammable Solid Testing. </w:t>
      </w:r>
      <w:r w:rsidR="0004545F" w:rsidRPr="00D85A3E">
        <w:t xml:space="preserve">QDO was subjected to the </w:t>
      </w:r>
      <w:r w:rsidR="00224233">
        <w:t>b</w:t>
      </w:r>
      <w:r w:rsidR="0004545F" w:rsidRPr="00D85A3E">
        <w:t xml:space="preserve">urning </w:t>
      </w:r>
      <w:r w:rsidR="00224233">
        <w:t>r</w:t>
      </w:r>
      <w:r w:rsidR="0004545F" w:rsidRPr="00D85A3E">
        <w:t xml:space="preserve">ate </w:t>
      </w:r>
      <w:r w:rsidR="00224233">
        <w:t>t</w:t>
      </w:r>
      <w:r w:rsidR="0004545F" w:rsidRPr="00D85A3E">
        <w:t xml:space="preserve">est for flammable solids and determined to meet the criteria for a Packing Group II Flammable Solid </w:t>
      </w:r>
      <w:proofErr w:type="gramStart"/>
      <w:r w:rsidR="0004545F" w:rsidRPr="00D85A3E">
        <w:t>on the basis of</w:t>
      </w:r>
      <w:proofErr w:type="gramEnd"/>
      <w:r w:rsidR="0004545F" w:rsidRPr="00D85A3E">
        <w:t xml:space="preserve"> a burning time of 2 seconds and the flame passing the wetted zone</w:t>
      </w:r>
      <w:r w:rsidR="0004545F">
        <w:t>.</w:t>
      </w:r>
    </w:p>
    <w:p w14:paraId="61BE04D4" w14:textId="621AA230" w:rsidR="000D5DC0" w:rsidRDefault="000D5DC0">
      <w:pPr>
        <w:suppressAutoHyphens w:val="0"/>
        <w:kinsoku/>
        <w:overflowPunct/>
        <w:autoSpaceDE/>
        <w:autoSpaceDN/>
        <w:adjustRightInd/>
        <w:snapToGrid/>
        <w:spacing w:after="200" w:line="276" w:lineRule="auto"/>
        <w:rPr>
          <w:b/>
          <w:sz w:val="28"/>
        </w:rPr>
      </w:pPr>
    </w:p>
    <w:p w14:paraId="0D7FBD0F" w14:textId="130FD729" w:rsidR="0004545F" w:rsidRPr="00D85A3E" w:rsidRDefault="000D5DC0" w:rsidP="000D5DC0">
      <w:pPr>
        <w:pStyle w:val="HChG"/>
      </w:pPr>
      <w:r>
        <w:lastRenderedPageBreak/>
        <w:tab/>
      </w:r>
      <w:r>
        <w:tab/>
      </w:r>
      <w:r w:rsidR="0004545F" w:rsidRPr="00D85A3E">
        <w:t>Proposal</w:t>
      </w:r>
    </w:p>
    <w:p w14:paraId="788490AF" w14:textId="61BDA810" w:rsidR="0004545F" w:rsidRPr="00B762C5" w:rsidRDefault="000D5DC0" w:rsidP="000D5DC0">
      <w:pPr>
        <w:pStyle w:val="SingleTxtG"/>
      </w:pPr>
      <w:r>
        <w:tab/>
        <w:t>16.</w:t>
      </w:r>
      <w:r>
        <w:tab/>
      </w:r>
      <w:proofErr w:type="gramStart"/>
      <w:r w:rsidR="0004545F">
        <w:t xml:space="preserve">On the </w:t>
      </w:r>
      <w:r w:rsidR="0004545F" w:rsidRPr="000D5DC0">
        <w:t>basis</w:t>
      </w:r>
      <w:r w:rsidR="0004545F">
        <w:t xml:space="preserve"> of</w:t>
      </w:r>
      <w:proofErr w:type="gramEnd"/>
      <w:r w:rsidR="0004545F">
        <w:t xml:space="preserve"> the above, it is proposed to a</w:t>
      </w:r>
      <w:r w:rsidR="0004545F" w:rsidRPr="00B762C5">
        <w:t xml:space="preserve">mend </w:t>
      </w:r>
      <w:r w:rsidR="0004545F">
        <w:t xml:space="preserve">the </w:t>
      </w:r>
      <w:r w:rsidR="0004545F" w:rsidRPr="00B762C5">
        <w:t xml:space="preserve">3.2 Dangerous Goods List by introducing </w:t>
      </w:r>
      <w:r w:rsidR="0004545F">
        <w:t xml:space="preserve">a </w:t>
      </w:r>
      <w:r w:rsidR="0004545F" w:rsidRPr="00B762C5">
        <w:t xml:space="preserve">new </w:t>
      </w:r>
      <w:r w:rsidR="0004545F">
        <w:t xml:space="preserve">Division 4.1 </w:t>
      </w:r>
      <w:r w:rsidR="0004545F" w:rsidRPr="00B762C5">
        <w:t xml:space="preserve">UN </w:t>
      </w:r>
      <w:r w:rsidR="0004545F">
        <w:t>entry for QDO</w:t>
      </w:r>
      <w:r w:rsidR="0004545F" w:rsidRPr="00B762C5">
        <w: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52"/>
        <w:gridCol w:w="512"/>
        <w:gridCol w:w="1004"/>
        <w:gridCol w:w="1043"/>
        <w:gridCol w:w="878"/>
        <w:gridCol w:w="279"/>
        <w:gridCol w:w="436"/>
        <w:gridCol w:w="868"/>
        <w:gridCol w:w="846"/>
        <w:gridCol w:w="865"/>
        <w:gridCol w:w="846"/>
      </w:tblGrid>
      <w:tr w:rsidR="0004545F" w:rsidRPr="00B762C5" w14:paraId="6957BBEB" w14:textId="77777777" w:rsidTr="00EA2367">
        <w:trPr>
          <w:trHeight w:val="900"/>
          <w:jc w:val="center"/>
        </w:trPr>
        <w:tc>
          <w:tcPr>
            <w:tcW w:w="2102" w:type="dxa"/>
            <w:vMerge w:val="restart"/>
            <w:vAlign w:val="center"/>
          </w:tcPr>
          <w:p w14:paraId="10AF782C"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br w:type="page"/>
              <w:t xml:space="preserve">UN No. </w:t>
            </w:r>
          </w:p>
          <w:p w14:paraId="36A1E75B"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Substance </w:t>
            </w:r>
          </w:p>
        </w:tc>
        <w:tc>
          <w:tcPr>
            <w:tcW w:w="517" w:type="dxa"/>
            <w:vMerge w:val="restart"/>
          </w:tcPr>
          <w:p w14:paraId="7C3570D0" w14:textId="77777777" w:rsidR="0004545F" w:rsidRPr="00B762C5" w:rsidRDefault="0004545F" w:rsidP="00EA2367">
            <w:pPr>
              <w:pStyle w:val="SingleTxtG"/>
              <w:ind w:left="0" w:right="0"/>
              <w:jc w:val="center"/>
              <w:rPr>
                <w:rFonts w:eastAsia="Times New Roman"/>
                <w:sz w:val="18"/>
                <w:szCs w:val="18"/>
                <w:lang w:eastAsia="en-US"/>
              </w:rPr>
            </w:pPr>
            <w:r w:rsidRPr="00B762C5">
              <w:rPr>
                <w:rFonts w:eastAsia="Times New Roman"/>
                <w:sz w:val="18"/>
                <w:szCs w:val="18"/>
                <w:lang w:eastAsia="en-US"/>
              </w:rPr>
              <w:t xml:space="preserve">Class </w:t>
            </w:r>
          </w:p>
        </w:tc>
        <w:tc>
          <w:tcPr>
            <w:tcW w:w="1013" w:type="dxa"/>
            <w:vMerge w:val="restart"/>
          </w:tcPr>
          <w:p w14:paraId="2935C4D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Subsidiary Hazard </w:t>
            </w:r>
          </w:p>
        </w:tc>
        <w:tc>
          <w:tcPr>
            <w:tcW w:w="1061" w:type="dxa"/>
            <w:vMerge w:val="restart"/>
          </w:tcPr>
          <w:p w14:paraId="0ECD278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UN packing group </w:t>
            </w:r>
          </w:p>
        </w:tc>
        <w:tc>
          <w:tcPr>
            <w:tcW w:w="882" w:type="dxa"/>
            <w:vMerge w:val="restart"/>
          </w:tcPr>
          <w:p w14:paraId="6F721B1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Special provisions </w:t>
            </w:r>
          </w:p>
        </w:tc>
        <w:tc>
          <w:tcPr>
            <w:tcW w:w="625" w:type="dxa"/>
            <w:gridSpan w:val="2"/>
            <w:vMerge w:val="restart"/>
          </w:tcPr>
          <w:p w14:paraId="0786324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Limited and excepted quantities </w:t>
            </w:r>
          </w:p>
        </w:tc>
        <w:tc>
          <w:tcPr>
            <w:tcW w:w="1720" w:type="dxa"/>
            <w:gridSpan w:val="2"/>
          </w:tcPr>
          <w:p w14:paraId="42437714"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Packagings and IBCs </w:t>
            </w:r>
          </w:p>
        </w:tc>
        <w:tc>
          <w:tcPr>
            <w:tcW w:w="1486" w:type="dxa"/>
            <w:gridSpan w:val="2"/>
          </w:tcPr>
          <w:p w14:paraId="313C1754"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Portable tanks and bulk containers </w:t>
            </w:r>
          </w:p>
        </w:tc>
      </w:tr>
      <w:tr w:rsidR="0004545F" w:rsidRPr="00B762C5" w14:paraId="10B6044D" w14:textId="77777777" w:rsidTr="00EA2367">
        <w:trPr>
          <w:trHeight w:val="900"/>
          <w:jc w:val="center"/>
        </w:trPr>
        <w:tc>
          <w:tcPr>
            <w:tcW w:w="2102" w:type="dxa"/>
            <w:vMerge/>
            <w:vAlign w:val="center"/>
          </w:tcPr>
          <w:p w14:paraId="65D10E5F" w14:textId="77777777" w:rsidR="0004545F" w:rsidRPr="00B762C5" w:rsidRDefault="0004545F" w:rsidP="00EA2367">
            <w:pPr>
              <w:pStyle w:val="SingleTxtG"/>
              <w:ind w:left="0" w:right="-5"/>
              <w:jc w:val="center"/>
              <w:rPr>
                <w:rFonts w:eastAsia="Times New Roman"/>
                <w:sz w:val="18"/>
                <w:szCs w:val="18"/>
                <w:lang w:eastAsia="en-US"/>
              </w:rPr>
            </w:pPr>
          </w:p>
        </w:tc>
        <w:tc>
          <w:tcPr>
            <w:tcW w:w="517" w:type="dxa"/>
            <w:vMerge/>
            <w:vAlign w:val="center"/>
          </w:tcPr>
          <w:p w14:paraId="202130D9" w14:textId="77777777" w:rsidR="0004545F" w:rsidRPr="00B762C5" w:rsidRDefault="0004545F" w:rsidP="00EA2367">
            <w:pPr>
              <w:pStyle w:val="SingleTxtG"/>
              <w:ind w:left="0" w:right="0"/>
              <w:jc w:val="center"/>
              <w:rPr>
                <w:rFonts w:eastAsia="Times New Roman"/>
                <w:sz w:val="18"/>
                <w:szCs w:val="18"/>
                <w:lang w:eastAsia="en-US"/>
              </w:rPr>
            </w:pPr>
          </w:p>
        </w:tc>
        <w:tc>
          <w:tcPr>
            <w:tcW w:w="1013" w:type="dxa"/>
            <w:vMerge/>
            <w:vAlign w:val="center"/>
          </w:tcPr>
          <w:p w14:paraId="345BC29C" w14:textId="77777777" w:rsidR="0004545F" w:rsidRPr="00B762C5" w:rsidRDefault="0004545F" w:rsidP="00EA2367">
            <w:pPr>
              <w:pStyle w:val="SingleTxtG"/>
              <w:ind w:left="0" w:right="5"/>
              <w:jc w:val="center"/>
              <w:rPr>
                <w:rFonts w:eastAsia="Times New Roman"/>
                <w:sz w:val="18"/>
                <w:szCs w:val="18"/>
                <w:lang w:eastAsia="en-US"/>
              </w:rPr>
            </w:pPr>
          </w:p>
        </w:tc>
        <w:tc>
          <w:tcPr>
            <w:tcW w:w="1061" w:type="dxa"/>
            <w:vMerge/>
          </w:tcPr>
          <w:p w14:paraId="3F45A2FA" w14:textId="77777777" w:rsidR="0004545F" w:rsidRPr="00B762C5" w:rsidRDefault="0004545F" w:rsidP="00EA2367">
            <w:pPr>
              <w:pStyle w:val="SingleTxtG"/>
              <w:ind w:left="0" w:right="5"/>
              <w:jc w:val="center"/>
              <w:rPr>
                <w:rFonts w:eastAsia="Times New Roman"/>
                <w:sz w:val="18"/>
                <w:szCs w:val="18"/>
                <w:lang w:eastAsia="en-US"/>
              </w:rPr>
            </w:pPr>
          </w:p>
        </w:tc>
        <w:tc>
          <w:tcPr>
            <w:tcW w:w="882" w:type="dxa"/>
            <w:vMerge/>
          </w:tcPr>
          <w:p w14:paraId="6D8A3585" w14:textId="77777777" w:rsidR="0004545F" w:rsidRPr="00B762C5" w:rsidRDefault="0004545F" w:rsidP="00EA2367">
            <w:pPr>
              <w:pStyle w:val="SingleTxtG"/>
              <w:ind w:left="0" w:right="5"/>
              <w:jc w:val="center"/>
              <w:rPr>
                <w:rFonts w:eastAsia="Times New Roman"/>
                <w:sz w:val="18"/>
                <w:szCs w:val="18"/>
                <w:lang w:eastAsia="en-US"/>
              </w:rPr>
            </w:pPr>
          </w:p>
        </w:tc>
        <w:tc>
          <w:tcPr>
            <w:tcW w:w="625" w:type="dxa"/>
            <w:gridSpan w:val="2"/>
            <w:vMerge/>
          </w:tcPr>
          <w:p w14:paraId="6A343450" w14:textId="77777777" w:rsidR="0004545F" w:rsidRPr="00B762C5" w:rsidRDefault="0004545F" w:rsidP="00EA2367">
            <w:pPr>
              <w:pStyle w:val="SingleTxtG"/>
              <w:ind w:left="0" w:right="5"/>
              <w:jc w:val="center"/>
              <w:rPr>
                <w:rFonts w:eastAsia="Times New Roman"/>
                <w:sz w:val="18"/>
                <w:szCs w:val="18"/>
                <w:lang w:eastAsia="en-US"/>
              </w:rPr>
            </w:pPr>
          </w:p>
        </w:tc>
        <w:tc>
          <w:tcPr>
            <w:tcW w:w="871" w:type="dxa"/>
          </w:tcPr>
          <w:p w14:paraId="6FC7CAC9"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Packing instruction </w:t>
            </w:r>
          </w:p>
        </w:tc>
        <w:tc>
          <w:tcPr>
            <w:tcW w:w="849" w:type="dxa"/>
          </w:tcPr>
          <w:p w14:paraId="5EBB662C"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Special packing provisions </w:t>
            </w:r>
          </w:p>
        </w:tc>
        <w:tc>
          <w:tcPr>
            <w:tcW w:w="637" w:type="dxa"/>
          </w:tcPr>
          <w:p w14:paraId="564B883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Instructions </w:t>
            </w:r>
          </w:p>
        </w:tc>
        <w:tc>
          <w:tcPr>
            <w:tcW w:w="849" w:type="dxa"/>
          </w:tcPr>
          <w:p w14:paraId="2AB584D7" w14:textId="77777777" w:rsidR="0004545F" w:rsidRPr="00B762C5" w:rsidRDefault="0004545F" w:rsidP="00EA2367">
            <w:pPr>
              <w:pStyle w:val="SingleTxtG"/>
              <w:ind w:left="0" w:right="5"/>
              <w:jc w:val="center"/>
              <w:rPr>
                <w:rFonts w:eastAsia="Times New Roman"/>
                <w:sz w:val="18"/>
                <w:szCs w:val="18"/>
                <w:lang w:eastAsia="en-US"/>
              </w:rPr>
            </w:pPr>
            <w:r w:rsidRPr="00B762C5">
              <w:rPr>
                <w:rFonts w:eastAsia="Times New Roman"/>
                <w:sz w:val="18"/>
                <w:szCs w:val="18"/>
                <w:lang w:eastAsia="en-US"/>
              </w:rPr>
              <w:t xml:space="preserve">Special provisions </w:t>
            </w:r>
          </w:p>
        </w:tc>
      </w:tr>
      <w:tr w:rsidR="0004545F" w:rsidRPr="00460EFE" w14:paraId="2AEFD0FB" w14:textId="77777777" w:rsidTr="00EA2367">
        <w:trPr>
          <w:trHeight w:val="900"/>
          <w:jc w:val="center"/>
        </w:trPr>
        <w:tc>
          <w:tcPr>
            <w:tcW w:w="2102" w:type="dxa"/>
            <w:vAlign w:val="center"/>
          </w:tcPr>
          <w:p w14:paraId="31CFA96F" w14:textId="77777777" w:rsidR="0004545F"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UN XXXX</w:t>
            </w:r>
          </w:p>
          <w:p w14:paraId="06A3C84A" w14:textId="77777777" w:rsidR="0004545F" w:rsidRPr="00460EFE" w:rsidRDefault="0004545F" w:rsidP="00EA2367">
            <w:pPr>
              <w:pStyle w:val="SingleTxtG"/>
              <w:ind w:left="0" w:right="-5"/>
              <w:jc w:val="center"/>
              <w:rPr>
                <w:rFonts w:eastAsia="Times New Roman"/>
                <w:sz w:val="18"/>
                <w:szCs w:val="18"/>
                <w:lang w:eastAsia="en-US"/>
              </w:rPr>
            </w:pPr>
            <w:r w:rsidRPr="001A0D0B">
              <w:rPr>
                <w:rFonts w:eastAsia="Times New Roman"/>
                <w:sz w:val="18"/>
                <w:szCs w:val="18"/>
                <w:lang w:eastAsia="en-US"/>
              </w:rPr>
              <w:t>Q</w:t>
            </w:r>
            <w:r>
              <w:rPr>
                <w:rFonts w:eastAsia="Times New Roman"/>
                <w:sz w:val="18"/>
                <w:szCs w:val="18"/>
                <w:lang w:eastAsia="en-US"/>
              </w:rPr>
              <w:t>UINONE</w:t>
            </w:r>
            <w:r w:rsidRPr="001A0D0B">
              <w:rPr>
                <w:rFonts w:eastAsia="Times New Roman"/>
                <w:sz w:val="18"/>
                <w:szCs w:val="18"/>
                <w:lang w:eastAsia="en-US"/>
              </w:rPr>
              <w:t xml:space="preserve"> </w:t>
            </w:r>
            <w:r>
              <w:rPr>
                <w:rFonts w:eastAsia="Times New Roman"/>
                <w:sz w:val="18"/>
                <w:szCs w:val="18"/>
                <w:lang w:eastAsia="en-US"/>
              </w:rPr>
              <w:t>DIOXIME</w:t>
            </w:r>
          </w:p>
        </w:tc>
        <w:tc>
          <w:tcPr>
            <w:tcW w:w="517" w:type="dxa"/>
            <w:vAlign w:val="center"/>
          </w:tcPr>
          <w:p w14:paraId="544784DD" w14:textId="77777777" w:rsidR="0004545F" w:rsidRPr="00460EFE" w:rsidRDefault="0004545F" w:rsidP="00EA2367">
            <w:pPr>
              <w:pStyle w:val="SingleTxtG"/>
              <w:ind w:left="0" w:right="0"/>
              <w:jc w:val="center"/>
              <w:rPr>
                <w:rFonts w:eastAsia="Times New Roman"/>
                <w:sz w:val="18"/>
                <w:szCs w:val="18"/>
                <w:lang w:eastAsia="en-US"/>
              </w:rPr>
            </w:pPr>
            <w:r>
              <w:rPr>
                <w:rFonts w:eastAsia="Times New Roman"/>
                <w:sz w:val="18"/>
                <w:szCs w:val="18"/>
                <w:lang w:eastAsia="en-US"/>
              </w:rPr>
              <w:t>4.1</w:t>
            </w:r>
            <w:r w:rsidRPr="00460EFE">
              <w:rPr>
                <w:rFonts w:eastAsia="Times New Roman"/>
                <w:sz w:val="18"/>
                <w:szCs w:val="18"/>
                <w:lang w:eastAsia="en-US"/>
              </w:rPr>
              <w:t xml:space="preserve"> </w:t>
            </w:r>
          </w:p>
        </w:tc>
        <w:tc>
          <w:tcPr>
            <w:tcW w:w="1013" w:type="dxa"/>
            <w:vAlign w:val="center"/>
          </w:tcPr>
          <w:p w14:paraId="56C10526" w14:textId="77777777" w:rsidR="0004545F" w:rsidRPr="00460EFE"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 xml:space="preserve"> </w:t>
            </w:r>
          </w:p>
        </w:tc>
        <w:tc>
          <w:tcPr>
            <w:tcW w:w="1061" w:type="dxa"/>
            <w:vAlign w:val="center"/>
          </w:tcPr>
          <w:p w14:paraId="45EF6E1A" w14:textId="77777777" w:rsidR="0004545F" w:rsidRPr="00460EFE"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 xml:space="preserve">II </w:t>
            </w:r>
          </w:p>
        </w:tc>
        <w:tc>
          <w:tcPr>
            <w:tcW w:w="882" w:type="dxa"/>
            <w:vAlign w:val="center"/>
          </w:tcPr>
          <w:p w14:paraId="0D5FB97C" w14:textId="77777777" w:rsidR="0004545F" w:rsidRPr="00460EFE" w:rsidRDefault="0004545F" w:rsidP="00EA2367">
            <w:pPr>
              <w:pStyle w:val="SingleTxtG"/>
              <w:ind w:left="0" w:right="5"/>
              <w:jc w:val="center"/>
              <w:rPr>
                <w:rFonts w:eastAsia="Times New Roman"/>
                <w:sz w:val="18"/>
                <w:szCs w:val="18"/>
                <w:lang w:eastAsia="en-US"/>
              </w:rPr>
            </w:pPr>
          </w:p>
        </w:tc>
        <w:tc>
          <w:tcPr>
            <w:tcW w:w="209" w:type="dxa"/>
            <w:vAlign w:val="center"/>
          </w:tcPr>
          <w:p w14:paraId="2C5B7BF3" w14:textId="77777777" w:rsidR="0004545F" w:rsidRPr="00460EFE"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1 kg</w:t>
            </w:r>
          </w:p>
        </w:tc>
        <w:tc>
          <w:tcPr>
            <w:tcW w:w="416" w:type="dxa"/>
            <w:vAlign w:val="center"/>
          </w:tcPr>
          <w:p w14:paraId="4CAEF211" w14:textId="77777777" w:rsidR="0004545F" w:rsidRPr="00460EFE"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E2</w:t>
            </w:r>
          </w:p>
        </w:tc>
        <w:tc>
          <w:tcPr>
            <w:tcW w:w="871" w:type="dxa"/>
            <w:vAlign w:val="center"/>
          </w:tcPr>
          <w:p w14:paraId="6E895961" w14:textId="77777777" w:rsidR="0004545F" w:rsidRPr="00460EFE" w:rsidRDefault="0004545F" w:rsidP="00EA2367">
            <w:pPr>
              <w:pStyle w:val="SingleTxtG"/>
              <w:ind w:left="0" w:right="5"/>
              <w:jc w:val="center"/>
              <w:rPr>
                <w:rFonts w:eastAsia="Times New Roman"/>
                <w:sz w:val="18"/>
                <w:szCs w:val="18"/>
                <w:lang w:eastAsia="en-US"/>
              </w:rPr>
            </w:pPr>
            <w:r w:rsidRPr="00460EFE">
              <w:rPr>
                <w:rFonts w:eastAsia="Times New Roman"/>
                <w:sz w:val="18"/>
                <w:szCs w:val="18"/>
                <w:lang w:eastAsia="en-US"/>
              </w:rPr>
              <w:t xml:space="preserve">P002 </w:t>
            </w:r>
          </w:p>
        </w:tc>
        <w:tc>
          <w:tcPr>
            <w:tcW w:w="849" w:type="dxa"/>
            <w:vAlign w:val="center"/>
          </w:tcPr>
          <w:p w14:paraId="2636CAF6" w14:textId="77777777" w:rsidR="0004545F" w:rsidRPr="00460EFE" w:rsidRDefault="0004545F" w:rsidP="00EA2367">
            <w:pPr>
              <w:pStyle w:val="SingleTxtG"/>
              <w:ind w:left="0" w:right="5"/>
              <w:jc w:val="center"/>
              <w:rPr>
                <w:rFonts w:eastAsia="Times New Roman"/>
                <w:sz w:val="18"/>
                <w:szCs w:val="18"/>
                <w:lang w:eastAsia="en-US"/>
              </w:rPr>
            </w:pPr>
          </w:p>
        </w:tc>
        <w:tc>
          <w:tcPr>
            <w:tcW w:w="637" w:type="dxa"/>
            <w:vAlign w:val="center"/>
          </w:tcPr>
          <w:p w14:paraId="1F15086D" w14:textId="77777777" w:rsidR="0004545F" w:rsidRPr="00460EFE" w:rsidRDefault="0004545F" w:rsidP="00EA2367">
            <w:pPr>
              <w:pStyle w:val="SingleTxtG"/>
              <w:ind w:left="0" w:right="5"/>
              <w:jc w:val="center"/>
              <w:rPr>
                <w:rFonts w:eastAsia="Times New Roman"/>
                <w:sz w:val="18"/>
                <w:szCs w:val="18"/>
                <w:lang w:eastAsia="en-US"/>
              </w:rPr>
            </w:pPr>
          </w:p>
        </w:tc>
        <w:tc>
          <w:tcPr>
            <w:tcW w:w="849" w:type="dxa"/>
            <w:vAlign w:val="center"/>
          </w:tcPr>
          <w:p w14:paraId="04F0F4E6" w14:textId="77777777" w:rsidR="0004545F" w:rsidRPr="00460EFE" w:rsidRDefault="0004545F" w:rsidP="00EA2367">
            <w:pPr>
              <w:pStyle w:val="SingleTxtG"/>
              <w:ind w:left="0" w:right="5"/>
              <w:jc w:val="center"/>
              <w:rPr>
                <w:rFonts w:eastAsia="Times New Roman"/>
                <w:sz w:val="18"/>
                <w:szCs w:val="18"/>
                <w:lang w:eastAsia="en-US"/>
              </w:rPr>
            </w:pPr>
          </w:p>
        </w:tc>
      </w:tr>
    </w:tbl>
    <w:p w14:paraId="63DF7E0B" w14:textId="51CC170D" w:rsidR="00C9141D" w:rsidRDefault="00C9141D" w:rsidP="00C9141D"/>
    <w:p w14:paraId="58B34C4E" w14:textId="12447B05" w:rsidR="003307F7" w:rsidRDefault="003307F7">
      <w:pPr>
        <w:suppressAutoHyphens w:val="0"/>
        <w:kinsoku/>
        <w:overflowPunct/>
        <w:autoSpaceDE/>
        <w:autoSpaceDN/>
        <w:adjustRightInd/>
        <w:snapToGrid/>
        <w:spacing w:after="200" w:line="276" w:lineRule="auto"/>
      </w:pPr>
      <w:r>
        <w:br w:type="page"/>
      </w:r>
    </w:p>
    <w:p w14:paraId="1C9746C7" w14:textId="77777777" w:rsidR="003307F7" w:rsidRPr="00B762C5" w:rsidRDefault="003307F7" w:rsidP="003307F7">
      <w:pPr>
        <w:pStyle w:val="HChG"/>
      </w:pPr>
      <w:r w:rsidRPr="00B762C5">
        <w:lastRenderedPageBreak/>
        <w:t>Annex</w:t>
      </w:r>
    </w:p>
    <w:p w14:paraId="72830BE5" w14:textId="3D73CE6C" w:rsidR="003307F7" w:rsidRDefault="003307F7" w:rsidP="003307F7">
      <w:pPr>
        <w:pStyle w:val="HChG"/>
        <w:rPr>
          <w:rFonts w:eastAsiaTheme="minorHAnsi"/>
          <w:lang w:val="en-US" w:eastAsia="en-US"/>
        </w:rPr>
      </w:pPr>
      <w:r>
        <w:tab/>
      </w:r>
      <w:r>
        <w:tab/>
        <w:t>Data sheet to be submitted to the United Nations for new or amended classification of substances</w:t>
      </w:r>
    </w:p>
    <w:p w14:paraId="51A166A3" w14:textId="5F06DF23" w:rsidR="005E66D6" w:rsidRPr="00DF4C0E" w:rsidRDefault="005E66D6" w:rsidP="005E66D6">
      <w:pPr>
        <w:pStyle w:val="ListParagraph"/>
        <w:spacing w:after="120"/>
        <w:ind w:left="0"/>
        <w:rPr>
          <w:rFonts w:asciiTheme="majorBidi" w:hAnsiTheme="majorBidi" w:cstheme="majorBidi"/>
          <w:sz w:val="20"/>
          <w:szCs w:val="20"/>
        </w:rPr>
      </w:pPr>
      <w:r w:rsidRPr="00DF4C0E">
        <w:rPr>
          <w:rFonts w:asciiTheme="majorBidi" w:hAnsiTheme="majorBidi" w:cstheme="majorBidi"/>
          <w:b/>
          <w:bCs/>
          <w:sz w:val="20"/>
          <w:szCs w:val="20"/>
        </w:rPr>
        <w:t>Submitted by</w:t>
      </w:r>
      <w:r w:rsidRPr="00DF4C0E">
        <w:rPr>
          <w:rFonts w:asciiTheme="majorBidi" w:hAnsiTheme="majorBidi" w:cstheme="majorBidi"/>
          <w:sz w:val="20"/>
          <w:szCs w:val="20"/>
        </w:rPr>
        <w:t xml:space="preserve">:  COSTHA         </w:t>
      </w:r>
      <w:r w:rsidR="0007790E">
        <w:rPr>
          <w:rFonts w:asciiTheme="majorBidi" w:hAnsiTheme="majorBidi" w:cstheme="majorBidi"/>
          <w:sz w:val="20"/>
          <w:szCs w:val="20"/>
        </w:rPr>
        <w:t xml:space="preserve">      </w:t>
      </w:r>
      <w:r w:rsidRPr="00DF4C0E">
        <w:rPr>
          <w:rFonts w:asciiTheme="majorBidi" w:hAnsiTheme="majorBidi" w:cstheme="majorBidi"/>
          <w:b/>
          <w:bCs/>
          <w:sz w:val="20"/>
          <w:szCs w:val="20"/>
        </w:rPr>
        <w:t>Date</w:t>
      </w:r>
      <w:r w:rsidRPr="00DF4C0E">
        <w:rPr>
          <w:rFonts w:asciiTheme="majorBidi" w:hAnsiTheme="majorBidi" w:cstheme="majorBidi"/>
          <w:sz w:val="20"/>
          <w:szCs w:val="20"/>
        </w:rPr>
        <w:t xml:space="preserve">: July 16, 2021 </w:t>
      </w:r>
    </w:p>
    <w:p w14:paraId="2AE544F6" w14:textId="77777777" w:rsidR="00DF4C0E" w:rsidRDefault="00DF4C0E" w:rsidP="005E66D6">
      <w:pPr>
        <w:pStyle w:val="ListParagraph"/>
        <w:spacing w:after="120"/>
        <w:ind w:left="0"/>
        <w:rPr>
          <w:rFonts w:asciiTheme="majorBidi" w:hAnsiTheme="majorBidi" w:cstheme="majorBidi"/>
          <w:b/>
          <w:bCs/>
          <w:sz w:val="20"/>
          <w:szCs w:val="20"/>
        </w:rPr>
      </w:pPr>
    </w:p>
    <w:p w14:paraId="37EB6850" w14:textId="538EDDF1" w:rsidR="005E66D6" w:rsidRPr="00DF4C0E" w:rsidRDefault="005E66D6" w:rsidP="005E66D6">
      <w:pPr>
        <w:pStyle w:val="ListParagraph"/>
        <w:spacing w:after="120"/>
        <w:ind w:left="0"/>
        <w:rPr>
          <w:rFonts w:asciiTheme="majorBidi" w:hAnsiTheme="majorBidi" w:cstheme="majorBidi"/>
          <w:b/>
          <w:bCs/>
          <w:sz w:val="20"/>
          <w:szCs w:val="20"/>
        </w:rPr>
      </w:pPr>
      <w:r w:rsidRPr="00DF4C0E">
        <w:rPr>
          <w:rFonts w:asciiTheme="majorBidi" w:hAnsiTheme="majorBidi" w:cstheme="majorBidi"/>
          <w:b/>
          <w:bCs/>
          <w:sz w:val="20"/>
          <w:szCs w:val="20"/>
        </w:rPr>
        <w:t xml:space="preserve">Section 1. SUBSTANCE IDENTITY </w:t>
      </w:r>
    </w:p>
    <w:p w14:paraId="5D0D8A85" w14:textId="7AAF0033"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1.1 Chemical name: 1,4-benzoquinone dioxime</w:t>
      </w:r>
    </w:p>
    <w:p w14:paraId="6B87F8C4" w14:textId="201A5A7A"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1.2 Chemical formula: </w:t>
      </w:r>
      <w:r w:rsidR="00AB7B7D">
        <w:rPr>
          <w:rFonts w:asciiTheme="majorBidi" w:hAnsiTheme="majorBidi" w:cstheme="majorBidi"/>
          <w:sz w:val="20"/>
          <w:szCs w:val="20"/>
        </w:rPr>
        <w:t xml:space="preserve"> C</w:t>
      </w:r>
      <w:r w:rsidR="00AB7B7D" w:rsidRPr="006F58CD">
        <w:rPr>
          <w:rFonts w:asciiTheme="majorBidi" w:hAnsiTheme="majorBidi" w:cstheme="majorBidi"/>
          <w:sz w:val="20"/>
          <w:szCs w:val="20"/>
          <w:vertAlign w:val="subscript"/>
        </w:rPr>
        <w:t>6</w:t>
      </w:r>
      <w:r w:rsidR="00AB7B7D">
        <w:rPr>
          <w:rFonts w:asciiTheme="majorBidi" w:hAnsiTheme="majorBidi" w:cstheme="majorBidi"/>
          <w:sz w:val="20"/>
          <w:szCs w:val="20"/>
        </w:rPr>
        <w:t>H</w:t>
      </w:r>
      <w:r w:rsidR="00AB7B7D" w:rsidRPr="006F58CD">
        <w:rPr>
          <w:rFonts w:asciiTheme="majorBidi" w:hAnsiTheme="majorBidi" w:cstheme="majorBidi"/>
          <w:sz w:val="20"/>
          <w:szCs w:val="20"/>
          <w:vertAlign w:val="subscript"/>
        </w:rPr>
        <w:t>6</w:t>
      </w:r>
      <w:r w:rsidR="00AB7B7D">
        <w:rPr>
          <w:rFonts w:asciiTheme="majorBidi" w:hAnsiTheme="majorBidi" w:cstheme="majorBidi"/>
          <w:sz w:val="20"/>
          <w:szCs w:val="20"/>
        </w:rPr>
        <w:t>N</w:t>
      </w:r>
      <w:r w:rsidR="00AB7B7D" w:rsidRPr="006F58CD">
        <w:rPr>
          <w:rFonts w:asciiTheme="majorBidi" w:hAnsiTheme="majorBidi" w:cstheme="majorBidi"/>
          <w:sz w:val="20"/>
          <w:szCs w:val="20"/>
          <w:vertAlign w:val="subscript"/>
        </w:rPr>
        <w:t>2</w:t>
      </w:r>
      <w:r w:rsidR="00AB7B7D">
        <w:rPr>
          <w:rFonts w:asciiTheme="majorBidi" w:hAnsiTheme="majorBidi" w:cstheme="majorBidi"/>
          <w:sz w:val="20"/>
          <w:szCs w:val="20"/>
        </w:rPr>
        <w:t>O</w:t>
      </w:r>
      <w:r w:rsidR="00AB7B7D" w:rsidRPr="006F58CD">
        <w:rPr>
          <w:rFonts w:asciiTheme="majorBidi" w:hAnsiTheme="majorBidi" w:cstheme="majorBidi"/>
          <w:sz w:val="20"/>
          <w:szCs w:val="20"/>
          <w:vertAlign w:val="subscript"/>
        </w:rPr>
        <w:t>2</w:t>
      </w:r>
    </w:p>
    <w:p w14:paraId="51953BBA" w14:textId="77777777" w:rsidR="00DF4C0E" w:rsidRDefault="00DF4C0E" w:rsidP="00DF4C0E">
      <w:pPr>
        <w:pStyle w:val="ListParagraph"/>
        <w:spacing w:before="120" w:after="120" w:line="257" w:lineRule="auto"/>
        <w:rPr>
          <w:rFonts w:asciiTheme="majorBidi" w:hAnsiTheme="majorBidi" w:cstheme="majorBidi"/>
          <w:sz w:val="20"/>
          <w:szCs w:val="20"/>
        </w:rPr>
      </w:pPr>
    </w:p>
    <w:p w14:paraId="5A5F58FC" w14:textId="5E71DF6D" w:rsidR="005E66D6" w:rsidRPr="00DF4C0E" w:rsidRDefault="005E66D6" w:rsidP="00DF4C0E">
      <w:pPr>
        <w:pStyle w:val="ListParagraph"/>
        <w:spacing w:before="120" w:after="120" w:line="257" w:lineRule="auto"/>
        <w:rPr>
          <w:rFonts w:asciiTheme="majorBidi" w:hAnsiTheme="majorBidi" w:cstheme="majorBidi"/>
          <w:sz w:val="20"/>
          <w:szCs w:val="20"/>
        </w:rPr>
      </w:pPr>
      <w:r w:rsidRPr="00DF4C0E">
        <w:rPr>
          <w:rFonts w:asciiTheme="majorBidi" w:hAnsiTheme="majorBidi" w:cstheme="majorBidi"/>
          <w:sz w:val="20"/>
          <w:szCs w:val="20"/>
        </w:rPr>
        <w:t>1.3 Other names/synonyms: p-benzoquinone dioxime; 2,5-Cyclohexadiene-1,4-dione, 1,4-dioxime</w:t>
      </w:r>
    </w:p>
    <w:p w14:paraId="16E5970A" w14:textId="77777777" w:rsidR="005E66D6" w:rsidRPr="00DF4C0E" w:rsidRDefault="005E66D6" w:rsidP="005E66D6">
      <w:pPr>
        <w:pStyle w:val="ListParagraph"/>
        <w:spacing w:after="120"/>
        <w:rPr>
          <w:rFonts w:asciiTheme="majorBidi" w:hAnsiTheme="majorBidi" w:cstheme="majorBidi"/>
          <w:b/>
          <w:bCs/>
          <w:sz w:val="20"/>
          <w:szCs w:val="20"/>
        </w:rPr>
      </w:pPr>
      <w:r w:rsidRPr="00DF4C0E">
        <w:rPr>
          <w:rFonts w:asciiTheme="majorBidi" w:hAnsiTheme="majorBidi" w:cstheme="majorBidi"/>
          <w:sz w:val="20"/>
          <w:szCs w:val="20"/>
        </w:rPr>
        <w:t xml:space="preserve">1.4.1 UN number: </w:t>
      </w:r>
      <w:r w:rsidRPr="00DF4C0E">
        <w:rPr>
          <w:rFonts w:asciiTheme="majorBidi" w:hAnsiTheme="majorBidi" w:cstheme="majorBidi"/>
          <w:b/>
          <w:bCs/>
          <w:sz w:val="20"/>
          <w:szCs w:val="20"/>
        </w:rPr>
        <w:t>1325</w:t>
      </w:r>
      <w:r w:rsidRPr="00DF4C0E">
        <w:rPr>
          <w:rFonts w:asciiTheme="majorBidi" w:hAnsiTheme="majorBidi" w:cstheme="majorBidi"/>
          <w:sz w:val="20"/>
          <w:szCs w:val="20"/>
        </w:rPr>
        <w:t xml:space="preserve">                                        1.4.2 CAS number: </w:t>
      </w:r>
      <w:r w:rsidRPr="00DF4C0E">
        <w:rPr>
          <w:rFonts w:asciiTheme="majorBidi" w:hAnsiTheme="majorBidi" w:cstheme="majorBidi"/>
          <w:b/>
          <w:bCs/>
          <w:sz w:val="20"/>
          <w:szCs w:val="20"/>
        </w:rPr>
        <w:t>105-11-3</w:t>
      </w:r>
    </w:p>
    <w:p w14:paraId="00E005CC"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1.5 Proposed classification for the Recommendations </w:t>
      </w:r>
    </w:p>
    <w:p w14:paraId="2D4B0833" w14:textId="77777777" w:rsidR="005E66D6" w:rsidRPr="00DF4C0E" w:rsidRDefault="005E66D6" w:rsidP="005E66D6">
      <w:pPr>
        <w:pStyle w:val="ListParagraph"/>
        <w:spacing w:after="120"/>
        <w:ind w:left="1440"/>
        <w:rPr>
          <w:rFonts w:asciiTheme="majorBidi" w:hAnsiTheme="majorBidi" w:cstheme="majorBidi"/>
          <w:b/>
          <w:bCs/>
          <w:sz w:val="20"/>
          <w:szCs w:val="20"/>
        </w:rPr>
      </w:pPr>
      <w:r w:rsidRPr="00DF4C0E">
        <w:rPr>
          <w:rFonts w:asciiTheme="majorBidi" w:hAnsiTheme="majorBidi" w:cstheme="majorBidi"/>
          <w:sz w:val="20"/>
          <w:szCs w:val="20"/>
        </w:rPr>
        <w:t xml:space="preserve">1.5.1 Proper shipping name (3.1.2): </w:t>
      </w:r>
      <w:r w:rsidRPr="00DF4C0E">
        <w:rPr>
          <w:rFonts w:asciiTheme="majorBidi" w:hAnsiTheme="majorBidi" w:cstheme="majorBidi"/>
          <w:b/>
          <w:bCs/>
          <w:sz w:val="20"/>
          <w:szCs w:val="20"/>
        </w:rPr>
        <w:t>1,4-benzoquinone dioxime</w:t>
      </w:r>
    </w:p>
    <w:p w14:paraId="328662FF"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 xml:space="preserve">1.5.2 class/division: </w:t>
      </w:r>
      <w:r w:rsidRPr="00DF4C0E">
        <w:rPr>
          <w:rFonts w:asciiTheme="majorBidi" w:hAnsiTheme="majorBidi" w:cstheme="majorBidi"/>
          <w:b/>
          <w:bCs/>
          <w:sz w:val="20"/>
          <w:szCs w:val="20"/>
        </w:rPr>
        <w:t>4.1</w:t>
      </w:r>
      <w:r w:rsidRPr="00DF4C0E">
        <w:rPr>
          <w:rFonts w:asciiTheme="majorBidi" w:hAnsiTheme="majorBidi" w:cstheme="majorBidi"/>
          <w:sz w:val="20"/>
          <w:szCs w:val="20"/>
        </w:rPr>
        <w:t xml:space="preserve"> Subsidiary risk(s): </w:t>
      </w:r>
      <w:r w:rsidRPr="00DF4C0E">
        <w:rPr>
          <w:rFonts w:asciiTheme="majorBidi" w:hAnsiTheme="majorBidi" w:cstheme="majorBidi"/>
          <w:b/>
          <w:bCs/>
          <w:sz w:val="20"/>
          <w:szCs w:val="20"/>
        </w:rPr>
        <w:t>None</w:t>
      </w:r>
      <w:r w:rsidRPr="00DF4C0E">
        <w:rPr>
          <w:rFonts w:asciiTheme="majorBidi" w:hAnsiTheme="majorBidi" w:cstheme="majorBidi"/>
          <w:sz w:val="20"/>
          <w:szCs w:val="20"/>
        </w:rPr>
        <w:t xml:space="preserve"> Packing group: </w:t>
      </w:r>
      <w:r w:rsidRPr="00DF4C0E">
        <w:rPr>
          <w:rFonts w:asciiTheme="majorBidi" w:hAnsiTheme="majorBidi" w:cstheme="majorBidi"/>
          <w:b/>
          <w:bCs/>
          <w:sz w:val="20"/>
          <w:szCs w:val="20"/>
        </w:rPr>
        <w:t xml:space="preserve">II </w:t>
      </w:r>
    </w:p>
    <w:p w14:paraId="6890A724"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 xml:space="preserve">1.5.3 proposed special provisions, if any: </w:t>
      </w:r>
      <w:r w:rsidRPr="00DF4C0E">
        <w:rPr>
          <w:rFonts w:asciiTheme="majorBidi" w:hAnsiTheme="majorBidi" w:cstheme="majorBidi"/>
          <w:b/>
          <w:bCs/>
          <w:sz w:val="20"/>
          <w:szCs w:val="20"/>
        </w:rPr>
        <w:t>None</w:t>
      </w:r>
      <w:r w:rsidRPr="00DF4C0E">
        <w:rPr>
          <w:rFonts w:asciiTheme="majorBidi" w:hAnsiTheme="majorBidi" w:cstheme="majorBidi"/>
          <w:sz w:val="20"/>
          <w:szCs w:val="20"/>
        </w:rPr>
        <w:t xml:space="preserve"> </w:t>
      </w:r>
    </w:p>
    <w:p w14:paraId="1068F1C0"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 xml:space="preserve">1.5.4 proposed packing instruction(s): </w:t>
      </w:r>
      <w:r w:rsidRPr="00DF4C0E">
        <w:rPr>
          <w:rFonts w:asciiTheme="majorBidi" w:hAnsiTheme="majorBidi" w:cstheme="majorBidi"/>
          <w:b/>
          <w:bCs/>
          <w:sz w:val="20"/>
          <w:szCs w:val="20"/>
        </w:rPr>
        <w:t xml:space="preserve">P002 </w:t>
      </w:r>
    </w:p>
    <w:p w14:paraId="09C12AB9" w14:textId="77777777" w:rsidR="00DF4C0E" w:rsidRDefault="00DF4C0E" w:rsidP="005E66D6">
      <w:pPr>
        <w:pStyle w:val="ListParagraph"/>
        <w:spacing w:after="120"/>
        <w:ind w:left="0"/>
        <w:rPr>
          <w:rFonts w:asciiTheme="majorBidi" w:hAnsiTheme="majorBidi" w:cstheme="majorBidi"/>
          <w:b/>
          <w:bCs/>
          <w:sz w:val="20"/>
          <w:szCs w:val="20"/>
        </w:rPr>
      </w:pPr>
    </w:p>
    <w:p w14:paraId="250F107E" w14:textId="3893661D" w:rsidR="005E66D6" w:rsidRPr="00DF4C0E" w:rsidRDefault="005E66D6" w:rsidP="005E66D6">
      <w:pPr>
        <w:pStyle w:val="ListParagraph"/>
        <w:spacing w:after="120"/>
        <w:ind w:left="0"/>
        <w:rPr>
          <w:rFonts w:asciiTheme="majorBidi" w:hAnsiTheme="majorBidi" w:cstheme="majorBidi"/>
          <w:b/>
          <w:bCs/>
          <w:sz w:val="20"/>
          <w:szCs w:val="20"/>
        </w:rPr>
      </w:pPr>
      <w:r w:rsidRPr="00DF4C0E">
        <w:rPr>
          <w:rFonts w:asciiTheme="majorBidi" w:hAnsiTheme="majorBidi" w:cstheme="majorBidi"/>
          <w:b/>
          <w:bCs/>
          <w:sz w:val="20"/>
          <w:szCs w:val="20"/>
        </w:rPr>
        <w:t>Section 2. PHYSICAL PROPERTIES</w:t>
      </w:r>
    </w:p>
    <w:p w14:paraId="4DF87F06"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2.1 Melting point or range: Not determined </w:t>
      </w:r>
    </w:p>
    <w:p w14:paraId="512DED6F"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2.2 Boiling point or range: Not determined</w:t>
      </w:r>
    </w:p>
    <w:p w14:paraId="69FA9682"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2.3 Relative density at:</w:t>
      </w:r>
    </w:p>
    <w:p w14:paraId="4D6CFB9A" w14:textId="6E71FD3B"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2.3.1 15 °C: Not determined</w:t>
      </w:r>
    </w:p>
    <w:p w14:paraId="68FD1EE1" w14:textId="10D301EA"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 xml:space="preserve">2.3.2 20 °C: </w:t>
      </w:r>
      <w:r w:rsidR="00F21F0D">
        <w:rPr>
          <w:rFonts w:asciiTheme="majorBidi" w:hAnsiTheme="majorBidi" w:cstheme="majorBidi"/>
          <w:sz w:val="20"/>
          <w:szCs w:val="20"/>
        </w:rPr>
        <w:t>1.47 g/cm</w:t>
      </w:r>
      <w:proofErr w:type="gramStart"/>
      <w:r w:rsidR="00F21F0D" w:rsidRPr="00F21F0D">
        <w:rPr>
          <w:rFonts w:asciiTheme="majorBidi" w:hAnsiTheme="majorBidi" w:cstheme="majorBidi"/>
          <w:sz w:val="20"/>
          <w:szCs w:val="20"/>
          <w:vertAlign w:val="superscript"/>
        </w:rPr>
        <w:t>3</w:t>
      </w:r>
      <w:r w:rsidR="00F21F0D">
        <w:rPr>
          <w:rFonts w:asciiTheme="majorBidi" w:hAnsiTheme="majorBidi" w:cstheme="majorBidi"/>
          <w:sz w:val="20"/>
          <w:szCs w:val="20"/>
        </w:rPr>
        <w:t xml:space="preserve">  (</w:t>
      </w:r>
      <w:proofErr w:type="gramEnd"/>
      <w:r w:rsidR="00F21F0D">
        <w:rPr>
          <w:rFonts w:asciiTheme="majorBidi" w:hAnsiTheme="majorBidi" w:cstheme="majorBidi"/>
          <w:sz w:val="20"/>
          <w:szCs w:val="20"/>
        </w:rPr>
        <w:t xml:space="preserve">12.26 </w:t>
      </w:r>
      <w:proofErr w:type="spellStart"/>
      <w:r w:rsidR="00F21F0D">
        <w:rPr>
          <w:rFonts w:asciiTheme="majorBidi" w:hAnsiTheme="majorBidi" w:cstheme="majorBidi"/>
          <w:sz w:val="20"/>
          <w:szCs w:val="20"/>
        </w:rPr>
        <w:t>lb</w:t>
      </w:r>
      <w:proofErr w:type="spellEnd"/>
      <w:r w:rsidR="00F21F0D">
        <w:rPr>
          <w:rFonts w:asciiTheme="majorBidi" w:hAnsiTheme="majorBidi" w:cstheme="majorBidi"/>
          <w:sz w:val="20"/>
          <w:szCs w:val="20"/>
        </w:rPr>
        <w:t>/gal)</w:t>
      </w:r>
    </w:p>
    <w:p w14:paraId="15396DDA" w14:textId="77777777" w:rsidR="00DF4C0E" w:rsidRDefault="00DF4C0E" w:rsidP="005E66D6">
      <w:pPr>
        <w:pStyle w:val="ListParagraph"/>
        <w:spacing w:after="120"/>
        <w:ind w:left="1440"/>
        <w:rPr>
          <w:rFonts w:asciiTheme="majorBidi" w:hAnsiTheme="majorBidi" w:cstheme="majorBidi"/>
          <w:sz w:val="20"/>
          <w:szCs w:val="20"/>
        </w:rPr>
      </w:pPr>
    </w:p>
    <w:p w14:paraId="51969912" w14:textId="5290B9EC"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2.3.3 50 °C: Not determined</w:t>
      </w:r>
    </w:p>
    <w:p w14:paraId="197B20A2"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2.4 Vapour pressure at: </w:t>
      </w:r>
    </w:p>
    <w:p w14:paraId="239F9935"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2.4.1 50 °C: Not determined</w:t>
      </w:r>
    </w:p>
    <w:p w14:paraId="3CC53C21"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2.4.2 65 °C: Not determined</w:t>
      </w:r>
    </w:p>
    <w:p w14:paraId="75A08877" w14:textId="0E51FD95"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2.5 Viscosity at 20 °C</w:t>
      </w:r>
      <w:r w:rsidR="00AF0B5F">
        <w:rPr>
          <w:rStyle w:val="FootnoteReference"/>
          <w:rFonts w:cstheme="majorBidi"/>
          <w:szCs w:val="20"/>
        </w:rPr>
        <w:footnoteReference w:customMarkFollows="1" w:id="4"/>
        <w:t>2</w:t>
      </w:r>
      <w:r w:rsidRPr="00DF4C0E">
        <w:rPr>
          <w:rFonts w:asciiTheme="majorBidi" w:hAnsiTheme="majorBidi" w:cstheme="majorBidi"/>
          <w:sz w:val="20"/>
          <w:szCs w:val="20"/>
        </w:rPr>
        <w:t>: Not determined</w:t>
      </w:r>
    </w:p>
    <w:p w14:paraId="2AA02C33"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2.6 Solubility in water at 20 °C: Insoluble </w:t>
      </w:r>
    </w:p>
    <w:p w14:paraId="5DCC7AD0" w14:textId="41404CC2"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2.7 Physical state at 20</w:t>
      </w:r>
      <w:r w:rsidR="004308C9">
        <w:rPr>
          <w:rFonts w:asciiTheme="majorBidi" w:hAnsiTheme="majorBidi" w:cstheme="majorBidi"/>
          <w:sz w:val="20"/>
          <w:szCs w:val="20"/>
        </w:rPr>
        <w:t xml:space="preserve"> </w:t>
      </w:r>
      <w:r w:rsidRPr="00DF4C0E">
        <w:rPr>
          <w:rFonts w:asciiTheme="majorBidi" w:hAnsiTheme="majorBidi" w:cstheme="majorBidi"/>
          <w:sz w:val="20"/>
          <w:szCs w:val="20"/>
        </w:rPr>
        <w:t>°C (2.2.1.1): Solid (solid/liquid/gas)</w:t>
      </w:r>
    </w:p>
    <w:p w14:paraId="0890790C" w14:textId="5E2AE94F" w:rsidR="005E66D6" w:rsidRPr="00DF4C0E" w:rsidRDefault="005E66D6" w:rsidP="00942530">
      <w:pPr>
        <w:pStyle w:val="ListParagraph"/>
        <w:spacing w:after="120"/>
        <w:ind w:right="1134"/>
        <w:rPr>
          <w:rFonts w:asciiTheme="majorBidi" w:hAnsiTheme="majorBidi" w:cstheme="majorBidi"/>
          <w:sz w:val="20"/>
          <w:szCs w:val="20"/>
        </w:rPr>
      </w:pPr>
      <w:r w:rsidRPr="00DF4C0E">
        <w:rPr>
          <w:rFonts w:asciiTheme="majorBidi" w:hAnsiTheme="majorBidi" w:cstheme="majorBidi"/>
          <w:sz w:val="20"/>
          <w:szCs w:val="20"/>
        </w:rPr>
        <w:t xml:space="preserve">2.8 Appearance at normal transportation temperatures, including </w:t>
      </w:r>
      <w:proofErr w:type="spellStart"/>
      <w:r w:rsidRPr="00DF4C0E">
        <w:rPr>
          <w:rFonts w:asciiTheme="majorBidi" w:hAnsiTheme="majorBidi" w:cstheme="majorBidi"/>
          <w:sz w:val="20"/>
          <w:szCs w:val="20"/>
        </w:rPr>
        <w:t>colour</w:t>
      </w:r>
      <w:proofErr w:type="spellEnd"/>
      <w:r w:rsidRPr="00DF4C0E">
        <w:rPr>
          <w:rFonts w:asciiTheme="majorBidi" w:hAnsiTheme="majorBidi" w:cstheme="majorBidi"/>
          <w:sz w:val="20"/>
          <w:szCs w:val="20"/>
        </w:rPr>
        <w:t xml:space="preserve"> and </w:t>
      </w:r>
      <w:proofErr w:type="spellStart"/>
      <w:r w:rsidRPr="00DF4C0E">
        <w:rPr>
          <w:rFonts w:asciiTheme="majorBidi" w:hAnsiTheme="majorBidi" w:cstheme="majorBidi"/>
          <w:sz w:val="20"/>
          <w:szCs w:val="20"/>
        </w:rPr>
        <w:t>odour</w:t>
      </w:r>
      <w:proofErr w:type="spellEnd"/>
      <w:r w:rsidRPr="00DF4C0E">
        <w:rPr>
          <w:rFonts w:asciiTheme="majorBidi" w:hAnsiTheme="majorBidi" w:cstheme="majorBidi"/>
          <w:sz w:val="20"/>
          <w:szCs w:val="20"/>
        </w:rPr>
        <w:t xml:space="preserve">: Very slight chemical </w:t>
      </w:r>
      <w:proofErr w:type="spellStart"/>
      <w:r w:rsidRPr="00DF4C0E">
        <w:rPr>
          <w:rFonts w:asciiTheme="majorBidi" w:hAnsiTheme="majorBidi" w:cstheme="majorBidi"/>
          <w:sz w:val="20"/>
          <w:szCs w:val="20"/>
        </w:rPr>
        <w:t>odour</w:t>
      </w:r>
      <w:proofErr w:type="spellEnd"/>
      <w:r w:rsidRPr="00DF4C0E">
        <w:rPr>
          <w:rFonts w:asciiTheme="majorBidi" w:hAnsiTheme="majorBidi" w:cstheme="majorBidi"/>
          <w:sz w:val="20"/>
          <w:szCs w:val="20"/>
        </w:rPr>
        <w:t>, but not offensive. Fine particles</w:t>
      </w:r>
      <w:r w:rsidR="00942530">
        <w:rPr>
          <w:rFonts w:asciiTheme="majorBidi" w:hAnsiTheme="majorBidi" w:cstheme="majorBidi"/>
          <w:sz w:val="20"/>
          <w:szCs w:val="20"/>
        </w:rPr>
        <w:t xml:space="preserve"> </w:t>
      </w:r>
      <w:r w:rsidRPr="00DF4C0E">
        <w:rPr>
          <w:rFonts w:asciiTheme="majorBidi" w:hAnsiTheme="majorBidi" w:cstheme="majorBidi"/>
          <w:sz w:val="20"/>
          <w:szCs w:val="20"/>
        </w:rPr>
        <w:t xml:space="preserve">- brown powder. </w:t>
      </w:r>
    </w:p>
    <w:p w14:paraId="29808206" w14:textId="77777777" w:rsidR="005E66D6" w:rsidRDefault="005E66D6" w:rsidP="005E66D6">
      <w:pPr>
        <w:ind w:firstLine="720"/>
      </w:pPr>
      <w:r>
        <w:t>2.9 Other relevant physical properties: N/A</w:t>
      </w:r>
    </w:p>
    <w:p w14:paraId="4208F0A7" w14:textId="77777777" w:rsidR="005E66D6" w:rsidRDefault="005E66D6" w:rsidP="005E66D6">
      <w:pPr>
        <w:pStyle w:val="ListParagraph"/>
        <w:spacing w:after="120"/>
        <w:ind w:left="0"/>
        <w:rPr>
          <w:b/>
          <w:bCs/>
        </w:rPr>
      </w:pPr>
    </w:p>
    <w:p w14:paraId="6C0513A7" w14:textId="77777777" w:rsidR="005E66D6" w:rsidRPr="00DF4C0E" w:rsidRDefault="005E66D6" w:rsidP="005E66D6">
      <w:pPr>
        <w:pStyle w:val="ListParagraph"/>
        <w:spacing w:after="120"/>
        <w:ind w:left="0"/>
        <w:rPr>
          <w:rFonts w:asciiTheme="majorBidi" w:hAnsiTheme="majorBidi" w:cstheme="majorBidi"/>
          <w:b/>
          <w:bCs/>
          <w:sz w:val="20"/>
          <w:szCs w:val="20"/>
        </w:rPr>
      </w:pPr>
      <w:r w:rsidRPr="00DF4C0E">
        <w:rPr>
          <w:rFonts w:asciiTheme="majorBidi" w:hAnsiTheme="majorBidi" w:cstheme="majorBidi"/>
          <w:b/>
          <w:bCs/>
          <w:sz w:val="20"/>
          <w:szCs w:val="20"/>
        </w:rPr>
        <w:t>Section 3. Flammability</w:t>
      </w:r>
    </w:p>
    <w:p w14:paraId="19CFD778"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3.1 Flammable vapour</w:t>
      </w:r>
    </w:p>
    <w:p w14:paraId="5589DC5A"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3.1.1 Flash point (2.3.3): &gt;/= 93 °C cc</w:t>
      </w:r>
    </w:p>
    <w:p w14:paraId="24D746A8"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3.1.2 Is combustion sustained? (2.3.1.3): Yes</w:t>
      </w:r>
    </w:p>
    <w:p w14:paraId="71BE6C53"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3.2 Autoignition temperature:&gt;/= 165.5 °C</w:t>
      </w:r>
    </w:p>
    <w:p w14:paraId="314EAF6E"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3.3 Flammability range (LEL/UEL): Not Determined</w:t>
      </w:r>
    </w:p>
    <w:p w14:paraId="32ACCB6E"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3.4 Is the substance a flammable solid? (2.4.2): YES</w:t>
      </w:r>
    </w:p>
    <w:p w14:paraId="2A0504D8" w14:textId="77777777" w:rsidR="005E66D6" w:rsidRPr="00DF4C0E" w:rsidRDefault="005E66D6" w:rsidP="000018D3">
      <w:pPr>
        <w:pStyle w:val="ListParagraph"/>
        <w:spacing w:after="120"/>
        <w:ind w:left="1440" w:right="1134"/>
        <w:rPr>
          <w:rFonts w:asciiTheme="majorBidi" w:hAnsiTheme="majorBidi" w:cstheme="majorBidi"/>
          <w:sz w:val="20"/>
          <w:szCs w:val="20"/>
        </w:rPr>
      </w:pPr>
      <w:r w:rsidRPr="00DF4C0E">
        <w:rPr>
          <w:rFonts w:asciiTheme="majorBidi" w:hAnsiTheme="majorBidi" w:cstheme="majorBidi"/>
          <w:sz w:val="20"/>
          <w:szCs w:val="20"/>
        </w:rPr>
        <w:t xml:space="preserve">3.4.1 If yes, give details:  </w:t>
      </w:r>
      <w:r w:rsidRPr="00DF4C0E">
        <w:rPr>
          <w:rFonts w:asciiTheme="majorBidi" w:hAnsiTheme="majorBidi" w:cstheme="majorBidi"/>
          <w:b/>
          <w:bCs/>
          <w:sz w:val="20"/>
          <w:szCs w:val="20"/>
        </w:rPr>
        <w:t xml:space="preserve">UN Test N.1, Test Method for Readily Combustible Solids, demonstrated that 1,4-benzoquinone dioxime propagated combustion for a length of 100 mm in less than 45 seconds, and the flame passed the wetted zone. See also attached test report #21048. </w:t>
      </w:r>
    </w:p>
    <w:p w14:paraId="1D9789B1" w14:textId="77777777" w:rsidR="005E66D6" w:rsidRDefault="005E66D6" w:rsidP="005E66D6">
      <w:pPr>
        <w:pStyle w:val="ListParagraph"/>
        <w:spacing w:after="120"/>
        <w:ind w:left="0"/>
        <w:rPr>
          <w:b/>
          <w:bCs/>
        </w:rPr>
      </w:pPr>
    </w:p>
    <w:p w14:paraId="598A201E" w14:textId="77777777" w:rsidR="005E66D6" w:rsidRPr="00DF4C0E" w:rsidRDefault="005E66D6" w:rsidP="005E66D6">
      <w:pPr>
        <w:pStyle w:val="ListParagraph"/>
        <w:spacing w:after="120"/>
        <w:ind w:left="0"/>
        <w:rPr>
          <w:rFonts w:asciiTheme="majorBidi" w:hAnsiTheme="majorBidi" w:cstheme="majorBidi"/>
          <w:b/>
          <w:bCs/>
          <w:sz w:val="20"/>
          <w:szCs w:val="20"/>
        </w:rPr>
      </w:pPr>
      <w:r w:rsidRPr="00DF4C0E">
        <w:rPr>
          <w:rFonts w:asciiTheme="majorBidi" w:hAnsiTheme="majorBidi" w:cstheme="majorBidi"/>
          <w:b/>
          <w:bCs/>
          <w:sz w:val="20"/>
          <w:szCs w:val="20"/>
        </w:rPr>
        <w:t>Section 4. CHEMICAL PROPERTIES</w:t>
      </w:r>
    </w:p>
    <w:p w14:paraId="22FF106B" w14:textId="77777777" w:rsidR="005E66D6" w:rsidRPr="00DF4C0E" w:rsidRDefault="005E66D6" w:rsidP="000018D3">
      <w:pPr>
        <w:pStyle w:val="ListParagraph"/>
        <w:spacing w:after="120"/>
        <w:ind w:right="1134"/>
        <w:rPr>
          <w:rFonts w:asciiTheme="majorBidi" w:hAnsiTheme="majorBidi" w:cstheme="majorBidi"/>
          <w:sz w:val="20"/>
          <w:szCs w:val="20"/>
        </w:rPr>
      </w:pPr>
      <w:r w:rsidRPr="00DF4C0E">
        <w:rPr>
          <w:rFonts w:asciiTheme="majorBidi" w:hAnsiTheme="majorBidi" w:cstheme="majorBidi"/>
          <w:sz w:val="20"/>
          <w:szCs w:val="20"/>
        </w:rPr>
        <w:t>4.1 Does the substance require inhibition/stabilization or other treatment such as nitrogen blanket to prevent hazardous reactivity? No</w:t>
      </w:r>
    </w:p>
    <w:p w14:paraId="2E259377"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4.2 Is the substance explosive according to paragraph 2.1.1.1? (2.1) No</w:t>
      </w:r>
    </w:p>
    <w:p w14:paraId="729717B7"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4.3 Is the substance a desensitized explosive? (2.4.2.4) No</w:t>
      </w:r>
    </w:p>
    <w:p w14:paraId="2975BF5E"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lastRenderedPageBreak/>
        <w:t>4.4 Is the substance a self-reactive substance? (2.4.1) No</w:t>
      </w:r>
    </w:p>
    <w:p w14:paraId="253B449A"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4.5 Is the substance pyrophoric? (2.4.3) No</w:t>
      </w:r>
    </w:p>
    <w:p w14:paraId="6DC39E69"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4.6 Is the substance liable to self-heating? (2.4.3) No</w:t>
      </w:r>
    </w:p>
    <w:p w14:paraId="04A11384"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4.7 Is the substance an organic peroxide? (2.5.1) No</w:t>
      </w:r>
    </w:p>
    <w:p w14:paraId="32765BB0"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4.8 Does the substance in contact with water emit flammable gasses? (2.4.4) No</w:t>
      </w:r>
    </w:p>
    <w:p w14:paraId="01A83347"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4.9 Does the substance have oxidizing properties? (2.5.1) No</w:t>
      </w:r>
    </w:p>
    <w:p w14:paraId="2CC3D115"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 xml:space="preserve">4.10 Corrosivity (2.8) to: </w:t>
      </w:r>
      <w:r w:rsidRPr="00DF4C0E">
        <w:rPr>
          <w:rFonts w:asciiTheme="majorBidi" w:hAnsiTheme="majorBidi" w:cstheme="majorBidi"/>
          <w:b/>
          <w:bCs/>
          <w:sz w:val="20"/>
          <w:szCs w:val="20"/>
        </w:rPr>
        <w:t>There are no corrosive properties associated with this substance</w:t>
      </w:r>
    </w:p>
    <w:p w14:paraId="6F38E580"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4.10.1 Mild steel ………….mm/year at ………………………………. °C N/A</w:t>
      </w:r>
    </w:p>
    <w:p w14:paraId="74C940CB"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4.10.2 Aluminum ………….mm/year at ………………………………. °C N/A</w:t>
      </w:r>
    </w:p>
    <w:p w14:paraId="67C79385" w14:textId="77777777" w:rsidR="005E66D6" w:rsidRPr="00DF4C0E" w:rsidRDefault="005E66D6" w:rsidP="005E66D6">
      <w:pPr>
        <w:pStyle w:val="ListParagraph"/>
        <w:spacing w:after="120"/>
        <w:ind w:left="1440"/>
        <w:rPr>
          <w:rFonts w:asciiTheme="majorBidi" w:hAnsiTheme="majorBidi" w:cstheme="majorBidi"/>
          <w:sz w:val="20"/>
          <w:szCs w:val="20"/>
        </w:rPr>
      </w:pPr>
      <w:r w:rsidRPr="00DF4C0E">
        <w:rPr>
          <w:rFonts w:asciiTheme="majorBidi" w:hAnsiTheme="majorBidi" w:cstheme="majorBidi"/>
          <w:sz w:val="20"/>
          <w:szCs w:val="20"/>
        </w:rPr>
        <w:t>4.10.1 Other packaging materials (specify)</w:t>
      </w:r>
    </w:p>
    <w:p w14:paraId="6E73452F" w14:textId="77777777" w:rsidR="005E66D6" w:rsidRPr="00DF4C0E" w:rsidRDefault="005E66D6" w:rsidP="005E66D6">
      <w:pPr>
        <w:pStyle w:val="ListParagraph"/>
        <w:spacing w:after="120"/>
        <w:ind w:left="2160"/>
        <w:rPr>
          <w:rFonts w:asciiTheme="majorBidi" w:hAnsiTheme="majorBidi" w:cstheme="majorBidi"/>
          <w:sz w:val="20"/>
          <w:szCs w:val="20"/>
        </w:rPr>
      </w:pPr>
      <w:r w:rsidRPr="00DF4C0E">
        <w:rPr>
          <w:rFonts w:asciiTheme="majorBidi" w:hAnsiTheme="majorBidi" w:cstheme="majorBidi"/>
          <w:sz w:val="20"/>
          <w:szCs w:val="20"/>
        </w:rPr>
        <w:t>……………….mm/year at ………………………………. °C</w:t>
      </w:r>
    </w:p>
    <w:p w14:paraId="5731FD2E" w14:textId="77777777" w:rsidR="005E66D6" w:rsidRPr="00DF4C0E" w:rsidRDefault="005E66D6" w:rsidP="005E66D6">
      <w:pPr>
        <w:pStyle w:val="ListParagraph"/>
        <w:spacing w:after="120"/>
        <w:ind w:left="2160"/>
        <w:rPr>
          <w:rFonts w:asciiTheme="majorBidi" w:hAnsiTheme="majorBidi" w:cstheme="majorBidi"/>
          <w:sz w:val="20"/>
          <w:szCs w:val="20"/>
        </w:rPr>
      </w:pPr>
      <w:r w:rsidRPr="00DF4C0E">
        <w:rPr>
          <w:rFonts w:asciiTheme="majorBidi" w:hAnsiTheme="majorBidi" w:cstheme="majorBidi"/>
          <w:sz w:val="20"/>
          <w:szCs w:val="20"/>
        </w:rPr>
        <w:t>……………….mm/year at ………………………………. °C</w:t>
      </w:r>
    </w:p>
    <w:p w14:paraId="33CAB723" w14:textId="77777777" w:rsidR="005E66D6" w:rsidRPr="00DF4C0E" w:rsidRDefault="005E66D6" w:rsidP="005E66D6">
      <w:pPr>
        <w:pStyle w:val="ListParagraph"/>
        <w:spacing w:after="120"/>
        <w:rPr>
          <w:rFonts w:asciiTheme="majorBidi" w:hAnsiTheme="majorBidi" w:cstheme="majorBidi"/>
          <w:sz w:val="20"/>
          <w:szCs w:val="20"/>
        </w:rPr>
      </w:pPr>
      <w:r w:rsidRPr="00DF4C0E">
        <w:rPr>
          <w:rFonts w:asciiTheme="majorBidi" w:hAnsiTheme="majorBidi" w:cstheme="majorBidi"/>
          <w:sz w:val="20"/>
          <w:szCs w:val="20"/>
        </w:rPr>
        <w:t>4.11 Other relevant chemical properties: N/A</w:t>
      </w:r>
    </w:p>
    <w:p w14:paraId="02E08300" w14:textId="77777777" w:rsidR="005E66D6" w:rsidRDefault="005E66D6" w:rsidP="005E66D6">
      <w:pPr>
        <w:pStyle w:val="ListParagraph"/>
        <w:spacing w:after="120"/>
        <w:ind w:left="0"/>
        <w:rPr>
          <w:b/>
          <w:bCs/>
        </w:rPr>
      </w:pPr>
    </w:p>
    <w:p w14:paraId="7A0E3CD6" w14:textId="77777777" w:rsidR="005E66D6" w:rsidRPr="00DF4C0E" w:rsidRDefault="005E66D6" w:rsidP="005E66D6">
      <w:pPr>
        <w:pStyle w:val="ListParagraph"/>
        <w:spacing w:after="120"/>
        <w:ind w:left="0"/>
        <w:rPr>
          <w:rFonts w:asciiTheme="majorBidi" w:hAnsiTheme="majorBidi" w:cstheme="majorBidi"/>
          <w:b/>
          <w:bCs/>
          <w:sz w:val="20"/>
          <w:szCs w:val="20"/>
        </w:rPr>
      </w:pPr>
      <w:r w:rsidRPr="00DF4C0E">
        <w:rPr>
          <w:rFonts w:asciiTheme="majorBidi" w:hAnsiTheme="majorBidi" w:cstheme="majorBidi"/>
          <w:b/>
          <w:bCs/>
          <w:sz w:val="20"/>
          <w:szCs w:val="20"/>
        </w:rPr>
        <w:t xml:space="preserve">Section 5. HARMFUL BIOLOGICAL EFFECTS  </w:t>
      </w:r>
    </w:p>
    <w:p w14:paraId="0F40D389"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5.1 LD50, Oral (2.6.2.1.1) 464 mg/kg    Animal species? Rat</w:t>
      </w:r>
    </w:p>
    <w:p w14:paraId="44FFE7A4"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 xml:space="preserve">5.2 LD50, Dermal (2.6.2.1.2) Not determined </w:t>
      </w:r>
    </w:p>
    <w:p w14:paraId="28665340"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5.3 LC50, Inhalation (2.6.2.1.3) 55 mg/</w:t>
      </w:r>
      <w:proofErr w:type="spellStart"/>
      <w:r w:rsidRPr="00011639">
        <w:rPr>
          <w:rFonts w:asciiTheme="majorBidi" w:hAnsiTheme="majorBidi" w:cstheme="majorBidi"/>
          <w:sz w:val="20"/>
          <w:szCs w:val="20"/>
        </w:rPr>
        <w:t>litre</w:t>
      </w:r>
      <w:proofErr w:type="spellEnd"/>
      <w:r w:rsidRPr="00011639">
        <w:rPr>
          <w:rFonts w:asciiTheme="majorBidi" w:hAnsiTheme="majorBidi" w:cstheme="majorBidi"/>
          <w:sz w:val="20"/>
          <w:szCs w:val="20"/>
        </w:rPr>
        <w:t xml:space="preserve">   Exposure time: Not listed</w:t>
      </w:r>
    </w:p>
    <w:p w14:paraId="78947B77" w14:textId="0974C70F"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5.4 Saturated vapour concentration at 20</w:t>
      </w:r>
      <w:r w:rsidR="00DF6918">
        <w:rPr>
          <w:rFonts w:asciiTheme="majorBidi" w:hAnsiTheme="majorBidi" w:cstheme="majorBidi"/>
          <w:sz w:val="20"/>
          <w:szCs w:val="20"/>
        </w:rPr>
        <w:t xml:space="preserve"> </w:t>
      </w:r>
      <w:r w:rsidRPr="00011639">
        <w:rPr>
          <w:rFonts w:asciiTheme="majorBidi" w:hAnsiTheme="majorBidi" w:cstheme="majorBidi"/>
          <w:sz w:val="20"/>
          <w:szCs w:val="20"/>
        </w:rPr>
        <w:t>°C (2.6.2.2.4.3) Not determined</w:t>
      </w:r>
    </w:p>
    <w:p w14:paraId="73516D6D"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 xml:space="preserve">5.5 Skin exposure (2.8) results:  Not determined </w:t>
      </w:r>
    </w:p>
    <w:p w14:paraId="15DFEFB4"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5.6 Other data: N/A</w:t>
      </w:r>
    </w:p>
    <w:p w14:paraId="4AFB7EAB"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5.7 Human experience: Not determined</w:t>
      </w:r>
    </w:p>
    <w:p w14:paraId="2D373B64" w14:textId="77777777" w:rsidR="005E66D6" w:rsidRDefault="005E66D6" w:rsidP="005E66D6">
      <w:pPr>
        <w:pStyle w:val="ListParagraph"/>
        <w:spacing w:after="120"/>
        <w:ind w:left="0"/>
        <w:rPr>
          <w:b/>
          <w:bCs/>
        </w:rPr>
      </w:pPr>
    </w:p>
    <w:p w14:paraId="3AEE39EE" w14:textId="77777777" w:rsidR="005E66D6" w:rsidRPr="00011639" w:rsidRDefault="005E66D6" w:rsidP="005E66D6">
      <w:pPr>
        <w:pStyle w:val="ListParagraph"/>
        <w:spacing w:after="120"/>
        <w:ind w:left="0"/>
        <w:rPr>
          <w:rFonts w:asciiTheme="majorBidi" w:hAnsiTheme="majorBidi" w:cstheme="majorBidi"/>
          <w:b/>
          <w:bCs/>
          <w:sz w:val="20"/>
          <w:szCs w:val="20"/>
        </w:rPr>
      </w:pPr>
      <w:r w:rsidRPr="00011639">
        <w:rPr>
          <w:rFonts w:asciiTheme="majorBidi" w:hAnsiTheme="majorBidi" w:cstheme="majorBidi"/>
          <w:b/>
          <w:bCs/>
          <w:sz w:val="20"/>
          <w:szCs w:val="20"/>
        </w:rPr>
        <w:t>Section 6. SUPPLEMENTARY INFORMATION</w:t>
      </w:r>
    </w:p>
    <w:p w14:paraId="603127B1"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 xml:space="preserve">6.1 Recommended emergency action </w:t>
      </w:r>
    </w:p>
    <w:p w14:paraId="58CC8F09" w14:textId="77777777"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6.1.1 Fire (include suitable and unsuitable extinguishing agent): Carbon Dioxide, Dry Chemical, Foam, Water Fog</w:t>
      </w:r>
    </w:p>
    <w:p w14:paraId="3A982F07" w14:textId="77777777"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 xml:space="preserve">6.1.2 Spillage: Remove all sources of ignition. Avoid breathing dust and keep dust to a minimum. Wet with water if necessary. Contain and remove with a broom and non-sparking tools. </w:t>
      </w:r>
    </w:p>
    <w:p w14:paraId="7B50E273" w14:textId="77777777" w:rsidR="005E66D6" w:rsidRPr="00011639" w:rsidRDefault="005E66D6" w:rsidP="005E66D6">
      <w:pPr>
        <w:pStyle w:val="ListParagraph"/>
        <w:spacing w:after="120"/>
        <w:rPr>
          <w:rFonts w:asciiTheme="majorBidi" w:hAnsiTheme="majorBidi" w:cstheme="majorBidi"/>
          <w:sz w:val="20"/>
          <w:szCs w:val="20"/>
        </w:rPr>
      </w:pPr>
      <w:r w:rsidRPr="00011639">
        <w:rPr>
          <w:rFonts w:asciiTheme="majorBidi" w:hAnsiTheme="majorBidi" w:cstheme="majorBidi"/>
          <w:sz w:val="20"/>
          <w:szCs w:val="20"/>
        </w:rPr>
        <w:t>6.2 Is it proposed to transport the substance in:</w:t>
      </w:r>
    </w:p>
    <w:p w14:paraId="690C5DD8" w14:textId="77777777"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6.2.1 Bulk Containers (6.8) No</w:t>
      </w:r>
    </w:p>
    <w:p w14:paraId="1A792247" w14:textId="77777777"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6.2.2 Intermediate Bulk Containers (6.5) No</w:t>
      </w:r>
    </w:p>
    <w:p w14:paraId="3424CC78" w14:textId="77777777"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6.2.3 Portable tanks (6.7) No</w:t>
      </w:r>
    </w:p>
    <w:p w14:paraId="02C4E6CC" w14:textId="2E1B5388" w:rsidR="005E66D6" w:rsidRPr="00011639" w:rsidRDefault="005E66D6" w:rsidP="005E66D6">
      <w:pPr>
        <w:pStyle w:val="ListParagraph"/>
        <w:spacing w:after="120"/>
        <w:ind w:left="1440"/>
        <w:rPr>
          <w:rFonts w:asciiTheme="majorBidi" w:hAnsiTheme="majorBidi" w:cstheme="majorBidi"/>
          <w:sz w:val="20"/>
          <w:szCs w:val="20"/>
        </w:rPr>
      </w:pPr>
      <w:r w:rsidRPr="00011639">
        <w:rPr>
          <w:rFonts w:asciiTheme="majorBidi" w:hAnsiTheme="majorBidi" w:cstheme="majorBidi"/>
          <w:sz w:val="20"/>
          <w:szCs w:val="20"/>
        </w:rPr>
        <w:t>***If yes provide details in Sections 7,</w:t>
      </w:r>
      <w:r w:rsidR="009F3D19">
        <w:rPr>
          <w:rFonts w:asciiTheme="majorBidi" w:hAnsiTheme="majorBidi" w:cstheme="majorBidi"/>
          <w:sz w:val="20"/>
          <w:szCs w:val="20"/>
        </w:rPr>
        <w:t xml:space="preserve"> </w:t>
      </w:r>
      <w:r w:rsidRPr="00011639">
        <w:rPr>
          <w:rFonts w:asciiTheme="majorBidi" w:hAnsiTheme="majorBidi" w:cstheme="majorBidi"/>
          <w:sz w:val="20"/>
          <w:szCs w:val="20"/>
        </w:rPr>
        <w:t>8 and/or 9</w:t>
      </w:r>
    </w:p>
    <w:p w14:paraId="56D6D35C" w14:textId="77777777" w:rsidR="005E66D6" w:rsidRDefault="005E66D6" w:rsidP="005E66D6">
      <w:pPr>
        <w:pStyle w:val="ListParagraph"/>
        <w:spacing w:after="120"/>
        <w:ind w:left="1440"/>
      </w:pPr>
    </w:p>
    <w:p w14:paraId="0A77538F" w14:textId="77777777" w:rsidR="005E66D6" w:rsidRDefault="005E66D6" w:rsidP="005E66D6">
      <w:pPr>
        <w:pStyle w:val="ListParagraph"/>
        <w:spacing w:after="120"/>
        <w:ind w:left="1440"/>
      </w:pPr>
    </w:p>
    <w:p w14:paraId="1ECD44FB" w14:textId="77777777" w:rsidR="005E66D6" w:rsidRPr="00011639" w:rsidRDefault="005E66D6" w:rsidP="005E66D6">
      <w:pPr>
        <w:pStyle w:val="ListParagraph"/>
        <w:spacing w:after="120"/>
        <w:ind w:left="0"/>
        <w:rPr>
          <w:rFonts w:asciiTheme="majorBidi" w:hAnsiTheme="majorBidi" w:cstheme="majorBidi"/>
          <w:b/>
          <w:bCs/>
          <w:sz w:val="20"/>
          <w:szCs w:val="20"/>
        </w:rPr>
      </w:pPr>
      <w:r w:rsidRPr="00011639">
        <w:rPr>
          <w:rFonts w:asciiTheme="majorBidi" w:hAnsiTheme="majorBidi" w:cstheme="majorBidi"/>
          <w:b/>
          <w:bCs/>
          <w:sz w:val="20"/>
          <w:szCs w:val="20"/>
        </w:rPr>
        <w:t>Section 7. BULK CONTAINERS (Only complete if yes 6.2.1) …N/A</w:t>
      </w:r>
    </w:p>
    <w:p w14:paraId="43DC1538" w14:textId="77777777" w:rsidR="005E66D6" w:rsidRPr="00011639" w:rsidRDefault="005E66D6" w:rsidP="005E66D6">
      <w:pPr>
        <w:pStyle w:val="ListParagraph"/>
        <w:spacing w:after="120"/>
        <w:ind w:left="0"/>
        <w:rPr>
          <w:rFonts w:asciiTheme="majorBidi" w:hAnsiTheme="majorBidi" w:cstheme="majorBidi"/>
          <w:b/>
          <w:bCs/>
          <w:sz w:val="20"/>
          <w:szCs w:val="20"/>
        </w:rPr>
      </w:pPr>
      <w:r w:rsidRPr="00011639">
        <w:rPr>
          <w:rFonts w:asciiTheme="majorBidi" w:hAnsiTheme="majorBidi" w:cstheme="majorBidi"/>
          <w:b/>
          <w:bCs/>
          <w:sz w:val="20"/>
          <w:szCs w:val="20"/>
        </w:rPr>
        <w:t>Section 8. INTERMEDIATE BULK CONTAINERS (Only complete if yes in 6.2.2) …N/A</w:t>
      </w:r>
    </w:p>
    <w:p w14:paraId="6D26DC7C" w14:textId="77777777" w:rsidR="005E66D6" w:rsidRPr="00011639" w:rsidRDefault="005E66D6" w:rsidP="005E66D6">
      <w:pPr>
        <w:pStyle w:val="ListParagraph"/>
        <w:spacing w:after="120"/>
        <w:ind w:left="0"/>
        <w:rPr>
          <w:rFonts w:asciiTheme="majorBidi" w:hAnsiTheme="majorBidi" w:cstheme="majorBidi"/>
          <w:b/>
          <w:bCs/>
          <w:sz w:val="20"/>
          <w:szCs w:val="20"/>
        </w:rPr>
      </w:pPr>
      <w:r w:rsidRPr="00011639">
        <w:rPr>
          <w:rFonts w:asciiTheme="majorBidi" w:hAnsiTheme="majorBidi" w:cstheme="majorBidi"/>
          <w:b/>
          <w:bCs/>
          <w:sz w:val="20"/>
          <w:szCs w:val="20"/>
        </w:rPr>
        <w:t>Section 9. MULTIMODAL TANK TRANSPORT (Only complete if yes in 6.2.3) …N/A</w:t>
      </w:r>
    </w:p>
    <w:p w14:paraId="4A6C8676" w14:textId="66E15DE0" w:rsidR="00DA4DAB" w:rsidRDefault="00DA4DAB">
      <w:pPr>
        <w:suppressAutoHyphens w:val="0"/>
        <w:kinsoku/>
        <w:overflowPunct/>
        <w:autoSpaceDE/>
        <w:autoSpaceDN/>
        <w:adjustRightInd/>
        <w:snapToGrid/>
        <w:spacing w:after="200" w:line="276" w:lineRule="auto"/>
      </w:pPr>
      <w:r>
        <w:br w:type="page"/>
      </w:r>
    </w:p>
    <w:p w14:paraId="28690613" w14:textId="6D08320F" w:rsidR="00CF4077" w:rsidRPr="00AE3774" w:rsidRDefault="00AE3774" w:rsidP="006D3A2D">
      <w:pPr>
        <w:pStyle w:val="ListParagraph"/>
        <w:tabs>
          <w:tab w:val="left" w:pos="7938"/>
        </w:tabs>
        <w:spacing w:after="120"/>
        <w:ind w:left="0"/>
        <w:rPr>
          <w:rFonts w:asciiTheme="majorBidi" w:hAnsiTheme="majorBidi" w:cstheme="majorBidi"/>
          <w:sz w:val="20"/>
          <w:szCs w:val="20"/>
        </w:rPr>
      </w:pPr>
      <w:r w:rsidRPr="00AE3774">
        <w:rPr>
          <w:rFonts w:asciiTheme="majorBidi" w:hAnsiTheme="majorBidi" w:cstheme="majorBidi"/>
          <w:b/>
          <w:bCs/>
          <w:sz w:val="28"/>
          <w:szCs w:val="28"/>
        </w:rPr>
        <w:lastRenderedPageBreak/>
        <w:t>Appendix</w:t>
      </w:r>
      <w:r w:rsidRPr="00AE3774">
        <w:rPr>
          <w:rFonts w:asciiTheme="majorBidi" w:hAnsiTheme="majorBidi" w:cstheme="majorBidi"/>
          <w:sz w:val="20"/>
          <w:szCs w:val="20"/>
        </w:rPr>
        <w:tab/>
      </w:r>
      <w:r w:rsidR="00CF4077" w:rsidRPr="00AE3774">
        <w:rPr>
          <w:rFonts w:asciiTheme="majorBidi" w:hAnsiTheme="majorBidi" w:cstheme="majorBidi"/>
          <w:sz w:val="20"/>
          <w:szCs w:val="20"/>
        </w:rPr>
        <w:t>[English only]</w:t>
      </w:r>
    </w:p>
    <w:p w14:paraId="3272DC27" w14:textId="4B8780E7" w:rsidR="00B80F39" w:rsidRPr="00AE3774" w:rsidRDefault="00B80F39" w:rsidP="00AE3774">
      <w:pPr>
        <w:pStyle w:val="ListParagraph"/>
        <w:spacing w:after="120"/>
        <w:ind w:left="0"/>
        <w:jc w:val="center"/>
        <w:rPr>
          <w:rFonts w:asciiTheme="majorBidi" w:hAnsiTheme="majorBidi" w:cstheme="majorBidi"/>
          <w:b/>
          <w:bCs/>
          <w:sz w:val="20"/>
          <w:szCs w:val="20"/>
        </w:rPr>
      </w:pPr>
      <w:r w:rsidRPr="00AE3774">
        <w:rPr>
          <w:rFonts w:asciiTheme="majorBidi" w:hAnsiTheme="majorBidi" w:cstheme="majorBidi"/>
          <w:b/>
          <w:bCs/>
          <w:sz w:val="20"/>
          <w:szCs w:val="20"/>
        </w:rPr>
        <w:t>STRESAU TEST REPORT # 21048</w:t>
      </w:r>
    </w:p>
    <w:p w14:paraId="7B74978F" w14:textId="77777777" w:rsidR="00B80F39" w:rsidRDefault="00B80F39" w:rsidP="00B80F39">
      <w:pPr>
        <w:spacing w:after="120"/>
      </w:pPr>
      <w:r w:rsidRPr="003635B1">
        <w:rPr>
          <w:noProof/>
        </w:rPr>
        <w:drawing>
          <wp:inline distT="0" distB="0" distL="0" distR="0" wp14:anchorId="0122C397" wp14:editId="2DB61B99">
            <wp:extent cx="6120765" cy="7910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7910195"/>
                    </a:xfrm>
                    <a:prstGeom prst="rect">
                      <a:avLst/>
                    </a:prstGeom>
                  </pic:spPr>
                </pic:pic>
              </a:graphicData>
            </a:graphic>
          </wp:inline>
        </w:drawing>
      </w:r>
    </w:p>
    <w:p w14:paraId="12E8F034" w14:textId="77777777" w:rsidR="00B80F39" w:rsidRDefault="00B80F39" w:rsidP="00B80F39"/>
    <w:p w14:paraId="0D53C29A" w14:textId="77777777" w:rsidR="00B80F39" w:rsidRDefault="00B80F39" w:rsidP="00B80F39">
      <w:r w:rsidRPr="003240FF">
        <w:rPr>
          <w:noProof/>
        </w:rPr>
        <w:lastRenderedPageBreak/>
        <w:drawing>
          <wp:inline distT="0" distB="0" distL="0" distR="0" wp14:anchorId="3E4D88B6" wp14:editId="3F828213">
            <wp:extent cx="6271639" cy="807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6586" cy="8083572"/>
                    </a:xfrm>
                    <a:prstGeom prst="rect">
                      <a:avLst/>
                    </a:prstGeom>
                  </pic:spPr>
                </pic:pic>
              </a:graphicData>
            </a:graphic>
          </wp:inline>
        </w:drawing>
      </w:r>
    </w:p>
    <w:p w14:paraId="615D3AE7" w14:textId="77777777" w:rsidR="00B80F39" w:rsidRPr="003240FF" w:rsidRDefault="00B80F39" w:rsidP="00B80F39"/>
    <w:p w14:paraId="50A98928" w14:textId="77777777" w:rsidR="00B80F39" w:rsidRPr="003240FF" w:rsidRDefault="00B80F39" w:rsidP="00B80F39"/>
    <w:p w14:paraId="2C24DE5B" w14:textId="77777777" w:rsidR="00B80F39" w:rsidRDefault="00B80F39" w:rsidP="00B80F39">
      <w:pPr>
        <w:tabs>
          <w:tab w:val="left" w:pos="1515"/>
        </w:tabs>
      </w:pPr>
      <w:r w:rsidRPr="003240FF">
        <w:rPr>
          <w:noProof/>
        </w:rPr>
        <w:lastRenderedPageBreak/>
        <w:drawing>
          <wp:inline distT="0" distB="0" distL="0" distR="0" wp14:anchorId="0CC4EDDE" wp14:editId="79E624C1">
            <wp:extent cx="6196965" cy="79874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8314" cy="7989195"/>
                    </a:xfrm>
                    <a:prstGeom prst="rect">
                      <a:avLst/>
                    </a:prstGeom>
                  </pic:spPr>
                </pic:pic>
              </a:graphicData>
            </a:graphic>
          </wp:inline>
        </w:drawing>
      </w:r>
    </w:p>
    <w:p w14:paraId="1D731AF5" w14:textId="77777777" w:rsidR="00B80F39" w:rsidRDefault="00B80F39" w:rsidP="00B80F39"/>
    <w:p w14:paraId="00A96A6E" w14:textId="77777777" w:rsidR="00B80F39" w:rsidRDefault="00B80F39" w:rsidP="00B80F39">
      <w:pPr>
        <w:tabs>
          <w:tab w:val="left" w:pos="1305"/>
        </w:tabs>
      </w:pPr>
      <w:r w:rsidRPr="003240FF">
        <w:rPr>
          <w:noProof/>
        </w:rPr>
        <w:lastRenderedPageBreak/>
        <w:drawing>
          <wp:inline distT="0" distB="0" distL="0" distR="0" wp14:anchorId="0D1CE86B" wp14:editId="290CFE5B">
            <wp:extent cx="6177915" cy="797508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2083" cy="7980460"/>
                    </a:xfrm>
                    <a:prstGeom prst="rect">
                      <a:avLst/>
                    </a:prstGeom>
                  </pic:spPr>
                </pic:pic>
              </a:graphicData>
            </a:graphic>
          </wp:inline>
        </w:drawing>
      </w:r>
    </w:p>
    <w:p w14:paraId="7E64A080" w14:textId="77777777" w:rsidR="00B80F39" w:rsidRDefault="00B80F39" w:rsidP="00B80F39"/>
    <w:p w14:paraId="1ABF984E" w14:textId="77777777" w:rsidR="00B80F39" w:rsidRDefault="00B80F39" w:rsidP="00B80F39">
      <w:pPr>
        <w:tabs>
          <w:tab w:val="left" w:pos="1995"/>
        </w:tabs>
      </w:pPr>
    </w:p>
    <w:p w14:paraId="4342B9EF" w14:textId="77777777" w:rsidR="00B80F39" w:rsidRDefault="00B80F39" w:rsidP="00B80F39">
      <w:pPr>
        <w:tabs>
          <w:tab w:val="left" w:pos="1995"/>
        </w:tabs>
      </w:pPr>
      <w:r w:rsidRPr="003240FF">
        <w:rPr>
          <w:noProof/>
        </w:rPr>
        <w:lastRenderedPageBreak/>
        <w:drawing>
          <wp:inline distT="0" distB="0" distL="0" distR="0" wp14:anchorId="7286A659" wp14:editId="32A89480">
            <wp:extent cx="6278153" cy="80295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1467" cy="8033814"/>
                    </a:xfrm>
                    <a:prstGeom prst="rect">
                      <a:avLst/>
                    </a:prstGeom>
                  </pic:spPr>
                </pic:pic>
              </a:graphicData>
            </a:graphic>
          </wp:inline>
        </w:drawing>
      </w:r>
    </w:p>
    <w:p w14:paraId="71E3D83E" w14:textId="77777777" w:rsidR="00B80F39" w:rsidRDefault="00B80F39" w:rsidP="00B80F39"/>
    <w:p w14:paraId="58DF4DDA" w14:textId="77777777" w:rsidR="00B80F39" w:rsidRDefault="00B80F39" w:rsidP="00B80F39">
      <w:pPr>
        <w:tabs>
          <w:tab w:val="left" w:pos="2070"/>
        </w:tabs>
      </w:pPr>
    </w:p>
    <w:p w14:paraId="09BA87EE" w14:textId="77777777" w:rsidR="00B80F39" w:rsidRDefault="00B80F39" w:rsidP="00B80F39">
      <w:pPr>
        <w:tabs>
          <w:tab w:val="left" w:pos="2070"/>
        </w:tabs>
      </w:pPr>
      <w:r w:rsidRPr="003240FF">
        <w:rPr>
          <w:noProof/>
        </w:rPr>
        <w:lastRenderedPageBreak/>
        <w:drawing>
          <wp:inline distT="0" distB="0" distL="0" distR="0" wp14:anchorId="0855C932" wp14:editId="5E143CB5">
            <wp:extent cx="6201267" cy="80016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9614" cy="8012405"/>
                    </a:xfrm>
                    <a:prstGeom prst="rect">
                      <a:avLst/>
                    </a:prstGeom>
                  </pic:spPr>
                </pic:pic>
              </a:graphicData>
            </a:graphic>
          </wp:inline>
        </w:drawing>
      </w:r>
    </w:p>
    <w:p w14:paraId="53FD5FDF" w14:textId="77777777" w:rsidR="00B80F39" w:rsidRPr="003240FF" w:rsidRDefault="00B80F39" w:rsidP="00B80F39"/>
    <w:p w14:paraId="5CB674FE" w14:textId="77777777" w:rsidR="00B80F39" w:rsidRDefault="00B80F39" w:rsidP="00B80F39">
      <w:pPr>
        <w:tabs>
          <w:tab w:val="left" w:pos="1920"/>
        </w:tabs>
      </w:pPr>
    </w:p>
    <w:p w14:paraId="5EB31D65" w14:textId="77777777" w:rsidR="00B80F39" w:rsidRDefault="00B80F39" w:rsidP="00B80F39">
      <w:pPr>
        <w:tabs>
          <w:tab w:val="left" w:pos="1920"/>
        </w:tabs>
      </w:pPr>
      <w:r w:rsidRPr="003240FF">
        <w:rPr>
          <w:noProof/>
        </w:rPr>
        <w:lastRenderedPageBreak/>
        <w:drawing>
          <wp:inline distT="0" distB="0" distL="0" distR="0" wp14:anchorId="4969D8C6" wp14:editId="7CAE08C8">
            <wp:extent cx="6260449" cy="8039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9227" cy="8063213"/>
                    </a:xfrm>
                    <a:prstGeom prst="rect">
                      <a:avLst/>
                    </a:prstGeom>
                  </pic:spPr>
                </pic:pic>
              </a:graphicData>
            </a:graphic>
          </wp:inline>
        </w:drawing>
      </w:r>
    </w:p>
    <w:p w14:paraId="187BA5D4" w14:textId="77777777" w:rsidR="00B80F39" w:rsidRPr="003240FF" w:rsidRDefault="00B80F39" w:rsidP="00B80F39"/>
    <w:p w14:paraId="6C611896" w14:textId="77777777" w:rsidR="00B80F39" w:rsidRDefault="00B80F39" w:rsidP="00B80F39">
      <w:pPr>
        <w:tabs>
          <w:tab w:val="left" w:pos="2400"/>
        </w:tabs>
      </w:pPr>
    </w:p>
    <w:p w14:paraId="27400157" w14:textId="7660734C" w:rsidR="00B80F39" w:rsidRDefault="00B80F39" w:rsidP="00DF5937">
      <w:pPr>
        <w:tabs>
          <w:tab w:val="left" w:pos="2400"/>
        </w:tabs>
      </w:pPr>
      <w:r w:rsidRPr="003240FF">
        <w:rPr>
          <w:noProof/>
        </w:rPr>
        <w:lastRenderedPageBreak/>
        <w:drawing>
          <wp:anchor distT="0" distB="0" distL="114300" distR="114300" simplePos="0" relativeHeight="251662336" behindDoc="0" locked="0" layoutInCell="1" allowOverlap="1" wp14:anchorId="3B93CD3A" wp14:editId="30350B8E">
            <wp:simplePos x="723900" y="895350"/>
            <wp:positionH relativeFrom="margin">
              <wp:align>left</wp:align>
            </wp:positionH>
            <wp:positionV relativeFrom="paragraph">
              <wp:align>top</wp:align>
            </wp:positionV>
            <wp:extent cx="6200775" cy="8020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07413" cy="8028776"/>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5D803F9E" w14:textId="77777777" w:rsidR="00B80F39" w:rsidRDefault="00B80F39" w:rsidP="00B80F39">
      <w:pPr>
        <w:tabs>
          <w:tab w:val="left" w:pos="2400"/>
        </w:tabs>
      </w:pPr>
    </w:p>
    <w:p w14:paraId="1C158883" w14:textId="77777777" w:rsidR="00B80F39" w:rsidRPr="003240FF" w:rsidRDefault="00B80F39" w:rsidP="00B80F39">
      <w:pPr>
        <w:tabs>
          <w:tab w:val="left" w:pos="2400"/>
        </w:tabs>
      </w:pPr>
      <w:r w:rsidRPr="003240FF">
        <w:rPr>
          <w:noProof/>
        </w:rPr>
        <w:lastRenderedPageBreak/>
        <w:drawing>
          <wp:inline distT="0" distB="0" distL="0" distR="0" wp14:anchorId="7E09061F" wp14:editId="3B3CD4AA">
            <wp:extent cx="6276975" cy="80671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1092" cy="8111005"/>
                    </a:xfrm>
                    <a:prstGeom prst="rect">
                      <a:avLst/>
                    </a:prstGeom>
                  </pic:spPr>
                </pic:pic>
              </a:graphicData>
            </a:graphic>
          </wp:inline>
        </w:drawing>
      </w:r>
    </w:p>
    <w:p w14:paraId="05D6EF49" w14:textId="13122615" w:rsidR="00DA4DAB" w:rsidRPr="00E77EA3" w:rsidRDefault="00E77EA3" w:rsidP="00E77EA3">
      <w:pPr>
        <w:spacing w:before="240"/>
        <w:jc w:val="center"/>
        <w:rPr>
          <w:u w:val="single"/>
        </w:rPr>
      </w:pPr>
      <w:r>
        <w:rPr>
          <w:u w:val="single"/>
        </w:rPr>
        <w:tab/>
      </w:r>
      <w:r>
        <w:rPr>
          <w:u w:val="single"/>
        </w:rPr>
        <w:tab/>
      </w:r>
      <w:r>
        <w:rPr>
          <w:u w:val="single"/>
        </w:rPr>
        <w:tab/>
      </w:r>
    </w:p>
    <w:sectPr w:rsidR="00DA4DAB" w:rsidRPr="00E77EA3" w:rsidSect="00EF6AD0">
      <w:headerReference w:type="even" r:id="rId23"/>
      <w:headerReference w:type="default" r:id="rId24"/>
      <w:footerReference w:type="even" r:id="rId25"/>
      <w:footerReference w:type="default" r:id="rId26"/>
      <w:footerReference w:type="first" r:id="rId27"/>
      <w:footnotePr>
        <w:numFmt w:val="chicago"/>
      </w:footnotePr>
      <w:endnotePr>
        <w:numFmt w:val="decimal"/>
      </w:endnotePr>
      <w:type w:val="continuous"/>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94353" w14:textId="77777777" w:rsidR="007E39D3" w:rsidRPr="00C47B2E" w:rsidRDefault="007E39D3" w:rsidP="00C47B2E">
      <w:pPr>
        <w:pStyle w:val="Footer"/>
      </w:pPr>
    </w:p>
  </w:endnote>
  <w:endnote w:type="continuationSeparator" w:id="0">
    <w:p w14:paraId="156E4973" w14:textId="77777777" w:rsidR="007E39D3" w:rsidRPr="00C47B2E" w:rsidRDefault="007E39D3" w:rsidP="00C47B2E">
      <w:pPr>
        <w:pStyle w:val="Footer"/>
      </w:pPr>
    </w:p>
  </w:endnote>
  <w:endnote w:type="continuationNotice" w:id="1">
    <w:p w14:paraId="1E2EA4CE" w14:textId="77777777" w:rsidR="007E39D3" w:rsidRPr="00C47B2E" w:rsidRDefault="007E39D3"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9F5F" w14:textId="4A49B613" w:rsidR="00D94B05" w:rsidRPr="00993D78" w:rsidRDefault="00993D78" w:rsidP="00993D78">
    <w:pPr>
      <w:pStyle w:val="Footer"/>
      <w:tabs>
        <w:tab w:val="right" w:pos="9598"/>
        <w:tab w:val="right" w:pos="9638"/>
      </w:tabs>
      <w:rPr>
        <w:sz w:val="18"/>
      </w:rPr>
    </w:pPr>
    <w:r w:rsidRPr="00993D78">
      <w:rPr>
        <w:b/>
        <w:sz w:val="18"/>
      </w:rPr>
      <w:fldChar w:fldCharType="begin"/>
    </w:r>
    <w:r w:rsidRPr="00993D78">
      <w:rPr>
        <w:b/>
        <w:sz w:val="18"/>
      </w:rPr>
      <w:instrText xml:space="preserve"> PAGE  \* MERGEFORMAT </w:instrText>
    </w:r>
    <w:r w:rsidRPr="00993D78">
      <w:rPr>
        <w:b/>
        <w:sz w:val="18"/>
      </w:rPr>
      <w:fldChar w:fldCharType="separate"/>
    </w:r>
    <w:r w:rsidRPr="00993D78">
      <w:rPr>
        <w:b/>
        <w:noProof/>
        <w:sz w:val="18"/>
      </w:rPr>
      <w:t>2</w:t>
    </w:r>
    <w:r w:rsidRPr="00993D7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DCE6" w14:textId="578A5DD5" w:rsidR="00D94B05" w:rsidRPr="00BB37FC" w:rsidRDefault="00993D78" w:rsidP="00BB37FC">
    <w:pPr>
      <w:pStyle w:val="Footer"/>
      <w:tabs>
        <w:tab w:val="right" w:pos="9072"/>
        <w:tab w:val="right" w:pos="9638"/>
      </w:tabs>
      <w:rPr>
        <w:b/>
        <w:bCs/>
        <w:sz w:val="18"/>
      </w:rPr>
    </w:pPr>
    <w:r>
      <w:rPr>
        <w:b/>
        <w:sz w:val="18"/>
      </w:rPr>
      <w:tab/>
    </w:r>
    <w:r w:rsidR="00BB37FC" w:rsidRPr="00BB37FC">
      <w:rPr>
        <w:b/>
        <w:bCs/>
        <w:sz w:val="18"/>
      </w:rPr>
      <w:fldChar w:fldCharType="begin"/>
    </w:r>
    <w:r w:rsidR="00BB37FC" w:rsidRPr="00BB37FC">
      <w:rPr>
        <w:b/>
        <w:bCs/>
        <w:sz w:val="18"/>
      </w:rPr>
      <w:instrText xml:space="preserve"> PAGE  \* MERGEFORMAT </w:instrText>
    </w:r>
    <w:r w:rsidR="00BB37FC" w:rsidRPr="00BB37FC">
      <w:rPr>
        <w:b/>
        <w:bCs/>
        <w:sz w:val="18"/>
      </w:rPr>
      <w:fldChar w:fldCharType="separate"/>
    </w:r>
    <w:r w:rsidR="00BB37FC" w:rsidRPr="00BB37FC">
      <w:rPr>
        <w:b/>
        <w:bCs/>
        <w:sz w:val="18"/>
      </w:rPr>
      <w:t>3</w:t>
    </w:r>
    <w:r w:rsidR="00BB37FC" w:rsidRPr="00BB37FC">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2747F" w14:textId="77777777" w:rsidR="00D94B05" w:rsidRPr="00993D78"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5DC1E9C2" wp14:editId="73318DF1">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6E64E" w14:textId="77777777" w:rsidR="007E39D3" w:rsidRPr="00C47B2E" w:rsidRDefault="007E39D3" w:rsidP="00C47B2E">
      <w:pPr>
        <w:tabs>
          <w:tab w:val="right" w:pos="2155"/>
        </w:tabs>
        <w:spacing w:after="80" w:line="240" w:lineRule="auto"/>
        <w:ind w:left="680"/>
      </w:pPr>
      <w:r>
        <w:rPr>
          <w:u w:val="single"/>
        </w:rPr>
        <w:tab/>
      </w:r>
    </w:p>
  </w:footnote>
  <w:footnote w:type="continuationSeparator" w:id="0">
    <w:p w14:paraId="08C9C544" w14:textId="77777777" w:rsidR="007E39D3" w:rsidRPr="00C47B2E" w:rsidRDefault="007E39D3" w:rsidP="005E716E">
      <w:pPr>
        <w:tabs>
          <w:tab w:val="right" w:pos="2155"/>
        </w:tabs>
        <w:spacing w:after="80" w:line="240" w:lineRule="auto"/>
        <w:ind w:left="680"/>
      </w:pPr>
      <w:r>
        <w:rPr>
          <w:u w:val="single"/>
        </w:rPr>
        <w:tab/>
      </w:r>
    </w:p>
  </w:footnote>
  <w:footnote w:type="continuationNotice" w:id="1">
    <w:p w14:paraId="32A2DA28" w14:textId="77777777" w:rsidR="007E39D3" w:rsidRPr="00C47B2E" w:rsidRDefault="007E39D3" w:rsidP="00C47B2E">
      <w:pPr>
        <w:pStyle w:val="Footer"/>
      </w:pPr>
    </w:p>
  </w:footnote>
  <w:footnote w:id="2">
    <w:p w14:paraId="43D8514A" w14:textId="01413DF5" w:rsidR="007A5F59" w:rsidRPr="007A5F59" w:rsidRDefault="007A5F59" w:rsidP="007A5F59">
      <w:pPr>
        <w:pStyle w:val="FootnoteText"/>
        <w:ind w:firstLine="0"/>
        <w:rPr>
          <w:lang w:val="fr-CH"/>
        </w:rPr>
      </w:pPr>
      <w:r>
        <w:rPr>
          <w:rStyle w:val="FootnoteReference"/>
        </w:rPr>
        <w:footnoteRef/>
      </w:r>
      <w:r>
        <w:t xml:space="preserve"> </w:t>
      </w:r>
      <w:r>
        <w:rPr>
          <w:lang w:val="en-US"/>
        </w:rPr>
        <w:t>A/75/6 (Sect.20), para. 20.51</w:t>
      </w:r>
    </w:p>
  </w:footnote>
  <w:footnote w:id="3">
    <w:p w14:paraId="495A24F3" w14:textId="0BA05918" w:rsidR="00935CFB" w:rsidRPr="00935CFB" w:rsidRDefault="00935CFB" w:rsidP="00935CFB">
      <w:pPr>
        <w:pStyle w:val="FootnoteText"/>
        <w:ind w:firstLine="0"/>
        <w:rPr>
          <w:lang w:val="fr-CH"/>
        </w:rPr>
      </w:pPr>
      <w:r>
        <w:rPr>
          <w:rStyle w:val="FootnoteReference"/>
        </w:rPr>
        <w:t>1</w:t>
      </w:r>
      <w:r>
        <w:t xml:space="preserve"> See </w:t>
      </w:r>
      <w:hyperlink r:id="rId1" w:history="1">
        <w:r>
          <w:rPr>
            <w:rStyle w:val="Hyperlink"/>
          </w:rPr>
          <w:t xml:space="preserve">p-benzoquinone </w:t>
        </w:r>
        <w:proofErr w:type="spellStart"/>
        <w:r>
          <w:rPr>
            <w:rStyle w:val="Hyperlink"/>
          </w:rPr>
          <w:t>dioxime</w:t>
        </w:r>
        <w:proofErr w:type="spellEnd"/>
        <w:r>
          <w:rPr>
            <w:rStyle w:val="Hyperlink"/>
          </w:rPr>
          <w:t xml:space="preserve"> - Substance Information - ECHA (europa.eu)</w:t>
        </w:r>
      </w:hyperlink>
    </w:p>
  </w:footnote>
  <w:footnote w:id="4">
    <w:p w14:paraId="7A79F1F3" w14:textId="344441C4" w:rsidR="00AF0B5F" w:rsidRPr="00AF0B5F" w:rsidRDefault="00AF0B5F" w:rsidP="00225954">
      <w:pPr>
        <w:pStyle w:val="FootnoteText"/>
        <w:tabs>
          <w:tab w:val="left" w:pos="851"/>
        </w:tabs>
        <w:ind w:hanging="567"/>
        <w:rPr>
          <w:lang w:val="fr-CH"/>
        </w:rPr>
      </w:pPr>
      <w:r>
        <w:rPr>
          <w:rStyle w:val="FootnoteReference"/>
        </w:rPr>
        <w:t>2</w:t>
      </w:r>
      <w:r>
        <w:t xml:space="preserve"> </w:t>
      </w:r>
      <w:r w:rsidR="00225954">
        <w:tab/>
      </w:r>
      <w:r w:rsidR="00225954">
        <w:t>See definition of "liquid" in 1.2.1 of the Model Regulations on the Transport of Dangerous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C4AF8" w14:textId="395FFDA1" w:rsidR="00993D78" w:rsidRPr="00935CFB" w:rsidRDefault="00935CFB">
    <w:pPr>
      <w:pStyle w:val="Header"/>
      <w:rPr>
        <w:lang w:val="fr-CH"/>
      </w:rPr>
    </w:pPr>
    <w:r>
      <w:rPr>
        <w:lang w:val="fr-CH"/>
      </w:rPr>
      <w:t>ST/SG/AC.10/C.3/2021/39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F19B5" w14:textId="740ED80D" w:rsidR="00D94B05" w:rsidRPr="00DD0B19" w:rsidRDefault="00DD0B19" w:rsidP="00993D78">
    <w:pPr>
      <w:pStyle w:val="Header"/>
      <w:jc w:val="right"/>
      <w:rPr>
        <w:lang w:val="fr-CH"/>
      </w:rPr>
    </w:pPr>
    <w:r>
      <w:rPr>
        <w:lang w:val="fr-CH"/>
      </w:rPr>
      <w:t>ST/SG/AC.10/C.3/2021/39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77A4C3A"/>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5"/>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567"/>
  <w:hyphenationZone w:val="425"/>
  <w:evenAndOddHeaders/>
  <w:characterSpacingControl w:val="doNotCompress"/>
  <w:hdrShapeDefaults>
    <o:shapedefaults v:ext="edit" spidmax="4097"/>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D78"/>
    <w:rsid w:val="000018D3"/>
    <w:rsid w:val="00011639"/>
    <w:rsid w:val="0001585B"/>
    <w:rsid w:val="0004545F"/>
    <w:rsid w:val="00046E92"/>
    <w:rsid w:val="000527FE"/>
    <w:rsid w:val="00063C90"/>
    <w:rsid w:val="0007790E"/>
    <w:rsid w:val="00093750"/>
    <w:rsid w:val="000B2259"/>
    <w:rsid w:val="000C5BC8"/>
    <w:rsid w:val="000D5DC0"/>
    <w:rsid w:val="000F0041"/>
    <w:rsid w:val="00101B98"/>
    <w:rsid w:val="001022BB"/>
    <w:rsid w:val="001514D1"/>
    <w:rsid w:val="00194144"/>
    <w:rsid w:val="001942F1"/>
    <w:rsid w:val="001C5783"/>
    <w:rsid w:val="001E7F3D"/>
    <w:rsid w:val="00211E21"/>
    <w:rsid w:val="00224233"/>
    <w:rsid w:val="00225954"/>
    <w:rsid w:val="00247E2C"/>
    <w:rsid w:val="00271148"/>
    <w:rsid w:val="002A32CB"/>
    <w:rsid w:val="002B4133"/>
    <w:rsid w:val="002B7E0C"/>
    <w:rsid w:val="002D5B2C"/>
    <w:rsid w:val="002D6C53"/>
    <w:rsid w:val="002E0BEF"/>
    <w:rsid w:val="002F0BE6"/>
    <w:rsid w:val="002F51D4"/>
    <w:rsid w:val="002F5595"/>
    <w:rsid w:val="00314759"/>
    <w:rsid w:val="003149B5"/>
    <w:rsid w:val="003307F7"/>
    <w:rsid w:val="00334F6A"/>
    <w:rsid w:val="00336D7B"/>
    <w:rsid w:val="00342AC8"/>
    <w:rsid w:val="00343302"/>
    <w:rsid w:val="00355431"/>
    <w:rsid w:val="00357084"/>
    <w:rsid w:val="003763CA"/>
    <w:rsid w:val="003979DE"/>
    <w:rsid w:val="00397C3C"/>
    <w:rsid w:val="003B4550"/>
    <w:rsid w:val="003C2856"/>
    <w:rsid w:val="003D2A18"/>
    <w:rsid w:val="003E62AA"/>
    <w:rsid w:val="00413386"/>
    <w:rsid w:val="004308C9"/>
    <w:rsid w:val="00440375"/>
    <w:rsid w:val="004607CD"/>
    <w:rsid w:val="00461253"/>
    <w:rsid w:val="00471482"/>
    <w:rsid w:val="00471C63"/>
    <w:rsid w:val="004858F5"/>
    <w:rsid w:val="004A2814"/>
    <w:rsid w:val="004C0622"/>
    <w:rsid w:val="005042C2"/>
    <w:rsid w:val="005074A6"/>
    <w:rsid w:val="00517561"/>
    <w:rsid w:val="005528E8"/>
    <w:rsid w:val="00583694"/>
    <w:rsid w:val="00585372"/>
    <w:rsid w:val="00587D89"/>
    <w:rsid w:val="005C79B4"/>
    <w:rsid w:val="005E66D6"/>
    <w:rsid w:val="005E716E"/>
    <w:rsid w:val="00613EED"/>
    <w:rsid w:val="00625A4C"/>
    <w:rsid w:val="006476E1"/>
    <w:rsid w:val="006604DF"/>
    <w:rsid w:val="00670A43"/>
    <w:rsid w:val="00671529"/>
    <w:rsid w:val="00697205"/>
    <w:rsid w:val="006A4B72"/>
    <w:rsid w:val="006A4E92"/>
    <w:rsid w:val="006D3A2D"/>
    <w:rsid w:val="006F58CD"/>
    <w:rsid w:val="0070489D"/>
    <w:rsid w:val="007268F9"/>
    <w:rsid w:val="007444DF"/>
    <w:rsid w:val="00750282"/>
    <w:rsid w:val="00750B81"/>
    <w:rsid w:val="00764440"/>
    <w:rsid w:val="0077101B"/>
    <w:rsid w:val="0078710A"/>
    <w:rsid w:val="007950E2"/>
    <w:rsid w:val="007A5F59"/>
    <w:rsid w:val="007B720C"/>
    <w:rsid w:val="007C52B0"/>
    <w:rsid w:val="007C6033"/>
    <w:rsid w:val="007E39D3"/>
    <w:rsid w:val="007E7E76"/>
    <w:rsid w:val="007F6D46"/>
    <w:rsid w:val="008147C8"/>
    <w:rsid w:val="0081753A"/>
    <w:rsid w:val="008205A3"/>
    <w:rsid w:val="00824889"/>
    <w:rsid w:val="00835A1C"/>
    <w:rsid w:val="00841474"/>
    <w:rsid w:val="00857D23"/>
    <w:rsid w:val="00861007"/>
    <w:rsid w:val="00864F62"/>
    <w:rsid w:val="008D68E2"/>
    <w:rsid w:val="0091708B"/>
    <w:rsid w:val="00935CFB"/>
    <w:rsid w:val="00937E22"/>
    <w:rsid w:val="009411B4"/>
    <w:rsid w:val="00942530"/>
    <w:rsid w:val="00946F1D"/>
    <w:rsid w:val="00986FC0"/>
    <w:rsid w:val="00993D78"/>
    <w:rsid w:val="00994D72"/>
    <w:rsid w:val="009D0139"/>
    <w:rsid w:val="009D717D"/>
    <w:rsid w:val="009F3D19"/>
    <w:rsid w:val="009F5CDC"/>
    <w:rsid w:val="00A072D7"/>
    <w:rsid w:val="00A12CB0"/>
    <w:rsid w:val="00A775CF"/>
    <w:rsid w:val="00A84840"/>
    <w:rsid w:val="00AA5866"/>
    <w:rsid w:val="00AA6C22"/>
    <w:rsid w:val="00AB7B7D"/>
    <w:rsid w:val="00AD1A9C"/>
    <w:rsid w:val="00AE3774"/>
    <w:rsid w:val="00AF0B5F"/>
    <w:rsid w:val="00AF5DE1"/>
    <w:rsid w:val="00B01F87"/>
    <w:rsid w:val="00B04D7A"/>
    <w:rsid w:val="00B06045"/>
    <w:rsid w:val="00B206DD"/>
    <w:rsid w:val="00B354C6"/>
    <w:rsid w:val="00B52EF4"/>
    <w:rsid w:val="00B777AD"/>
    <w:rsid w:val="00B80F39"/>
    <w:rsid w:val="00B82EC4"/>
    <w:rsid w:val="00BA3CD9"/>
    <w:rsid w:val="00BB37FC"/>
    <w:rsid w:val="00C03015"/>
    <w:rsid w:val="00C0358D"/>
    <w:rsid w:val="00C144D4"/>
    <w:rsid w:val="00C23819"/>
    <w:rsid w:val="00C30F19"/>
    <w:rsid w:val="00C32802"/>
    <w:rsid w:val="00C35A27"/>
    <w:rsid w:val="00C47B2E"/>
    <w:rsid w:val="00C5205B"/>
    <w:rsid w:val="00C75794"/>
    <w:rsid w:val="00C9141D"/>
    <w:rsid w:val="00CA47D7"/>
    <w:rsid w:val="00CD6C0F"/>
    <w:rsid w:val="00CF4077"/>
    <w:rsid w:val="00D20D5A"/>
    <w:rsid w:val="00D53A81"/>
    <w:rsid w:val="00D572A5"/>
    <w:rsid w:val="00D63CD2"/>
    <w:rsid w:val="00D7685D"/>
    <w:rsid w:val="00D87BD2"/>
    <w:rsid w:val="00D87DC2"/>
    <w:rsid w:val="00D94B05"/>
    <w:rsid w:val="00DA4DAB"/>
    <w:rsid w:val="00DC2DC8"/>
    <w:rsid w:val="00DD0B19"/>
    <w:rsid w:val="00DF4C0E"/>
    <w:rsid w:val="00DF5937"/>
    <w:rsid w:val="00DF6918"/>
    <w:rsid w:val="00E02C2B"/>
    <w:rsid w:val="00E21C27"/>
    <w:rsid w:val="00E26BCF"/>
    <w:rsid w:val="00E41B1C"/>
    <w:rsid w:val="00E52109"/>
    <w:rsid w:val="00E75317"/>
    <w:rsid w:val="00E77EA3"/>
    <w:rsid w:val="00E846B8"/>
    <w:rsid w:val="00EC0CE6"/>
    <w:rsid w:val="00EC7C1D"/>
    <w:rsid w:val="00ED61C2"/>
    <w:rsid w:val="00ED6C48"/>
    <w:rsid w:val="00EE3045"/>
    <w:rsid w:val="00EF65CB"/>
    <w:rsid w:val="00EF6AD0"/>
    <w:rsid w:val="00F15C84"/>
    <w:rsid w:val="00F21F0D"/>
    <w:rsid w:val="00F65006"/>
    <w:rsid w:val="00F65F5D"/>
    <w:rsid w:val="00F86A3A"/>
    <w:rsid w:val="00F95A67"/>
    <w:rsid w:val="00F96635"/>
    <w:rsid w:val="00FF467B"/>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6D577"/>
  <w15:docId w15:val="{A8126B55-4719-40C3-99BD-D6D625B8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uiPriority w:val="99"/>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uiPriority w:val="99"/>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uiPriority w:val="99"/>
    <w:locked/>
    <w:rsid w:val="0004545F"/>
    <w:rPr>
      <w:b/>
      <w:sz w:val="28"/>
    </w:rPr>
  </w:style>
  <w:style w:type="character" w:customStyle="1" w:styleId="H1GChar">
    <w:name w:val="_ H_1_G Char"/>
    <w:link w:val="H1G"/>
    <w:uiPriority w:val="99"/>
    <w:locked/>
    <w:rsid w:val="0004545F"/>
    <w:rPr>
      <w:b/>
      <w:sz w:val="24"/>
    </w:rPr>
  </w:style>
  <w:style w:type="character" w:customStyle="1" w:styleId="SingleTxtGChar">
    <w:name w:val="_ Single Txt_G Char"/>
    <w:basedOn w:val="DefaultParagraphFont"/>
    <w:link w:val="SingleTxtG"/>
    <w:uiPriority w:val="99"/>
    <w:rsid w:val="0004545F"/>
  </w:style>
  <w:style w:type="paragraph" w:styleId="ListParagraph">
    <w:name w:val="List Paragraph"/>
    <w:basedOn w:val="Normal"/>
    <w:uiPriority w:val="34"/>
    <w:qFormat/>
    <w:rsid w:val="005E66D6"/>
    <w:pPr>
      <w:suppressAutoHyphens w:val="0"/>
      <w:kinsoku/>
      <w:overflowPunct/>
      <w:autoSpaceDE/>
      <w:autoSpaceDN/>
      <w:adjustRightInd/>
      <w:snapToGrid/>
      <w:spacing w:after="160" w:line="25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echa.europa.eu/substance-information/-/substanceinfo/100.002.9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90EEBD-0321-44C6-8C00-F36949AA8A69}">
  <ds:schemaRef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3.xml><?xml version="1.0" encoding="utf-8"?>
<ds:datastoreItem xmlns:ds="http://schemas.openxmlformats.org/officeDocument/2006/customXml" ds:itemID="{EB3B0F7C-15EC-4B53-90CE-95195A784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8F2480-47B3-490A-AE71-2259D0FB0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SGAC10_E.dotm</Template>
  <TotalTime>405</TotalTime>
  <Pages>15</Pages>
  <Words>1924</Words>
  <Characters>10972</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ST/SG/AC.10/C.3/2021/</dc:title>
  <dc:subject/>
  <dc:creator>Laurence BERTHET</dc:creator>
  <cp:lastModifiedBy>Laurence Berthet</cp:lastModifiedBy>
  <cp:revision>124</cp:revision>
  <cp:lastPrinted>2021-09-14T11:13:00Z</cp:lastPrinted>
  <dcterms:created xsi:type="dcterms:W3CDTF">2021-09-02T13:38:00Z</dcterms:created>
  <dcterms:modified xsi:type="dcterms:W3CDTF">2021-09-14T11:14:00Z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