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764EDE" w14:textId="77777777" w:rsidTr="00C97039">
        <w:trPr>
          <w:trHeight w:hRule="exact" w:val="851"/>
        </w:trPr>
        <w:tc>
          <w:tcPr>
            <w:tcW w:w="1276" w:type="dxa"/>
            <w:tcBorders>
              <w:bottom w:val="single" w:sz="4" w:space="0" w:color="auto"/>
            </w:tcBorders>
          </w:tcPr>
          <w:p w14:paraId="6EDE8FD7" w14:textId="77777777" w:rsidR="00F35BAF" w:rsidRPr="00DB58B5" w:rsidRDefault="00F35BAF" w:rsidP="00BA097D"/>
        </w:tc>
        <w:tc>
          <w:tcPr>
            <w:tcW w:w="2268" w:type="dxa"/>
            <w:tcBorders>
              <w:bottom w:val="single" w:sz="4" w:space="0" w:color="auto"/>
            </w:tcBorders>
            <w:vAlign w:val="bottom"/>
          </w:tcPr>
          <w:p w14:paraId="6B41197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7B263A" w14:textId="762FB260" w:rsidR="00F35BAF" w:rsidRPr="00DB58B5" w:rsidRDefault="00BA097D" w:rsidP="00BA097D">
            <w:pPr>
              <w:jc w:val="right"/>
            </w:pPr>
            <w:r w:rsidRPr="00BA097D">
              <w:rPr>
                <w:sz w:val="40"/>
              </w:rPr>
              <w:t>ECE</w:t>
            </w:r>
            <w:r>
              <w:t>/TRANS/WP.29/GRE/2021/12</w:t>
            </w:r>
          </w:p>
        </w:tc>
      </w:tr>
      <w:tr w:rsidR="00F35BAF" w:rsidRPr="00DB58B5" w14:paraId="6E27E879" w14:textId="77777777" w:rsidTr="00C97039">
        <w:trPr>
          <w:trHeight w:hRule="exact" w:val="2835"/>
        </w:trPr>
        <w:tc>
          <w:tcPr>
            <w:tcW w:w="1276" w:type="dxa"/>
            <w:tcBorders>
              <w:top w:val="single" w:sz="4" w:space="0" w:color="auto"/>
              <w:bottom w:val="single" w:sz="12" w:space="0" w:color="auto"/>
            </w:tcBorders>
          </w:tcPr>
          <w:p w14:paraId="1BBC85A6" w14:textId="77777777" w:rsidR="00F35BAF" w:rsidRPr="00DB58B5" w:rsidRDefault="00F35BAF" w:rsidP="00C97039">
            <w:pPr>
              <w:spacing w:before="120"/>
              <w:jc w:val="center"/>
            </w:pPr>
            <w:r>
              <w:rPr>
                <w:noProof/>
                <w:lang w:eastAsia="fr-CH"/>
              </w:rPr>
              <w:drawing>
                <wp:inline distT="0" distB="0" distL="0" distR="0" wp14:anchorId="30DDFE0D" wp14:editId="4F680E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5FF37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9B7ECF" w14:textId="77777777" w:rsidR="00F35BAF" w:rsidRDefault="00BA097D" w:rsidP="00C97039">
            <w:pPr>
              <w:spacing w:before="240"/>
            </w:pPr>
            <w:r>
              <w:t>Distr. générale</w:t>
            </w:r>
          </w:p>
          <w:p w14:paraId="69326454" w14:textId="77777777" w:rsidR="00BA097D" w:rsidRDefault="00BA097D" w:rsidP="00BA097D">
            <w:pPr>
              <w:spacing w:line="240" w:lineRule="exact"/>
            </w:pPr>
            <w:r>
              <w:t>5 août 2021</w:t>
            </w:r>
          </w:p>
          <w:p w14:paraId="4160BD57" w14:textId="77777777" w:rsidR="00BA097D" w:rsidRDefault="00BA097D" w:rsidP="00BA097D">
            <w:pPr>
              <w:spacing w:line="240" w:lineRule="exact"/>
            </w:pPr>
            <w:r>
              <w:t>Français</w:t>
            </w:r>
          </w:p>
          <w:p w14:paraId="3E0C04FB" w14:textId="0B8747B0" w:rsidR="00BA097D" w:rsidRPr="00DB58B5" w:rsidRDefault="00BA097D" w:rsidP="00BA097D">
            <w:pPr>
              <w:spacing w:line="240" w:lineRule="exact"/>
            </w:pPr>
            <w:r>
              <w:t>Original : anglais</w:t>
            </w:r>
          </w:p>
        </w:tc>
      </w:tr>
    </w:tbl>
    <w:p w14:paraId="0C0E5B41" w14:textId="77777777" w:rsidR="007F20FA" w:rsidRPr="000312C0" w:rsidRDefault="007F20FA" w:rsidP="007F20FA">
      <w:pPr>
        <w:spacing w:before="120"/>
        <w:rPr>
          <w:b/>
          <w:sz w:val="28"/>
          <w:szCs w:val="28"/>
        </w:rPr>
      </w:pPr>
      <w:r w:rsidRPr="000312C0">
        <w:rPr>
          <w:b/>
          <w:sz w:val="28"/>
          <w:szCs w:val="28"/>
        </w:rPr>
        <w:t>Commission économique pour l’Europe</w:t>
      </w:r>
    </w:p>
    <w:p w14:paraId="1DCF724E" w14:textId="77777777" w:rsidR="007F20FA" w:rsidRDefault="007F20FA" w:rsidP="007F20FA">
      <w:pPr>
        <w:spacing w:before="120"/>
        <w:rPr>
          <w:sz w:val="28"/>
          <w:szCs w:val="28"/>
        </w:rPr>
      </w:pPr>
      <w:r w:rsidRPr="00685843">
        <w:rPr>
          <w:sz w:val="28"/>
          <w:szCs w:val="28"/>
        </w:rPr>
        <w:t>Comité des transports intérieurs</w:t>
      </w:r>
    </w:p>
    <w:p w14:paraId="696C50E3" w14:textId="421CF9A5" w:rsidR="00BA097D" w:rsidRPr="00BA097D" w:rsidRDefault="00BA097D" w:rsidP="00BA097D">
      <w:pPr>
        <w:spacing w:before="120"/>
        <w:rPr>
          <w:b/>
          <w:sz w:val="24"/>
          <w:szCs w:val="24"/>
        </w:rPr>
      </w:pPr>
      <w:r w:rsidRPr="00BA097D">
        <w:rPr>
          <w:b/>
          <w:sz w:val="24"/>
          <w:szCs w:val="24"/>
        </w:rPr>
        <w:t xml:space="preserve">Forum mondial de l’harmonisation des Règlements </w:t>
      </w:r>
      <w:r>
        <w:rPr>
          <w:b/>
          <w:sz w:val="24"/>
          <w:szCs w:val="24"/>
        </w:rPr>
        <w:br/>
      </w:r>
      <w:r w:rsidRPr="00BA097D">
        <w:rPr>
          <w:b/>
          <w:sz w:val="24"/>
          <w:szCs w:val="24"/>
        </w:rPr>
        <w:t>concernant les véhicules</w:t>
      </w:r>
    </w:p>
    <w:p w14:paraId="7B680F6B" w14:textId="77777777" w:rsidR="00BA097D" w:rsidRPr="002A7860" w:rsidRDefault="00BA097D" w:rsidP="00BA097D">
      <w:pPr>
        <w:spacing w:before="120"/>
        <w:rPr>
          <w:b/>
          <w:bCs/>
        </w:rPr>
      </w:pPr>
      <w:r w:rsidRPr="002A7860">
        <w:rPr>
          <w:b/>
          <w:bCs/>
        </w:rPr>
        <w:t>Groupe de travail de l</w:t>
      </w:r>
      <w:r>
        <w:rPr>
          <w:b/>
          <w:bCs/>
        </w:rPr>
        <w:t>’</w:t>
      </w:r>
      <w:r w:rsidRPr="002A7860">
        <w:rPr>
          <w:b/>
          <w:bCs/>
        </w:rPr>
        <w:t>éclairage et de la signalisation lumineuse</w:t>
      </w:r>
    </w:p>
    <w:p w14:paraId="62247ED8" w14:textId="20544587" w:rsidR="00BA097D" w:rsidRPr="002A7860" w:rsidRDefault="00BA097D" w:rsidP="00BA097D">
      <w:pPr>
        <w:spacing w:before="120"/>
        <w:rPr>
          <w:b/>
        </w:rPr>
      </w:pPr>
      <w:r w:rsidRPr="002A7860">
        <w:rPr>
          <w:b/>
        </w:rPr>
        <w:t>Quatre</w:t>
      </w:r>
      <w:r>
        <w:rPr>
          <w:b/>
        </w:rPr>
        <w:t>-</w:t>
      </w:r>
      <w:r w:rsidRPr="002A7860">
        <w:rPr>
          <w:b/>
        </w:rPr>
        <w:t>vingt cinquième session</w:t>
      </w:r>
    </w:p>
    <w:p w14:paraId="2D2311CA" w14:textId="3099262D" w:rsidR="00BA097D" w:rsidRPr="002A7860" w:rsidRDefault="00BA097D" w:rsidP="00BA097D">
      <w:pPr>
        <w:rPr>
          <w:bCs/>
        </w:rPr>
      </w:pPr>
      <w:r w:rsidRPr="002A7860">
        <w:t>Genève</w:t>
      </w:r>
      <w:r w:rsidRPr="002A7860">
        <w:rPr>
          <w:bCs/>
        </w:rPr>
        <w:t>, 26-29</w:t>
      </w:r>
      <w:r>
        <w:rPr>
          <w:bCs/>
        </w:rPr>
        <w:t> </w:t>
      </w:r>
      <w:r w:rsidRPr="002A7860">
        <w:t>octobre</w:t>
      </w:r>
      <w:r>
        <w:t xml:space="preserve"> </w:t>
      </w:r>
      <w:r w:rsidRPr="002A7860">
        <w:t>2021</w:t>
      </w:r>
    </w:p>
    <w:p w14:paraId="356E4CBF" w14:textId="77777777" w:rsidR="00BA097D" w:rsidRPr="002A7860" w:rsidRDefault="00BA097D" w:rsidP="00BA097D">
      <w:pPr>
        <w:rPr>
          <w:bCs/>
        </w:rPr>
      </w:pPr>
      <w:r w:rsidRPr="002A7860">
        <w:rPr>
          <w:bCs/>
        </w:rPr>
        <w:t>Poin</w:t>
      </w:r>
      <w:r>
        <w:rPr>
          <w:bCs/>
        </w:rPr>
        <w:t>t</w:t>
      </w:r>
      <w:r w:rsidRPr="002A7860">
        <w:rPr>
          <w:bCs/>
        </w:rPr>
        <w:t> 4 c) de l</w:t>
      </w:r>
      <w:r>
        <w:rPr>
          <w:bCs/>
        </w:rPr>
        <w:t>’</w:t>
      </w:r>
      <w:r w:rsidRPr="002A7860">
        <w:rPr>
          <w:bCs/>
        </w:rPr>
        <w:t>ordre du jour provisoire</w:t>
      </w:r>
    </w:p>
    <w:p w14:paraId="63831779" w14:textId="2730F8A0" w:rsidR="00BA097D" w:rsidRPr="002A7860" w:rsidRDefault="00BA097D" w:rsidP="00BA097D">
      <w:pPr>
        <w:rPr>
          <w:b/>
          <w:bCs/>
        </w:rPr>
      </w:pPr>
      <w:r w:rsidRPr="002A7860">
        <w:rPr>
          <w:b/>
          <w:bCs/>
        </w:rPr>
        <w:t xml:space="preserve">Simplification des Règlements ONU relatifs </w:t>
      </w:r>
      <w:r>
        <w:rPr>
          <w:b/>
          <w:bCs/>
        </w:rPr>
        <w:br/>
      </w:r>
      <w:r w:rsidRPr="002A7860">
        <w:rPr>
          <w:b/>
          <w:bCs/>
        </w:rPr>
        <w:t>à l</w:t>
      </w:r>
      <w:r>
        <w:rPr>
          <w:b/>
          <w:bCs/>
        </w:rPr>
        <w:t>’</w:t>
      </w:r>
      <w:r w:rsidRPr="002A7860">
        <w:rPr>
          <w:b/>
          <w:bCs/>
        </w:rPr>
        <w:t>éclairage et à la signalisation lumineuse :</w:t>
      </w:r>
    </w:p>
    <w:p w14:paraId="37285FDD" w14:textId="77777777" w:rsidR="00BA097D" w:rsidRPr="002A7860" w:rsidRDefault="00BA097D" w:rsidP="00BA097D">
      <w:pPr>
        <w:rPr>
          <w:b/>
          <w:bCs/>
        </w:rPr>
      </w:pPr>
      <w:r w:rsidRPr="002A7860">
        <w:rPr>
          <w:b/>
          <w:bCs/>
        </w:rPr>
        <w:t>Règlement ONU n</w:t>
      </w:r>
      <w:r w:rsidRPr="002A7860">
        <w:rPr>
          <w:b/>
          <w:bCs/>
          <w:vertAlign w:val="superscript"/>
        </w:rPr>
        <w:t>o</w:t>
      </w:r>
      <w:r w:rsidRPr="002A7860">
        <w:rPr>
          <w:b/>
          <w:bCs/>
        </w:rPr>
        <w:t> 149 (Dispositifs d</w:t>
      </w:r>
      <w:r>
        <w:rPr>
          <w:b/>
          <w:bCs/>
        </w:rPr>
        <w:t>’</w:t>
      </w:r>
      <w:r w:rsidRPr="002A7860">
        <w:rPr>
          <w:b/>
          <w:bCs/>
        </w:rPr>
        <w:t>éclairage de la route)</w:t>
      </w:r>
    </w:p>
    <w:p w14:paraId="22F27223" w14:textId="77777777" w:rsidR="00BA097D" w:rsidRPr="002A7860" w:rsidRDefault="00BA097D" w:rsidP="00BA097D">
      <w:pPr>
        <w:pStyle w:val="HChG"/>
      </w:pPr>
      <w:r w:rsidRPr="002A7860">
        <w:tab/>
      </w:r>
      <w:r w:rsidRPr="002A7860">
        <w:tab/>
      </w:r>
      <w:bookmarkStart w:id="0" w:name="_Hlk78276159"/>
      <w:r w:rsidRPr="002A7860">
        <w:t>Proposition d</w:t>
      </w:r>
      <w:r>
        <w:t>’</w:t>
      </w:r>
      <w:r w:rsidRPr="002A7860">
        <w:t>amendements au Règlement ONU n</w:t>
      </w:r>
      <w:r w:rsidRPr="002A7860">
        <w:rPr>
          <w:vertAlign w:val="superscript"/>
        </w:rPr>
        <w:t>o</w:t>
      </w:r>
      <w:r w:rsidRPr="002A7860">
        <w:t> 149</w:t>
      </w:r>
      <w:bookmarkEnd w:id="0"/>
    </w:p>
    <w:p w14:paraId="4A115BD1" w14:textId="52E53596" w:rsidR="00BA097D" w:rsidRPr="002A7860" w:rsidRDefault="00BA097D" w:rsidP="00BA097D">
      <w:pPr>
        <w:pStyle w:val="H1G"/>
      </w:pPr>
      <w:r>
        <w:tab/>
      </w:r>
      <w:r>
        <w:tab/>
      </w:r>
      <w:r w:rsidRPr="002A7860">
        <w:t xml:space="preserve">Communication du groupe de travail informel de la simplification </w:t>
      </w:r>
      <w:r>
        <w:br/>
      </w:r>
      <w:r w:rsidRPr="002A7860">
        <w:t>des Règlements relatifs à l</w:t>
      </w:r>
      <w:r>
        <w:t>’</w:t>
      </w:r>
      <w:r w:rsidRPr="002A7860">
        <w:t>éclairage et à la signalisation lumineuse</w:t>
      </w:r>
      <w:r w:rsidRPr="00BA097D">
        <w:rPr>
          <w:b w:val="0"/>
          <w:bCs/>
          <w:sz w:val="20"/>
          <w:szCs w:val="16"/>
        </w:rPr>
        <w:footnoteReference w:customMarkFollows="1" w:id="2"/>
        <w:t>*</w:t>
      </w:r>
    </w:p>
    <w:p w14:paraId="16FC361F" w14:textId="77777777" w:rsidR="00BA097D" w:rsidRPr="002A7860" w:rsidRDefault="00BA097D" w:rsidP="00BA097D">
      <w:pPr>
        <w:pStyle w:val="SingleTxtG"/>
        <w:ind w:firstLine="567"/>
      </w:pPr>
      <w:r w:rsidRPr="002A7860">
        <w:t>Le texte ci-après, établi par le groupe de travail informel de la simplification des Règlements relatifs à l</w:t>
      </w:r>
      <w:r>
        <w:t>’</w:t>
      </w:r>
      <w:r w:rsidRPr="002A7860">
        <w:t>éclairage et à la signalisation lumineuse, vise à apporter des précisions et des corrections au Règlement ONU n</w:t>
      </w:r>
      <w:r w:rsidRPr="002A7860">
        <w:rPr>
          <w:vertAlign w:val="superscript"/>
        </w:rPr>
        <w:t>o</w:t>
      </w:r>
      <w:r w:rsidRPr="002A7860">
        <w:t> 149. Les modifications qu</w:t>
      </w:r>
      <w:r>
        <w:t>’</w:t>
      </w:r>
      <w:r w:rsidRPr="002A7860">
        <w:t>il est proposé d</w:t>
      </w:r>
      <w:r>
        <w:t>’</w:t>
      </w:r>
      <w:r w:rsidRPr="002A7860">
        <w:t xml:space="preserve">apporter au texte actuel </w:t>
      </w:r>
      <w:r>
        <w:t xml:space="preserve">de ce </w:t>
      </w:r>
      <w:r w:rsidRPr="002A7860">
        <w:t>Règlement</w:t>
      </w:r>
      <w:r>
        <w:t xml:space="preserve"> </w:t>
      </w:r>
      <w:r w:rsidRPr="002A7860">
        <w:t>figurent en caractères gras pour les ajouts et biffés pour les suppressions.</w:t>
      </w:r>
    </w:p>
    <w:p w14:paraId="64B50AE4" w14:textId="77777777" w:rsidR="00BA097D" w:rsidRPr="002A7860" w:rsidRDefault="00BA097D" w:rsidP="00BA097D">
      <w:pPr>
        <w:pStyle w:val="HChG"/>
      </w:pPr>
      <w:r w:rsidRPr="002A7860">
        <w:br w:type="page"/>
      </w:r>
      <w:r w:rsidRPr="002A7860">
        <w:lastRenderedPageBreak/>
        <w:tab/>
        <w:t>I.</w:t>
      </w:r>
      <w:r w:rsidRPr="002A7860">
        <w:tab/>
        <w:t>Proposition</w:t>
      </w:r>
    </w:p>
    <w:p w14:paraId="106FBF8C" w14:textId="77777777" w:rsidR="00BA097D" w:rsidRPr="002A7860" w:rsidRDefault="00BA097D" w:rsidP="00BA097D">
      <w:pPr>
        <w:pStyle w:val="SingleTxtG"/>
        <w:keepNext/>
      </w:pPr>
      <w:r w:rsidRPr="00BA097D">
        <w:rPr>
          <w:i/>
          <w:iCs/>
        </w:rPr>
        <w:t>Paragraphe 3.3.2.4</w:t>
      </w:r>
      <w:r w:rsidRPr="002A7860">
        <w:t>, lire :</w:t>
      </w:r>
    </w:p>
    <w:p w14:paraId="2A1414DC" w14:textId="77777777" w:rsidR="00BA097D" w:rsidRPr="002A7860" w:rsidRDefault="00BA097D" w:rsidP="00BA097D">
      <w:pPr>
        <w:pStyle w:val="SingleTxtG"/>
        <w:ind w:left="2268" w:hanging="1134"/>
      </w:pPr>
      <w:r>
        <w:t>« </w:t>
      </w:r>
      <w:r w:rsidRPr="002A7860">
        <w:t>3.3.2.4</w:t>
      </w:r>
      <w:r w:rsidRPr="002A7860">
        <w:tab/>
      </w:r>
      <w:r w:rsidRPr="00DC140E">
        <w:t>Des symboles</w:t>
      </w:r>
      <w:r>
        <w:t xml:space="preserve"> </w:t>
      </w:r>
      <w:r>
        <w:rPr>
          <w:b/>
          <w:bCs/>
        </w:rPr>
        <w:t>conformes au tableau 1, et des symboles</w:t>
      </w:r>
      <w:r w:rsidRPr="00DC140E">
        <w:t xml:space="preserve"> supplémentaires</w:t>
      </w:r>
      <w:r>
        <w:rPr>
          <w:b/>
          <w:bCs/>
        </w:rPr>
        <w:t>, le cas échéant</w:t>
      </w:r>
      <w:r w:rsidRPr="00DC140E">
        <w:t xml:space="preserve"> </w:t>
      </w:r>
      <w:r w:rsidRPr="00DC140E">
        <w:rPr>
          <w:strike/>
        </w:rPr>
        <w:t>pour les projecteurs, les systèmes d</w:t>
      </w:r>
      <w:r>
        <w:rPr>
          <w:strike/>
        </w:rPr>
        <w:t>’</w:t>
      </w:r>
      <w:r w:rsidRPr="00DC140E">
        <w:rPr>
          <w:strike/>
        </w:rPr>
        <w:t>éclairage avant actifs et les feux de brouillard avant</w:t>
      </w:r>
      <w:r>
        <w:rPr>
          <w:strike/>
        </w:rPr>
        <w:t> </w:t>
      </w:r>
      <w:r w:rsidRPr="002A7860">
        <w:rPr>
          <w:strike/>
        </w:rPr>
        <w:t>:</w:t>
      </w:r>
      <w:r>
        <w:t> ».</w:t>
      </w:r>
    </w:p>
    <w:p w14:paraId="5F70FBD6" w14:textId="77777777" w:rsidR="00BA097D" w:rsidRPr="002A7860" w:rsidRDefault="00BA097D" w:rsidP="00BA097D">
      <w:pPr>
        <w:pStyle w:val="SingleTxtG"/>
        <w:keepNext/>
      </w:pPr>
      <w:r w:rsidRPr="002A7860">
        <w:rPr>
          <w:i/>
          <w:iCs/>
        </w:rPr>
        <w:t>Paragraphe 3.3.2.4.4</w:t>
      </w:r>
      <w:r w:rsidRPr="002A7860">
        <w:t>, lire :</w:t>
      </w:r>
    </w:p>
    <w:p w14:paraId="0C7A1843" w14:textId="3AD1D1E6" w:rsidR="00BA097D" w:rsidRPr="002A7860" w:rsidRDefault="00BA097D" w:rsidP="00BA097D">
      <w:pPr>
        <w:pStyle w:val="SingleTxtG"/>
        <w:ind w:left="2268" w:hanging="1134"/>
      </w:pPr>
      <w:r>
        <w:t>« </w:t>
      </w:r>
      <w:r w:rsidRPr="002A7860">
        <w:t>3.3.2.4.4</w:t>
      </w:r>
      <w:r w:rsidRPr="002A7860">
        <w:tab/>
      </w:r>
      <w:r w:rsidRPr="000D7F0A">
        <w:t>Dans le cas d</w:t>
      </w:r>
      <w:r>
        <w:t>’</w:t>
      </w:r>
      <w:r w:rsidRPr="000D7F0A">
        <w:t>une unité d</w:t>
      </w:r>
      <w:r>
        <w:t>’</w:t>
      </w:r>
      <w:r w:rsidRPr="000D7F0A">
        <w:t>installation de feux de brouillard avant, de projecteurs ou de systèmes d</w:t>
      </w:r>
      <w:r>
        <w:t>’</w:t>
      </w:r>
      <w:r w:rsidRPr="000D7F0A">
        <w:t xml:space="preserve">éclairage avant actifs comportant une lentille </w:t>
      </w:r>
      <w:r>
        <w:rPr>
          <w:b/>
          <w:bCs/>
        </w:rPr>
        <w:t xml:space="preserve">extérieure </w:t>
      </w:r>
      <w:r w:rsidRPr="000D7F0A">
        <w:t xml:space="preserve">en plastique, le groupe de lettres </w:t>
      </w:r>
      <w:r w:rsidRPr="00BA097D">
        <w:t>“</w:t>
      </w:r>
      <w:r w:rsidRPr="000D7F0A">
        <w:t>PL</w:t>
      </w:r>
      <w:r w:rsidRPr="00BA097D">
        <w:t>”</w:t>
      </w:r>
      <w:r w:rsidRPr="000D7F0A">
        <w:t xml:space="preserve"> apposé à côté des symboles identifiant</w:t>
      </w:r>
      <w:r>
        <w:rPr>
          <w:b/>
          <w:bCs/>
        </w:rPr>
        <w:t xml:space="preserve"> la ou les fonctions concernées</w:t>
      </w:r>
      <w:r w:rsidRPr="000D7F0A">
        <w:t xml:space="preserve"> </w:t>
      </w:r>
      <w:r w:rsidRPr="000D7F0A">
        <w:rPr>
          <w:strike/>
        </w:rPr>
        <w:t>l</w:t>
      </w:r>
      <w:r>
        <w:rPr>
          <w:strike/>
        </w:rPr>
        <w:t>’</w:t>
      </w:r>
      <w:r w:rsidRPr="000D7F0A">
        <w:rPr>
          <w:strike/>
        </w:rPr>
        <w:t>éclairage</w:t>
      </w:r>
      <w:r>
        <w:t> </w:t>
      </w:r>
      <w:r w:rsidRPr="000D7F0A">
        <w:t>;</w:t>
      </w:r>
      <w:r>
        <w:t> ».</w:t>
      </w:r>
    </w:p>
    <w:p w14:paraId="43017BCF" w14:textId="77777777" w:rsidR="00BA097D" w:rsidRPr="002A7860" w:rsidRDefault="00BA097D" w:rsidP="00BA097D">
      <w:pPr>
        <w:pStyle w:val="SingleTxtG"/>
        <w:keepNext/>
      </w:pPr>
      <w:r w:rsidRPr="002A7860">
        <w:rPr>
          <w:i/>
          <w:iCs/>
        </w:rPr>
        <w:t>Ajouter un nouveau paragraphe 3.3.2.4.8</w:t>
      </w:r>
      <w:r w:rsidRPr="002A7860">
        <w:t>, comme suit :</w:t>
      </w:r>
    </w:p>
    <w:p w14:paraId="2AF79A41" w14:textId="153EFA49" w:rsidR="00BA097D" w:rsidRPr="002A7860" w:rsidRDefault="00BA097D" w:rsidP="00BA097D">
      <w:pPr>
        <w:pStyle w:val="SingleTxtG"/>
        <w:ind w:left="2268" w:hanging="1134"/>
      </w:pPr>
      <w:r>
        <w:t>« </w:t>
      </w:r>
      <w:r w:rsidRPr="002A7860">
        <w:rPr>
          <w:b/>
          <w:bCs/>
        </w:rPr>
        <w:t>3.3.2.4.8</w:t>
      </w:r>
      <w:r w:rsidRPr="002A7860">
        <w:rPr>
          <w:b/>
          <w:bCs/>
        </w:rPr>
        <w:tab/>
      </w:r>
      <w:r w:rsidRPr="000D7F0A">
        <w:rPr>
          <w:b/>
          <w:bCs/>
        </w:rPr>
        <w:t>Dans le cas d</w:t>
      </w:r>
      <w:r>
        <w:rPr>
          <w:b/>
          <w:bCs/>
        </w:rPr>
        <w:t>’</w:t>
      </w:r>
      <w:r w:rsidRPr="000D7F0A">
        <w:rPr>
          <w:b/>
          <w:bCs/>
        </w:rPr>
        <w:t>un</w:t>
      </w:r>
      <w:r w:rsidRPr="00A17268">
        <w:rPr>
          <w:rFonts w:ascii="Helvetica" w:eastAsia="Times New Roman" w:hAnsi="Helvetica" w:cs="Helvetica"/>
          <w:color w:val="333333"/>
          <w:sz w:val="21"/>
          <w:szCs w:val="21"/>
          <w:shd w:val="clear" w:color="auto" w:fill="F5F5F5"/>
        </w:rPr>
        <w:t xml:space="preserve"> </w:t>
      </w:r>
      <w:r w:rsidRPr="00A17268">
        <w:rPr>
          <w:b/>
          <w:bCs/>
        </w:rPr>
        <w:t>système d</w:t>
      </w:r>
      <w:r>
        <w:rPr>
          <w:b/>
          <w:bCs/>
        </w:rPr>
        <w:t>’</w:t>
      </w:r>
      <w:r w:rsidRPr="00A17268">
        <w:rPr>
          <w:b/>
          <w:bCs/>
        </w:rPr>
        <w:t>éclairage avant actif</w:t>
      </w:r>
      <w:r w:rsidRPr="002A7860">
        <w:rPr>
          <w:b/>
          <w:bCs/>
        </w:rPr>
        <w:t xml:space="preserve">, </w:t>
      </w:r>
      <w:r>
        <w:rPr>
          <w:b/>
          <w:bCs/>
        </w:rPr>
        <w:t>la lettre</w:t>
      </w:r>
      <w:r>
        <w:rPr>
          <w:b/>
          <w:bCs/>
        </w:rPr>
        <w:t xml:space="preserve"> </w:t>
      </w:r>
      <w:r w:rsidRPr="00BA097D">
        <w:rPr>
          <w:b/>
          <w:bCs/>
        </w:rPr>
        <w:t>“</w:t>
      </w:r>
      <w:r w:rsidRPr="002A7860">
        <w:rPr>
          <w:b/>
          <w:bCs/>
        </w:rPr>
        <w:t>T</w:t>
      </w:r>
      <w:r w:rsidRPr="00BA097D">
        <w:rPr>
          <w:b/>
          <w:bCs/>
        </w:rPr>
        <w:t>”</w:t>
      </w:r>
      <w:r>
        <w:rPr>
          <w:b/>
          <w:bCs/>
        </w:rPr>
        <w:t xml:space="preserve"> placée</w:t>
      </w:r>
      <w:r w:rsidRPr="002A7860">
        <w:rPr>
          <w:b/>
          <w:bCs/>
        </w:rPr>
        <w:t xml:space="preserve"> </w:t>
      </w:r>
      <w:r>
        <w:rPr>
          <w:b/>
          <w:bCs/>
        </w:rPr>
        <w:t xml:space="preserve">après le ou les </w:t>
      </w:r>
      <w:r w:rsidRPr="002A7860">
        <w:rPr>
          <w:b/>
          <w:bCs/>
        </w:rPr>
        <w:t>symbol</w:t>
      </w:r>
      <w:r>
        <w:rPr>
          <w:b/>
          <w:bCs/>
        </w:rPr>
        <w:t>e</w:t>
      </w:r>
      <w:r w:rsidRPr="002A7860">
        <w:rPr>
          <w:b/>
          <w:bCs/>
        </w:rPr>
        <w:t xml:space="preserve">s </w:t>
      </w:r>
      <w:r>
        <w:rPr>
          <w:b/>
          <w:bCs/>
        </w:rPr>
        <w:t xml:space="preserve">correspondant à toutes les </w:t>
      </w:r>
      <w:r w:rsidRPr="002A7860">
        <w:rPr>
          <w:b/>
          <w:bCs/>
        </w:rPr>
        <w:t>f</w:t>
      </w:r>
      <w:r>
        <w:rPr>
          <w:b/>
          <w:bCs/>
        </w:rPr>
        <w:t>o</w:t>
      </w:r>
      <w:r w:rsidRPr="002A7860">
        <w:rPr>
          <w:b/>
          <w:bCs/>
        </w:rPr>
        <w:t xml:space="preserve">nctions </w:t>
      </w:r>
      <w:r>
        <w:rPr>
          <w:b/>
          <w:bCs/>
        </w:rPr>
        <w:t xml:space="preserve">d’éclairage et à toutes les </w:t>
      </w:r>
      <w:r w:rsidRPr="002A7860">
        <w:rPr>
          <w:b/>
          <w:bCs/>
        </w:rPr>
        <w:t xml:space="preserve">classes </w:t>
      </w:r>
      <w:r>
        <w:rPr>
          <w:b/>
          <w:bCs/>
        </w:rPr>
        <w:t>conçues pour satisfaire aux dispositions relatives</w:t>
      </w:r>
      <w:r w:rsidRPr="002A7860">
        <w:rPr>
          <w:b/>
          <w:bCs/>
        </w:rPr>
        <w:t xml:space="preserve"> </w:t>
      </w:r>
      <w:r>
        <w:rPr>
          <w:b/>
          <w:bCs/>
        </w:rPr>
        <w:t>à l’</w:t>
      </w:r>
      <w:r w:rsidRPr="00071805">
        <w:rPr>
          <w:b/>
          <w:bCs/>
        </w:rPr>
        <w:t>éclairage de virage</w:t>
      </w:r>
      <w:r w:rsidRPr="002A7860">
        <w:rPr>
          <w:b/>
          <w:bCs/>
        </w:rPr>
        <w:t xml:space="preserve">, </w:t>
      </w:r>
      <w:r>
        <w:rPr>
          <w:b/>
          <w:bCs/>
        </w:rPr>
        <w:t>ces</w:t>
      </w:r>
      <w:r w:rsidRPr="002A7860">
        <w:rPr>
          <w:b/>
          <w:bCs/>
        </w:rPr>
        <w:t xml:space="preserve"> symbol</w:t>
      </w:r>
      <w:r>
        <w:rPr>
          <w:b/>
          <w:bCs/>
        </w:rPr>
        <w:t>e</w:t>
      </w:r>
      <w:r w:rsidRPr="002A7860">
        <w:rPr>
          <w:b/>
          <w:bCs/>
        </w:rPr>
        <w:t>s</w:t>
      </w:r>
      <w:r>
        <w:rPr>
          <w:b/>
          <w:bCs/>
        </w:rPr>
        <w:t xml:space="preserve"> étant regroupés à gauche de la lettre</w:t>
      </w:r>
      <w:r>
        <w:rPr>
          <w:b/>
          <w:bCs/>
        </w:rPr>
        <w:t xml:space="preserve"> </w:t>
      </w:r>
      <w:r w:rsidRPr="00BA097D">
        <w:rPr>
          <w:b/>
          <w:bCs/>
        </w:rPr>
        <w:t>“</w:t>
      </w:r>
      <w:r w:rsidRPr="002A7860">
        <w:rPr>
          <w:b/>
          <w:bCs/>
        </w:rPr>
        <w:t>T</w:t>
      </w:r>
      <w:r w:rsidRPr="00BA097D">
        <w:rPr>
          <w:b/>
          <w:bCs/>
        </w:rPr>
        <w:t>”</w:t>
      </w:r>
      <w:r w:rsidRPr="002A7860">
        <w:rPr>
          <w:b/>
          <w:bCs/>
        </w:rPr>
        <w:t>.</w:t>
      </w:r>
      <w:r w:rsidRPr="002A7860">
        <w:t> ».</w:t>
      </w:r>
    </w:p>
    <w:p w14:paraId="77E57239" w14:textId="77777777" w:rsidR="00BA097D" w:rsidRPr="002A7860" w:rsidRDefault="00BA097D" w:rsidP="00BA097D">
      <w:pPr>
        <w:pStyle w:val="SingleTxtG"/>
        <w:keepNext/>
      </w:pPr>
      <w:r w:rsidRPr="002A7860">
        <w:rPr>
          <w:i/>
          <w:iCs/>
        </w:rPr>
        <w:t>Paragraphe 4.5.2.6</w:t>
      </w:r>
      <w:r w:rsidRPr="002A7860">
        <w:t>, lire :</w:t>
      </w:r>
    </w:p>
    <w:p w14:paraId="385BE0E7" w14:textId="445DAE6A" w:rsidR="00BA097D" w:rsidRDefault="00BA097D" w:rsidP="00BA097D">
      <w:pPr>
        <w:pStyle w:val="SingleTxtG"/>
        <w:ind w:left="2268" w:hanging="1134"/>
        <w:rPr>
          <w:szCs w:val="21"/>
        </w:rPr>
      </w:pPr>
      <w:r>
        <w:rPr>
          <w:szCs w:val="21"/>
        </w:rPr>
        <w:t>« </w:t>
      </w:r>
      <w:r w:rsidRPr="002A7860">
        <w:rPr>
          <w:szCs w:val="21"/>
        </w:rPr>
        <w:t>4.5.2.6</w:t>
      </w:r>
      <w:r w:rsidRPr="002A7860">
        <w:rPr>
          <w:szCs w:val="21"/>
        </w:rPr>
        <w:tab/>
      </w:r>
      <w:r w:rsidRPr="005A5218">
        <w:rPr>
          <w:szCs w:val="21"/>
        </w:rPr>
        <w:t>Sauf pour les systèmes d</w:t>
      </w:r>
      <w:r>
        <w:rPr>
          <w:szCs w:val="21"/>
        </w:rPr>
        <w:t>’</w:t>
      </w:r>
      <w:r w:rsidRPr="005A5218">
        <w:rPr>
          <w:szCs w:val="21"/>
        </w:rPr>
        <w:t>éclairage avant actifs et les feux d</w:t>
      </w:r>
      <w:r>
        <w:rPr>
          <w:szCs w:val="21"/>
        </w:rPr>
        <w:t>’</w:t>
      </w:r>
      <w:r w:rsidRPr="005A5218">
        <w:rPr>
          <w:szCs w:val="21"/>
        </w:rPr>
        <w:t>angle, lorsqu</w:t>
      </w:r>
      <w:r>
        <w:rPr>
          <w:szCs w:val="21"/>
        </w:rPr>
        <w:t>’</w:t>
      </w:r>
      <w:r w:rsidRPr="005A5218">
        <w:rPr>
          <w:szCs w:val="21"/>
        </w:rPr>
        <w:t>un feu incorporant une ou plusieurs sources lumineuses ou un ou plusieurs modules DEL produit le faisceau de croisement principal ou le faisceau de brouillard avant et présente un flux lumineux normal total supérieur à 2</w:t>
      </w:r>
      <w:r>
        <w:rPr>
          <w:szCs w:val="21"/>
        </w:rPr>
        <w:t> </w:t>
      </w:r>
      <w:r w:rsidRPr="005A5218">
        <w:rPr>
          <w:szCs w:val="21"/>
        </w:rPr>
        <w:t>000</w:t>
      </w:r>
      <w:r>
        <w:rPr>
          <w:szCs w:val="21"/>
        </w:rPr>
        <w:t> </w:t>
      </w:r>
      <w:r w:rsidRPr="005A5218">
        <w:rPr>
          <w:szCs w:val="21"/>
        </w:rPr>
        <w:t>lumens, cela doit être indiqué dans la fiche de communication figurant à l</w:t>
      </w:r>
      <w:r>
        <w:rPr>
          <w:szCs w:val="21"/>
        </w:rPr>
        <w:t>’</w:t>
      </w:r>
      <w:r w:rsidRPr="005A5218">
        <w:rPr>
          <w:szCs w:val="21"/>
        </w:rPr>
        <w:t>annexe 1.</w:t>
      </w:r>
    </w:p>
    <w:p w14:paraId="37CFE2D9" w14:textId="77777777" w:rsidR="00BA097D" w:rsidRPr="002A7860" w:rsidRDefault="00BA097D" w:rsidP="00BA097D">
      <w:pPr>
        <w:pStyle w:val="SingleTxtG"/>
        <w:ind w:left="2268"/>
        <w:rPr>
          <w:szCs w:val="21"/>
        </w:rPr>
      </w:pPr>
      <w:r w:rsidRPr="005A5218">
        <w:rPr>
          <w:szCs w:val="21"/>
        </w:rPr>
        <w:t>Lorsqu</w:t>
      </w:r>
      <w:r>
        <w:rPr>
          <w:szCs w:val="21"/>
        </w:rPr>
        <w:t>’</w:t>
      </w:r>
      <w:r w:rsidRPr="005A5218">
        <w:rPr>
          <w:szCs w:val="21"/>
        </w:rPr>
        <w:t>un système d</w:t>
      </w:r>
      <w:r>
        <w:rPr>
          <w:szCs w:val="21"/>
        </w:rPr>
        <w:t>’</w:t>
      </w:r>
      <w:r w:rsidRPr="005A5218">
        <w:rPr>
          <w:szCs w:val="21"/>
        </w:rPr>
        <w:t>éclairage avant actif incorpore des sources lumineuses</w:t>
      </w:r>
      <w:r>
        <w:rPr>
          <w:szCs w:val="21"/>
        </w:rPr>
        <w:t xml:space="preserve"> </w:t>
      </w:r>
      <w:r w:rsidRPr="005A5218">
        <w:rPr>
          <w:szCs w:val="21"/>
        </w:rPr>
        <w:t>ou un ou plusieurs modules DEL produisant le faisceau de croisement</w:t>
      </w:r>
      <w:r>
        <w:rPr>
          <w:szCs w:val="21"/>
        </w:rPr>
        <w:t xml:space="preserve"> </w:t>
      </w:r>
      <w:r w:rsidRPr="005A5218">
        <w:rPr>
          <w:szCs w:val="21"/>
        </w:rPr>
        <w:t>élémentaire et présente un flux lumineux normal total des unités d</w:t>
      </w:r>
      <w:r>
        <w:rPr>
          <w:szCs w:val="21"/>
        </w:rPr>
        <w:t>’</w:t>
      </w:r>
      <w:r w:rsidRPr="005A5218">
        <w:rPr>
          <w:szCs w:val="21"/>
        </w:rPr>
        <w:t>éclairage</w:t>
      </w:r>
      <w:r>
        <w:rPr>
          <w:szCs w:val="21"/>
        </w:rPr>
        <w:t xml:space="preserve"> </w:t>
      </w:r>
      <w:r w:rsidRPr="005A5218">
        <w:rPr>
          <w:szCs w:val="21"/>
        </w:rPr>
        <w:t xml:space="preserve">(indiqué au point </w:t>
      </w:r>
      <w:r w:rsidRPr="005A5218">
        <w:rPr>
          <w:strike/>
          <w:szCs w:val="21"/>
        </w:rPr>
        <w:t>9.3.2.3</w:t>
      </w:r>
      <w:r w:rsidRPr="005A5218">
        <w:rPr>
          <w:szCs w:val="21"/>
        </w:rPr>
        <w:t xml:space="preserve"> </w:t>
      </w:r>
      <w:r w:rsidRPr="002A7860">
        <w:rPr>
          <w:b/>
          <w:szCs w:val="21"/>
        </w:rPr>
        <w:t>9.3.3</w:t>
      </w:r>
      <w:r>
        <w:rPr>
          <w:b/>
          <w:szCs w:val="21"/>
        </w:rPr>
        <w:t> </w:t>
      </w:r>
      <w:r w:rsidRPr="002A7860">
        <w:rPr>
          <w:b/>
          <w:szCs w:val="21"/>
        </w:rPr>
        <w:t>a)</w:t>
      </w:r>
      <w:r w:rsidRPr="005A5218">
        <w:rPr>
          <w:bCs/>
          <w:szCs w:val="21"/>
        </w:rPr>
        <w:t xml:space="preserve"> </w:t>
      </w:r>
      <w:r w:rsidRPr="005A5218">
        <w:rPr>
          <w:szCs w:val="21"/>
        </w:rPr>
        <w:t>de la fiche de communication) supérieur à</w:t>
      </w:r>
      <w:r>
        <w:rPr>
          <w:szCs w:val="21"/>
        </w:rPr>
        <w:t xml:space="preserve"> </w:t>
      </w:r>
      <w:r w:rsidRPr="005A5218">
        <w:rPr>
          <w:szCs w:val="21"/>
        </w:rPr>
        <w:t>2</w:t>
      </w:r>
      <w:r>
        <w:rPr>
          <w:szCs w:val="21"/>
        </w:rPr>
        <w:t> </w:t>
      </w:r>
      <w:r w:rsidRPr="005A5218">
        <w:rPr>
          <w:szCs w:val="21"/>
        </w:rPr>
        <w:t>000</w:t>
      </w:r>
      <w:r>
        <w:rPr>
          <w:szCs w:val="21"/>
        </w:rPr>
        <w:t> </w:t>
      </w:r>
      <w:r w:rsidRPr="005A5218">
        <w:rPr>
          <w:szCs w:val="21"/>
        </w:rPr>
        <w:t>lumens par côté, cela doit être indiqué dans la fiche de communication</w:t>
      </w:r>
      <w:r>
        <w:rPr>
          <w:szCs w:val="21"/>
        </w:rPr>
        <w:t xml:space="preserve"> </w:t>
      </w:r>
      <w:r w:rsidRPr="005A5218">
        <w:rPr>
          <w:szCs w:val="21"/>
        </w:rPr>
        <w:t>figurant à l</w:t>
      </w:r>
      <w:r>
        <w:rPr>
          <w:szCs w:val="21"/>
        </w:rPr>
        <w:t>’</w:t>
      </w:r>
      <w:r w:rsidRPr="005A5218">
        <w:rPr>
          <w:szCs w:val="21"/>
        </w:rPr>
        <w:t>annexe 1.</w:t>
      </w:r>
    </w:p>
    <w:p w14:paraId="3D3E6C02" w14:textId="0EBD3191" w:rsidR="00BA097D" w:rsidRPr="002A7860" w:rsidRDefault="00BA097D" w:rsidP="00BA097D">
      <w:pPr>
        <w:pStyle w:val="SingleTxtG"/>
        <w:ind w:left="2268"/>
        <w:rPr>
          <w:szCs w:val="21"/>
        </w:rPr>
      </w:pPr>
      <w:r w:rsidRPr="005A5218">
        <w:t>Le flux lumineux normal des modules DEL doit être mesuré selon les prescriptions de la section</w:t>
      </w:r>
      <w:r>
        <w:t> </w:t>
      </w:r>
      <w:r w:rsidRPr="005A5218">
        <w:t>5 de l</w:t>
      </w:r>
      <w:r>
        <w:t>’</w:t>
      </w:r>
      <w:r w:rsidRPr="005A5218">
        <w:t>annexe</w:t>
      </w:r>
      <w:r>
        <w:t> </w:t>
      </w:r>
      <w:r w:rsidRPr="005A5218">
        <w:t>9</w:t>
      </w:r>
      <w:r w:rsidRPr="002A7860">
        <w:rPr>
          <w:szCs w:val="21"/>
        </w:rPr>
        <w:t>.</w:t>
      </w:r>
      <w:r>
        <w:rPr>
          <w:szCs w:val="21"/>
        </w:rPr>
        <w:t> ».</w:t>
      </w:r>
    </w:p>
    <w:p w14:paraId="1EC26604" w14:textId="77777777" w:rsidR="00BA097D" w:rsidRPr="002A7860" w:rsidRDefault="00BA097D" w:rsidP="00BA097D">
      <w:pPr>
        <w:pStyle w:val="SingleTxtG"/>
        <w:keepNext/>
        <w:rPr>
          <w:szCs w:val="21"/>
        </w:rPr>
      </w:pPr>
      <w:r w:rsidRPr="002A7860">
        <w:rPr>
          <w:i/>
          <w:iCs/>
        </w:rPr>
        <w:t>Figure A4-V,</w:t>
      </w:r>
      <w:r w:rsidRPr="002A7860">
        <w:rPr>
          <w:szCs w:val="21"/>
        </w:rPr>
        <w:t xml:space="preserve"> lire :</w:t>
      </w:r>
    </w:p>
    <w:p w14:paraId="22D06067" w14:textId="77777777" w:rsidR="00BA097D" w:rsidRPr="002A7860" w:rsidRDefault="00BA097D" w:rsidP="002E00FF">
      <w:pPr>
        <w:pStyle w:val="SingleTxtG"/>
        <w:keepNext/>
        <w:spacing w:after="0"/>
        <w:rPr>
          <w:szCs w:val="21"/>
        </w:rPr>
      </w:pPr>
      <w:r w:rsidRPr="002E00FF">
        <w:t>«</w:t>
      </w:r>
      <w:r w:rsidRPr="002E00FF">
        <w:rPr>
          <w:szCs w:val="21"/>
        </w:rPr>
        <w:t> </w:t>
      </w:r>
      <w:r w:rsidRPr="002A7860">
        <w:rPr>
          <w:szCs w:val="21"/>
        </w:rPr>
        <w:t>Figure A4-V</w:t>
      </w:r>
    </w:p>
    <w:p w14:paraId="2F0F04B1" w14:textId="77777777" w:rsidR="00BA097D" w:rsidRPr="002A7860" w:rsidRDefault="00BA097D" w:rsidP="002E00FF">
      <w:pPr>
        <w:pStyle w:val="SingleTxtG"/>
        <w:keepNext/>
        <w:rPr>
          <w:b/>
          <w:bCs/>
          <w:szCs w:val="21"/>
        </w:rPr>
      </w:pPr>
      <w:r w:rsidRPr="00DD2162">
        <w:rPr>
          <w:b/>
          <w:bCs/>
          <w:szCs w:val="21"/>
        </w:rPr>
        <w:t>Faisceau de croisement conçu pour la circulation à droite</w:t>
      </w:r>
    </w:p>
    <w:p w14:paraId="6E33D9C2" w14:textId="77777777" w:rsidR="00BA097D" w:rsidRPr="002A7860" w:rsidRDefault="00BA097D" w:rsidP="002E00FF">
      <w:pPr>
        <w:ind w:left="1134"/>
      </w:pPr>
      <w:r w:rsidRPr="002A7860">
        <w:rPr>
          <w:noProof/>
        </w:rPr>
        <w:drawing>
          <wp:inline distT="0" distB="0" distL="0" distR="0" wp14:anchorId="208D3F5E" wp14:editId="65C4BFF4">
            <wp:extent cx="5035377" cy="264160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9396" cy="2648955"/>
                    </a:xfrm>
                    <a:prstGeom prst="rect">
                      <a:avLst/>
                    </a:prstGeom>
                    <a:noFill/>
                  </pic:spPr>
                </pic:pic>
              </a:graphicData>
            </a:graphic>
          </wp:inline>
        </w:drawing>
      </w:r>
    </w:p>
    <w:p w14:paraId="5635D10D" w14:textId="77777777" w:rsidR="00BA097D" w:rsidRPr="002A7860" w:rsidRDefault="00BA097D" w:rsidP="002E00FF">
      <w:pPr>
        <w:pStyle w:val="SingleTxtG"/>
        <w:keepNext/>
      </w:pPr>
      <w:r w:rsidRPr="00DD2162">
        <w:lastRenderedPageBreak/>
        <w:t>Pour la circulation à gauche, l</w:t>
      </w:r>
      <w:r>
        <w:t>’</w:t>
      </w:r>
      <w:r w:rsidRPr="00DD2162">
        <w:t>emplacement des points d</w:t>
      </w:r>
      <w:r>
        <w:t>’</w:t>
      </w:r>
      <w:r w:rsidRPr="00DD2162">
        <w:t>essai est réfléchi symétriquement</w:t>
      </w:r>
      <w:r>
        <w:t xml:space="preserve"> </w:t>
      </w:r>
      <w:r w:rsidRPr="00DD2162">
        <w:t>par rapport à l</w:t>
      </w:r>
      <w:r>
        <w:t>’</w:t>
      </w:r>
      <w:r w:rsidRPr="00DD2162">
        <w:t>axe V-V</w:t>
      </w:r>
      <w:r>
        <w:t>. ».</w:t>
      </w:r>
    </w:p>
    <w:p w14:paraId="69A1B703" w14:textId="77777777" w:rsidR="00BA097D" w:rsidRPr="002A7860" w:rsidRDefault="00BA097D" w:rsidP="002E00FF">
      <w:pPr>
        <w:pStyle w:val="SingleTxtG"/>
        <w:keepNext/>
        <w:rPr>
          <w:szCs w:val="21"/>
        </w:rPr>
      </w:pPr>
      <w:r w:rsidRPr="002A7860">
        <w:rPr>
          <w:i/>
          <w:iCs/>
        </w:rPr>
        <w:t>Figure A4-VII,</w:t>
      </w:r>
      <w:r w:rsidRPr="002A7860">
        <w:rPr>
          <w:szCs w:val="21"/>
        </w:rPr>
        <w:t xml:space="preserve"> lire :</w:t>
      </w:r>
    </w:p>
    <w:p w14:paraId="7BF6DF61" w14:textId="77777777" w:rsidR="00BA097D" w:rsidRPr="002A7860" w:rsidRDefault="00BA097D" w:rsidP="002E00FF">
      <w:pPr>
        <w:pStyle w:val="SingleTxtG"/>
        <w:keepNext/>
        <w:spacing w:after="0"/>
        <w:rPr>
          <w:szCs w:val="21"/>
        </w:rPr>
      </w:pPr>
      <w:r>
        <w:rPr>
          <w:szCs w:val="21"/>
        </w:rPr>
        <w:t>« </w:t>
      </w:r>
      <w:r w:rsidRPr="002A7860">
        <w:rPr>
          <w:szCs w:val="21"/>
        </w:rPr>
        <w:t>Figure A4-VII</w:t>
      </w:r>
    </w:p>
    <w:p w14:paraId="48E47EA7" w14:textId="77777777" w:rsidR="00BA097D" w:rsidRPr="002A7860" w:rsidRDefault="00BA097D" w:rsidP="002E00FF">
      <w:pPr>
        <w:pStyle w:val="SingleTxtG"/>
      </w:pPr>
      <w:r w:rsidRPr="00BD385D">
        <w:rPr>
          <w:b/>
          <w:bCs/>
        </w:rPr>
        <w:t>Faisceau de croisement d</w:t>
      </w:r>
      <w:r>
        <w:rPr>
          <w:b/>
          <w:bCs/>
        </w:rPr>
        <w:t>’</w:t>
      </w:r>
      <w:r w:rsidRPr="00BD385D">
        <w:rPr>
          <w:b/>
          <w:bCs/>
        </w:rPr>
        <w:t>un système d</w:t>
      </w:r>
      <w:r>
        <w:rPr>
          <w:b/>
          <w:bCs/>
        </w:rPr>
        <w:t>’</w:t>
      </w:r>
      <w:r w:rsidRPr="00BD385D">
        <w:rPr>
          <w:b/>
          <w:bCs/>
        </w:rPr>
        <w:t>éclairage avant actif conçu pour la circulation à droite</w:t>
      </w:r>
      <w:r w:rsidRPr="002A7860">
        <w:t>*</w:t>
      </w:r>
    </w:p>
    <w:p w14:paraId="00DBB499" w14:textId="419907BA" w:rsidR="00BA097D" w:rsidRPr="002A7860" w:rsidRDefault="00BA097D" w:rsidP="002E00FF">
      <w:pPr>
        <w:pStyle w:val="SingleTxtG"/>
      </w:pPr>
      <w:r w:rsidRPr="002A7860">
        <w:t xml:space="preserve">* </w:t>
      </w:r>
      <w:r w:rsidR="002E00FF">
        <w:t xml:space="preserve"> </w:t>
      </w:r>
      <w:r w:rsidRPr="002A7860">
        <w:rPr>
          <w:i/>
          <w:iCs/>
        </w:rPr>
        <w:t>Note</w:t>
      </w:r>
      <w:r>
        <w:rPr>
          <w:i/>
          <w:iCs/>
        </w:rPr>
        <w:t> </w:t>
      </w:r>
      <w:r w:rsidRPr="002A7860">
        <w:t xml:space="preserve">: </w:t>
      </w:r>
      <w:r w:rsidRPr="004B0D75">
        <w:t>La méthode de mesure prescrite est présentée à l</w:t>
      </w:r>
      <w:r>
        <w:t>’</w:t>
      </w:r>
      <w:r w:rsidRPr="004B0D75">
        <w:t>annexe 4</w:t>
      </w:r>
      <w:r>
        <w:t>.</w:t>
      </w:r>
    </w:p>
    <w:p w14:paraId="07AC0297" w14:textId="77777777" w:rsidR="00BA097D" w:rsidRPr="002A7860" w:rsidRDefault="00BA097D" w:rsidP="002E00FF">
      <w:pPr>
        <w:pStyle w:val="SingleTxtG"/>
      </w:pPr>
      <w:r w:rsidRPr="004B0D75">
        <w:t>Aux fins de la présente annexe</w:t>
      </w:r>
      <w:r>
        <w:t> </w:t>
      </w:r>
      <w:r w:rsidRPr="002A7860">
        <w:t>:</w:t>
      </w:r>
    </w:p>
    <w:p w14:paraId="6CEC0663" w14:textId="0C0AB79C" w:rsidR="00BA097D" w:rsidRPr="002A7860" w:rsidRDefault="002E00FF" w:rsidP="002E00FF">
      <w:pPr>
        <w:pStyle w:val="SingleTxtG"/>
      </w:pPr>
      <w:r w:rsidRPr="002E00FF">
        <w:t>“</w:t>
      </w:r>
      <w:r w:rsidR="00BA097D" w:rsidRPr="00147965">
        <w:t>au-dessus</w:t>
      </w:r>
      <w:r w:rsidRPr="002E00FF">
        <w:t>”</w:t>
      </w:r>
      <w:r w:rsidR="00BA097D" w:rsidRPr="00147965">
        <w:t xml:space="preserve"> signifie uniquement plus haut sur la verticale</w:t>
      </w:r>
      <w:r w:rsidR="00BA097D">
        <w:t> </w:t>
      </w:r>
      <w:r w:rsidR="00BA097D" w:rsidRPr="00147965">
        <w:t>;</w:t>
      </w:r>
    </w:p>
    <w:p w14:paraId="35BDFDC3" w14:textId="32335E6E" w:rsidR="00BA097D" w:rsidRPr="002A7860" w:rsidRDefault="002E00FF" w:rsidP="002E00FF">
      <w:pPr>
        <w:pStyle w:val="SingleTxtG"/>
      </w:pPr>
      <w:r w:rsidRPr="002E00FF">
        <w:t>“</w:t>
      </w:r>
      <w:r w:rsidR="00BA097D" w:rsidRPr="00147965">
        <w:t>au-dessous</w:t>
      </w:r>
      <w:r w:rsidRPr="002E00FF">
        <w:t>”</w:t>
      </w:r>
      <w:r w:rsidR="00BA097D" w:rsidRPr="00147965">
        <w:t xml:space="preserve"> signifie uniquement plus bas sur la verticale</w:t>
      </w:r>
      <w:r w:rsidR="00BA097D" w:rsidRPr="002A7860">
        <w:t>.</w:t>
      </w:r>
    </w:p>
    <w:p w14:paraId="54BCF263" w14:textId="77777777" w:rsidR="00BA097D" w:rsidRPr="002A7860" w:rsidRDefault="00BA097D" w:rsidP="002E00FF">
      <w:pPr>
        <w:pStyle w:val="SingleTxtG"/>
      </w:pPr>
      <w:r w:rsidRPr="00BA1291">
        <w:t>Dans les prescriptions photométriques concernant le faisceau de croisement, les positions angulaires sont exprimées en degrés au-dessus (U) ou au-dessous (D) de l</w:t>
      </w:r>
      <w:r>
        <w:t>’</w:t>
      </w:r>
      <w:r w:rsidRPr="00BA1291">
        <w:t>axe H-H, et à droite (R) ou à gauche (L) de l</w:t>
      </w:r>
      <w:r>
        <w:t>’</w:t>
      </w:r>
      <w:r w:rsidRPr="00BA1291">
        <w:t>axe V-V.</w:t>
      </w:r>
    </w:p>
    <w:p w14:paraId="6FABA3EB" w14:textId="77777777" w:rsidR="00BA097D" w:rsidRPr="002A7860" w:rsidRDefault="00BA097D" w:rsidP="002E00FF">
      <w:pPr>
        <w:pStyle w:val="SingleTxtG"/>
        <w:rPr>
          <w:bCs/>
        </w:rPr>
      </w:pPr>
      <w:r w:rsidRPr="00025A6E">
        <w:rPr>
          <w:bCs/>
        </w:rPr>
        <w:t>Pour la circulation à gauche, l</w:t>
      </w:r>
      <w:r>
        <w:rPr>
          <w:bCs/>
        </w:rPr>
        <w:t>’</w:t>
      </w:r>
      <w:r w:rsidRPr="00025A6E">
        <w:rPr>
          <w:bCs/>
        </w:rPr>
        <w:t>emplacement des points d</w:t>
      </w:r>
      <w:r>
        <w:rPr>
          <w:bCs/>
        </w:rPr>
        <w:t>’</w:t>
      </w:r>
      <w:r w:rsidRPr="00025A6E">
        <w:rPr>
          <w:bCs/>
        </w:rPr>
        <w:t>essai est réfléchi symétriquement par rapport à l</w:t>
      </w:r>
      <w:r>
        <w:rPr>
          <w:bCs/>
        </w:rPr>
        <w:t>’</w:t>
      </w:r>
      <w:r w:rsidRPr="00025A6E">
        <w:rPr>
          <w:bCs/>
        </w:rPr>
        <w:t>axe V-V</w:t>
      </w:r>
      <w:r>
        <w:rPr>
          <w:bCs/>
        </w:rPr>
        <w:t>.</w:t>
      </w:r>
    </w:p>
    <w:p w14:paraId="26BC540D" w14:textId="77777777" w:rsidR="00BA097D" w:rsidRPr="002A7860" w:rsidRDefault="00BA097D" w:rsidP="002E00FF">
      <w:pPr>
        <w:pStyle w:val="SingleTxtG"/>
        <w:jc w:val="right"/>
      </w:pPr>
      <w:r w:rsidRPr="002A7860">
        <w:rPr>
          <w:noProof/>
        </w:rPr>
        <w:drawing>
          <wp:inline distT="0" distB="0" distL="0" distR="0" wp14:anchorId="4804E66E" wp14:editId="7F08EE49">
            <wp:extent cx="5006975" cy="2619072"/>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4497" cy="2623006"/>
                    </a:xfrm>
                    <a:prstGeom prst="rect">
                      <a:avLst/>
                    </a:prstGeom>
                    <a:noFill/>
                  </pic:spPr>
                </pic:pic>
              </a:graphicData>
            </a:graphic>
          </wp:inline>
        </w:drawing>
      </w:r>
      <w:r>
        <w:t> ».</w:t>
      </w:r>
    </w:p>
    <w:p w14:paraId="21F13CEF" w14:textId="2D33C00B" w:rsidR="00BA097D" w:rsidRPr="001E2878" w:rsidRDefault="002E00FF" w:rsidP="002E00FF">
      <w:pPr>
        <w:pStyle w:val="HChG"/>
        <w:rPr>
          <w:szCs w:val="32"/>
        </w:rPr>
      </w:pPr>
      <w:r>
        <w:tab/>
      </w:r>
      <w:r w:rsidR="00BA097D" w:rsidRPr="001E2878">
        <w:t>II.</w:t>
      </w:r>
      <w:r w:rsidR="00BA097D" w:rsidRPr="001E2878">
        <w:tab/>
        <w:t>Justification</w:t>
      </w:r>
    </w:p>
    <w:p w14:paraId="3EBB57DE" w14:textId="7DDE52BE" w:rsidR="00BA097D" w:rsidRPr="002A7860" w:rsidRDefault="00BA097D" w:rsidP="002E00FF">
      <w:pPr>
        <w:pStyle w:val="SingleTxtG"/>
      </w:pPr>
      <w:r w:rsidRPr="002A7860">
        <w:t>1.</w:t>
      </w:r>
      <w:r w:rsidRPr="002A7860">
        <w:tab/>
        <w:t>La présente proposition vise à préciser les dispositions actuelles des paragraphes</w:t>
      </w:r>
      <w:r w:rsidR="002E00FF">
        <w:t> </w:t>
      </w:r>
      <w:r w:rsidRPr="002A7860">
        <w:t>3.3.2.4 et 3.3.2.4.4.</w:t>
      </w:r>
    </w:p>
    <w:p w14:paraId="3426BE95" w14:textId="77777777" w:rsidR="00BA097D" w:rsidRPr="002A7860" w:rsidRDefault="00BA097D" w:rsidP="002E00FF">
      <w:pPr>
        <w:pStyle w:val="SingleTxtG"/>
      </w:pPr>
      <w:r w:rsidRPr="002A7860">
        <w:t>2.</w:t>
      </w:r>
      <w:r w:rsidRPr="002A7860">
        <w:tab/>
        <w:t>Les dispositions du paragraphe 3.3.2.4.8 figurent dans le Règlement ONU n</w:t>
      </w:r>
      <w:r w:rsidRPr="002A7860">
        <w:rPr>
          <w:vertAlign w:val="superscript"/>
        </w:rPr>
        <w:t>o</w:t>
      </w:r>
      <w:r w:rsidRPr="002A7860">
        <w:t xml:space="preserve"> 123 (par. 4.2.2.3) mais </w:t>
      </w:r>
      <w:r>
        <w:t>font actuellement défaut</w:t>
      </w:r>
      <w:r w:rsidRPr="002A7860">
        <w:t xml:space="preserve"> dans le Règlement ONU n</w:t>
      </w:r>
      <w:r w:rsidRPr="002A7860">
        <w:rPr>
          <w:vertAlign w:val="superscript"/>
        </w:rPr>
        <w:t>o</w:t>
      </w:r>
      <w:r w:rsidRPr="002A7860">
        <w:t> 149.</w:t>
      </w:r>
    </w:p>
    <w:p w14:paraId="4D6A394A" w14:textId="77777777" w:rsidR="00BA097D" w:rsidRPr="002A7860" w:rsidRDefault="00BA097D" w:rsidP="002E00FF">
      <w:pPr>
        <w:pStyle w:val="SingleTxtG"/>
      </w:pPr>
      <w:r w:rsidRPr="002A7860">
        <w:t>3.</w:t>
      </w:r>
      <w:r w:rsidRPr="002A7860">
        <w:tab/>
        <w:t>La présente proposition vise à corriger, au paragraphe 4.5.2.6, un renvoi erroné à un point de l</w:t>
      </w:r>
      <w:r>
        <w:t>’</w:t>
      </w:r>
      <w:r w:rsidRPr="002A7860">
        <w:t>annexe 1 ; le point en question devrait être le point 9.3.3 a), et non le 9.3.2.3.</w:t>
      </w:r>
    </w:p>
    <w:p w14:paraId="7E5612AF" w14:textId="3588C80D" w:rsidR="00F9573C" w:rsidRDefault="00BA097D" w:rsidP="002E00FF">
      <w:pPr>
        <w:pStyle w:val="SingleTxtG"/>
      </w:pPr>
      <w:r w:rsidRPr="002A7860">
        <w:t>4.</w:t>
      </w:r>
      <w:r w:rsidRPr="002A7860">
        <w:tab/>
        <w:t xml:space="preserve">Elle </w:t>
      </w:r>
      <w:r>
        <w:t xml:space="preserve">tend </w:t>
      </w:r>
      <w:r w:rsidRPr="002A7860">
        <w:t xml:space="preserve">également </w:t>
      </w:r>
      <w:r>
        <w:t xml:space="preserve">à corriger </w:t>
      </w:r>
      <w:r w:rsidRPr="002A7860">
        <w:t>les emplacements des points 50L et 75L dans les figures A4-V et A4-VII.</w:t>
      </w:r>
    </w:p>
    <w:p w14:paraId="5B6F62CD" w14:textId="14C1E942" w:rsidR="002E00FF" w:rsidRPr="002E00FF" w:rsidRDefault="002E00FF" w:rsidP="002E00FF">
      <w:pPr>
        <w:pStyle w:val="SingleTxtG"/>
        <w:spacing w:before="240" w:after="0"/>
        <w:jc w:val="center"/>
        <w:rPr>
          <w:u w:val="single"/>
        </w:rPr>
      </w:pPr>
      <w:r>
        <w:rPr>
          <w:u w:val="single"/>
        </w:rPr>
        <w:tab/>
      </w:r>
      <w:r>
        <w:rPr>
          <w:u w:val="single"/>
        </w:rPr>
        <w:tab/>
      </w:r>
      <w:r>
        <w:rPr>
          <w:u w:val="single"/>
        </w:rPr>
        <w:tab/>
      </w:r>
      <w:r>
        <w:rPr>
          <w:u w:val="single"/>
        </w:rPr>
        <w:tab/>
      </w:r>
    </w:p>
    <w:sectPr w:rsidR="002E00FF" w:rsidRPr="002E00FF" w:rsidSect="00BA097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B023" w14:textId="77777777" w:rsidR="003123F0" w:rsidRDefault="003123F0" w:rsidP="00F95C08">
      <w:pPr>
        <w:spacing w:line="240" w:lineRule="auto"/>
      </w:pPr>
    </w:p>
  </w:endnote>
  <w:endnote w:type="continuationSeparator" w:id="0">
    <w:p w14:paraId="625B28BE" w14:textId="77777777" w:rsidR="003123F0" w:rsidRPr="00AC3823" w:rsidRDefault="003123F0" w:rsidP="00AC3823">
      <w:pPr>
        <w:pStyle w:val="Pieddepage"/>
      </w:pPr>
    </w:p>
  </w:endnote>
  <w:endnote w:type="continuationNotice" w:id="1">
    <w:p w14:paraId="79B93EFB" w14:textId="77777777" w:rsidR="003123F0" w:rsidRDefault="00312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7E1C" w14:textId="5289C46B" w:rsidR="00BA097D" w:rsidRPr="00BA097D" w:rsidRDefault="00BA097D" w:rsidP="00BA097D">
    <w:pPr>
      <w:pStyle w:val="Pieddepage"/>
      <w:tabs>
        <w:tab w:val="right" w:pos="9638"/>
      </w:tabs>
    </w:pPr>
    <w:r w:rsidRPr="00BA097D">
      <w:rPr>
        <w:b/>
        <w:sz w:val="18"/>
      </w:rPr>
      <w:fldChar w:fldCharType="begin"/>
    </w:r>
    <w:r w:rsidRPr="00BA097D">
      <w:rPr>
        <w:b/>
        <w:sz w:val="18"/>
      </w:rPr>
      <w:instrText xml:space="preserve"> PAGE  \* MERGEFORMAT </w:instrText>
    </w:r>
    <w:r w:rsidRPr="00BA097D">
      <w:rPr>
        <w:b/>
        <w:sz w:val="18"/>
      </w:rPr>
      <w:fldChar w:fldCharType="separate"/>
    </w:r>
    <w:r w:rsidRPr="00BA097D">
      <w:rPr>
        <w:b/>
        <w:noProof/>
        <w:sz w:val="18"/>
      </w:rPr>
      <w:t>2</w:t>
    </w:r>
    <w:r w:rsidRPr="00BA097D">
      <w:rPr>
        <w:b/>
        <w:sz w:val="18"/>
      </w:rPr>
      <w:fldChar w:fldCharType="end"/>
    </w:r>
    <w:r>
      <w:rPr>
        <w:b/>
        <w:sz w:val="18"/>
      </w:rPr>
      <w:tab/>
    </w:r>
    <w:r>
      <w:t>GE.21-10781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1353" w14:textId="2C101207" w:rsidR="00BA097D" w:rsidRPr="00BA097D" w:rsidRDefault="00BA097D" w:rsidP="00BA097D">
    <w:pPr>
      <w:pStyle w:val="Pieddepage"/>
      <w:tabs>
        <w:tab w:val="right" w:pos="9638"/>
      </w:tabs>
      <w:rPr>
        <w:b/>
        <w:sz w:val="18"/>
      </w:rPr>
    </w:pPr>
    <w:r>
      <w:t>GE.21-10781</w:t>
    </w:r>
    <w:r>
      <w:tab/>
    </w:r>
    <w:r w:rsidRPr="00BA097D">
      <w:rPr>
        <w:b/>
        <w:sz w:val="18"/>
      </w:rPr>
      <w:fldChar w:fldCharType="begin"/>
    </w:r>
    <w:r w:rsidRPr="00BA097D">
      <w:rPr>
        <w:b/>
        <w:sz w:val="18"/>
      </w:rPr>
      <w:instrText xml:space="preserve"> PAGE  \* MERGEFORMAT </w:instrText>
    </w:r>
    <w:r w:rsidRPr="00BA097D">
      <w:rPr>
        <w:b/>
        <w:sz w:val="18"/>
      </w:rPr>
      <w:fldChar w:fldCharType="separate"/>
    </w:r>
    <w:r w:rsidRPr="00BA097D">
      <w:rPr>
        <w:b/>
        <w:noProof/>
        <w:sz w:val="18"/>
      </w:rPr>
      <w:t>3</w:t>
    </w:r>
    <w:r w:rsidRPr="00BA0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5E95" w14:textId="50594206" w:rsidR="007F20FA" w:rsidRPr="00BA097D" w:rsidRDefault="00BA097D" w:rsidP="00BA097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B03B61" wp14:editId="3CE84E3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21-10781  (F)</w:t>
    </w:r>
    <w:r>
      <w:rPr>
        <w:noProof/>
        <w:sz w:val="20"/>
      </w:rPr>
      <w:drawing>
        <wp:anchor distT="0" distB="0" distL="114300" distR="114300" simplePos="0" relativeHeight="251660288" behindDoc="0" locked="0" layoutInCell="1" allowOverlap="1" wp14:anchorId="3E52453E" wp14:editId="2AA5E47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010921    020921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A5694" w14:textId="77777777" w:rsidR="003123F0" w:rsidRPr="00AC3823" w:rsidRDefault="003123F0" w:rsidP="00AC3823">
      <w:pPr>
        <w:pStyle w:val="Pieddepage"/>
        <w:tabs>
          <w:tab w:val="right" w:pos="2155"/>
        </w:tabs>
        <w:spacing w:after="80" w:line="240" w:lineRule="atLeast"/>
        <w:ind w:left="680"/>
        <w:rPr>
          <w:u w:val="single"/>
        </w:rPr>
      </w:pPr>
      <w:r>
        <w:rPr>
          <w:u w:val="single"/>
        </w:rPr>
        <w:tab/>
      </w:r>
    </w:p>
  </w:footnote>
  <w:footnote w:type="continuationSeparator" w:id="0">
    <w:p w14:paraId="16321E13" w14:textId="77777777" w:rsidR="003123F0" w:rsidRPr="00AC3823" w:rsidRDefault="003123F0" w:rsidP="00AC3823">
      <w:pPr>
        <w:pStyle w:val="Pieddepage"/>
        <w:tabs>
          <w:tab w:val="right" w:pos="2155"/>
        </w:tabs>
        <w:spacing w:after="80" w:line="240" w:lineRule="atLeast"/>
        <w:ind w:left="680"/>
        <w:rPr>
          <w:u w:val="single"/>
        </w:rPr>
      </w:pPr>
      <w:r>
        <w:rPr>
          <w:u w:val="single"/>
        </w:rPr>
        <w:tab/>
      </w:r>
    </w:p>
  </w:footnote>
  <w:footnote w:type="continuationNotice" w:id="1">
    <w:p w14:paraId="0FD79018" w14:textId="77777777" w:rsidR="003123F0" w:rsidRPr="00AC3823" w:rsidRDefault="003123F0">
      <w:pPr>
        <w:spacing w:line="240" w:lineRule="auto"/>
        <w:rPr>
          <w:sz w:val="2"/>
          <w:szCs w:val="2"/>
        </w:rPr>
      </w:pPr>
    </w:p>
  </w:footnote>
  <w:footnote w:id="2">
    <w:p w14:paraId="14AA6F0B" w14:textId="55B14A3B" w:rsidR="00BA097D" w:rsidRPr="00A47334" w:rsidRDefault="00BA097D" w:rsidP="00BA097D">
      <w:pPr>
        <w:pStyle w:val="Notedebasdepage"/>
      </w:pPr>
      <w:r w:rsidRPr="00A90EA8">
        <w:tab/>
      </w:r>
      <w:r w:rsidRPr="00A47334">
        <w:t>*</w:t>
      </w:r>
      <w:r w:rsidRPr="00A47334">
        <w:tab/>
      </w:r>
      <w:r w:rsidRPr="003667E2">
        <w:rPr>
          <w:lang w:val="fr-FR"/>
        </w:rPr>
        <w:t>Conformément au programme de travail du Comité des transports intérieurs pour 2021 tel qu’il figure dans le projet de budget-programme pour 2021 (A/75/6 (Sect.</w:t>
      </w:r>
      <w:r>
        <w:rPr>
          <w:lang w:val="fr-FR"/>
        </w:rPr>
        <w:t> </w:t>
      </w:r>
      <w:r w:rsidRPr="003667E2">
        <w:rPr>
          <w:lang w:val="fr-FR"/>
        </w:rPr>
        <w:t>20), par.</w:t>
      </w:r>
      <w:r>
        <w:rPr>
          <w:lang w:val="fr-FR"/>
        </w:rPr>
        <w:t> </w:t>
      </w:r>
      <w:r w:rsidRPr="003667E2">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92E6" w14:textId="018F5A55" w:rsidR="00BA097D" w:rsidRPr="00BA097D" w:rsidRDefault="00BA097D">
    <w:pPr>
      <w:pStyle w:val="En-tte"/>
    </w:pPr>
    <w:fldSimple w:instr=" TITLE  \* MERGEFORMAT ">
      <w:r w:rsidR="003D7EE6">
        <w:t>ECE/TRANS/WP.29/GRE/2021/12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6218" w14:textId="6F28AC88" w:rsidR="00BA097D" w:rsidRPr="00BA097D" w:rsidRDefault="00BA097D" w:rsidP="00BA097D">
    <w:pPr>
      <w:pStyle w:val="En-tte"/>
      <w:jc w:val="right"/>
    </w:pPr>
    <w:fldSimple w:instr=" TITLE  \* MERGEFORMAT ">
      <w:r w:rsidR="003D7EE6">
        <w:t>ECE/TRANS/WP.29/GRE/2021/12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F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E00FF"/>
    <w:rsid w:val="00305801"/>
    <w:rsid w:val="003123F0"/>
    <w:rsid w:val="00367865"/>
    <w:rsid w:val="003916DE"/>
    <w:rsid w:val="003D7EE6"/>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7F376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97D"/>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D8C985"/>
  <w15:docId w15:val="{5A1E24CA-ACB2-4015-B0AB-A055E09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5F186-5CFC-4EC0-80CC-FFC601791709}">
  <ds:schemaRefs>
    <ds:schemaRef ds:uri="http://schemas.openxmlformats.org/officeDocument/2006/bibliography"/>
  </ds:schemaRefs>
</ds:datastoreItem>
</file>

<file path=customXml/itemProps2.xml><?xml version="1.0" encoding="utf-8"?>
<ds:datastoreItem xmlns:ds="http://schemas.openxmlformats.org/officeDocument/2006/customXml" ds:itemID="{8AC42C12-688C-4FAC-A1CE-0DEB586FE9E8}"/>
</file>

<file path=customXml/itemProps3.xml><?xml version="1.0" encoding="utf-8"?>
<ds:datastoreItem xmlns:ds="http://schemas.openxmlformats.org/officeDocument/2006/customXml" ds:itemID="{814734EC-BCD7-4613-9D06-A94F936F396B}"/>
</file>

<file path=customXml/itemProps4.xml><?xml version="1.0" encoding="utf-8"?>
<ds:datastoreItem xmlns:ds="http://schemas.openxmlformats.org/officeDocument/2006/customXml" ds:itemID="{ADBA7CA2-EAE4-432A-8FD2-D3E92778648F}"/>
</file>

<file path=docProps/app.xml><?xml version="1.0" encoding="utf-8"?>
<Properties xmlns="http://schemas.openxmlformats.org/officeDocument/2006/extended-properties" xmlns:vt="http://schemas.openxmlformats.org/officeDocument/2006/docPropsVTypes">
  <Template>ECE_TRANS.dotm</Template>
  <TotalTime>1</TotalTime>
  <Pages>3</Pages>
  <Words>703</Words>
  <Characters>3791</Characters>
  <Application>Microsoft Office Word</Application>
  <DocSecurity>0</DocSecurity>
  <Lines>91</Lines>
  <Paragraphs>49</Paragraphs>
  <ScaleCrop>false</ScaleCrop>
  <HeadingPairs>
    <vt:vector size="2" baseType="variant">
      <vt:variant>
        <vt:lpstr>Titre</vt:lpstr>
      </vt:variant>
      <vt:variant>
        <vt:i4>1</vt:i4>
      </vt:variant>
    </vt:vector>
  </HeadingPairs>
  <TitlesOfParts>
    <vt:vector size="1" baseType="lpstr">
      <vt:lpstr>ECE/TRANS/WP.29/GRE/2021/12</vt:lpstr>
    </vt:vector>
  </TitlesOfParts>
  <Company>DCM</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ECE/TRANS/WP.29/GRE/2021/12</dc:title>
  <dc:subject/>
  <dc:creator>Christine CHAUTAGNAT</dc:creator>
  <cp:keywords/>
  <cp:lastModifiedBy>Christine Chautagnat</cp:lastModifiedBy>
  <cp:revision>3</cp:revision>
  <cp:lastPrinted>2021-09-02T07:28:00Z</cp:lastPrinted>
  <dcterms:created xsi:type="dcterms:W3CDTF">2021-09-02T07:28:00Z</dcterms:created>
  <dcterms:modified xsi:type="dcterms:W3CDTF">2021-09-02T07:29:00Z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