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B097F" w:rsidRPr="00525E6C" w14:paraId="042AE4CF" w14:textId="77777777" w:rsidTr="006744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E407D" w14:textId="77777777" w:rsidR="00FB097F" w:rsidRPr="00525E6C" w:rsidRDefault="00FB097F" w:rsidP="006744EF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CE3DC" w14:textId="77777777" w:rsidR="00FB097F" w:rsidRPr="00525E6C" w:rsidRDefault="00FB097F" w:rsidP="006744E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E50B4" w14:textId="1A1DC169" w:rsidR="00FB097F" w:rsidRPr="00356849" w:rsidRDefault="00FB097F" w:rsidP="00A87C91">
            <w:pPr>
              <w:jc w:val="right"/>
            </w:pPr>
            <w:r w:rsidRPr="00356849">
              <w:rPr>
                <w:sz w:val="40"/>
              </w:rPr>
              <w:t>ECE</w:t>
            </w:r>
            <w:r w:rsidRPr="00356849">
              <w:t>/TRANS/WP.29/GRE/20</w:t>
            </w:r>
            <w:r w:rsidR="003E1466" w:rsidRPr="00356849">
              <w:t>21</w:t>
            </w:r>
            <w:r w:rsidR="00554097" w:rsidRPr="00356849">
              <w:t>/</w:t>
            </w:r>
            <w:r w:rsidR="00273FAA" w:rsidRPr="00356849">
              <w:t>12</w:t>
            </w:r>
          </w:p>
        </w:tc>
      </w:tr>
      <w:tr w:rsidR="00FB097F" w:rsidRPr="008E578E" w14:paraId="1BB42DB8" w14:textId="77777777" w:rsidTr="006744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987D63" w14:textId="073AC3FD" w:rsidR="00FB097F" w:rsidRPr="00525E6C" w:rsidRDefault="00FB097F" w:rsidP="006744E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136BD21" wp14:editId="376AF457">
                  <wp:extent cx="718185" cy="594995"/>
                  <wp:effectExtent l="0" t="0" r="5715" b="0"/>
                  <wp:docPr id="7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0F34E8" w14:textId="5A6EB9A7" w:rsidR="00FB097F" w:rsidRPr="001B57EA" w:rsidRDefault="00FB097F" w:rsidP="006744EF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1B57E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6D5829" w14:textId="77777777" w:rsidR="00FB097F" w:rsidRPr="00356849" w:rsidRDefault="00FB097F" w:rsidP="006744EF">
            <w:pPr>
              <w:spacing w:before="240" w:line="240" w:lineRule="exact"/>
              <w:rPr>
                <w:lang w:val="en-US"/>
              </w:rPr>
            </w:pPr>
            <w:r w:rsidRPr="00356849">
              <w:rPr>
                <w:lang w:val="en-US"/>
              </w:rPr>
              <w:t>Distr.: General</w:t>
            </w:r>
          </w:p>
          <w:p w14:paraId="60DBF95B" w14:textId="63873F03" w:rsidR="00FB097F" w:rsidRPr="00356849" w:rsidRDefault="00273FAA" w:rsidP="006744EF">
            <w:pPr>
              <w:spacing w:line="240" w:lineRule="exact"/>
              <w:rPr>
                <w:lang w:val="en-US"/>
              </w:rPr>
            </w:pPr>
            <w:r w:rsidRPr="00356849">
              <w:rPr>
                <w:lang w:val="en-US"/>
              </w:rPr>
              <w:t>5</w:t>
            </w:r>
            <w:r w:rsidR="00FB097F" w:rsidRPr="00356849">
              <w:rPr>
                <w:lang w:val="en-US"/>
              </w:rPr>
              <w:t xml:space="preserve"> </w:t>
            </w:r>
            <w:r w:rsidR="00CE4D00" w:rsidRPr="00356849">
              <w:rPr>
                <w:lang w:val="en-US"/>
              </w:rPr>
              <w:t xml:space="preserve">August </w:t>
            </w:r>
            <w:r w:rsidR="00FB097F" w:rsidRPr="00356849">
              <w:rPr>
                <w:lang w:val="en-US"/>
              </w:rPr>
              <w:t>20</w:t>
            </w:r>
            <w:r w:rsidR="003E1466" w:rsidRPr="00356849">
              <w:rPr>
                <w:lang w:val="en-US"/>
              </w:rPr>
              <w:t>21</w:t>
            </w:r>
          </w:p>
          <w:p w14:paraId="71FA02E7" w14:textId="77777777" w:rsidR="00FB097F" w:rsidRPr="00356849" w:rsidRDefault="00FB097F" w:rsidP="006744EF">
            <w:pPr>
              <w:spacing w:line="240" w:lineRule="exact"/>
              <w:rPr>
                <w:lang w:val="en-US"/>
              </w:rPr>
            </w:pPr>
          </w:p>
          <w:p w14:paraId="1F4E58DF" w14:textId="0AA5D978" w:rsidR="00FB097F" w:rsidRPr="00356849" w:rsidRDefault="00FB097F" w:rsidP="006744EF">
            <w:pPr>
              <w:spacing w:line="240" w:lineRule="exact"/>
              <w:rPr>
                <w:lang w:val="en-US"/>
              </w:rPr>
            </w:pPr>
            <w:r w:rsidRPr="00356849">
              <w:rPr>
                <w:lang w:val="en-US"/>
              </w:rPr>
              <w:t>Original: English</w:t>
            </w:r>
          </w:p>
        </w:tc>
      </w:tr>
    </w:tbl>
    <w:p w14:paraId="6A4AA2FD" w14:textId="77777777" w:rsidR="00FB097F" w:rsidRPr="00FB097F" w:rsidRDefault="00FB097F" w:rsidP="00FB097F">
      <w:pPr>
        <w:spacing w:before="120"/>
        <w:rPr>
          <w:b/>
          <w:sz w:val="28"/>
          <w:szCs w:val="28"/>
          <w:lang w:val="en-US"/>
        </w:rPr>
      </w:pPr>
      <w:r w:rsidRPr="00FB097F">
        <w:rPr>
          <w:b/>
          <w:sz w:val="28"/>
          <w:szCs w:val="28"/>
          <w:lang w:val="en-US"/>
        </w:rPr>
        <w:t>Economic Commission for Europe</w:t>
      </w:r>
    </w:p>
    <w:p w14:paraId="4C5BB820" w14:textId="77777777" w:rsidR="00FB097F" w:rsidRPr="00FB097F" w:rsidRDefault="00FB097F" w:rsidP="00FB097F">
      <w:pPr>
        <w:spacing w:before="120"/>
        <w:rPr>
          <w:sz w:val="28"/>
          <w:szCs w:val="28"/>
          <w:lang w:val="en-US"/>
        </w:rPr>
      </w:pPr>
      <w:r w:rsidRPr="00FB097F">
        <w:rPr>
          <w:sz w:val="28"/>
          <w:szCs w:val="28"/>
          <w:lang w:val="en-US"/>
        </w:rPr>
        <w:t>Inland Transport Committee</w:t>
      </w:r>
    </w:p>
    <w:p w14:paraId="75B372E5" w14:textId="77777777" w:rsidR="00FB097F" w:rsidRPr="00FB097F" w:rsidRDefault="00FB097F" w:rsidP="00FB097F">
      <w:pPr>
        <w:spacing w:before="120"/>
        <w:rPr>
          <w:b/>
          <w:sz w:val="24"/>
          <w:szCs w:val="24"/>
          <w:lang w:val="en-US"/>
        </w:rPr>
      </w:pPr>
      <w:r w:rsidRPr="00FB097F">
        <w:rPr>
          <w:b/>
          <w:sz w:val="24"/>
          <w:szCs w:val="24"/>
          <w:lang w:val="en-US"/>
        </w:rPr>
        <w:t>World Forum for Harmonization of Vehicle Regulations</w:t>
      </w:r>
    </w:p>
    <w:p w14:paraId="004BC224" w14:textId="77777777" w:rsidR="00FB097F" w:rsidRPr="00FB097F" w:rsidRDefault="00FB097F" w:rsidP="00FB097F">
      <w:pPr>
        <w:spacing w:before="120" w:after="120"/>
        <w:rPr>
          <w:b/>
          <w:bCs/>
          <w:lang w:val="en-US"/>
        </w:rPr>
      </w:pPr>
      <w:r w:rsidRPr="00FB097F">
        <w:rPr>
          <w:b/>
          <w:bCs/>
          <w:lang w:val="en-US"/>
        </w:rPr>
        <w:t>Working Party on Lighting and Light-Signalling</w:t>
      </w:r>
    </w:p>
    <w:p w14:paraId="756397CC" w14:textId="593DE4B7" w:rsidR="0016001D" w:rsidRPr="00356849" w:rsidRDefault="003E1466" w:rsidP="0016001D">
      <w:pPr>
        <w:spacing w:before="120"/>
        <w:rPr>
          <w:b/>
          <w:lang w:val="en-GB"/>
        </w:rPr>
      </w:pPr>
      <w:r w:rsidRPr="00356849">
        <w:rPr>
          <w:b/>
          <w:lang w:val="en-GB"/>
        </w:rPr>
        <w:t>Eighty-fifth</w:t>
      </w:r>
      <w:r w:rsidR="0016001D" w:rsidRPr="00356849">
        <w:rPr>
          <w:b/>
          <w:lang w:val="en-GB"/>
        </w:rPr>
        <w:t xml:space="preserve"> session</w:t>
      </w:r>
    </w:p>
    <w:p w14:paraId="08C35A36" w14:textId="722756B4" w:rsidR="00FB097F" w:rsidRPr="00356849" w:rsidRDefault="00FB097F" w:rsidP="00FB097F">
      <w:pPr>
        <w:rPr>
          <w:bCs/>
          <w:lang w:val="en-US"/>
        </w:rPr>
      </w:pPr>
      <w:r w:rsidRPr="00356849">
        <w:rPr>
          <w:lang w:val="en-US"/>
        </w:rPr>
        <w:t>Geneva</w:t>
      </w:r>
      <w:r w:rsidRPr="00356849">
        <w:rPr>
          <w:bCs/>
          <w:lang w:val="en-US"/>
        </w:rPr>
        <w:t xml:space="preserve">, </w:t>
      </w:r>
      <w:r w:rsidR="001B57EA" w:rsidRPr="00356849">
        <w:rPr>
          <w:bCs/>
          <w:lang w:val="en-US"/>
        </w:rPr>
        <w:t>2</w:t>
      </w:r>
      <w:r w:rsidR="003E1466" w:rsidRPr="00356849">
        <w:rPr>
          <w:bCs/>
          <w:lang w:val="en-US"/>
        </w:rPr>
        <w:t>6</w:t>
      </w:r>
      <w:r w:rsidR="001B57EA" w:rsidRPr="00356849">
        <w:rPr>
          <w:bCs/>
          <w:lang w:val="en-US"/>
        </w:rPr>
        <w:t>-2</w:t>
      </w:r>
      <w:r w:rsidR="003E1466" w:rsidRPr="00356849">
        <w:rPr>
          <w:bCs/>
          <w:lang w:val="en-US"/>
        </w:rPr>
        <w:t>9</w:t>
      </w:r>
      <w:r w:rsidRPr="00356849">
        <w:rPr>
          <w:bCs/>
          <w:lang w:val="en-US"/>
        </w:rPr>
        <w:t xml:space="preserve"> </w:t>
      </w:r>
      <w:r w:rsidR="00554097" w:rsidRPr="00356849">
        <w:rPr>
          <w:bCs/>
          <w:lang w:val="en-US"/>
        </w:rPr>
        <w:t>October</w:t>
      </w:r>
      <w:r w:rsidRPr="00356849">
        <w:rPr>
          <w:bCs/>
          <w:lang w:val="en-US"/>
        </w:rPr>
        <w:t xml:space="preserve"> 20</w:t>
      </w:r>
      <w:r w:rsidR="003E1466" w:rsidRPr="00356849">
        <w:rPr>
          <w:bCs/>
          <w:lang w:val="en-US"/>
        </w:rPr>
        <w:t>21</w:t>
      </w:r>
    </w:p>
    <w:p w14:paraId="49687719" w14:textId="2626C5C2" w:rsidR="00FB097F" w:rsidRDefault="00FB097F" w:rsidP="00FB097F">
      <w:pPr>
        <w:ind w:right="1134"/>
        <w:rPr>
          <w:bCs/>
          <w:lang w:val="en-US"/>
        </w:rPr>
      </w:pPr>
      <w:r w:rsidRPr="00356849">
        <w:rPr>
          <w:bCs/>
          <w:lang w:val="en-US"/>
        </w:rPr>
        <w:t xml:space="preserve">Item </w:t>
      </w:r>
      <w:r w:rsidR="00356849" w:rsidRPr="00356849">
        <w:rPr>
          <w:bCs/>
          <w:lang w:val="en-US"/>
        </w:rPr>
        <w:t xml:space="preserve">4 (c) </w:t>
      </w:r>
      <w:r w:rsidRPr="00356849">
        <w:rPr>
          <w:bCs/>
          <w:lang w:val="en-US"/>
        </w:rPr>
        <w:t>of the provisional agenda</w:t>
      </w:r>
    </w:p>
    <w:p w14:paraId="47ADDDBD" w14:textId="5246191F" w:rsidR="004E7574" w:rsidRDefault="000143AB" w:rsidP="004E7574">
      <w:pPr>
        <w:ind w:right="1134"/>
        <w:rPr>
          <w:b/>
          <w:bCs/>
          <w:lang w:val="en-US"/>
        </w:rPr>
      </w:pPr>
      <w:r w:rsidRPr="000143AB">
        <w:rPr>
          <w:b/>
          <w:bCs/>
          <w:lang w:val="en-US"/>
        </w:rPr>
        <w:t xml:space="preserve">Simplification of lighting and light-signalling </w:t>
      </w:r>
      <w:r>
        <w:rPr>
          <w:b/>
          <w:bCs/>
          <w:lang w:val="en-US"/>
        </w:rPr>
        <w:t xml:space="preserve">UN </w:t>
      </w:r>
      <w:r w:rsidRPr="000143AB">
        <w:rPr>
          <w:b/>
          <w:bCs/>
          <w:lang w:val="en-US"/>
        </w:rPr>
        <w:t>Regulations</w:t>
      </w:r>
      <w:r w:rsidR="00356849">
        <w:rPr>
          <w:b/>
          <w:bCs/>
          <w:lang w:val="en-US"/>
        </w:rPr>
        <w:t>:</w:t>
      </w:r>
    </w:p>
    <w:p w14:paraId="663E9D9D" w14:textId="417BD91A" w:rsidR="00356849" w:rsidRPr="00CE4D00" w:rsidRDefault="00356849" w:rsidP="004E7574">
      <w:pPr>
        <w:ind w:right="1134"/>
        <w:rPr>
          <w:b/>
          <w:bCs/>
          <w:lang w:val="en-US"/>
        </w:rPr>
      </w:pPr>
      <w:r w:rsidRPr="00356849">
        <w:rPr>
          <w:b/>
          <w:bCs/>
          <w:lang w:val="en-US"/>
        </w:rPr>
        <w:t>UN Regulation No. 149 (Road illumination devices)</w:t>
      </w:r>
    </w:p>
    <w:p w14:paraId="74206576" w14:textId="3C8ADE7C" w:rsidR="00FB097F" w:rsidRPr="00525E6C" w:rsidRDefault="00FB097F" w:rsidP="00FB097F">
      <w:pPr>
        <w:pStyle w:val="HChG"/>
      </w:pPr>
      <w:r w:rsidRPr="00525E6C">
        <w:tab/>
      </w:r>
      <w:r w:rsidRPr="00525E6C">
        <w:tab/>
      </w:r>
      <w:bookmarkStart w:id="0" w:name="_Hlk78276159"/>
      <w:r w:rsidR="00137502" w:rsidRPr="00E7399D">
        <w:t xml:space="preserve">Proposal </w:t>
      </w:r>
      <w:r w:rsidR="00606247">
        <w:t xml:space="preserve">for amendments to </w:t>
      </w:r>
      <w:r w:rsidR="00137502">
        <w:t xml:space="preserve">UN </w:t>
      </w:r>
      <w:r w:rsidR="00137502" w:rsidRPr="00137502">
        <w:t>Regulation</w:t>
      </w:r>
      <w:r w:rsidR="00137502">
        <w:t xml:space="preserve"> </w:t>
      </w:r>
      <w:r w:rsidR="003E1466">
        <w:t>No. 149</w:t>
      </w:r>
      <w:r w:rsidR="001F4CA2">
        <w:t xml:space="preserve"> </w:t>
      </w:r>
      <w:bookmarkEnd w:id="0"/>
    </w:p>
    <w:p w14:paraId="19E15CDA" w14:textId="77777777" w:rsidR="00FB097F" w:rsidRPr="00525E6C" w:rsidRDefault="000143AB" w:rsidP="00CE4D00">
      <w:pPr>
        <w:pStyle w:val="H1G"/>
        <w:ind w:firstLine="0"/>
        <w:rPr>
          <w:szCs w:val="24"/>
        </w:rPr>
      </w:pPr>
      <w:r w:rsidRPr="000143AB">
        <w:rPr>
          <w:szCs w:val="24"/>
        </w:rPr>
        <w:t>Submitted by the Informal Working Group on Simplification of Lighting and Light-Signalling Regulations (IWG SLR)</w:t>
      </w:r>
      <w:r w:rsidR="00361DD4" w:rsidRPr="00A96F13">
        <w:rPr>
          <w:szCs w:val="24"/>
        </w:rPr>
        <w:footnoteReference w:customMarkFollows="1" w:id="1"/>
        <w:t>*</w:t>
      </w:r>
      <w:r w:rsidR="00FB097F" w:rsidRPr="00525E6C">
        <w:rPr>
          <w:szCs w:val="24"/>
        </w:rPr>
        <w:t xml:space="preserve"> </w:t>
      </w:r>
    </w:p>
    <w:p w14:paraId="75B3C9C5" w14:textId="6598FE01" w:rsidR="001F4CA2" w:rsidRDefault="00137502" w:rsidP="001F4CA2">
      <w:pPr>
        <w:pStyle w:val="SingleTxtG"/>
        <w:ind w:firstLine="567"/>
        <w:rPr>
          <w:rFonts w:ascii="Times New Roman" w:eastAsia="Times New Roman" w:hAnsi="Times New Roman"/>
        </w:rPr>
      </w:pPr>
      <w:r w:rsidRPr="00137502">
        <w:rPr>
          <w:rFonts w:ascii="Times New Roman" w:eastAsia="Times New Roman" w:hAnsi="Times New Roman"/>
        </w:rPr>
        <w:t xml:space="preserve">The text </w:t>
      </w:r>
      <w:r w:rsidRPr="00E7399D">
        <w:rPr>
          <w:rFonts w:ascii="Times New Roman" w:eastAsia="Times New Roman" w:hAnsi="Times New Roman"/>
        </w:rPr>
        <w:t xml:space="preserve">reproduced below was prepared by </w:t>
      </w:r>
      <w:r w:rsidR="00F6492D" w:rsidRPr="00F6492D">
        <w:rPr>
          <w:rFonts w:ascii="Times New Roman" w:eastAsia="Times New Roman" w:hAnsi="Times New Roman"/>
        </w:rPr>
        <w:t xml:space="preserve">the Informal Working Group on Simplification of Lighting and Light-Signalling Regulations (IWG SLR) </w:t>
      </w:r>
      <w:r w:rsidRPr="00E7399D">
        <w:rPr>
          <w:rFonts w:ascii="Times New Roman" w:eastAsia="Times New Roman" w:hAnsi="Times New Roman"/>
        </w:rPr>
        <w:t xml:space="preserve">with the aim to </w:t>
      </w:r>
      <w:r w:rsidR="00E7399D" w:rsidRPr="00E7399D">
        <w:rPr>
          <w:rFonts w:ascii="Times New Roman" w:eastAsia="Times New Roman" w:hAnsi="Times New Roman"/>
        </w:rPr>
        <w:t xml:space="preserve">clarify and to </w:t>
      </w:r>
      <w:r w:rsidR="00E1733C" w:rsidRPr="00E7399D">
        <w:rPr>
          <w:rFonts w:ascii="Times New Roman" w:eastAsia="Times New Roman" w:hAnsi="Times New Roman"/>
        </w:rPr>
        <w:t>correct</w:t>
      </w:r>
      <w:r w:rsidRPr="00E7399D">
        <w:rPr>
          <w:rFonts w:ascii="Times New Roman" w:eastAsia="Times New Roman" w:hAnsi="Times New Roman"/>
        </w:rPr>
        <w:t xml:space="preserve"> the text of the</w:t>
      </w:r>
      <w:r w:rsidRPr="0013750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UN</w:t>
      </w:r>
      <w:r w:rsidRPr="00137502">
        <w:rPr>
          <w:rFonts w:ascii="Times New Roman" w:eastAsia="Times New Roman" w:hAnsi="Times New Roman"/>
        </w:rPr>
        <w:t xml:space="preserve"> Regulation</w:t>
      </w:r>
      <w:r w:rsidR="00E1733C">
        <w:rPr>
          <w:rFonts w:ascii="Times New Roman" w:eastAsia="Times New Roman" w:hAnsi="Times New Roman"/>
        </w:rPr>
        <w:t xml:space="preserve"> No. 149</w:t>
      </w:r>
      <w:r w:rsidRPr="00137502">
        <w:rPr>
          <w:rFonts w:ascii="Times New Roman" w:eastAsia="Times New Roman" w:hAnsi="Times New Roman"/>
        </w:rPr>
        <w:t>. The modifications are marked in bold for new or strikethrough for deleted characters.</w:t>
      </w:r>
      <w:r>
        <w:rPr>
          <w:rFonts w:ascii="Times New Roman" w:eastAsia="Times New Roman" w:hAnsi="Times New Roman"/>
        </w:rPr>
        <w:t xml:space="preserve"> </w:t>
      </w:r>
    </w:p>
    <w:p w14:paraId="0D507BB6" w14:textId="77777777" w:rsidR="00C31EA9" w:rsidRPr="00CE4D00" w:rsidRDefault="00C31EA9" w:rsidP="00AD350F">
      <w:pPr>
        <w:pStyle w:val="SingleTxtG"/>
        <w:ind w:firstLine="567"/>
        <w:rPr>
          <w:rFonts w:ascii="Times New Roman" w:eastAsia="Times New Roman" w:hAnsi="Times New Roman"/>
        </w:rPr>
      </w:pPr>
    </w:p>
    <w:p w14:paraId="63A6B361" w14:textId="77777777" w:rsidR="00C31EA9" w:rsidRPr="00CE4D00" w:rsidRDefault="00CE4D00" w:rsidP="00CE4D00">
      <w:pPr>
        <w:pStyle w:val="SingleTxtG"/>
        <w:spacing w:before="0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C31EA9" w:rsidRPr="00CE4D00">
        <w:rPr>
          <w:rFonts w:ascii="Times New Roman" w:eastAsia="Times New Roman" w:hAnsi="Times New Roman"/>
        </w:rPr>
        <w:t xml:space="preserve"> </w:t>
      </w:r>
    </w:p>
    <w:p w14:paraId="0D3C8E45" w14:textId="77777777" w:rsidR="00804F52" w:rsidRPr="007958C9" w:rsidRDefault="0041326E" w:rsidP="00387D8F">
      <w:pPr>
        <w:pStyle w:val="HChG"/>
      </w:pPr>
      <w:r w:rsidRPr="00450BEF">
        <w:br w:type="page"/>
      </w:r>
      <w:r w:rsidR="00387D8F">
        <w:lastRenderedPageBreak/>
        <w:tab/>
      </w:r>
      <w:r w:rsidR="00804F52" w:rsidRPr="007958C9">
        <w:t>I.</w:t>
      </w:r>
      <w:r w:rsidR="00804F52" w:rsidRPr="007958C9">
        <w:tab/>
        <w:t>P</w:t>
      </w:r>
      <w:r w:rsidR="00387D8F" w:rsidRPr="007958C9">
        <w:t>roposal</w:t>
      </w:r>
    </w:p>
    <w:p w14:paraId="4181D816" w14:textId="77777777" w:rsidR="00DF7E96" w:rsidRPr="00273FAA" w:rsidRDefault="00DF7E96" w:rsidP="00606247">
      <w:pPr>
        <w:spacing w:after="120"/>
        <w:ind w:left="2268" w:right="1133" w:hanging="1134"/>
        <w:rPr>
          <w:lang w:val="en-US"/>
        </w:rPr>
      </w:pPr>
      <w:r w:rsidRPr="00273FAA">
        <w:rPr>
          <w:rFonts w:hint="eastAsia"/>
          <w:i/>
          <w:iCs/>
          <w:lang w:val="en-US"/>
        </w:rPr>
        <w:t>P</w:t>
      </w:r>
      <w:r w:rsidRPr="00273FAA">
        <w:rPr>
          <w:i/>
          <w:iCs/>
          <w:lang w:val="en-US"/>
        </w:rPr>
        <w:t>aragraph 3.3.2.4.</w:t>
      </w:r>
      <w:r w:rsidRPr="00273FAA">
        <w:rPr>
          <w:lang w:val="en-US"/>
        </w:rPr>
        <w:t>, amend to read:</w:t>
      </w:r>
    </w:p>
    <w:p w14:paraId="2D4B8ACD" w14:textId="77777777" w:rsidR="00DF7E96" w:rsidRDefault="00DF7E96" w:rsidP="00606247">
      <w:pPr>
        <w:pStyle w:val="4Para4thlevel"/>
      </w:pPr>
      <w:r>
        <w:t>“3</w:t>
      </w:r>
      <w:r w:rsidRPr="00C71BF4">
        <w:t>.3.</w:t>
      </w:r>
      <w:r>
        <w:t>2</w:t>
      </w:r>
      <w:r w:rsidRPr="00C71BF4">
        <w:t>.</w:t>
      </w:r>
      <w:r>
        <w:t>4.</w:t>
      </w:r>
      <w:r>
        <w:tab/>
      </w:r>
      <w:r w:rsidRPr="00E41AC7">
        <w:rPr>
          <w:b/>
          <w:bCs/>
        </w:rPr>
        <w:t>Symbol(s), according to Table 1, and</w:t>
      </w:r>
      <w:r>
        <w:t xml:space="preserve"> a</w:t>
      </w:r>
      <w:r w:rsidRPr="00C71BF4">
        <w:t>dditional symbol</w:t>
      </w:r>
      <w:r w:rsidRPr="00E41AC7">
        <w:rPr>
          <w:b/>
          <w:bCs/>
        </w:rPr>
        <w:t>(</w:t>
      </w:r>
      <w:r w:rsidRPr="00C71BF4">
        <w:t>s</w:t>
      </w:r>
      <w:r w:rsidRPr="00E41AC7">
        <w:rPr>
          <w:b/>
          <w:bCs/>
        </w:rPr>
        <w:t>), if any</w:t>
      </w:r>
      <w:r w:rsidRPr="00E41AC7">
        <w:rPr>
          <w:strike/>
        </w:rPr>
        <w:t xml:space="preserve"> for headlamps, AFS and front fog lamps:</w:t>
      </w:r>
      <w:r w:rsidRPr="006A1E9C">
        <w:t xml:space="preserve"> </w:t>
      </w:r>
      <w:r>
        <w:t>”</w:t>
      </w:r>
    </w:p>
    <w:p w14:paraId="18CD2543" w14:textId="77777777" w:rsidR="00DF7E96" w:rsidRPr="00273FAA" w:rsidRDefault="00DF7E96" w:rsidP="00606247">
      <w:pPr>
        <w:spacing w:after="120"/>
        <w:ind w:left="2268" w:right="1133" w:hanging="1134"/>
        <w:rPr>
          <w:lang w:val="en-US"/>
        </w:rPr>
      </w:pPr>
      <w:r w:rsidRPr="00273FAA">
        <w:rPr>
          <w:rFonts w:hint="eastAsia"/>
          <w:i/>
          <w:iCs/>
          <w:lang w:val="en-US"/>
        </w:rPr>
        <w:t>P</w:t>
      </w:r>
      <w:r w:rsidRPr="00273FAA">
        <w:rPr>
          <w:i/>
          <w:iCs/>
          <w:lang w:val="en-US"/>
        </w:rPr>
        <w:t>aragraph 3.3.2.4.4.</w:t>
      </w:r>
      <w:r w:rsidRPr="00273FAA">
        <w:rPr>
          <w:lang w:val="en-US"/>
        </w:rPr>
        <w:t>, amend to read:</w:t>
      </w:r>
    </w:p>
    <w:p w14:paraId="111B2CDF" w14:textId="77777777" w:rsidR="00DF7E96" w:rsidRDefault="00DF7E96" w:rsidP="00606247">
      <w:pPr>
        <w:pStyle w:val="5para5thlevel"/>
      </w:pPr>
      <w:r>
        <w:t>“</w:t>
      </w:r>
      <w:r w:rsidRPr="00593541">
        <w:t>3.3.2.4.4.</w:t>
      </w:r>
      <w:r w:rsidRPr="00593541">
        <w:tab/>
        <w:t>In the case of front fog lamps, headlamps and AFS installation unit</w:t>
      </w:r>
      <w:r w:rsidRPr="00E41AC7">
        <w:rPr>
          <w:b/>
          <w:bCs/>
        </w:rPr>
        <w:t>s</w:t>
      </w:r>
      <w:r w:rsidRPr="00593541">
        <w:t xml:space="preserve"> incorporating a</w:t>
      </w:r>
      <w:r w:rsidRPr="00E41AC7">
        <w:rPr>
          <w:b/>
          <w:bCs/>
        </w:rPr>
        <w:t>n outer</w:t>
      </w:r>
      <w:r w:rsidRPr="00593541">
        <w:t xml:space="preserve"> lens of plastic material, the group of letters "PL" to be affixed near the symbols identifying the</w:t>
      </w:r>
      <w:r w:rsidRPr="00E41AC7">
        <w:rPr>
          <w:strike/>
        </w:rPr>
        <w:t xml:space="preserve"> lighting</w:t>
      </w:r>
      <w:r w:rsidRPr="00E41AC7">
        <w:t xml:space="preserve"> </w:t>
      </w:r>
      <w:r w:rsidRPr="00E41AC7">
        <w:rPr>
          <w:b/>
          <w:bCs/>
        </w:rPr>
        <w:t>function(s)</w:t>
      </w:r>
      <w:r w:rsidRPr="00593541">
        <w:t>;</w:t>
      </w:r>
      <w:r>
        <w:t xml:space="preserve"> ”</w:t>
      </w:r>
    </w:p>
    <w:p w14:paraId="74CB4868" w14:textId="1A29C81D" w:rsidR="00DF7E96" w:rsidRPr="00593541" w:rsidRDefault="00DF7E96" w:rsidP="00606247">
      <w:pPr>
        <w:pStyle w:val="5para5thlevel"/>
      </w:pPr>
      <w:r w:rsidRPr="00E41AC7">
        <w:rPr>
          <w:i/>
          <w:iCs/>
        </w:rPr>
        <w:t>Add</w:t>
      </w:r>
      <w:r w:rsidR="00606247">
        <w:rPr>
          <w:i/>
          <w:iCs/>
        </w:rPr>
        <w:t xml:space="preserve"> a</w:t>
      </w:r>
      <w:r w:rsidRPr="00E41AC7">
        <w:rPr>
          <w:i/>
          <w:iCs/>
        </w:rPr>
        <w:t xml:space="preserve"> new paragraph 3.3.2.4.8.</w:t>
      </w:r>
      <w:r>
        <w:rPr>
          <w:i/>
          <w:iCs/>
        </w:rPr>
        <w:t>,</w:t>
      </w:r>
      <w:r>
        <w:t xml:space="preserve"> to read:</w:t>
      </w:r>
    </w:p>
    <w:p w14:paraId="35A5BEBC" w14:textId="4A6751CB" w:rsidR="00DF7E96" w:rsidRPr="00A47DB7" w:rsidRDefault="00DF7E96" w:rsidP="00606247">
      <w:pPr>
        <w:pStyle w:val="5para5thlevel"/>
      </w:pPr>
      <w:r>
        <w:t>“</w:t>
      </w:r>
      <w:r w:rsidRPr="00E41AC7">
        <w:rPr>
          <w:b/>
          <w:bCs/>
        </w:rPr>
        <w:t>3.3.2.4.8.</w:t>
      </w:r>
      <w:r w:rsidRPr="00E41AC7">
        <w:rPr>
          <w:b/>
          <w:bCs/>
        </w:rPr>
        <w:tab/>
        <w:t xml:space="preserve">In the case of AFS, in addition the symbol </w:t>
      </w:r>
      <w:r>
        <w:rPr>
          <w:b/>
          <w:bCs/>
        </w:rPr>
        <w:t>“</w:t>
      </w:r>
      <w:r w:rsidRPr="00E41AC7">
        <w:rPr>
          <w:b/>
          <w:bCs/>
        </w:rPr>
        <w:t>T</w:t>
      </w:r>
      <w:r>
        <w:rPr>
          <w:b/>
          <w:bCs/>
        </w:rPr>
        <w:t>”</w:t>
      </w:r>
      <w:r w:rsidRPr="00E41AC7">
        <w:rPr>
          <w:b/>
          <w:bCs/>
        </w:rPr>
        <w:t>, after the symbol(s) of all lighting function(s) and/or class(es) designed to comply with the respective bend lighting provisions, with said symbol(s) arranged together and leftmost to the symbol “T”</w:t>
      </w:r>
      <w:r w:rsidR="00502DD2">
        <w:rPr>
          <w:b/>
          <w:bCs/>
        </w:rPr>
        <w:t>.</w:t>
      </w:r>
      <w:r w:rsidRPr="00E41AC7">
        <w:rPr>
          <w:b/>
          <w:bCs/>
        </w:rPr>
        <w:t xml:space="preserve"> </w:t>
      </w:r>
      <w:r>
        <w:t>”</w:t>
      </w:r>
    </w:p>
    <w:p w14:paraId="54CC5D70" w14:textId="77777777" w:rsidR="00DF7E96" w:rsidRDefault="00DF7E96" w:rsidP="00606247">
      <w:pPr>
        <w:pStyle w:val="5para5thlevel"/>
      </w:pPr>
      <w:r w:rsidRPr="00E41AC7">
        <w:rPr>
          <w:rFonts w:hint="eastAsia"/>
          <w:i/>
          <w:iCs/>
        </w:rPr>
        <w:t>P</w:t>
      </w:r>
      <w:r w:rsidRPr="00E41AC7">
        <w:rPr>
          <w:i/>
          <w:iCs/>
        </w:rPr>
        <w:t>aragraph 4.5.2.6.</w:t>
      </w:r>
      <w:r>
        <w:t>, amend to read:</w:t>
      </w:r>
    </w:p>
    <w:p w14:paraId="3F298753" w14:textId="78B9A8FE" w:rsidR="00DF7E96" w:rsidRDefault="00DF7E96" w:rsidP="00606247">
      <w:pPr>
        <w:pStyle w:val="StyleSingleTxtGLeft2cmHanging206cm"/>
        <w:rPr>
          <w:szCs w:val="21"/>
        </w:rPr>
      </w:pPr>
      <w:r>
        <w:rPr>
          <w:szCs w:val="21"/>
        </w:rPr>
        <w:t>“4.5.2.6.</w:t>
      </w:r>
      <w:r>
        <w:rPr>
          <w:szCs w:val="21"/>
        </w:rPr>
        <w:tab/>
        <w:t xml:space="preserve">Except for AFS and cornering lamps, in case of a lamp incorporating one or more light source(s) or LED module(s) producing the principal passing-beam or the front fog beam and having a total objective luminous flux which exceeds 2,000 lumens, a reference shall be made in the communication form in </w:t>
      </w:r>
      <w:r w:rsidRPr="006A1E9C">
        <w:t>Annex</w:t>
      </w:r>
      <w:r>
        <w:rPr>
          <w:szCs w:val="21"/>
        </w:rPr>
        <w:t> 1.</w:t>
      </w:r>
    </w:p>
    <w:p w14:paraId="37395BBC" w14:textId="77777777" w:rsidR="00DF7E96" w:rsidRDefault="00DF7E96" w:rsidP="00DF7E96">
      <w:pPr>
        <w:pStyle w:val="StyleSingleTxtGLeft2cmHanging206cm"/>
        <w:ind w:firstLine="0"/>
        <w:rPr>
          <w:szCs w:val="21"/>
        </w:rPr>
      </w:pPr>
      <w:r>
        <w:rPr>
          <w:szCs w:val="21"/>
        </w:rPr>
        <w:t xml:space="preserve">In case of an AFS incorporating light sources and/or LED module(s) producing the basic passing beam and having a total objective luminous flux of the lighting units as indicated under item </w:t>
      </w:r>
      <w:r w:rsidRPr="000B46C3">
        <w:rPr>
          <w:b/>
          <w:strike/>
          <w:szCs w:val="21"/>
        </w:rPr>
        <w:t>9.3.2.3.</w:t>
      </w:r>
      <w:r w:rsidRPr="000B46C3">
        <w:rPr>
          <w:b/>
          <w:szCs w:val="21"/>
        </w:rPr>
        <w:t xml:space="preserve"> 9.3.3.(a)</w:t>
      </w:r>
      <w:r>
        <w:rPr>
          <w:szCs w:val="21"/>
        </w:rPr>
        <w:t xml:space="preserve"> of the communication form which exceeds 2,000 lumen per side, a reference shall be made in the </w:t>
      </w:r>
      <w:r w:rsidRPr="006A1E9C">
        <w:t>communication</w:t>
      </w:r>
      <w:r>
        <w:rPr>
          <w:szCs w:val="21"/>
        </w:rPr>
        <w:t xml:space="preserve"> form in Annex 1.</w:t>
      </w:r>
    </w:p>
    <w:p w14:paraId="2E811A4F" w14:textId="47B3CB81" w:rsidR="00DF7E96" w:rsidRDefault="00DF7E96" w:rsidP="00DF7E96">
      <w:pPr>
        <w:pStyle w:val="StyleSingleTxtGLeft2cmHanging206cm"/>
        <w:ind w:firstLine="0"/>
        <w:rPr>
          <w:szCs w:val="21"/>
        </w:rPr>
      </w:pPr>
      <w:r w:rsidRPr="006A1E9C">
        <w:t>The</w:t>
      </w:r>
      <w:r>
        <w:rPr>
          <w:szCs w:val="21"/>
        </w:rPr>
        <w:t xml:space="preserve"> objective luminous flux of LED modules shall be measured as described in paragraph 5. of Annex 9.”</w:t>
      </w:r>
    </w:p>
    <w:p w14:paraId="5792DF3D" w14:textId="2BAF4421" w:rsidR="00F40084" w:rsidRDefault="00F40084" w:rsidP="00E7399D">
      <w:pPr>
        <w:pStyle w:val="5para5thlevel"/>
        <w:rPr>
          <w:szCs w:val="21"/>
        </w:rPr>
      </w:pPr>
      <w:r w:rsidRPr="00273FAA">
        <w:rPr>
          <w:i/>
          <w:iCs/>
          <w:lang w:val="en-US"/>
        </w:rPr>
        <w:t>Figure A4-V,</w:t>
      </w:r>
      <w:r>
        <w:rPr>
          <w:szCs w:val="21"/>
        </w:rPr>
        <w:t xml:space="preserve"> </w:t>
      </w:r>
      <w:r w:rsidR="00E17820">
        <w:rPr>
          <w:szCs w:val="21"/>
        </w:rPr>
        <w:t>amend to read</w:t>
      </w:r>
      <w:r>
        <w:rPr>
          <w:szCs w:val="21"/>
        </w:rPr>
        <w:t>:</w:t>
      </w:r>
    </w:p>
    <w:p w14:paraId="49D4CD67" w14:textId="642F3379" w:rsidR="00F40084" w:rsidRPr="00273FAA" w:rsidRDefault="00F40084" w:rsidP="00E7399D">
      <w:pPr>
        <w:spacing w:line="240" w:lineRule="auto"/>
        <w:ind w:left="2268" w:right="1134" w:hanging="1134"/>
        <w:rPr>
          <w:szCs w:val="21"/>
          <w:lang w:val="en-US"/>
        </w:rPr>
      </w:pPr>
      <w:r>
        <w:rPr>
          <w:szCs w:val="21"/>
          <w:lang w:val="en-GB"/>
        </w:rPr>
        <w:t>“</w:t>
      </w:r>
      <w:r w:rsidRPr="00273FAA">
        <w:rPr>
          <w:szCs w:val="21"/>
          <w:lang w:val="en-US"/>
        </w:rPr>
        <w:t>Figure A4-V</w:t>
      </w:r>
    </w:p>
    <w:p w14:paraId="61147617" w14:textId="0894F6E2" w:rsidR="00F40084" w:rsidRPr="00273FAA" w:rsidRDefault="00F40084" w:rsidP="00F40084">
      <w:pPr>
        <w:ind w:left="2268" w:right="1133" w:hanging="1134"/>
        <w:rPr>
          <w:b/>
          <w:bCs/>
          <w:szCs w:val="21"/>
          <w:lang w:val="en-US"/>
        </w:rPr>
      </w:pPr>
      <w:proofErr w:type="gramStart"/>
      <w:r w:rsidRPr="00273FAA">
        <w:rPr>
          <w:b/>
          <w:bCs/>
          <w:szCs w:val="21"/>
          <w:lang w:val="en-US"/>
        </w:rPr>
        <w:t>Passing-beam</w:t>
      </w:r>
      <w:proofErr w:type="gramEnd"/>
      <w:r w:rsidRPr="00273FAA">
        <w:rPr>
          <w:b/>
          <w:bCs/>
          <w:szCs w:val="21"/>
          <w:lang w:val="en-US"/>
        </w:rPr>
        <w:t xml:space="preserve"> for right-hand traffic</w:t>
      </w:r>
    </w:p>
    <w:p w14:paraId="1A67B636" w14:textId="4A7F8398" w:rsidR="00F40084" w:rsidRDefault="00F40084" w:rsidP="00F40084">
      <w:pPr>
        <w:pStyle w:val="StyleSingleTxtGLeft2cmHanging206cm"/>
        <w:ind w:left="1134" w:firstLine="0"/>
      </w:pPr>
      <w:r>
        <w:rPr>
          <w:noProof/>
        </w:rPr>
        <w:drawing>
          <wp:inline distT="0" distB="0" distL="0" distR="0" wp14:anchorId="599EBD11" wp14:editId="286A196C">
            <wp:extent cx="5035377" cy="264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6" cy="264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18722" w14:textId="12474CBB" w:rsidR="00F40084" w:rsidRDefault="00F40084" w:rsidP="00F40084">
      <w:pPr>
        <w:pStyle w:val="StyleSingleTxtGLeft2cmHanging206cm"/>
        <w:ind w:left="1134" w:firstLine="0"/>
        <w:jc w:val="center"/>
      </w:pPr>
      <w:r>
        <w:t>The test point locations for left-hand traffic are mirrored about the VV line”</w:t>
      </w:r>
    </w:p>
    <w:p w14:paraId="2782BAFE" w14:textId="03FC3093" w:rsidR="00E7399D" w:rsidRDefault="00E7399D" w:rsidP="00E7399D">
      <w:pPr>
        <w:pStyle w:val="5para5thlevel"/>
        <w:rPr>
          <w:szCs w:val="21"/>
        </w:rPr>
      </w:pPr>
      <w:r w:rsidRPr="00273FAA">
        <w:rPr>
          <w:i/>
          <w:iCs/>
          <w:lang w:val="en-US"/>
        </w:rPr>
        <w:lastRenderedPageBreak/>
        <w:t>Figure A4-V</w:t>
      </w:r>
      <w:r>
        <w:rPr>
          <w:i/>
          <w:iCs/>
        </w:rPr>
        <w:t>II</w:t>
      </w:r>
      <w:r w:rsidRPr="00273FAA">
        <w:rPr>
          <w:i/>
          <w:iCs/>
          <w:lang w:val="en-US"/>
        </w:rPr>
        <w:t>,</w:t>
      </w:r>
      <w:r>
        <w:rPr>
          <w:szCs w:val="21"/>
        </w:rPr>
        <w:t xml:space="preserve"> </w:t>
      </w:r>
      <w:r w:rsidR="00E17820">
        <w:rPr>
          <w:szCs w:val="21"/>
        </w:rPr>
        <w:t>amend to read</w:t>
      </w:r>
      <w:r w:rsidRPr="00E7399D">
        <w:t>s</w:t>
      </w:r>
      <w:r>
        <w:rPr>
          <w:szCs w:val="21"/>
        </w:rPr>
        <w:t>:</w:t>
      </w:r>
    </w:p>
    <w:p w14:paraId="34497C44" w14:textId="79900D7D" w:rsidR="00F40084" w:rsidRPr="00873F9C" w:rsidRDefault="00F40084" w:rsidP="00F40084">
      <w:pPr>
        <w:ind w:left="2268" w:right="1133" w:hanging="1134"/>
        <w:rPr>
          <w:szCs w:val="21"/>
          <w:lang w:val="en-GB"/>
        </w:rPr>
      </w:pPr>
      <w:r w:rsidRPr="00873F9C">
        <w:rPr>
          <w:szCs w:val="21"/>
          <w:lang w:val="en-GB"/>
        </w:rPr>
        <w:t>“Figure A4-VII</w:t>
      </w:r>
    </w:p>
    <w:p w14:paraId="796867AC" w14:textId="77777777" w:rsidR="00F40084" w:rsidRPr="00873F9C" w:rsidRDefault="00F40084" w:rsidP="00F40084">
      <w:pPr>
        <w:spacing w:after="120"/>
        <w:ind w:left="2067" w:hanging="930"/>
        <w:outlineLvl w:val="0"/>
        <w:rPr>
          <w:lang w:val="en-GB"/>
        </w:rPr>
      </w:pPr>
      <w:r w:rsidRPr="00873F9C">
        <w:rPr>
          <w:b/>
          <w:bCs/>
          <w:lang w:val="en-GB"/>
        </w:rPr>
        <w:t>AFS Passing-beam for right-hand traffic</w:t>
      </w:r>
      <w:r w:rsidRPr="00873F9C">
        <w:rPr>
          <w:lang w:val="en-GB"/>
        </w:rPr>
        <w:t>*</w:t>
      </w:r>
    </w:p>
    <w:p w14:paraId="355E2B2B" w14:textId="77777777" w:rsidR="00F40084" w:rsidRPr="00873F9C" w:rsidRDefault="00F40084" w:rsidP="00F40084">
      <w:pPr>
        <w:spacing w:after="120"/>
        <w:ind w:left="1134"/>
        <w:outlineLvl w:val="0"/>
        <w:rPr>
          <w:lang w:val="en-GB"/>
        </w:rPr>
      </w:pPr>
      <w:r w:rsidRPr="00873F9C">
        <w:rPr>
          <w:lang w:val="en-GB"/>
        </w:rPr>
        <w:t xml:space="preserve">* </w:t>
      </w:r>
      <w:r w:rsidRPr="00873F9C">
        <w:rPr>
          <w:i/>
          <w:iCs/>
          <w:lang w:val="en-GB"/>
        </w:rPr>
        <w:t>Note</w:t>
      </w:r>
      <w:r w:rsidRPr="00873F9C">
        <w:rPr>
          <w:lang w:val="en-GB"/>
        </w:rPr>
        <w:t>: The measurement procedure is prescribed in Annex 4</w:t>
      </w:r>
    </w:p>
    <w:p w14:paraId="78AAE9DC" w14:textId="77777777" w:rsidR="00F40084" w:rsidRPr="00873F9C" w:rsidRDefault="00F40084" w:rsidP="00F40084">
      <w:pPr>
        <w:spacing w:after="120"/>
        <w:ind w:left="1134" w:right="1134"/>
        <w:jc w:val="both"/>
        <w:rPr>
          <w:lang w:val="en-GB"/>
        </w:rPr>
      </w:pPr>
      <w:r w:rsidRPr="00873F9C">
        <w:rPr>
          <w:lang w:val="en-GB"/>
        </w:rPr>
        <w:t xml:space="preserve">For the purpose of this Annex: </w:t>
      </w:r>
    </w:p>
    <w:p w14:paraId="4FDA8393" w14:textId="77777777" w:rsidR="00F40084" w:rsidRPr="00873F9C" w:rsidRDefault="00F40084" w:rsidP="00F40084">
      <w:pPr>
        <w:spacing w:after="120"/>
        <w:ind w:left="1134" w:right="1134"/>
        <w:jc w:val="both"/>
        <w:rPr>
          <w:lang w:val="en-GB"/>
        </w:rPr>
      </w:pPr>
      <w:r w:rsidRPr="00873F9C">
        <w:rPr>
          <w:lang w:val="en-GB"/>
        </w:rPr>
        <w:t xml:space="preserve">"above it" means vertically above, only; </w:t>
      </w:r>
    </w:p>
    <w:p w14:paraId="0CF6728D" w14:textId="77777777" w:rsidR="00F40084" w:rsidRPr="00873F9C" w:rsidRDefault="00F40084" w:rsidP="00F40084">
      <w:pPr>
        <w:spacing w:after="120"/>
        <w:ind w:left="1134" w:right="1134"/>
        <w:jc w:val="both"/>
        <w:rPr>
          <w:lang w:val="en-GB"/>
        </w:rPr>
      </w:pPr>
      <w:r w:rsidRPr="00873F9C">
        <w:rPr>
          <w:lang w:val="en-GB"/>
        </w:rPr>
        <w:t>"below it" means vertically below, only.</w:t>
      </w:r>
    </w:p>
    <w:p w14:paraId="65953E06" w14:textId="32C37359" w:rsidR="00F40084" w:rsidRPr="00873F9C" w:rsidRDefault="00F40084" w:rsidP="00F40084">
      <w:pPr>
        <w:spacing w:after="120"/>
        <w:ind w:left="1134" w:right="1134"/>
        <w:jc w:val="both"/>
        <w:rPr>
          <w:lang w:val="en-GB"/>
        </w:rPr>
      </w:pPr>
      <w:r w:rsidRPr="00873F9C">
        <w:rPr>
          <w:lang w:val="en-GB"/>
        </w:rPr>
        <w:t>Angular positions of passing-beam photometric requirements are indicated for right-hand traffic and are expressed in deg</w:t>
      </w:r>
      <w:r w:rsidR="00D914D5">
        <w:rPr>
          <w:lang w:val="en-GB"/>
        </w:rPr>
        <w:t>rees</w:t>
      </w:r>
      <w:r w:rsidRPr="00873F9C">
        <w:rPr>
          <w:lang w:val="en-GB"/>
        </w:rPr>
        <w:t xml:space="preserve"> up (U) or down (D) from H-H respectively right (R) or left (L) from V-V.</w:t>
      </w:r>
    </w:p>
    <w:p w14:paraId="29794BDD" w14:textId="77777777" w:rsidR="00F40084" w:rsidRPr="00873F9C" w:rsidRDefault="00F40084" w:rsidP="00F40084">
      <w:pPr>
        <w:spacing w:line="240" w:lineRule="auto"/>
        <w:ind w:left="1134"/>
        <w:outlineLvl w:val="0"/>
        <w:rPr>
          <w:bCs/>
          <w:lang w:val="en-GB"/>
        </w:rPr>
      </w:pPr>
      <w:r w:rsidRPr="00873F9C">
        <w:rPr>
          <w:bCs/>
          <w:lang w:val="en-GB"/>
        </w:rPr>
        <w:t>The test point locations for left-hand traffic are mirrored about the V-V line</w:t>
      </w:r>
    </w:p>
    <w:p w14:paraId="31265990" w14:textId="7DE81836" w:rsidR="00F40084" w:rsidRDefault="00F40084" w:rsidP="00F40084">
      <w:pPr>
        <w:pStyle w:val="StyleSingleTxtGLeft2cmHanging206cm"/>
        <w:ind w:left="1134" w:firstLine="0"/>
      </w:pPr>
      <w:r>
        <w:rPr>
          <w:noProof/>
        </w:rPr>
        <w:drawing>
          <wp:inline distT="0" distB="0" distL="0" distR="0" wp14:anchorId="1E7A7AC9" wp14:editId="79CA41A0">
            <wp:extent cx="5006975" cy="261907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97" cy="262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826CB" w14:textId="0B6CF8AC" w:rsidR="00A87C91" w:rsidRPr="00DF7E96" w:rsidRDefault="00F40084" w:rsidP="00E17820">
      <w:pPr>
        <w:pStyle w:val="StyleSingleTxtGLeft2cmHanging206cm"/>
        <w:ind w:left="1134" w:firstLine="0"/>
        <w:jc w:val="left"/>
        <w:rPr>
          <w:bCs/>
        </w:rPr>
      </w:pPr>
      <w:r>
        <w:t>”</w:t>
      </w:r>
    </w:p>
    <w:p w14:paraId="29450BB8" w14:textId="11653940" w:rsidR="00804F52" w:rsidRPr="007958C9" w:rsidRDefault="00804F52" w:rsidP="00C278A9">
      <w:pPr>
        <w:pStyle w:val="HChG"/>
        <w:tabs>
          <w:tab w:val="clear" w:pos="851"/>
        </w:tabs>
        <w:ind w:hanging="567"/>
        <w:rPr>
          <w:szCs w:val="22"/>
        </w:rPr>
      </w:pPr>
      <w:r w:rsidRPr="007958C9">
        <w:t>II.</w:t>
      </w:r>
      <w:r w:rsidRPr="007958C9">
        <w:tab/>
        <w:t>Justification</w:t>
      </w:r>
    </w:p>
    <w:p w14:paraId="3412966E" w14:textId="1A996A50" w:rsidR="00E7399D" w:rsidRPr="00E7399D" w:rsidRDefault="00E7399D" w:rsidP="00E7399D">
      <w:pPr>
        <w:spacing w:after="120"/>
        <w:ind w:left="1134" w:right="1134"/>
        <w:jc w:val="both"/>
        <w:rPr>
          <w:bCs/>
          <w:lang w:val="en-GB"/>
        </w:rPr>
      </w:pPr>
      <w:r w:rsidRPr="00E7399D">
        <w:rPr>
          <w:bCs/>
          <w:lang w:val="en-GB"/>
        </w:rPr>
        <w:t>1.</w:t>
      </w:r>
      <w:r>
        <w:rPr>
          <w:bCs/>
          <w:lang w:val="en-GB"/>
        </w:rPr>
        <w:tab/>
      </w:r>
      <w:r w:rsidR="00E67E5E" w:rsidRPr="00E7399D">
        <w:rPr>
          <w:bCs/>
          <w:lang w:val="en-GB"/>
        </w:rPr>
        <w:t>In p</w:t>
      </w:r>
      <w:r w:rsidR="007B34C6" w:rsidRPr="00E7399D">
        <w:rPr>
          <w:bCs/>
          <w:lang w:val="en-GB"/>
        </w:rPr>
        <w:t>aragraph</w:t>
      </w:r>
      <w:r w:rsidR="00E17820">
        <w:rPr>
          <w:bCs/>
          <w:lang w:val="en-GB"/>
        </w:rPr>
        <w:t>s</w:t>
      </w:r>
      <w:r w:rsidR="007B34C6" w:rsidRPr="00E7399D">
        <w:rPr>
          <w:bCs/>
          <w:lang w:val="en-GB"/>
        </w:rPr>
        <w:t xml:space="preserve"> </w:t>
      </w:r>
      <w:r w:rsidR="00DF7E96" w:rsidRPr="00E7399D">
        <w:rPr>
          <w:bCs/>
          <w:lang w:val="en-GB"/>
        </w:rPr>
        <w:t>3.3.2.4.</w:t>
      </w:r>
      <w:r w:rsidR="00E67E5E" w:rsidRPr="00E7399D">
        <w:rPr>
          <w:bCs/>
          <w:lang w:val="en-GB"/>
        </w:rPr>
        <w:t xml:space="preserve"> and 3.3.2.4.4. </w:t>
      </w:r>
      <w:r w:rsidRPr="00E7399D">
        <w:rPr>
          <w:bCs/>
          <w:lang w:val="en-GB"/>
        </w:rPr>
        <w:t xml:space="preserve">the proposal intends to clarify the existing provisions. </w:t>
      </w:r>
    </w:p>
    <w:p w14:paraId="0C8F3D22" w14:textId="25FFC50F" w:rsidR="00137502" w:rsidRPr="00E7399D" w:rsidRDefault="00E7399D" w:rsidP="00E7399D">
      <w:pPr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E7399D">
        <w:rPr>
          <w:lang w:val="en-GB"/>
        </w:rPr>
        <w:t xml:space="preserve">The provisions in paragraph 3.3.2.4.8. are contained in UN Regulation No. 123 </w:t>
      </w:r>
      <w:r>
        <w:rPr>
          <w:lang w:val="en-GB"/>
        </w:rPr>
        <w:t>(paragraph 4.2.2.3.</w:t>
      </w:r>
      <w:r w:rsidR="002130BA">
        <w:rPr>
          <w:lang w:val="en-GB"/>
        </w:rPr>
        <w:t>) but</w:t>
      </w:r>
      <w:r w:rsidRPr="00E7399D">
        <w:rPr>
          <w:lang w:val="en-GB"/>
        </w:rPr>
        <w:t xml:space="preserve"> </w:t>
      </w:r>
      <w:r w:rsidR="002130BA">
        <w:rPr>
          <w:lang w:val="en-GB"/>
        </w:rPr>
        <w:t xml:space="preserve">are </w:t>
      </w:r>
      <w:r w:rsidRPr="00E7399D">
        <w:rPr>
          <w:lang w:val="en-GB"/>
        </w:rPr>
        <w:t xml:space="preserve">currently missing in UN </w:t>
      </w:r>
      <w:r w:rsidRPr="00E7399D">
        <w:rPr>
          <w:bCs/>
          <w:lang w:val="en-GB"/>
        </w:rPr>
        <w:t>Regulation</w:t>
      </w:r>
      <w:r w:rsidRPr="00E7399D">
        <w:rPr>
          <w:lang w:val="en-GB"/>
        </w:rPr>
        <w:t xml:space="preserve"> No. 149.</w:t>
      </w:r>
    </w:p>
    <w:p w14:paraId="54FD5007" w14:textId="7FDEBC09" w:rsidR="00FB12CB" w:rsidRDefault="00E7399D" w:rsidP="00E67E5E">
      <w:pPr>
        <w:spacing w:after="120"/>
        <w:ind w:left="1134" w:right="1134"/>
        <w:jc w:val="both"/>
        <w:rPr>
          <w:bCs/>
          <w:lang w:val="en-GB"/>
        </w:rPr>
      </w:pPr>
      <w:r>
        <w:rPr>
          <w:bCs/>
          <w:lang w:val="en-GB"/>
        </w:rPr>
        <w:t>3</w:t>
      </w:r>
      <w:r w:rsidR="007B34C6">
        <w:rPr>
          <w:bCs/>
          <w:lang w:val="en-GB"/>
        </w:rPr>
        <w:t>.</w:t>
      </w:r>
      <w:r w:rsidR="007B34C6">
        <w:rPr>
          <w:bCs/>
          <w:lang w:val="en-GB"/>
        </w:rPr>
        <w:tab/>
      </w:r>
      <w:r w:rsidR="00E67E5E">
        <w:rPr>
          <w:bCs/>
          <w:lang w:val="en-GB"/>
        </w:rPr>
        <w:t xml:space="preserve">The proposal corrects </w:t>
      </w:r>
      <w:r w:rsidR="00E67E5E" w:rsidRPr="00E67E5E">
        <w:rPr>
          <w:bCs/>
          <w:lang w:val="en-GB"/>
        </w:rPr>
        <w:t>a</w:t>
      </w:r>
      <w:r w:rsidR="002130BA">
        <w:rPr>
          <w:bCs/>
          <w:lang w:val="en-GB"/>
        </w:rPr>
        <w:t xml:space="preserve"> </w:t>
      </w:r>
      <w:r w:rsidR="00E67E5E" w:rsidRPr="00E67E5E">
        <w:rPr>
          <w:bCs/>
          <w:lang w:val="en-GB"/>
        </w:rPr>
        <w:t>wrong reference in paragraph 4.5.2.6</w:t>
      </w:r>
      <w:r w:rsidR="00E67E5E">
        <w:rPr>
          <w:bCs/>
          <w:lang w:val="en-GB"/>
        </w:rPr>
        <w:t xml:space="preserve">. </w:t>
      </w:r>
      <w:r w:rsidR="001D6FE6">
        <w:rPr>
          <w:bCs/>
          <w:lang w:val="en-GB"/>
        </w:rPr>
        <w:t>The correct reference is i</w:t>
      </w:r>
      <w:r w:rsidR="00E67E5E">
        <w:rPr>
          <w:bCs/>
          <w:lang w:val="en-GB"/>
        </w:rPr>
        <w:t>tem</w:t>
      </w:r>
      <w:r w:rsidR="00E67E5E" w:rsidRPr="00E67E5E">
        <w:rPr>
          <w:bCs/>
          <w:lang w:val="en-GB"/>
        </w:rPr>
        <w:t xml:space="preserve"> 9.3.3. (a) in Annex 1</w:t>
      </w:r>
      <w:r w:rsidR="001D6FE6">
        <w:rPr>
          <w:bCs/>
          <w:lang w:val="en-GB"/>
        </w:rPr>
        <w:t xml:space="preserve">, </w:t>
      </w:r>
      <w:r w:rsidR="00E67E5E" w:rsidRPr="00E67E5E">
        <w:rPr>
          <w:bCs/>
          <w:lang w:val="en-GB"/>
        </w:rPr>
        <w:t xml:space="preserve">not </w:t>
      </w:r>
      <w:r w:rsidR="00E67E5E">
        <w:rPr>
          <w:bCs/>
          <w:lang w:val="en-GB"/>
        </w:rPr>
        <w:t>item</w:t>
      </w:r>
      <w:r w:rsidR="00E67E5E" w:rsidRPr="00E67E5E">
        <w:rPr>
          <w:bCs/>
          <w:lang w:val="en-GB"/>
        </w:rPr>
        <w:t xml:space="preserve"> 9.3.2.3.</w:t>
      </w:r>
    </w:p>
    <w:p w14:paraId="41F0A8D3" w14:textId="7A0EF2FC" w:rsidR="00E7399D" w:rsidRDefault="00E7399D" w:rsidP="00E67E5E">
      <w:pPr>
        <w:spacing w:after="120"/>
        <w:ind w:left="1134" w:right="1134"/>
        <w:jc w:val="both"/>
        <w:rPr>
          <w:bCs/>
          <w:lang w:val="en-GB"/>
        </w:rPr>
      </w:pPr>
      <w:r>
        <w:rPr>
          <w:bCs/>
          <w:lang w:val="en-GB"/>
        </w:rPr>
        <w:t>4.</w:t>
      </w:r>
      <w:r>
        <w:rPr>
          <w:bCs/>
          <w:lang w:val="en-GB"/>
        </w:rPr>
        <w:tab/>
        <w:t>The proposal also corrects the locations of points 50L and 75L in Figures A4-V and A4-VII</w:t>
      </w:r>
      <w:r w:rsidR="00AE3B5F">
        <w:rPr>
          <w:bCs/>
          <w:lang w:val="en-GB"/>
        </w:rPr>
        <w:t>.</w:t>
      </w:r>
    </w:p>
    <w:p w14:paraId="14F40A2A" w14:textId="77777777" w:rsidR="00804F52" w:rsidRPr="003E1466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en-GB"/>
        </w:rPr>
      </w:pPr>
      <w:r w:rsidRPr="003E1466">
        <w:rPr>
          <w:snapToGrid w:val="0"/>
          <w:color w:val="000000"/>
          <w:szCs w:val="22"/>
          <w:u w:val="single"/>
          <w:lang w:val="en-GB"/>
        </w:rPr>
        <w:tab/>
      </w:r>
      <w:r w:rsidRPr="003E1466">
        <w:rPr>
          <w:snapToGrid w:val="0"/>
          <w:color w:val="000000"/>
          <w:szCs w:val="22"/>
          <w:u w:val="single"/>
          <w:lang w:val="en-GB"/>
        </w:rPr>
        <w:tab/>
      </w:r>
      <w:r w:rsidRPr="003E1466">
        <w:rPr>
          <w:snapToGrid w:val="0"/>
          <w:color w:val="000000"/>
          <w:szCs w:val="22"/>
          <w:u w:val="single"/>
          <w:lang w:val="en-GB"/>
        </w:rPr>
        <w:tab/>
      </w:r>
    </w:p>
    <w:sectPr w:rsidR="00804F52" w:rsidRPr="003E1466" w:rsidSect="00B428E6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701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D834" w14:textId="77777777" w:rsidR="00F3300C" w:rsidRDefault="00F3300C" w:rsidP="0041326E">
      <w:pPr>
        <w:spacing w:line="240" w:lineRule="auto"/>
      </w:pPr>
      <w:r>
        <w:separator/>
      </w:r>
    </w:p>
  </w:endnote>
  <w:endnote w:type="continuationSeparator" w:id="0">
    <w:p w14:paraId="3386A864" w14:textId="77777777" w:rsidR="00F3300C" w:rsidRDefault="00F3300C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BA2F" w14:textId="77777777"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427E65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1804" w14:textId="77777777"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427E65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941B" w14:textId="5648493D" w:rsidR="00CE4D00" w:rsidRDefault="00AD3BD6" w:rsidP="001B57EA">
    <w:r>
      <w:rPr>
        <w:noProof/>
      </w:rPr>
      <w:drawing>
        <wp:anchor distT="0" distB="0" distL="114300" distR="114300" simplePos="0" relativeHeight="251660288" behindDoc="0" locked="0" layoutInCell="1" allowOverlap="1" wp14:anchorId="7971EAE5" wp14:editId="6BBC843C">
          <wp:simplePos x="0" y="0"/>
          <wp:positionH relativeFrom="margin">
            <wp:posOffset>5615940</wp:posOffset>
          </wp:positionH>
          <wp:positionV relativeFrom="margin">
            <wp:posOffset>8113941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6378CCA" wp14:editId="3B021845">
          <wp:simplePos x="0" y="0"/>
          <wp:positionH relativeFrom="column">
            <wp:posOffset>4558030</wp:posOffset>
          </wp:positionH>
          <wp:positionV relativeFrom="page">
            <wp:posOffset>9501505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4CEE3" w14:textId="19C93022" w:rsidR="00CE4D00" w:rsidRDefault="00CE4D00" w:rsidP="00AD3BD6">
    <w:pPr>
      <w:pStyle w:val="Footer"/>
    </w:pPr>
  </w:p>
  <w:p w14:paraId="53D0CF0F" w14:textId="3E50945E" w:rsidR="00AD3BD6" w:rsidRPr="00AD3BD6" w:rsidRDefault="00AD3BD6" w:rsidP="00AD3BD6">
    <w:pPr>
      <w:pStyle w:val="Footer"/>
      <w:ind w:right="1134"/>
    </w:pPr>
    <w:r>
      <w:t>GE.21-10781(E)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D664" w14:textId="77777777" w:rsidR="00F3300C" w:rsidRPr="00927788" w:rsidRDefault="00F3300C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175D55" w14:textId="77777777" w:rsidR="00F3300C" w:rsidRDefault="00F3300C" w:rsidP="0041326E">
      <w:pPr>
        <w:spacing w:line="240" w:lineRule="auto"/>
      </w:pPr>
      <w:r>
        <w:continuationSeparator/>
      </w:r>
    </w:p>
  </w:footnote>
  <w:footnote w:id="1">
    <w:p w14:paraId="7297F09D" w14:textId="41D1AFC8" w:rsidR="00CE4D00" w:rsidRPr="00273FAA" w:rsidRDefault="00CE4D00" w:rsidP="00361DD4">
      <w:pPr>
        <w:pStyle w:val="FootnoteText"/>
        <w:rPr>
          <w:lang w:val="en-US"/>
        </w:rPr>
      </w:pPr>
      <w:r w:rsidRPr="00A90EA8">
        <w:tab/>
      </w:r>
      <w:r w:rsidR="005946B7">
        <w:rPr>
          <w:rStyle w:val="FootnoteReference"/>
          <w:lang w:val="en-US"/>
        </w:rPr>
        <w:t>*</w:t>
      </w:r>
      <w:r w:rsidR="005946B7">
        <w:rPr>
          <w:lang w:val="en-US"/>
        </w:rPr>
        <w:tab/>
      </w:r>
      <w:r w:rsidR="005946B7">
        <w:rPr>
          <w:szCs w:val="18"/>
          <w:lang w:val="en-US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A75A" w14:textId="727DB26F"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</w:t>
    </w:r>
    <w:r w:rsidR="00E1733C">
      <w:rPr>
        <w:szCs w:val="18"/>
      </w:rPr>
      <w:t>21</w:t>
    </w:r>
    <w:r>
      <w:rPr>
        <w:szCs w:val="18"/>
      </w:rPr>
      <w:t>/</w:t>
    </w:r>
    <w:r w:rsidR="00356849">
      <w:rPr>
        <w:szCs w:val="18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FFF5" w14:textId="0CD66200"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</w:t>
    </w:r>
    <w:r w:rsidR="00E1733C">
      <w:t>21</w:t>
    </w:r>
    <w:r>
      <w:t>/</w:t>
    </w:r>
    <w:r w:rsidR="00356849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22B08E5"/>
    <w:multiLevelType w:val="hybridMultilevel"/>
    <w:tmpl w:val="D4BA6E34"/>
    <w:lvl w:ilvl="0" w:tplc="C3C01BD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5BAB"/>
    <w:rsid w:val="000D5D4E"/>
    <w:rsid w:val="000D6243"/>
    <w:rsid w:val="000D690A"/>
    <w:rsid w:val="000E1318"/>
    <w:rsid w:val="000F119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502"/>
    <w:rsid w:val="00137E0F"/>
    <w:rsid w:val="00141B1C"/>
    <w:rsid w:val="00142B14"/>
    <w:rsid w:val="001462A4"/>
    <w:rsid w:val="00151CA7"/>
    <w:rsid w:val="001523BE"/>
    <w:rsid w:val="00153A09"/>
    <w:rsid w:val="0016001D"/>
    <w:rsid w:val="00161282"/>
    <w:rsid w:val="0016128F"/>
    <w:rsid w:val="001620B3"/>
    <w:rsid w:val="0016211A"/>
    <w:rsid w:val="001623FF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D6FE6"/>
    <w:rsid w:val="001E0140"/>
    <w:rsid w:val="001E178F"/>
    <w:rsid w:val="001E57DE"/>
    <w:rsid w:val="001F0B67"/>
    <w:rsid w:val="001F4B17"/>
    <w:rsid w:val="001F4CA2"/>
    <w:rsid w:val="001F50D8"/>
    <w:rsid w:val="001F7417"/>
    <w:rsid w:val="00200BB2"/>
    <w:rsid w:val="002021F8"/>
    <w:rsid w:val="002063E3"/>
    <w:rsid w:val="002079F1"/>
    <w:rsid w:val="002130BA"/>
    <w:rsid w:val="00223E6A"/>
    <w:rsid w:val="00225C6E"/>
    <w:rsid w:val="00232FB3"/>
    <w:rsid w:val="00233E59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63DD1"/>
    <w:rsid w:val="0026604A"/>
    <w:rsid w:val="002703F7"/>
    <w:rsid w:val="00270844"/>
    <w:rsid w:val="00272524"/>
    <w:rsid w:val="002726D4"/>
    <w:rsid w:val="00273FAA"/>
    <w:rsid w:val="00277073"/>
    <w:rsid w:val="0028062D"/>
    <w:rsid w:val="0029249A"/>
    <w:rsid w:val="0029264C"/>
    <w:rsid w:val="00294D2C"/>
    <w:rsid w:val="002A4559"/>
    <w:rsid w:val="002B1CE0"/>
    <w:rsid w:val="002B49D6"/>
    <w:rsid w:val="002B66BD"/>
    <w:rsid w:val="002C109D"/>
    <w:rsid w:val="002C391E"/>
    <w:rsid w:val="002C488C"/>
    <w:rsid w:val="002D172F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563C7"/>
    <w:rsid w:val="00356849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02BD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E1466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27E65"/>
    <w:rsid w:val="004304D2"/>
    <w:rsid w:val="00434817"/>
    <w:rsid w:val="00435E53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B2324"/>
    <w:rsid w:val="004B3902"/>
    <w:rsid w:val="004B618A"/>
    <w:rsid w:val="004C55A7"/>
    <w:rsid w:val="004D1B18"/>
    <w:rsid w:val="004D605A"/>
    <w:rsid w:val="004E3ECF"/>
    <w:rsid w:val="004E7574"/>
    <w:rsid w:val="004E7D82"/>
    <w:rsid w:val="004F25A5"/>
    <w:rsid w:val="004F3EBB"/>
    <w:rsid w:val="004F4072"/>
    <w:rsid w:val="004F6F35"/>
    <w:rsid w:val="00502DD2"/>
    <w:rsid w:val="00504809"/>
    <w:rsid w:val="00505B5E"/>
    <w:rsid w:val="0050636C"/>
    <w:rsid w:val="00515CC6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918E4"/>
    <w:rsid w:val="005946B7"/>
    <w:rsid w:val="00596CD9"/>
    <w:rsid w:val="005A3004"/>
    <w:rsid w:val="005A485E"/>
    <w:rsid w:val="005A65C1"/>
    <w:rsid w:val="005A6CE2"/>
    <w:rsid w:val="005B050B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06247"/>
    <w:rsid w:val="00612B66"/>
    <w:rsid w:val="00616646"/>
    <w:rsid w:val="00640A25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291D"/>
    <w:rsid w:val="00685E63"/>
    <w:rsid w:val="006923F3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E5D02"/>
    <w:rsid w:val="006F4060"/>
    <w:rsid w:val="007009E2"/>
    <w:rsid w:val="00702689"/>
    <w:rsid w:val="00702783"/>
    <w:rsid w:val="00702F9E"/>
    <w:rsid w:val="0070449A"/>
    <w:rsid w:val="00704B05"/>
    <w:rsid w:val="0071581B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74AFA"/>
    <w:rsid w:val="00775A0B"/>
    <w:rsid w:val="00777726"/>
    <w:rsid w:val="00777D16"/>
    <w:rsid w:val="00780FC3"/>
    <w:rsid w:val="00792793"/>
    <w:rsid w:val="007937F5"/>
    <w:rsid w:val="0079426D"/>
    <w:rsid w:val="00795084"/>
    <w:rsid w:val="007958C9"/>
    <w:rsid w:val="007977DE"/>
    <w:rsid w:val="00797F2D"/>
    <w:rsid w:val="007A3790"/>
    <w:rsid w:val="007B34C6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3F9C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3230"/>
    <w:rsid w:val="008D5F35"/>
    <w:rsid w:val="008D63B9"/>
    <w:rsid w:val="008E1D58"/>
    <w:rsid w:val="008E3D01"/>
    <w:rsid w:val="008E472F"/>
    <w:rsid w:val="008E578E"/>
    <w:rsid w:val="008F0D45"/>
    <w:rsid w:val="008F1C9B"/>
    <w:rsid w:val="008F3582"/>
    <w:rsid w:val="008F37D2"/>
    <w:rsid w:val="00903A86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57C"/>
    <w:rsid w:val="009C764C"/>
    <w:rsid w:val="009D4AD2"/>
    <w:rsid w:val="009E0978"/>
    <w:rsid w:val="009E34D3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6C5"/>
    <w:rsid w:val="00A44E5D"/>
    <w:rsid w:val="00A472C4"/>
    <w:rsid w:val="00A51EBC"/>
    <w:rsid w:val="00A57B4D"/>
    <w:rsid w:val="00A6302B"/>
    <w:rsid w:val="00A63FFB"/>
    <w:rsid w:val="00A67462"/>
    <w:rsid w:val="00A7747B"/>
    <w:rsid w:val="00A87C91"/>
    <w:rsid w:val="00A95AE4"/>
    <w:rsid w:val="00A96540"/>
    <w:rsid w:val="00AA6A1E"/>
    <w:rsid w:val="00AB1FCC"/>
    <w:rsid w:val="00AB3421"/>
    <w:rsid w:val="00AB576C"/>
    <w:rsid w:val="00AB599A"/>
    <w:rsid w:val="00AB6042"/>
    <w:rsid w:val="00AC316E"/>
    <w:rsid w:val="00AD2EAE"/>
    <w:rsid w:val="00AD350F"/>
    <w:rsid w:val="00AD3BD6"/>
    <w:rsid w:val="00AE3B5F"/>
    <w:rsid w:val="00AE5210"/>
    <w:rsid w:val="00AF2510"/>
    <w:rsid w:val="00AF55A6"/>
    <w:rsid w:val="00B1023F"/>
    <w:rsid w:val="00B10D68"/>
    <w:rsid w:val="00B14A43"/>
    <w:rsid w:val="00B27179"/>
    <w:rsid w:val="00B31BA5"/>
    <w:rsid w:val="00B323E5"/>
    <w:rsid w:val="00B35847"/>
    <w:rsid w:val="00B428E6"/>
    <w:rsid w:val="00B4500F"/>
    <w:rsid w:val="00B5470E"/>
    <w:rsid w:val="00B54DC6"/>
    <w:rsid w:val="00B77E11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75B8"/>
    <w:rsid w:val="00C54FE9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914D5"/>
    <w:rsid w:val="00DA178E"/>
    <w:rsid w:val="00DA2EA6"/>
    <w:rsid w:val="00DA3371"/>
    <w:rsid w:val="00DB2DFE"/>
    <w:rsid w:val="00DB63B3"/>
    <w:rsid w:val="00DB7A95"/>
    <w:rsid w:val="00DC12D5"/>
    <w:rsid w:val="00DC3DB8"/>
    <w:rsid w:val="00DE19D7"/>
    <w:rsid w:val="00DE3CC6"/>
    <w:rsid w:val="00DF50C8"/>
    <w:rsid w:val="00DF569D"/>
    <w:rsid w:val="00DF7427"/>
    <w:rsid w:val="00DF7E96"/>
    <w:rsid w:val="00E00052"/>
    <w:rsid w:val="00E012C4"/>
    <w:rsid w:val="00E01FD5"/>
    <w:rsid w:val="00E10B01"/>
    <w:rsid w:val="00E15B1D"/>
    <w:rsid w:val="00E1733C"/>
    <w:rsid w:val="00E17820"/>
    <w:rsid w:val="00E209CD"/>
    <w:rsid w:val="00E24C7E"/>
    <w:rsid w:val="00E4448C"/>
    <w:rsid w:val="00E45080"/>
    <w:rsid w:val="00E5003B"/>
    <w:rsid w:val="00E5291E"/>
    <w:rsid w:val="00E55DD7"/>
    <w:rsid w:val="00E57A99"/>
    <w:rsid w:val="00E66416"/>
    <w:rsid w:val="00E67E5E"/>
    <w:rsid w:val="00E7399D"/>
    <w:rsid w:val="00E74CDB"/>
    <w:rsid w:val="00E76B94"/>
    <w:rsid w:val="00E81FF0"/>
    <w:rsid w:val="00E940F0"/>
    <w:rsid w:val="00EA2638"/>
    <w:rsid w:val="00EA765B"/>
    <w:rsid w:val="00EA7F55"/>
    <w:rsid w:val="00EB1418"/>
    <w:rsid w:val="00EB7AB1"/>
    <w:rsid w:val="00EC2A28"/>
    <w:rsid w:val="00EC485D"/>
    <w:rsid w:val="00ED0301"/>
    <w:rsid w:val="00EF35C5"/>
    <w:rsid w:val="00F07198"/>
    <w:rsid w:val="00F10F31"/>
    <w:rsid w:val="00F322E6"/>
    <w:rsid w:val="00F3294B"/>
    <w:rsid w:val="00F3300C"/>
    <w:rsid w:val="00F33DFF"/>
    <w:rsid w:val="00F3529C"/>
    <w:rsid w:val="00F3610C"/>
    <w:rsid w:val="00F364FA"/>
    <w:rsid w:val="00F40084"/>
    <w:rsid w:val="00F427F1"/>
    <w:rsid w:val="00F435BD"/>
    <w:rsid w:val="00F53C29"/>
    <w:rsid w:val="00F54D16"/>
    <w:rsid w:val="00F6492D"/>
    <w:rsid w:val="00F74E60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CB58639"/>
  <w15:docId w15:val="{5161CC38-FA66-4B5E-8B63-B7A477AF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uiPriority w:val="59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  <w:style w:type="paragraph" w:customStyle="1" w:styleId="endnotetable">
    <w:name w:val="endnote table"/>
    <w:basedOn w:val="Normal"/>
    <w:link w:val="endnotetableChar"/>
    <w:rsid w:val="007B34C6"/>
    <w:pPr>
      <w:spacing w:line="220" w:lineRule="exact"/>
      <w:ind w:left="1134" w:right="1134" w:firstLine="170"/>
    </w:pPr>
    <w:rPr>
      <w:sz w:val="18"/>
      <w:szCs w:val="18"/>
      <w:lang w:val="it-IT"/>
    </w:rPr>
  </w:style>
  <w:style w:type="character" w:customStyle="1" w:styleId="endnotetableChar">
    <w:name w:val="endnote table Char"/>
    <w:link w:val="endnotetable"/>
    <w:rsid w:val="007B34C6"/>
    <w:rPr>
      <w:rFonts w:ascii="Times New Roman" w:eastAsia="Times New Roman" w:hAnsi="Times New Roman"/>
      <w:sz w:val="18"/>
      <w:szCs w:val="18"/>
      <w:lang w:val="it-IT"/>
    </w:rPr>
  </w:style>
  <w:style w:type="table" w:customStyle="1" w:styleId="Grigliatabella1">
    <w:name w:val="Griglia tabella1"/>
    <w:basedOn w:val="TableNormal"/>
    <w:next w:val="TableGrid"/>
    <w:uiPriority w:val="59"/>
    <w:rsid w:val="007B34C6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Para4thlevel">
    <w:name w:val="4.Para 4th level"/>
    <w:basedOn w:val="Normal"/>
    <w:link w:val="4Para4thlevelCar"/>
    <w:qFormat/>
    <w:rsid w:val="00DF7E96"/>
    <w:pPr>
      <w:spacing w:after="120"/>
      <w:ind w:left="2268" w:right="1134" w:hanging="1134"/>
      <w:jc w:val="both"/>
      <w:outlineLvl w:val="3"/>
    </w:pPr>
    <w:rPr>
      <w:rFonts w:eastAsiaTheme="minorEastAsia"/>
      <w:lang w:val="en-GB"/>
    </w:rPr>
  </w:style>
  <w:style w:type="character" w:customStyle="1" w:styleId="4Para4thlevelCar">
    <w:name w:val="4.Para 4th level Car"/>
    <w:basedOn w:val="DefaultParagraphFont"/>
    <w:link w:val="4Para4thlevel"/>
    <w:rsid w:val="00DF7E96"/>
    <w:rPr>
      <w:rFonts w:ascii="Times New Roman" w:eastAsiaTheme="minorEastAsia" w:hAnsi="Times New Roman"/>
      <w:lang w:val="en-GB"/>
    </w:rPr>
  </w:style>
  <w:style w:type="paragraph" w:customStyle="1" w:styleId="5para5thlevel">
    <w:name w:val="5.para 5th level"/>
    <w:basedOn w:val="4Para4thlevel"/>
    <w:link w:val="5para5thlevelCar"/>
    <w:qFormat/>
    <w:rsid w:val="00DF7E96"/>
    <w:pPr>
      <w:outlineLvl w:val="4"/>
    </w:pPr>
  </w:style>
  <w:style w:type="character" w:customStyle="1" w:styleId="5para5thlevelCar">
    <w:name w:val="5.para 5th level Car"/>
    <w:basedOn w:val="4Para4thlevelCar"/>
    <w:link w:val="5para5thlevel"/>
    <w:rsid w:val="00DF7E96"/>
    <w:rPr>
      <w:rFonts w:ascii="Times New Roman" w:eastAsiaTheme="minorEastAsia" w:hAnsi="Times New Roman"/>
      <w:lang w:val="en-GB"/>
    </w:rPr>
  </w:style>
  <w:style w:type="paragraph" w:customStyle="1" w:styleId="StyleSingleTxtGLeft2cmHanging206cm">
    <w:name w:val="Style _ Single Txt_G + Left:  2 cm Hanging:  2.06 cm"/>
    <w:basedOn w:val="Normal"/>
    <w:link w:val="StyleSingleTxtGLeft2cmHanging206cmChar"/>
    <w:rsid w:val="00DF7E96"/>
    <w:pPr>
      <w:spacing w:after="120"/>
      <w:ind w:left="2268" w:right="1134" w:hanging="1134"/>
      <w:jc w:val="both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DF7E96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6CC8A-41D2-4592-B57C-43EDEBF4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90625-14C8-4CD6-9802-1901B40EA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617FE-6555-4E59-9292-9D7CDF0840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C34B6-5FC6-4A8C-B24B-895A0DF5B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3092</Characters>
  <Application>Microsoft Office Word</Application>
  <DocSecurity>0</DocSecurity>
  <Lines>82</Lines>
  <Paragraphs>48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RDW Voertuiginformatie en -toelating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ECE/TRANS/WP.29/GRE/2021/12</dc:title>
  <dc:subject>2110781</dc:subject>
  <dc:creator>Una Philippa GILTSOFF</dc:creator>
  <cp:keywords/>
  <dc:description/>
  <cp:lastModifiedBy>Una Philippa GILTSOFF</cp:lastModifiedBy>
  <cp:revision>2</cp:revision>
  <cp:lastPrinted>2018-08-10T07:19:00Z</cp:lastPrinted>
  <dcterms:created xsi:type="dcterms:W3CDTF">2021-08-05T14:44:00Z</dcterms:created>
  <dcterms:modified xsi:type="dcterms:W3CDTF">2021-08-05T14:44:00Z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