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A38DFED" w14:textId="77777777" w:rsidTr="00C97039">
        <w:trPr>
          <w:trHeight w:hRule="exact" w:val="851"/>
        </w:trPr>
        <w:tc>
          <w:tcPr>
            <w:tcW w:w="1276" w:type="dxa"/>
            <w:tcBorders>
              <w:bottom w:val="single" w:sz="4" w:space="0" w:color="auto"/>
            </w:tcBorders>
          </w:tcPr>
          <w:p w14:paraId="36CDCC44" w14:textId="77777777" w:rsidR="00F35BAF" w:rsidRPr="00DB58B5" w:rsidRDefault="00F35BAF" w:rsidP="007F6FB7"/>
        </w:tc>
        <w:tc>
          <w:tcPr>
            <w:tcW w:w="2268" w:type="dxa"/>
            <w:tcBorders>
              <w:bottom w:val="single" w:sz="4" w:space="0" w:color="auto"/>
            </w:tcBorders>
            <w:vAlign w:val="bottom"/>
          </w:tcPr>
          <w:p w14:paraId="1022199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3C2A8C" w14:textId="779A1240" w:rsidR="00F35BAF" w:rsidRPr="00DB58B5" w:rsidRDefault="007F6FB7" w:rsidP="007F6FB7">
            <w:pPr>
              <w:jc w:val="right"/>
            </w:pPr>
            <w:r w:rsidRPr="007F6FB7">
              <w:rPr>
                <w:sz w:val="40"/>
              </w:rPr>
              <w:t>ECE</w:t>
            </w:r>
            <w:r>
              <w:t>/TRANS/WP.29/GRE/2021/10</w:t>
            </w:r>
          </w:p>
        </w:tc>
      </w:tr>
      <w:tr w:rsidR="00F35BAF" w:rsidRPr="00DB58B5" w14:paraId="1BAAE11A" w14:textId="77777777" w:rsidTr="00C97039">
        <w:trPr>
          <w:trHeight w:hRule="exact" w:val="2835"/>
        </w:trPr>
        <w:tc>
          <w:tcPr>
            <w:tcW w:w="1276" w:type="dxa"/>
            <w:tcBorders>
              <w:top w:val="single" w:sz="4" w:space="0" w:color="auto"/>
              <w:bottom w:val="single" w:sz="12" w:space="0" w:color="auto"/>
            </w:tcBorders>
          </w:tcPr>
          <w:p w14:paraId="62F3613C" w14:textId="77777777" w:rsidR="00F35BAF" w:rsidRPr="00DB58B5" w:rsidRDefault="00F35BAF" w:rsidP="00C97039">
            <w:pPr>
              <w:spacing w:before="120"/>
              <w:jc w:val="center"/>
            </w:pPr>
            <w:r>
              <w:rPr>
                <w:noProof/>
                <w:lang w:eastAsia="fr-CH"/>
              </w:rPr>
              <w:drawing>
                <wp:inline distT="0" distB="0" distL="0" distR="0" wp14:anchorId="270FE4CA" wp14:editId="27C8D2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E6285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92F16E9" w14:textId="77777777" w:rsidR="00F35BAF" w:rsidRDefault="007F6FB7" w:rsidP="00C97039">
            <w:pPr>
              <w:spacing w:before="240"/>
            </w:pPr>
            <w:proofErr w:type="spellStart"/>
            <w:r>
              <w:t>Distr</w:t>
            </w:r>
            <w:proofErr w:type="spellEnd"/>
            <w:r>
              <w:t>. générale</w:t>
            </w:r>
          </w:p>
          <w:p w14:paraId="1547F1CC" w14:textId="77777777" w:rsidR="007F6FB7" w:rsidRDefault="007F6FB7" w:rsidP="007F6FB7">
            <w:pPr>
              <w:spacing w:line="240" w:lineRule="exact"/>
            </w:pPr>
            <w:r>
              <w:t>5 août 2021</w:t>
            </w:r>
          </w:p>
          <w:p w14:paraId="74AF1256" w14:textId="77777777" w:rsidR="007F6FB7" w:rsidRDefault="007F6FB7" w:rsidP="007F6FB7">
            <w:pPr>
              <w:spacing w:line="240" w:lineRule="exact"/>
            </w:pPr>
            <w:r>
              <w:t>Français</w:t>
            </w:r>
          </w:p>
          <w:p w14:paraId="71A680DF" w14:textId="13BD8535" w:rsidR="007F6FB7" w:rsidRPr="00DB58B5" w:rsidRDefault="007F6FB7" w:rsidP="007F6FB7">
            <w:pPr>
              <w:spacing w:line="240" w:lineRule="exact"/>
            </w:pPr>
            <w:r>
              <w:t>Original : anglais</w:t>
            </w:r>
          </w:p>
        </w:tc>
      </w:tr>
    </w:tbl>
    <w:p w14:paraId="058A601D" w14:textId="77777777" w:rsidR="007F20FA" w:rsidRPr="000312C0" w:rsidRDefault="007F20FA" w:rsidP="007F20FA">
      <w:pPr>
        <w:spacing w:before="120"/>
        <w:rPr>
          <w:b/>
          <w:sz w:val="28"/>
          <w:szCs w:val="28"/>
        </w:rPr>
      </w:pPr>
      <w:r w:rsidRPr="000312C0">
        <w:rPr>
          <w:b/>
          <w:sz w:val="28"/>
          <w:szCs w:val="28"/>
        </w:rPr>
        <w:t>Commission économique pour l’Europe</w:t>
      </w:r>
    </w:p>
    <w:p w14:paraId="2895FED2" w14:textId="77777777" w:rsidR="007F20FA" w:rsidRDefault="007F20FA" w:rsidP="007F20FA">
      <w:pPr>
        <w:spacing w:before="120"/>
        <w:rPr>
          <w:sz w:val="28"/>
          <w:szCs w:val="28"/>
        </w:rPr>
      </w:pPr>
      <w:r w:rsidRPr="00685843">
        <w:rPr>
          <w:sz w:val="28"/>
          <w:szCs w:val="28"/>
        </w:rPr>
        <w:t>Comité des transports intérieurs</w:t>
      </w:r>
    </w:p>
    <w:p w14:paraId="49A0A4C0" w14:textId="4AC80712" w:rsidR="00AF6FF7" w:rsidRPr="00AF6FF7" w:rsidRDefault="00AF6FF7" w:rsidP="00AF6FF7">
      <w:pPr>
        <w:spacing w:before="120"/>
        <w:rPr>
          <w:b/>
          <w:sz w:val="24"/>
          <w:szCs w:val="24"/>
        </w:rPr>
      </w:pPr>
      <w:r w:rsidRPr="00AF6FF7">
        <w:rPr>
          <w:b/>
          <w:bCs/>
          <w:sz w:val="24"/>
          <w:szCs w:val="24"/>
          <w:lang w:val="fr-FR"/>
        </w:rPr>
        <w:t xml:space="preserve">Forum mondial de l’harmonisation </w:t>
      </w:r>
      <w:r>
        <w:rPr>
          <w:b/>
          <w:bCs/>
          <w:sz w:val="24"/>
          <w:szCs w:val="24"/>
          <w:lang w:val="fr-FR"/>
        </w:rPr>
        <w:br/>
      </w:r>
      <w:r w:rsidRPr="00AF6FF7">
        <w:rPr>
          <w:b/>
          <w:bCs/>
          <w:sz w:val="24"/>
          <w:szCs w:val="24"/>
          <w:lang w:val="fr-FR"/>
        </w:rPr>
        <w:t>des Règlements concernant les véhicules</w:t>
      </w:r>
    </w:p>
    <w:p w14:paraId="32DD3F6E" w14:textId="77777777" w:rsidR="00AF6FF7" w:rsidRPr="00752811" w:rsidRDefault="00AF6FF7" w:rsidP="00AF6FF7">
      <w:pPr>
        <w:spacing w:before="120" w:after="120"/>
        <w:rPr>
          <w:b/>
          <w:bCs/>
        </w:rPr>
      </w:pPr>
      <w:r>
        <w:rPr>
          <w:b/>
          <w:bCs/>
          <w:lang w:val="fr-FR"/>
        </w:rPr>
        <w:t>Groupe de travail de l’éclairage et de la signalisation lumineuse</w:t>
      </w:r>
    </w:p>
    <w:p w14:paraId="6CD72517" w14:textId="03E1B5C1" w:rsidR="00AF6FF7" w:rsidRPr="00752811" w:rsidRDefault="00AF6FF7" w:rsidP="00AF6FF7">
      <w:pPr>
        <w:ind w:right="1134"/>
        <w:rPr>
          <w:b/>
        </w:rPr>
      </w:pPr>
      <w:r>
        <w:rPr>
          <w:b/>
          <w:bCs/>
          <w:lang w:val="fr-FR"/>
        </w:rPr>
        <w:t>Quatre</w:t>
      </w:r>
      <w:r>
        <w:rPr>
          <w:b/>
          <w:bCs/>
          <w:lang w:val="fr-FR"/>
        </w:rPr>
        <w:t>-</w:t>
      </w:r>
      <w:r>
        <w:rPr>
          <w:b/>
          <w:bCs/>
          <w:lang w:val="fr-FR"/>
        </w:rPr>
        <w:t>vingt cinquième session</w:t>
      </w:r>
    </w:p>
    <w:p w14:paraId="14B6E429" w14:textId="77777777" w:rsidR="00AF6FF7" w:rsidRPr="00752811" w:rsidRDefault="00AF6FF7" w:rsidP="00AF6FF7">
      <w:pPr>
        <w:ind w:right="1134"/>
      </w:pPr>
      <w:r>
        <w:rPr>
          <w:lang w:val="fr-FR"/>
        </w:rPr>
        <w:t>Genève, 26-29 octobre 2021</w:t>
      </w:r>
    </w:p>
    <w:p w14:paraId="475BB5A9" w14:textId="77777777" w:rsidR="00AF6FF7" w:rsidRPr="00752811" w:rsidRDefault="00AF6FF7" w:rsidP="00AF6FF7">
      <w:pPr>
        <w:ind w:right="1134"/>
        <w:rPr>
          <w:bCs/>
        </w:rPr>
      </w:pPr>
      <w:r>
        <w:rPr>
          <w:lang w:val="fr-FR"/>
        </w:rPr>
        <w:t>Point 7 a) de l’ordre du jour provisoire</w:t>
      </w:r>
    </w:p>
    <w:p w14:paraId="2454FA26" w14:textId="77777777" w:rsidR="00AF6FF7" w:rsidRPr="00752811" w:rsidRDefault="00AF6FF7" w:rsidP="00AF6FF7">
      <w:pPr>
        <w:ind w:right="1467"/>
        <w:jc w:val="both"/>
        <w:rPr>
          <w:b/>
          <w:bCs/>
        </w:rPr>
      </w:pPr>
      <w:r>
        <w:rPr>
          <w:b/>
          <w:bCs/>
          <w:lang w:val="fr-FR"/>
        </w:rPr>
        <w:t>Autres Règlements ONU :</w:t>
      </w:r>
    </w:p>
    <w:p w14:paraId="6B0D50E7" w14:textId="77777777" w:rsidR="00AF6FF7" w:rsidRPr="00752811" w:rsidRDefault="00AF6FF7" w:rsidP="00AF6FF7">
      <w:pPr>
        <w:ind w:right="1467"/>
        <w:jc w:val="both"/>
        <w:rPr>
          <w:b/>
          <w:bCs/>
        </w:rPr>
      </w:pPr>
      <w:r>
        <w:rPr>
          <w:b/>
          <w:bCs/>
          <w:lang w:val="fr-FR"/>
        </w:rPr>
        <w:t>Règlement ONU n</w:t>
      </w:r>
      <w:r>
        <w:rPr>
          <w:b/>
          <w:bCs/>
          <w:vertAlign w:val="superscript"/>
          <w:lang w:val="fr-FR"/>
        </w:rPr>
        <w:t>o</w:t>
      </w:r>
      <w:r>
        <w:rPr>
          <w:b/>
          <w:bCs/>
          <w:lang w:val="fr-FR"/>
        </w:rPr>
        <w:t xml:space="preserve"> 10 (Compatibilité électromagnétique)</w:t>
      </w:r>
      <w:r>
        <w:rPr>
          <w:lang w:val="fr-FR"/>
        </w:rPr>
        <w:t xml:space="preserve"> </w:t>
      </w:r>
    </w:p>
    <w:p w14:paraId="1DCE9304" w14:textId="76C42456" w:rsidR="00AF6FF7" w:rsidRPr="00752811" w:rsidRDefault="00AF6FF7" w:rsidP="00AF6FF7">
      <w:pPr>
        <w:pStyle w:val="HChG"/>
      </w:pPr>
      <w:r>
        <w:rPr>
          <w:lang w:val="fr-FR"/>
        </w:rPr>
        <w:tab/>
      </w:r>
      <w:r>
        <w:rPr>
          <w:lang w:val="fr-FR"/>
        </w:rPr>
        <w:tab/>
        <w:t xml:space="preserve">Proposition de complément 2 à la série 06 d’amendements </w:t>
      </w:r>
      <w:r>
        <w:rPr>
          <w:lang w:val="fr-FR"/>
        </w:rPr>
        <w:br/>
      </w:r>
      <w:r>
        <w:rPr>
          <w:lang w:val="fr-FR"/>
        </w:rPr>
        <w:t>au Règlement ONU n</w:t>
      </w:r>
      <w:r>
        <w:rPr>
          <w:vertAlign w:val="superscript"/>
          <w:lang w:val="fr-FR"/>
        </w:rPr>
        <w:t>o</w:t>
      </w:r>
      <w:r>
        <w:rPr>
          <w:lang w:val="fr-FR"/>
        </w:rPr>
        <w:t xml:space="preserve"> 10</w:t>
      </w:r>
    </w:p>
    <w:p w14:paraId="18EAB56E" w14:textId="77777777" w:rsidR="00AF6FF7" w:rsidRPr="00752811" w:rsidRDefault="00AF6FF7" w:rsidP="00AF6FF7">
      <w:pPr>
        <w:pStyle w:val="H1G"/>
        <w:rPr>
          <w:szCs w:val="24"/>
        </w:rPr>
      </w:pPr>
      <w:r>
        <w:rPr>
          <w:lang w:val="fr-FR"/>
        </w:rPr>
        <w:tab/>
      </w:r>
      <w:r>
        <w:rPr>
          <w:lang w:val="fr-FR"/>
        </w:rPr>
        <w:tab/>
        <w:t>Communication de l’expert de la Tchéquie, avec l’appui de l’équipe spéciale de la compatibilité électromagnétique</w:t>
      </w:r>
      <w:r w:rsidRPr="00AF6FF7">
        <w:rPr>
          <w:b w:val="0"/>
          <w:bCs/>
          <w:sz w:val="20"/>
          <w:lang w:val="fr-FR"/>
        </w:rPr>
        <w:footnoteReference w:customMarkFollows="1" w:id="2"/>
        <w:t>*</w:t>
      </w:r>
    </w:p>
    <w:p w14:paraId="58B1878B" w14:textId="4B1FB482" w:rsidR="00F9573C" w:rsidRDefault="00AF6FF7" w:rsidP="00AF6FF7">
      <w:pPr>
        <w:pStyle w:val="SingleTxtG"/>
      </w:pPr>
      <w:r>
        <w:rPr>
          <w:lang w:val="fr-FR"/>
        </w:rPr>
        <w:tab/>
      </w:r>
      <w:r>
        <w:rPr>
          <w:lang w:val="fr-FR"/>
        </w:rPr>
        <w:tab/>
      </w:r>
      <w:r>
        <w:rPr>
          <w:lang w:val="fr-FR"/>
        </w:rPr>
        <w:t>Le texte ci-après, établi par l’expert de la Tchéquie, avec l’appui de l’équipe spéciale de la compatibilité électromagnétique, vise à apporter des précisions au paragraphe 3.3 du Règlement ONU n</w:t>
      </w:r>
      <w:r w:rsidRPr="00565CC0">
        <w:rPr>
          <w:vertAlign w:val="superscript"/>
          <w:lang w:val="fr-FR"/>
        </w:rPr>
        <w:t>o</w:t>
      </w:r>
      <w:r>
        <w:rPr>
          <w:lang w:val="fr-FR"/>
        </w:rPr>
        <w:t> 10, concernant la détermination du point de référence pour les véhicules des catégories L</w:t>
      </w:r>
      <w:r>
        <w:rPr>
          <w:vertAlign w:val="subscript"/>
          <w:lang w:val="fr-FR"/>
        </w:rPr>
        <w:t>6</w:t>
      </w:r>
      <w:r>
        <w:rPr>
          <w:lang w:val="fr-FR"/>
        </w:rPr>
        <w:t xml:space="preserve"> et L</w:t>
      </w:r>
      <w:r>
        <w:rPr>
          <w:vertAlign w:val="subscript"/>
          <w:lang w:val="fr-FR"/>
        </w:rPr>
        <w:t>7</w:t>
      </w:r>
      <w:r>
        <w:rPr>
          <w:lang w:val="fr-FR"/>
        </w:rPr>
        <w:t>, et à corriger la figure</w:t>
      </w:r>
      <w:r w:rsidR="00310EDF">
        <w:rPr>
          <w:lang w:val="fr-FR"/>
        </w:rPr>
        <w:t> </w:t>
      </w:r>
      <w:r>
        <w:rPr>
          <w:lang w:val="fr-FR"/>
        </w:rPr>
        <w:t>1 de l’appendice</w:t>
      </w:r>
      <w:r w:rsidR="00310EDF">
        <w:rPr>
          <w:lang w:val="fr-FR"/>
        </w:rPr>
        <w:t> </w:t>
      </w:r>
      <w:r>
        <w:rPr>
          <w:lang w:val="fr-FR"/>
        </w:rPr>
        <w:t>1 de l’annexe</w:t>
      </w:r>
      <w:r w:rsidR="00310EDF">
        <w:rPr>
          <w:lang w:val="fr-FR"/>
        </w:rPr>
        <w:t> </w:t>
      </w:r>
      <w:r>
        <w:rPr>
          <w:lang w:val="fr-FR"/>
        </w:rPr>
        <w:t>4. Les modifications qu’il est proposé d’apporter au texte actuel du Règlement figurent en caractères gras.</w:t>
      </w:r>
    </w:p>
    <w:p w14:paraId="0CCCA99A" w14:textId="22934320" w:rsidR="00AF6FF7" w:rsidRDefault="00AF6FF7">
      <w:pPr>
        <w:suppressAutoHyphens w:val="0"/>
        <w:kinsoku/>
        <w:overflowPunct/>
        <w:autoSpaceDE/>
        <w:autoSpaceDN/>
        <w:adjustRightInd/>
        <w:snapToGrid/>
        <w:spacing w:after="200" w:line="276" w:lineRule="auto"/>
      </w:pPr>
      <w:r>
        <w:br w:type="page"/>
      </w:r>
    </w:p>
    <w:p w14:paraId="10B082DC" w14:textId="77777777" w:rsidR="00AF6FF7" w:rsidRPr="00752811" w:rsidRDefault="00AF6FF7" w:rsidP="00AF6FF7">
      <w:pPr>
        <w:pStyle w:val="HChG"/>
        <w:spacing w:before="240"/>
      </w:pPr>
      <w:r>
        <w:rPr>
          <w:lang w:val="fr-FR"/>
        </w:rPr>
        <w:lastRenderedPageBreak/>
        <w:tab/>
        <w:t>I.</w:t>
      </w:r>
      <w:r>
        <w:rPr>
          <w:lang w:val="fr-FR"/>
        </w:rPr>
        <w:tab/>
      </w:r>
      <w:r>
        <w:rPr>
          <w:bCs/>
          <w:lang w:val="fr-FR"/>
        </w:rPr>
        <w:t>Proposition</w:t>
      </w:r>
    </w:p>
    <w:p w14:paraId="5E98F116" w14:textId="77777777" w:rsidR="00AF6FF7" w:rsidRPr="00752811" w:rsidRDefault="00AF6FF7" w:rsidP="00AF6FF7">
      <w:pPr>
        <w:spacing w:after="120"/>
        <w:ind w:left="2268" w:right="1134" w:hanging="1134"/>
        <w:jc w:val="both"/>
      </w:pPr>
      <w:r>
        <w:rPr>
          <w:i/>
          <w:iCs/>
          <w:lang w:val="fr-FR"/>
        </w:rPr>
        <w:t>Annexe 4, appendice 1, figure 1</w:t>
      </w:r>
      <w:r>
        <w:rPr>
          <w:lang w:val="fr-FR"/>
        </w:rPr>
        <w:t xml:space="preserve">, lire : </w:t>
      </w:r>
    </w:p>
    <w:p w14:paraId="2C65B78E" w14:textId="77777777" w:rsidR="00AF6FF7" w:rsidRPr="00752811" w:rsidRDefault="00AF6FF7" w:rsidP="00AF6FF7">
      <w:pPr>
        <w:ind w:left="2268" w:right="1134" w:hanging="1134"/>
      </w:pPr>
      <w:r>
        <w:rPr>
          <w:lang w:val="fr-FR"/>
        </w:rPr>
        <w:t>« Figure 1</w:t>
      </w:r>
    </w:p>
    <w:p w14:paraId="553F7EE7" w14:textId="77777777" w:rsidR="00AF6FF7" w:rsidRPr="00752811" w:rsidRDefault="00AF6FF7" w:rsidP="00AF6FF7">
      <w:pPr>
        <w:ind w:left="2268" w:right="1134" w:hanging="1134"/>
      </w:pPr>
      <w:r>
        <w:rPr>
          <w:lang w:val="fr-FR"/>
        </w:rPr>
        <w:t xml:space="preserve">Surface horizontale dégagée, libre de toute réflexion électromagnétique </w:t>
      </w:r>
    </w:p>
    <w:p w14:paraId="7FF44638" w14:textId="6B61ED3F" w:rsidR="00AF6FF7" w:rsidRDefault="00AF6FF7" w:rsidP="00AF6FF7">
      <w:pPr>
        <w:spacing w:after="120"/>
        <w:ind w:left="2268" w:right="1134" w:hanging="1134"/>
        <w:rPr>
          <w:lang w:val="fr-FR"/>
        </w:rPr>
      </w:pPr>
      <w:r>
        <w:rPr>
          <w:lang w:val="fr-FR"/>
        </w:rPr>
        <w:t>Délimitation de la surface définie par une ellipse</w:t>
      </w:r>
    </w:p>
    <w:p w14:paraId="290401EA" w14:textId="0D703864" w:rsidR="00AF6FF7" w:rsidRPr="00752811" w:rsidRDefault="00310EDF" w:rsidP="00AF6FF7">
      <w:pPr>
        <w:spacing w:after="240"/>
        <w:ind w:left="2268" w:right="1134" w:hanging="1134"/>
      </w:pPr>
      <w:r>
        <w:rPr>
          <w:noProof/>
        </w:rPr>
        <w:drawing>
          <wp:inline distT="0" distB="0" distL="0" distR="0" wp14:anchorId="25301884" wp14:editId="445D413D">
            <wp:extent cx="4572000" cy="48622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3192" cy="4895458"/>
                    </a:xfrm>
                    <a:prstGeom prst="rect">
                      <a:avLst/>
                    </a:prstGeom>
                  </pic:spPr>
                </pic:pic>
              </a:graphicData>
            </a:graphic>
          </wp:inline>
        </w:drawing>
      </w:r>
      <w:r w:rsidR="00AF6FF7" w:rsidRPr="00752811">
        <w:t>».</w:t>
      </w:r>
    </w:p>
    <w:p w14:paraId="19CA472D" w14:textId="77777777" w:rsidR="00AF6FF7" w:rsidRPr="00752811" w:rsidRDefault="00AF6FF7" w:rsidP="00AF6FF7">
      <w:pPr>
        <w:spacing w:after="120"/>
        <w:ind w:left="2268" w:right="1134" w:hanging="1134"/>
        <w:jc w:val="both"/>
        <w:rPr>
          <w:i/>
          <w:iCs/>
        </w:rPr>
      </w:pPr>
      <w:r>
        <w:rPr>
          <w:i/>
          <w:iCs/>
          <w:lang w:val="fr-FR"/>
        </w:rPr>
        <w:t>Annexe 6, paragraphe 3.3.4</w:t>
      </w:r>
      <w:r>
        <w:rPr>
          <w:lang w:val="fr-FR"/>
        </w:rPr>
        <w:t xml:space="preserve">, lire : </w:t>
      </w:r>
    </w:p>
    <w:p w14:paraId="001942AC" w14:textId="32C000C9" w:rsidR="00AF6FF7" w:rsidRPr="00752811" w:rsidRDefault="00AF6FF7" w:rsidP="00AF6FF7">
      <w:pPr>
        <w:spacing w:after="120"/>
        <w:ind w:left="2268" w:right="1134" w:hanging="1134"/>
        <w:jc w:val="both"/>
      </w:pPr>
      <w:r>
        <w:rPr>
          <w:lang w:val="fr-FR"/>
        </w:rPr>
        <w:t>« 3.3.4</w:t>
      </w:r>
      <w:r>
        <w:rPr>
          <w:lang w:val="fr-FR"/>
        </w:rPr>
        <w:tab/>
        <w:t>Soit à 1,0 ±</w:t>
      </w:r>
      <w:r>
        <w:rPr>
          <w:lang w:val="fr-FR"/>
        </w:rPr>
        <w:t xml:space="preserve"> </w:t>
      </w:r>
      <w:r>
        <w:rPr>
          <w:lang w:val="fr-FR"/>
        </w:rPr>
        <w:t xml:space="preserve">0,2 m derrière l’axe vertical de la </w:t>
      </w:r>
      <w:r>
        <w:rPr>
          <w:b/>
          <w:bCs/>
          <w:lang w:val="fr-FR"/>
        </w:rPr>
        <w:t xml:space="preserve">ou des </w:t>
      </w:r>
      <w:r>
        <w:rPr>
          <w:lang w:val="fr-FR"/>
        </w:rPr>
        <w:t>roue</w:t>
      </w:r>
      <w:r>
        <w:rPr>
          <w:b/>
          <w:bCs/>
          <w:lang w:val="fr-FR"/>
        </w:rPr>
        <w:t>s</w:t>
      </w:r>
      <w:r>
        <w:rPr>
          <w:lang w:val="fr-FR"/>
        </w:rPr>
        <w:t xml:space="preserve"> avant du véhicule (point C dans la figure 1 de l’appendice à la présente annexe), dans le cas des véhicules à trois </w:t>
      </w:r>
      <w:r>
        <w:rPr>
          <w:b/>
          <w:bCs/>
          <w:lang w:val="fr-FR"/>
        </w:rPr>
        <w:t xml:space="preserve">ou quatre </w:t>
      </w:r>
      <w:r>
        <w:rPr>
          <w:lang w:val="fr-FR"/>
        </w:rPr>
        <w:t>roues ;</w:t>
      </w:r>
    </w:p>
    <w:p w14:paraId="641F723C" w14:textId="6483E39E" w:rsidR="00AF6FF7" w:rsidRPr="00752811" w:rsidRDefault="00AF6FF7" w:rsidP="00AF6FF7">
      <w:pPr>
        <w:pStyle w:val="SingleTxtG"/>
        <w:ind w:left="2268" w:hanging="1134"/>
      </w:pPr>
      <w:r>
        <w:rPr>
          <w:lang w:val="fr-FR"/>
        </w:rPr>
        <w:tab/>
        <w:t>Soit à 0,2 ±</w:t>
      </w:r>
      <w:r>
        <w:rPr>
          <w:lang w:val="fr-FR"/>
        </w:rPr>
        <w:t xml:space="preserve"> </w:t>
      </w:r>
      <w:r>
        <w:rPr>
          <w:lang w:val="fr-FR"/>
        </w:rPr>
        <w:t>0,2 m derrière l’axe vertical de la roue avant (point D dans la figure 2 de l’appendice 1 à la présente annexe), dans le cas des véhicules à deux roues ; ».</w:t>
      </w:r>
    </w:p>
    <w:p w14:paraId="256E5904" w14:textId="77777777" w:rsidR="00AF6FF7" w:rsidRPr="00752811" w:rsidRDefault="00AF6FF7" w:rsidP="00AF6FF7">
      <w:pPr>
        <w:pStyle w:val="HChG"/>
      </w:pPr>
      <w:r>
        <w:rPr>
          <w:lang w:val="fr-FR"/>
        </w:rPr>
        <w:tab/>
        <w:t>II.</w:t>
      </w:r>
      <w:r>
        <w:rPr>
          <w:lang w:val="fr-FR"/>
        </w:rPr>
        <w:tab/>
      </w:r>
      <w:r>
        <w:rPr>
          <w:bCs/>
          <w:lang w:val="fr-FR"/>
        </w:rPr>
        <w:t>Justification</w:t>
      </w:r>
    </w:p>
    <w:p w14:paraId="1559C12D" w14:textId="77777777" w:rsidR="00AF6FF7" w:rsidRPr="00752811" w:rsidRDefault="00AF6FF7" w:rsidP="00AF6FF7">
      <w:pPr>
        <w:spacing w:after="120"/>
        <w:ind w:left="1134" w:right="1134"/>
        <w:jc w:val="both"/>
      </w:pPr>
      <w:r>
        <w:rPr>
          <w:lang w:val="fr-FR"/>
        </w:rPr>
        <w:t>1.</w:t>
      </w:r>
      <w:r>
        <w:rPr>
          <w:lang w:val="fr-FR"/>
        </w:rPr>
        <w:tab/>
        <w:t>À la figure 1 de l’appendice 1 de l’annexe 4, la distance entre l’antenne et le véhicule pour les mesures à 3 m n’est pas mentionnée. La norme CISPR 12 prescrit cette distance pour les mesures à 3 m dans la note qui se trouve sous la même figure, libellée comme suit : « </w:t>
      </w:r>
      <w:r w:rsidRPr="00752811">
        <w:t xml:space="preserve">La distance de 10,0 m ± 0,2 m peut être ramenée à 3,00 m ± 0,05 m, conformément à 5.2.3.2 et </w:t>
      </w:r>
      <w:r w:rsidRPr="00752811">
        <w:lastRenderedPageBreak/>
        <w:t>à 5.2.3.4</w:t>
      </w:r>
      <w:r>
        <w:rPr>
          <w:lang w:val="fr-FR"/>
        </w:rPr>
        <w:t>. ». La proposition formulée dans le présent document corrige officiellement la figure 1.</w:t>
      </w:r>
    </w:p>
    <w:p w14:paraId="2F54A335" w14:textId="77777777" w:rsidR="00AF6FF7" w:rsidRPr="00752811" w:rsidRDefault="00AF6FF7" w:rsidP="00AF6FF7">
      <w:pPr>
        <w:pStyle w:val="SingleTxtG"/>
        <w:keepNext/>
        <w:keepLines/>
      </w:pPr>
      <w:r>
        <w:rPr>
          <w:lang w:val="fr-FR"/>
        </w:rPr>
        <w:t>2.</w:t>
      </w:r>
      <w:r>
        <w:rPr>
          <w:lang w:val="fr-FR"/>
        </w:rPr>
        <w:tab/>
        <w:t>En ce qui concerne la mesure de l’immunité des véhicules aux rayonnements électromagnétiques, le paragraphe 3.3 de l’annexe 6 définit un point de référence pour les véhicules de la catégorie L mais le paragraphe 3.3.4 définit un point de référence uniquement pour les véhicules à deux et trois roues. Pour les véhicules des catégories L</w:t>
      </w:r>
      <w:r>
        <w:rPr>
          <w:vertAlign w:val="subscript"/>
          <w:lang w:val="fr-FR"/>
        </w:rPr>
        <w:t>6</w:t>
      </w:r>
      <w:r>
        <w:rPr>
          <w:lang w:val="fr-FR"/>
        </w:rPr>
        <w:t xml:space="preserve"> et L</w:t>
      </w:r>
      <w:r>
        <w:rPr>
          <w:vertAlign w:val="subscript"/>
          <w:lang w:val="fr-FR"/>
        </w:rPr>
        <w:t>7</w:t>
      </w:r>
      <w:r w:rsidRPr="0033778D">
        <w:rPr>
          <w:lang w:val="fr-FR"/>
        </w:rPr>
        <w:t>,</w:t>
      </w:r>
      <w:r>
        <w:rPr>
          <w:lang w:val="fr-FR"/>
        </w:rPr>
        <w:t xml:space="preserve"> au sens des paragraphes 2.1.6 et 2.1.7 de la Résolution d’ensemble sur la construction des véhicules (R.E.3), le point de référence n’est pas défini, et la configuration du montage d’essai n’est pas claire. Les véhicules des catégories L</w:t>
      </w:r>
      <w:r>
        <w:rPr>
          <w:vertAlign w:val="subscript"/>
          <w:lang w:val="fr-FR"/>
        </w:rPr>
        <w:t>2</w:t>
      </w:r>
      <w:r>
        <w:rPr>
          <w:lang w:val="fr-FR"/>
        </w:rPr>
        <w:t xml:space="preserve"> et L</w:t>
      </w:r>
      <w:r>
        <w:rPr>
          <w:vertAlign w:val="subscript"/>
          <w:lang w:val="fr-FR"/>
        </w:rPr>
        <w:t>5</w:t>
      </w:r>
      <w:r>
        <w:rPr>
          <w:lang w:val="fr-FR"/>
        </w:rPr>
        <w:t xml:space="preserve"> peuvent avoir deux roues avant. Par analogie, le même montage d’essai est proposé pour les véhicules des catégories L</w:t>
      </w:r>
      <w:r>
        <w:rPr>
          <w:vertAlign w:val="subscript"/>
          <w:lang w:val="fr-FR"/>
        </w:rPr>
        <w:t>6</w:t>
      </w:r>
      <w:r>
        <w:rPr>
          <w:lang w:val="fr-FR"/>
        </w:rPr>
        <w:t xml:space="preserve"> et L</w:t>
      </w:r>
      <w:r>
        <w:rPr>
          <w:vertAlign w:val="subscript"/>
          <w:lang w:val="fr-FR"/>
        </w:rPr>
        <w:t>7</w:t>
      </w:r>
      <w:r>
        <w:rPr>
          <w:lang w:val="fr-FR"/>
        </w:rPr>
        <w:t>.</w:t>
      </w:r>
    </w:p>
    <w:p w14:paraId="0682F5B9" w14:textId="68D59B07" w:rsidR="00AF6FF7" w:rsidRDefault="00AF6FF7" w:rsidP="00AF6FF7">
      <w:pPr>
        <w:pStyle w:val="SingleTxtG"/>
        <w:spacing w:after="240"/>
      </w:pPr>
      <w:r>
        <w:rPr>
          <w:lang w:val="fr-FR"/>
        </w:rPr>
        <w:t>3.</w:t>
      </w:r>
      <w:r>
        <w:rPr>
          <w:lang w:val="fr-FR"/>
        </w:rPr>
        <w:tab/>
        <w:t>La figure 1 de l’appendice 1 de l’annexe 6, qui est applicable aux véhicules à trois roues, est reproduite ci-dessous pour référence.</w:t>
      </w:r>
      <w:r w:rsidR="007216A8">
        <w:rPr>
          <w:lang w:val="fr-FR"/>
        </w:rPr>
        <w:t xml:space="preserve"> </w:t>
      </w:r>
    </w:p>
    <w:p w14:paraId="3A29BF3C" w14:textId="6C28B3A7" w:rsidR="00AF6FF7" w:rsidRDefault="00AF6FF7" w:rsidP="00AF6FF7">
      <w:pPr>
        <w:pStyle w:val="SingleTxtG"/>
        <w:jc w:val="center"/>
      </w:pPr>
      <w:r>
        <w:rPr>
          <w:noProof/>
        </w:rPr>
        <w:drawing>
          <wp:inline distT="0" distB="0" distL="0" distR="0" wp14:anchorId="7502D2B0" wp14:editId="22F9286A">
            <wp:extent cx="4237969" cy="4930445"/>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8243" cy="5047103"/>
                    </a:xfrm>
                    <a:prstGeom prst="rect">
                      <a:avLst/>
                    </a:prstGeom>
                  </pic:spPr>
                </pic:pic>
              </a:graphicData>
            </a:graphic>
          </wp:inline>
        </w:drawing>
      </w:r>
    </w:p>
    <w:p w14:paraId="7080F5D1" w14:textId="1C7C7A7E" w:rsidR="00AF6FF7" w:rsidRPr="00AF6FF7" w:rsidRDefault="00AF6FF7" w:rsidP="00AF6FF7">
      <w:pPr>
        <w:pStyle w:val="SingleTxtG"/>
        <w:spacing w:before="240" w:after="0"/>
        <w:jc w:val="center"/>
        <w:rPr>
          <w:u w:val="single"/>
        </w:rPr>
      </w:pPr>
      <w:r>
        <w:tab/>
      </w:r>
      <w:r>
        <w:rPr>
          <w:u w:val="single"/>
        </w:rPr>
        <w:tab/>
      </w:r>
      <w:r>
        <w:rPr>
          <w:u w:val="single"/>
        </w:rPr>
        <w:tab/>
      </w:r>
      <w:r>
        <w:rPr>
          <w:u w:val="single"/>
        </w:rPr>
        <w:tab/>
      </w:r>
    </w:p>
    <w:sectPr w:rsidR="00AF6FF7" w:rsidRPr="00AF6FF7" w:rsidSect="007F6FB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8359D" w14:textId="77777777" w:rsidR="00A52EDA" w:rsidRDefault="00A52EDA" w:rsidP="00F95C08">
      <w:pPr>
        <w:spacing w:line="240" w:lineRule="auto"/>
      </w:pPr>
    </w:p>
  </w:endnote>
  <w:endnote w:type="continuationSeparator" w:id="0">
    <w:p w14:paraId="6881B03A" w14:textId="77777777" w:rsidR="00A52EDA" w:rsidRPr="00AC3823" w:rsidRDefault="00A52EDA" w:rsidP="00AC3823">
      <w:pPr>
        <w:pStyle w:val="Pieddepage"/>
      </w:pPr>
    </w:p>
  </w:endnote>
  <w:endnote w:type="continuationNotice" w:id="1">
    <w:p w14:paraId="44ABE700" w14:textId="77777777" w:rsidR="00A52EDA" w:rsidRDefault="00A52E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4FFD" w14:textId="530F635C" w:rsidR="007F6FB7" w:rsidRPr="007F6FB7" w:rsidRDefault="007F6FB7" w:rsidP="007F6FB7">
    <w:pPr>
      <w:pStyle w:val="Pieddepage"/>
      <w:tabs>
        <w:tab w:val="right" w:pos="9638"/>
      </w:tabs>
    </w:pPr>
    <w:r w:rsidRPr="007F6FB7">
      <w:rPr>
        <w:b/>
        <w:sz w:val="18"/>
      </w:rPr>
      <w:fldChar w:fldCharType="begin"/>
    </w:r>
    <w:r w:rsidRPr="007F6FB7">
      <w:rPr>
        <w:b/>
        <w:sz w:val="18"/>
      </w:rPr>
      <w:instrText xml:space="preserve"> PAGE  \* MERGEFORMAT </w:instrText>
    </w:r>
    <w:r w:rsidRPr="007F6FB7">
      <w:rPr>
        <w:b/>
        <w:sz w:val="18"/>
      </w:rPr>
      <w:fldChar w:fldCharType="separate"/>
    </w:r>
    <w:r w:rsidRPr="007F6FB7">
      <w:rPr>
        <w:b/>
        <w:noProof/>
        <w:sz w:val="18"/>
      </w:rPr>
      <w:t>2</w:t>
    </w:r>
    <w:r w:rsidRPr="007F6FB7">
      <w:rPr>
        <w:b/>
        <w:sz w:val="18"/>
      </w:rPr>
      <w:fldChar w:fldCharType="end"/>
    </w:r>
    <w:r>
      <w:rPr>
        <w:b/>
        <w:sz w:val="18"/>
      </w:rPr>
      <w:tab/>
    </w:r>
    <w:r>
      <w:t>GE.21-10779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34EA" w14:textId="022681ED" w:rsidR="007F6FB7" w:rsidRPr="007F6FB7" w:rsidRDefault="007F6FB7" w:rsidP="007F6FB7">
    <w:pPr>
      <w:pStyle w:val="Pieddepage"/>
      <w:tabs>
        <w:tab w:val="right" w:pos="9638"/>
      </w:tabs>
      <w:rPr>
        <w:b/>
        <w:sz w:val="18"/>
      </w:rPr>
    </w:pPr>
    <w:r>
      <w:t>GE.21-10779</w:t>
    </w:r>
    <w:r>
      <w:tab/>
    </w:r>
    <w:r w:rsidRPr="007F6FB7">
      <w:rPr>
        <w:b/>
        <w:sz w:val="18"/>
      </w:rPr>
      <w:fldChar w:fldCharType="begin"/>
    </w:r>
    <w:r w:rsidRPr="007F6FB7">
      <w:rPr>
        <w:b/>
        <w:sz w:val="18"/>
      </w:rPr>
      <w:instrText xml:space="preserve"> PAGE  \* MERGEFORMAT </w:instrText>
    </w:r>
    <w:r w:rsidRPr="007F6FB7">
      <w:rPr>
        <w:b/>
        <w:sz w:val="18"/>
      </w:rPr>
      <w:fldChar w:fldCharType="separate"/>
    </w:r>
    <w:r w:rsidRPr="007F6FB7">
      <w:rPr>
        <w:b/>
        <w:noProof/>
        <w:sz w:val="18"/>
      </w:rPr>
      <w:t>3</w:t>
    </w:r>
    <w:r w:rsidRPr="007F6F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E7CC" w14:textId="0371B46B" w:rsidR="007F20FA" w:rsidRPr="007F6FB7" w:rsidRDefault="007F6FB7" w:rsidP="007F6FB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96F87F4" wp14:editId="1F607D5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21-10779  (F)</w:t>
    </w:r>
    <w:r>
      <w:rPr>
        <w:noProof/>
        <w:sz w:val="20"/>
      </w:rPr>
      <w:drawing>
        <wp:anchor distT="0" distB="0" distL="114300" distR="114300" simplePos="0" relativeHeight="251660288" behindDoc="0" locked="0" layoutInCell="1" allowOverlap="1" wp14:anchorId="1A11E6AD" wp14:editId="05DE935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010921    010921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5BC3" w14:textId="77777777" w:rsidR="00A52EDA" w:rsidRPr="00AC3823" w:rsidRDefault="00A52EDA" w:rsidP="00AC3823">
      <w:pPr>
        <w:pStyle w:val="Pieddepage"/>
        <w:tabs>
          <w:tab w:val="right" w:pos="2155"/>
        </w:tabs>
        <w:spacing w:after="80" w:line="240" w:lineRule="atLeast"/>
        <w:ind w:left="680"/>
        <w:rPr>
          <w:u w:val="single"/>
        </w:rPr>
      </w:pPr>
      <w:r>
        <w:rPr>
          <w:u w:val="single"/>
        </w:rPr>
        <w:tab/>
      </w:r>
    </w:p>
  </w:footnote>
  <w:footnote w:type="continuationSeparator" w:id="0">
    <w:p w14:paraId="2120EB4F" w14:textId="77777777" w:rsidR="00A52EDA" w:rsidRPr="00AC3823" w:rsidRDefault="00A52EDA" w:rsidP="00AC3823">
      <w:pPr>
        <w:pStyle w:val="Pieddepage"/>
        <w:tabs>
          <w:tab w:val="right" w:pos="2155"/>
        </w:tabs>
        <w:spacing w:after="80" w:line="240" w:lineRule="atLeast"/>
        <w:ind w:left="680"/>
        <w:rPr>
          <w:u w:val="single"/>
        </w:rPr>
      </w:pPr>
      <w:r>
        <w:rPr>
          <w:u w:val="single"/>
        </w:rPr>
        <w:tab/>
      </w:r>
    </w:p>
  </w:footnote>
  <w:footnote w:type="continuationNotice" w:id="1">
    <w:p w14:paraId="40970991" w14:textId="77777777" w:rsidR="00A52EDA" w:rsidRPr="00AC3823" w:rsidRDefault="00A52EDA">
      <w:pPr>
        <w:spacing w:line="240" w:lineRule="auto"/>
        <w:rPr>
          <w:sz w:val="2"/>
          <w:szCs w:val="2"/>
        </w:rPr>
      </w:pPr>
    </w:p>
  </w:footnote>
  <w:footnote w:id="2">
    <w:p w14:paraId="2F04CE8E" w14:textId="0AEAF770" w:rsidR="00AF6FF7" w:rsidRDefault="00AF6FF7" w:rsidP="00AF6FF7">
      <w:pPr>
        <w:pStyle w:val="Notedebasdepage"/>
        <w:rPr>
          <w:lang w:val="fr-FR"/>
        </w:rPr>
      </w:pPr>
      <w:r w:rsidRPr="00AF6FF7">
        <w:rPr>
          <w:sz w:val="20"/>
          <w:lang w:val="fr-FR"/>
        </w:rPr>
        <w:tab/>
        <w:t>*</w:t>
      </w:r>
      <w:r w:rsidRPr="00AF6FF7">
        <w:rPr>
          <w:sz w:val="20"/>
          <w:lang w:val="fr-FR"/>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p w14:paraId="7323440C" w14:textId="77777777" w:rsidR="00AF6FF7" w:rsidRPr="00752811" w:rsidRDefault="00AF6FF7" w:rsidP="00AF6FF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2E5F" w14:textId="555CA73B" w:rsidR="007F6FB7" w:rsidRPr="007F6FB7" w:rsidRDefault="00E1405C">
    <w:pPr>
      <w:pStyle w:val="En-tte"/>
    </w:pPr>
    <w:r>
      <w:fldChar w:fldCharType="begin"/>
    </w:r>
    <w:r>
      <w:instrText xml:space="preserve"> TITLE  \* MERGEFORMAT </w:instrText>
    </w:r>
    <w:r>
      <w:fldChar w:fldCharType="separate"/>
    </w:r>
    <w:r>
      <w:t>ECE/TRANS/WP.29/GRE/2021/10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410C" w14:textId="34818A7A" w:rsidR="007F6FB7" w:rsidRPr="007F6FB7" w:rsidRDefault="00E1405C" w:rsidP="007F6FB7">
    <w:pPr>
      <w:pStyle w:val="En-tte"/>
      <w:jc w:val="right"/>
    </w:pPr>
    <w:r>
      <w:fldChar w:fldCharType="begin"/>
    </w:r>
    <w:r>
      <w:instrText xml:space="preserve"> TITLE  \* MERGEFORMAT </w:instrText>
    </w:r>
    <w:r>
      <w:fldChar w:fldCharType="separate"/>
    </w:r>
    <w:r>
      <w:t>ECE/TRANS/WP.29/GRE/2021/10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DA"/>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10EDF"/>
    <w:rsid w:val="003916DE"/>
    <w:rsid w:val="00421996"/>
    <w:rsid w:val="00441C3B"/>
    <w:rsid w:val="00446C5C"/>
    <w:rsid w:val="00446FE5"/>
    <w:rsid w:val="00452396"/>
    <w:rsid w:val="00477EB2"/>
    <w:rsid w:val="004837D8"/>
    <w:rsid w:val="004E2EED"/>
    <w:rsid w:val="004E468C"/>
    <w:rsid w:val="005505B7"/>
    <w:rsid w:val="00573BE5"/>
    <w:rsid w:val="00586ED3"/>
    <w:rsid w:val="00596AA9"/>
    <w:rsid w:val="0071601D"/>
    <w:rsid w:val="007216A8"/>
    <w:rsid w:val="007A62E6"/>
    <w:rsid w:val="007F20FA"/>
    <w:rsid w:val="007F6FB7"/>
    <w:rsid w:val="0080684C"/>
    <w:rsid w:val="00871C75"/>
    <w:rsid w:val="008776DC"/>
    <w:rsid w:val="008A2B78"/>
    <w:rsid w:val="008D5EF9"/>
    <w:rsid w:val="009446C0"/>
    <w:rsid w:val="009705C8"/>
    <w:rsid w:val="009C1CF4"/>
    <w:rsid w:val="009F6B74"/>
    <w:rsid w:val="00A3029F"/>
    <w:rsid w:val="00A30353"/>
    <w:rsid w:val="00A52EDA"/>
    <w:rsid w:val="00AC3823"/>
    <w:rsid w:val="00AE323C"/>
    <w:rsid w:val="00AF0CB5"/>
    <w:rsid w:val="00AF6FF7"/>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1405C"/>
    <w:rsid w:val="00E85C74"/>
    <w:rsid w:val="00E921CF"/>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4810C"/>
  <w15:docId w15:val="{3FCE8A9D-F532-4EAC-86DE-E79CBF7A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AF6FF7"/>
    <w:rPr>
      <w:rFonts w:ascii="Times New Roman" w:eastAsiaTheme="minorHAnsi" w:hAnsi="Times New Roman" w:cs="Times New Roman"/>
      <w:b/>
      <w:sz w:val="28"/>
      <w:szCs w:val="20"/>
      <w:lang w:eastAsia="en-US"/>
    </w:rPr>
  </w:style>
  <w:style w:type="character" w:customStyle="1" w:styleId="H1GChar">
    <w:name w:val="_ H_1_G Char"/>
    <w:link w:val="H1G"/>
    <w:rsid w:val="00AF6FF7"/>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AF6FF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7D1FF-D470-452C-9688-8EA65A4EB3CC}"/>
</file>

<file path=customXml/itemProps2.xml><?xml version="1.0" encoding="utf-8"?>
<ds:datastoreItem xmlns:ds="http://schemas.openxmlformats.org/officeDocument/2006/customXml" ds:itemID="{EA609E39-8629-4FF8-9A26-4F9BD53DDD14}"/>
</file>

<file path=customXml/itemProps3.xml><?xml version="1.0" encoding="utf-8"?>
<ds:datastoreItem xmlns:ds="http://schemas.openxmlformats.org/officeDocument/2006/customXml" ds:itemID="{7FA97320-A684-4C58-A694-DF64C3679F63}"/>
</file>

<file path=docProps/app.xml><?xml version="1.0" encoding="utf-8"?>
<Properties xmlns="http://schemas.openxmlformats.org/officeDocument/2006/extended-properties" xmlns:vt="http://schemas.openxmlformats.org/officeDocument/2006/docPropsVTypes">
  <Template>ECE_TRANS.dotm</Template>
  <TotalTime>1</TotalTime>
  <Pages>3</Pages>
  <Words>392</Words>
  <Characters>2744</Characters>
  <Application>Microsoft Office Word</Application>
  <DocSecurity>0</DocSecurity>
  <Lines>228</Lines>
  <Paragraphs>125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ECE/TRANS/WP.29/GRE/2021/10</dc:title>
  <dc:subject/>
  <dc:creator>Maud DARICHE</dc:creator>
  <cp:keywords/>
  <cp:lastModifiedBy>Maud Dariche</cp:lastModifiedBy>
  <cp:revision>3</cp:revision>
  <cp:lastPrinted>2021-09-01T11:58:00Z</cp:lastPrinted>
  <dcterms:created xsi:type="dcterms:W3CDTF">2021-09-01T11:58:00Z</dcterms:created>
  <dcterms:modified xsi:type="dcterms:W3CDTF">2021-09-01T11:59:00Z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