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69B34BC2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</w:r>
      <w:r w:rsidR="006354B8">
        <w:rPr>
          <w:b/>
        </w:rPr>
        <w:t>31</w:t>
      </w:r>
      <w:r w:rsidR="00447C96">
        <w:rPr>
          <w:b/>
        </w:rPr>
        <w:t xml:space="preserve"> August 2021</w:t>
      </w:r>
    </w:p>
    <w:p w14:paraId="472FD9BC" w14:textId="06F6D086" w:rsidR="004E6E10" w:rsidRPr="00D31633" w:rsidRDefault="004E6E10" w:rsidP="004E6E10">
      <w:pPr>
        <w:rPr>
          <w:lang w:val="en-GB"/>
        </w:rPr>
      </w:pPr>
      <w:r>
        <w:rPr>
          <w:lang w:val="en-US"/>
        </w:rPr>
        <w:t>Geneva, 21 September – 1 October 2021</w:t>
      </w:r>
      <w:r>
        <w:br/>
      </w:r>
      <w:r w:rsidRPr="00D31633">
        <w:rPr>
          <w:lang w:val="en-GB"/>
        </w:rPr>
        <w:t xml:space="preserve">Item </w:t>
      </w:r>
      <w:r w:rsidR="00296123">
        <w:rPr>
          <w:lang w:val="en-GB"/>
        </w:rPr>
        <w:t>6</w:t>
      </w:r>
      <w:r w:rsidRPr="00D31633">
        <w:rPr>
          <w:lang w:val="en-GB"/>
        </w:rPr>
        <w:t xml:space="preserve"> of the provisional agenda</w:t>
      </w:r>
    </w:p>
    <w:p w14:paraId="01491EC8" w14:textId="7D4DFCCB" w:rsidR="004E6E10" w:rsidRPr="00D31633" w:rsidRDefault="00296123" w:rsidP="004E6E10">
      <w:pPr>
        <w:rPr>
          <w:b/>
        </w:rPr>
      </w:pPr>
      <w:r w:rsidRPr="00296123">
        <w:rPr>
          <w:b/>
          <w:lang w:val="en-GB"/>
        </w:rPr>
        <w:t>Interpretation of RID/ADR/ADN</w:t>
      </w:r>
      <w:r w:rsidRPr="00296123">
        <w:rPr>
          <w:b/>
          <w:lang w:val="en-GB"/>
        </w:rPr>
        <w:t xml:space="preserve"> </w:t>
      </w:r>
    </w:p>
    <w:p w14:paraId="3833EF21" w14:textId="373F0BA9" w:rsidR="00340FF7" w:rsidRPr="00440428" w:rsidRDefault="00835C30" w:rsidP="00340FF7">
      <w:pPr>
        <w:pStyle w:val="HChG"/>
        <w:rPr>
          <w:sz w:val="20"/>
          <w:lang w:val="en-US"/>
        </w:rPr>
      </w:pPr>
      <w:r w:rsidRPr="00835C30">
        <w:rPr>
          <w:lang w:val="en-GB"/>
        </w:rPr>
        <w:tab/>
      </w:r>
      <w:r w:rsidRPr="00835C30">
        <w:rPr>
          <w:lang w:val="en-GB"/>
        </w:rPr>
        <w:tab/>
      </w:r>
      <w:proofErr w:type="spellStart"/>
      <w:r w:rsidR="006354B8">
        <w:rPr>
          <w:bCs/>
        </w:rPr>
        <w:t>Competent</w:t>
      </w:r>
      <w:proofErr w:type="spellEnd"/>
      <w:r w:rsidR="006354B8">
        <w:rPr>
          <w:bCs/>
        </w:rPr>
        <w:t xml:space="preserve"> </w:t>
      </w:r>
      <w:proofErr w:type="spellStart"/>
      <w:r w:rsidR="006354B8">
        <w:rPr>
          <w:bCs/>
        </w:rPr>
        <w:t>authority</w:t>
      </w:r>
      <w:proofErr w:type="spellEnd"/>
      <w:r w:rsidR="006354B8">
        <w:rPr>
          <w:bCs/>
        </w:rPr>
        <w:t xml:space="preserve"> </w:t>
      </w:r>
      <w:proofErr w:type="spellStart"/>
      <w:r w:rsidR="006354B8">
        <w:rPr>
          <w:bCs/>
        </w:rPr>
        <w:t>approvals</w:t>
      </w:r>
      <w:proofErr w:type="spellEnd"/>
      <w:r w:rsidR="006354B8">
        <w:rPr>
          <w:bCs/>
        </w:rPr>
        <w:t xml:space="preserve"> for </w:t>
      </w:r>
      <w:proofErr w:type="spellStart"/>
      <w:r w:rsidR="006354B8">
        <w:rPr>
          <w:bCs/>
        </w:rPr>
        <w:t>organic</w:t>
      </w:r>
      <w:proofErr w:type="spellEnd"/>
      <w:r w:rsidR="006354B8">
        <w:rPr>
          <w:bCs/>
        </w:rPr>
        <w:t xml:space="preserve"> </w:t>
      </w:r>
      <w:proofErr w:type="spellStart"/>
      <w:r w:rsidR="006354B8">
        <w:rPr>
          <w:bCs/>
        </w:rPr>
        <w:t>peroxides</w:t>
      </w:r>
      <w:proofErr w:type="spellEnd"/>
      <w:r w:rsidR="006354B8">
        <w:rPr>
          <w:bCs/>
        </w:rPr>
        <w:t xml:space="preserve"> and self-</w:t>
      </w:r>
      <w:proofErr w:type="spellStart"/>
      <w:r w:rsidR="006354B8">
        <w:rPr>
          <w:bCs/>
        </w:rPr>
        <w:t>reactive</w:t>
      </w:r>
      <w:proofErr w:type="spellEnd"/>
      <w:r w:rsidR="006354B8">
        <w:rPr>
          <w:bCs/>
        </w:rPr>
        <w:t xml:space="preserve"> substances not </w:t>
      </w:r>
      <w:proofErr w:type="spellStart"/>
      <w:r w:rsidR="006354B8">
        <w:rPr>
          <w:bCs/>
        </w:rPr>
        <w:t>listed</w:t>
      </w:r>
      <w:proofErr w:type="spellEnd"/>
      <w:r w:rsidR="006354B8">
        <w:rPr>
          <w:bCs/>
        </w:rPr>
        <w:t xml:space="preserve"> </w:t>
      </w:r>
      <w:r w:rsidR="00F30C38">
        <w:rPr>
          <w:bCs/>
        </w:rPr>
        <w:t xml:space="preserve">and </w:t>
      </w:r>
      <w:proofErr w:type="spellStart"/>
      <w:r w:rsidR="00F30C38">
        <w:rPr>
          <w:bCs/>
        </w:rPr>
        <w:t>i</w:t>
      </w:r>
      <w:r w:rsidR="006354B8">
        <w:rPr>
          <w:bCs/>
        </w:rPr>
        <w:t>nterpretation</w:t>
      </w:r>
      <w:proofErr w:type="spellEnd"/>
      <w:r w:rsidR="006354B8">
        <w:rPr>
          <w:bCs/>
        </w:rPr>
        <w:t xml:space="preserve"> of “not </w:t>
      </w:r>
      <w:proofErr w:type="spellStart"/>
      <w:r w:rsidR="006354B8">
        <w:rPr>
          <w:bCs/>
        </w:rPr>
        <w:t>listed</w:t>
      </w:r>
      <w:proofErr w:type="spellEnd"/>
      <w:r w:rsidR="006354B8">
        <w:rPr>
          <w:bCs/>
        </w:rPr>
        <w:t xml:space="preserve">” and “country or </w:t>
      </w:r>
      <w:proofErr w:type="spellStart"/>
      <w:r w:rsidR="006354B8">
        <w:rPr>
          <w:bCs/>
        </w:rPr>
        <w:t>origin</w:t>
      </w:r>
      <w:proofErr w:type="spellEnd"/>
      <w:r w:rsidR="006354B8">
        <w:rPr>
          <w:bCs/>
        </w:rPr>
        <w:t>”</w:t>
      </w:r>
    </w:p>
    <w:p w14:paraId="3B6994DD" w14:textId="40500737" w:rsidR="00340FF7" w:rsidRPr="004E0E3F" w:rsidRDefault="00340FF7" w:rsidP="00340FF7">
      <w:pPr>
        <w:pStyle w:val="H1G"/>
        <w:rPr>
          <w:lang w:val="de-DE"/>
        </w:rPr>
      </w:pPr>
      <w:r w:rsidRPr="004E0E3F">
        <w:rPr>
          <w:sz w:val="20"/>
          <w:lang w:val="en"/>
        </w:rPr>
        <w:tab/>
      </w:r>
      <w:r w:rsidRPr="004E0E3F">
        <w:rPr>
          <w:sz w:val="20"/>
          <w:lang w:val="en"/>
        </w:rPr>
        <w:tab/>
      </w:r>
      <w:proofErr w:type="spellStart"/>
      <w:r w:rsidR="00957804" w:rsidRPr="00281BDC">
        <w:rPr>
          <w:bCs/>
          <w:szCs w:val="24"/>
        </w:rPr>
        <w:t>Transmitted</w:t>
      </w:r>
      <w:proofErr w:type="spellEnd"/>
      <w:r w:rsidR="00957804" w:rsidRPr="00281BDC">
        <w:rPr>
          <w:bCs/>
          <w:szCs w:val="24"/>
        </w:rPr>
        <w:t xml:space="preserve"> by the </w:t>
      </w:r>
      <w:proofErr w:type="spellStart"/>
      <w:r w:rsidR="00957804" w:rsidRPr="00281BDC">
        <w:rPr>
          <w:bCs/>
          <w:szCs w:val="24"/>
        </w:rPr>
        <w:t>European</w:t>
      </w:r>
      <w:proofErr w:type="spellEnd"/>
      <w:r w:rsidR="00957804" w:rsidRPr="00281BDC">
        <w:rPr>
          <w:bCs/>
          <w:szCs w:val="24"/>
        </w:rPr>
        <w:t xml:space="preserve"> Chemical </w:t>
      </w:r>
      <w:proofErr w:type="spellStart"/>
      <w:r w:rsidR="00957804" w:rsidRPr="00281BDC">
        <w:rPr>
          <w:bCs/>
          <w:szCs w:val="24"/>
        </w:rPr>
        <w:t>Industry</w:t>
      </w:r>
      <w:proofErr w:type="spellEnd"/>
      <w:r w:rsidR="00957804" w:rsidRPr="00281BDC">
        <w:rPr>
          <w:bCs/>
          <w:szCs w:val="24"/>
        </w:rPr>
        <w:t xml:space="preserve"> Council (C</w:t>
      </w:r>
      <w:r w:rsidR="00AF462B">
        <w:rPr>
          <w:bCs/>
          <w:szCs w:val="24"/>
        </w:rPr>
        <w:t>efic</w:t>
      </w:r>
      <w:r w:rsidR="00957804" w:rsidRPr="00281BDC">
        <w:rPr>
          <w:bCs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155B75" w:rsidRPr="00CD1416" w14:paraId="23CD1C8A" w14:textId="77777777" w:rsidTr="007700C5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B38A4B" w14:textId="77777777" w:rsidR="00155B75" w:rsidRPr="00CD1416" w:rsidRDefault="00155B75" w:rsidP="007700C5">
            <w:pPr>
              <w:spacing w:before="240" w:after="120"/>
              <w:ind w:left="255"/>
              <w:rPr>
                <w:i/>
                <w:sz w:val="24"/>
              </w:rPr>
            </w:pPr>
            <w:proofErr w:type="spellStart"/>
            <w:r w:rsidRPr="00CD1416">
              <w:rPr>
                <w:i/>
                <w:iCs/>
              </w:rPr>
              <w:t>Summary</w:t>
            </w:r>
            <w:proofErr w:type="spellEnd"/>
          </w:p>
        </w:tc>
      </w:tr>
      <w:tr w:rsidR="00155B75" w:rsidRPr="00CD1416" w14:paraId="0A572BC8" w14:textId="77777777" w:rsidTr="007700C5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A04CE" w14:textId="7325106D" w:rsidR="00155B75" w:rsidRPr="00CD1416" w:rsidRDefault="00155B75" w:rsidP="00155B75">
            <w:pPr>
              <w:tabs>
                <w:tab w:val="left" w:pos="3260"/>
              </w:tabs>
              <w:suppressAutoHyphens w:val="0"/>
              <w:spacing w:after="120" w:line="276" w:lineRule="auto"/>
              <w:ind w:left="3260" w:right="1134" w:hanging="2126"/>
              <w:jc w:val="both"/>
              <w:rPr>
                <w:color w:val="000000" w:themeColor="text1"/>
              </w:rPr>
            </w:pPr>
            <w:proofErr w:type="spellStart"/>
            <w:r w:rsidRPr="00CD1416">
              <w:rPr>
                <w:b/>
                <w:bCs/>
                <w:color w:val="000000" w:themeColor="text1"/>
              </w:rPr>
              <w:t>Executive</w:t>
            </w:r>
            <w:proofErr w:type="spellEnd"/>
            <w:r w:rsidRPr="00CD14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D1416">
              <w:rPr>
                <w:b/>
                <w:bCs/>
                <w:color w:val="000000" w:themeColor="text1"/>
              </w:rPr>
              <w:t>summary</w:t>
            </w:r>
            <w:proofErr w:type="spellEnd"/>
            <w:r w:rsidRPr="00CD1416">
              <w:rPr>
                <w:b/>
                <w:bCs/>
                <w:color w:val="000000" w:themeColor="text1"/>
              </w:rPr>
              <w:t>:</w:t>
            </w:r>
            <w:r w:rsidRPr="00CD1416">
              <w:rPr>
                <w:color w:val="000000" w:themeColor="text1"/>
              </w:rPr>
              <w:tab/>
            </w:r>
            <w:proofErr w:type="spellStart"/>
            <w:r w:rsidR="00F42C0A">
              <w:t>Clarify</w:t>
            </w:r>
            <w:proofErr w:type="spellEnd"/>
            <w:r w:rsidR="00F42C0A">
              <w:t xml:space="preserve"> the </w:t>
            </w:r>
            <w:proofErr w:type="spellStart"/>
            <w:r w:rsidR="00F42C0A">
              <w:t>term</w:t>
            </w:r>
            <w:proofErr w:type="spellEnd"/>
            <w:r w:rsidR="00F42C0A">
              <w:t xml:space="preserve"> “not </w:t>
            </w:r>
            <w:proofErr w:type="spellStart"/>
            <w:r w:rsidR="00F42C0A">
              <w:t>listed</w:t>
            </w:r>
            <w:proofErr w:type="spellEnd"/>
            <w:r w:rsidR="00F42C0A">
              <w:t>” in the self-</w:t>
            </w:r>
            <w:proofErr w:type="spellStart"/>
            <w:r w:rsidR="00F42C0A">
              <w:t>reactive</w:t>
            </w:r>
            <w:proofErr w:type="spellEnd"/>
            <w:r w:rsidR="00F42C0A">
              <w:t xml:space="preserve"> substances and </w:t>
            </w:r>
            <w:proofErr w:type="spellStart"/>
            <w:r w:rsidR="00F42C0A">
              <w:t>organic</w:t>
            </w:r>
            <w:proofErr w:type="spellEnd"/>
            <w:r w:rsidR="00F42C0A">
              <w:t xml:space="preserve"> </w:t>
            </w:r>
            <w:proofErr w:type="spellStart"/>
            <w:r w:rsidR="00F42C0A">
              <w:t>peroxide</w:t>
            </w:r>
            <w:proofErr w:type="spellEnd"/>
            <w:r w:rsidR="00F42C0A">
              <w:t xml:space="preserve"> tables in relation to </w:t>
            </w:r>
            <w:proofErr w:type="spellStart"/>
            <w:r w:rsidR="00F42C0A">
              <w:t>competent</w:t>
            </w:r>
            <w:proofErr w:type="spellEnd"/>
            <w:r w:rsidR="00F42C0A">
              <w:t xml:space="preserve"> </w:t>
            </w:r>
            <w:proofErr w:type="spellStart"/>
            <w:r w:rsidR="00F42C0A">
              <w:t>authority</w:t>
            </w:r>
            <w:proofErr w:type="spellEnd"/>
            <w:r w:rsidR="00F42C0A">
              <w:t xml:space="preserve"> </w:t>
            </w:r>
            <w:proofErr w:type="spellStart"/>
            <w:r w:rsidR="00F42C0A">
              <w:t>approvals</w:t>
            </w:r>
            <w:proofErr w:type="spellEnd"/>
            <w:r w:rsidR="00F42C0A">
              <w:t xml:space="preserve"> and the “country of </w:t>
            </w:r>
            <w:proofErr w:type="spellStart"/>
            <w:r w:rsidR="00F42C0A">
              <w:t>origin</w:t>
            </w:r>
            <w:proofErr w:type="spellEnd"/>
            <w:r w:rsidR="00F42C0A">
              <w:t>”.</w:t>
            </w:r>
          </w:p>
        </w:tc>
      </w:tr>
      <w:tr w:rsidR="00155B75" w:rsidRPr="00CD1416" w14:paraId="4F8DD33B" w14:textId="77777777" w:rsidTr="007700C5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A5C" w14:textId="77777777" w:rsidR="00155B75" w:rsidRPr="00CD1416" w:rsidRDefault="00155B75" w:rsidP="007700C5"/>
        </w:tc>
      </w:tr>
    </w:tbl>
    <w:p w14:paraId="606C23CF" w14:textId="77777777" w:rsidR="000F3F83" w:rsidRPr="00F04CAD" w:rsidRDefault="00340FF7" w:rsidP="000F3F83">
      <w:pPr>
        <w:pStyle w:val="HChG"/>
        <w:ind w:left="0" w:right="850" w:firstLine="0"/>
        <w:rPr>
          <w:lang w:val="en-US"/>
        </w:rPr>
      </w:pPr>
      <w:r w:rsidRPr="00206E41">
        <w:rPr>
          <w:lang w:val="en"/>
        </w:rPr>
        <w:tab/>
      </w:r>
      <w:r w:rsidRPr="00206E41">
        <w:rPr>
          <w:lang w:val="en"/>
        </w:rPr>
        <w:tab/>
      </w:r>
      <w:r w:rsidR="000F3F83">
        <w:rPr>
          <w:bCs/>
        </w:rPr>
        <w:t>Introduction</w:t>
      </w:r>
    </w:p>
    <w:p w14:paraId="2FA6B090" w14:textId="725C366C" w:rsidR="000F3F83" w:rsidRPr="000F3F83" w:rsidRDefault="000F3F83" w:rsidP="000F3F83">
      <w:pPr>
        <w:pStyle w:val="SingleTxtG"/>
      </w:pPr>
      <w:r>
        <w:t>1.</w:t>
      </w:r>
      <w:r>
        <w:tab/>
      </w:r>
      <w:r w:rsidRPr="000F3F83">
        <w:t xml:space="preserve">In RID/ADR the </w:t>
      </w:r>
      <w:proofErr w:type="spellStart"/>
      <w:r w:rsidRPr="000F3F83">
        <w:t>carriage</w:t>
      </w:r>
      <w:proofErr w:type="spellEnd"/>
      <w:r w:rsidRPr="000F3F83">
        <w:t xml:space="preserve"> of self-</w:t>
      </w:r>
      <w:proofErr w:type="spellStart"/>
      <w:r w:rsidRPr="000F3F83">
        <w:t>reactive</w:t>
      </w:r>
      <w:proofErr w:type="spellEnd"/>
      <w:r w:rsidRPr="000F3F83">
        <w:t xml:space="preserve"> substances and </w:t>
      </w:r>
      <w:proofErr w:type="spellStart"/>
      <w:r w:rsidRPr="000F3F83">
        <w:t>organic</w:t>
      </w:r>
      <w:proofErr w:type="spellEnd"/>
      <w:r w:rsidRPr="000F3F83">
        <w:t xml:space="preserve"> </w:t>
      </w:r>
      <w:proofErr w:type="spellStart"/>
      <w:r w:rsidRPr="000F3F83">
        <w:t>peroxides</w:t>
      </w:r>
      <w:proofErr w:type="spellEnd"/>
      <w:r w:rsidRPr="000F3F83">
        <w:t xml:space="preserve"> </w:t>
      </w:r>
      <w:proofErr w:type="spellStart"/>
      <w:r w:rsidRPr="000F3F83">
        <w:t>is</w:t>
      </w:r>
      <w:proofErr w:type="spellEnd"/>
      <w:r w:rsidRPr="000F3F83">
        <w:t xml:space="preserve"> </w:t>
      </w:r>
      <w:proofErr w:type="spellStart"/>
      <w:r w:rsidRPr="000F3F83">
        <w:t>allowed</w:t>
      </w:r>
      <w:proofErr w:type="spellEnd"/>
      <w:r w:rsidRPr="000F3F83">
        <w:t xml:space="preserve"> (in RID </w:t>
      </w:r>
      <w:proofErr w:type="spellStart"/>
      <w:r w:rsidRPr="000F3F83">
        <w:t>only</w:t>
      </w:r>
      <w:proofErr w:type="spellEnd"/>
      <w:r w:rsidRPr="000F3F83">
        <w:t xml:space="preserve"> the non-</w:t>
      </w:r>
      <w:proofErr w:type="spellStart"/>
      <w:r w:rsidRPr="000F3F83">
        <w:t>temperature</w:t>
      </w:r>
      <w:proofErr w:type="spellEnd"/>
      <w:r w:rsidRPr="000F3F83">
        <w:t>-</w:t>
      </w:r>
      <w:proofErr w:type="spellStart"/>
      <w:r w:rsidRPr="000F3F83">
        <w:t>controlled</w:t>
      </w:r>
      <w:proofErr w:type="spellEnd"/>
      <w:r w:rsidRPr="000F3F83">
        <w:t xml:space="preserve"> substances are </w:t>
      </w:r>
      <w:proofErr w:type="spellStart"/>
      <w:r w:rsidRPr="000F3F83">
        <w:t>allowed</w:t>
      </w:r>
      <w:proofErr w:type="spellEnd"/>
      <w:r w:rsidRPr="000F3F83">
        <w:t xml:space="preserve"> to </w:t>
      </w:r>
      <w:proofErr w:type="spellStart"/>
      <w:r w:rsidRPr="000F3F83">
        <w:t>be</w:t>
      </w:r>
      <w:proofErr w:type="spellEnd"/>
      <w:r w:rsidRPr="000F3F83">
        <w:t xml:space="preserve"> </w:t>
      </w:r>
      <w:proofErr w:type="spellStart"/>
      <w:r w:rsidRPr="000F3F83">
        <w:t>carried</w:t>
      </w:r>
      <w:proofErr w:type="spellEnd"/>
      <w:r w:rsidRPr="000F3F83">
        <w:t xml:space="preserve">) </w:t>
      </w:r>
      <w:proofErr w:type="spellStart"/>
      <w:r w:rsidRPr="000F3F83">
        <w:t>when</w:t>
      </w:r>
      <w:proofErr w:type="spellEnd"/>
      <w:r w:rsidRPr="000F3F83">
        <w:t xml:space="preserve"> </w:t>
      </w:r>
      <w:proofErr w:type="spellStart"/>
      <w:r w:rsidRPr="000F3F83">
        <w:t>they</w:t>
      </w:r>
      <w:proofErr w:type="spellEnd"/>
      <w:r w:rsidRPr="000F3F83">
        <w:t xml:space="preserve"> are </w:t>
      </w:r>
      <w:proofErr w:type="spellStart"/>
      <w:r w:rsidRPr="000F3F83">
        <w:t>included</w:t>
      </w:r>
      <w:proofErr w:type="spellEnd"/>
      <w:r w:rsidRPr="000F3F83">
        <w:t xml:space="preserve"> in the </w:t>
      </w:r>
      <w:proofErr w:type="spellStart"/>
      <w:r w:rsidRPr="000F3F83">
        <w:t>list</w:t>
      </w:r>
      <w:proofErr w:type="spellEnd"/>
      <w:r w:rsidRPr="000F3F83">
        <w:t xml:space="preserve"> of </w:t>
      </w:r>
      <w:proofErr w:type="spellStart"/>
      <w:r w:rsidRPr="000F3F83">
        <w:t>currently</w:t>
      </w:r>
      <w:proofErr w:type="spellEnd"/>
      <w:r w:rsidRPr="000F3F83">
        <w:t xml:space="preserve"> </w:t>
      </w:r>
      <w:proofErr w:type="spellStart"/>
      <w:r w:rsidRPr="000F3F83">
        <w:t>assigned</w:t>
      </w:r>
      <w:proofErr w:type="spellEnd"/>
      <w:r w:rsidRPr="000F3F83">
        <w:t xml:space="preserve"> self-</w:t>
      </w:r>
      <w:proofErr w:type="spellStart"/>
      <w:r w:rsidRPr="000F3F83">
        <w:t>reactive</w:t>
      </w:r>
      <w:proofErr w:type="spellEnd"/>
      <w:r w:rsidRPr="000F3F83">
        <w:t xml:space="preserve"> substances (2.2.41.4) or </w:t>
      </w:r>
      <w:proofErr w:type="spellStart"/>
      <w:r w:rsidRPr="000F3F83">
        <w:t>organic</w:t>
      </w:r>
      <w:proofErr w:type="spellEnd"/>
      <w:r w:rsidRPr="000F3F83">
        <w:t xml:space="preserve"> </w:t>
      </w:r>
      <w:proofErr w:type="spellStart"/>
      <w:r w:rsidRPr="000F3F83">
        <w:t>peroxides</w:t>
      </w:r>
      <w:proofErr w:type="spellEnd"/>
      <w:r w:rsidRPr="000F3F83">
        <w:t xml:space="preserve"> (2.2.52.4) in packagings or in IBC 520 or T23.</w:t>
      </w:r>
    </w:p>
    <w:p w14:paraId="28D06186" w14:textId="62BC1F2F" w:rsidR="000F3F83" w:rsidRPr="000F3F83" w:rsidRDefault="000F3F83" w:rsidP="000F3F83">
      <w:pPr>
        <w:pStyle w:val="SingleTxtG"/>
      </w:pPr>
      <w:r>
        <w:t>2.</w:t>
      </w:r>
      <w:r>
        <w:tab/>
      </w:r>
      <w:proofErr w:type="spellStart"/>
      <w:r w:rsidRPr="000F3F83">
        <w:t>When</w:t>
      </w:r>
      <w:proofErr w:type="spellEnd"/>
      <w:r w:rsidRPr="000F3F83">
        <w:t xml:space="preserve"> a self-</w:t>
      </w:r>
      <w:proofErr w:type="spellStart"/>
      <w:r w:rsidRPr="000F3F83">
        <w:t>reactive</w:t>
      </w:r>
      <w:proofErr w:type="spellEnd"/>
      <w:r w:rsidRPr="000F3F83">
        <w:t xml:space="preserve"> substance or </w:t>
      </w:r>
      <w:proofErr w:type="spellStart"/>
      <w:r w:rsidRPr="000F3F83">
        <w:t>organic</w:t>
      </w:r>
      <w:proofErr w:type="spellEnd"/>
      <w:r w:rsidRPr="000F3F83">
        <w:t xml:space="preserve"> </w:t>
      </w:r>
      <w:proofErr w:type="spellStart"/>
      <w:r w:rsidRPr="000F3F83">
        <w:t>peroxide</w:t>
      </w:r>
      <w:proofErr w:type="spellEnd"/>
      <w:r w:rsidRPr="000F3F83">
        <w:t xml:space="preserve"> </w:t>
      </w:r>
      <w:proofErr w:type="spellStart"/>
      <w:r w:rsidRPr="000F3F83">
        <w:t>is</w:t>
      </w:r>
      <w:proofErr w:type="spellEnd"/>
      <w:r w:rsidRPr="000F3F83">
        <w:t xml:space="preserve"> not </w:t>
      </w:r>
      <w:proofErr w:type="spellStart"/>
      <w:r w:rsidRPr="000F3F83">
        <w:t>listed</w:t>
      </w:r>
      <w:proofErr w:type="spellEnd"/>
      <w:r w:rsidRPr="000F3F83">
        <w:t xml:space="preserve">, the classification of </w:t>
      </w:r>
      <w:proofErr w:type="spellStart"/>
      <w:r w:rsidRPr="000F3F83">
        <w:t>organic</w:t>
      </w:r>
      <w:proofErr w:type="spellEnd"/>
      <w:r w:rsidRPr="000F3F83">
        <w:t xml:space="preserve"> </w:t>
      </w:r>
      <w:proofErr w:type="spellStart"/>
      <w:r w:rsidRPr="000F3F83">
        <w:t>peroxides</w:t>
      </w:r>
      <w:proofErr w:type="spellEnd"/>
      <w:r w:rsidRPr="000F3F83">
        <w:t xml:space="preserve"> and </w:t>
      </w:r>
      <w:proofErr w:type="spellStart"/>
      <w:r w:rsidRPr="000F3F83">
        <w:t>assignment</w:t>
      </w:r>
      <w:proofErr w:type="spellEnd"/>
      <w:r w:rsidRPr="000F3F83">
        <w:t xml:space="preserve"> to a collective entry </w:t>
      </w:r>
      <w:proofErr w:type="spellStart"/>
      <w:r w:rsidRPr="000F3F83">
        <w:t>shall</w:t>
      </w:r>
      <w:proofErr w:type="spellEnd"/>
      <w:r w:rsidRPr="000F3F83">
        <w:t xml:space="preserve"> </w:t>
      </w:r>
      <w:proofErr w:type="spellStart"/>
      <w:r w:rsidRPr="000F3F83">
        <w:t>be</w:t>
      </w:r>
      <w:proofErr w:type="spellEnd"/>
      <w:r w:rsidRPr="000F3F83">
        <w:t xml:space="preserve"> made by the </w:t>
      </w:r>
      <w:proofErr w:type="spellStart"/>
      <w:r w:rsidRPr="000F3F83">
        <w:t>competent</w:t>
      </w:r>
      <w:proofErr w:type="spellEnd"/>
      <w:r w:rsidRPr="000F3F83">
        <w:t xml:space="preserve"> </w:t>
      </w:r>
      <w:proofErr w:type="spellStart"/>
      <w:r w:rsidRPr="000F3F83">
        <w:t>authority</w:t>
      </w:r>
      <w:proofErr w:type="spellEnd"/>
      <w:r w:rsidRPr="000F3F83">
        <w:t xml:space="preserve"> of the country of </w:t>
      </w:r>
      <w:proofErr w:type="spellStart"/>
      <w:r w:rsidRPr="000F3F83">
        <w:t>origin</w:t>
      </w:r>
      <w:proofErr w:type="spellEnd"/>
      <w:r w:rsidRPr="000F3F83">
        <w:t xml:space="preserve">. The </w:t>
      </w:r>
      <w:proofErr w:type="spellStart"/>
      <w:r w:rsidRPr="000F3F83">
        <w:t>statement</w:t>
      </w:r>
      <w:proofErr w:type="spellEnd"/>
      <w:r w:rsidRPr="000F3F83">
        <w:t xml:space="preserve"> of </w:t>
      </w:r>
      <w:proofErr w:type="spellStart"/>
      <w:r w:rsidRPr="000F3F83">
        <w:t>approval</w:t>
      </w:r>
      <w:proofErr w:type="spellEnd"/>
      <w:r w:rsidRPr="000F3F83">
        <w:t xml:space="preserve"> </w:t>
      </w:r>
      <w:proofErr w:type="spellStart"/>
      <w:r w:rsidRPr="000F3F83">
        <w:t>shall</w:t>
      </w:r>
      <w:proofErr w:type="spellEnd"/>
      <w:r w:rsidRPr="000F3F83">
        <w:t xml:space="preserve"> </w:t>
      </w:r>
      <w:proofErr w:type="spellStart"/>
      <w:r w:rsidRPr="000F3F83">
        <w:t>contain</w:t>
      </w:r>
      <w:proofErr w:type="spellEnd"/>
      <w:r w:rsidRPr="000F3F83">
        <w:t xml:space="preserve"> the classification and the relevant conditions of </w:t>
      </w:r>
      <w:proofErr w:type="spellStart"/>
      <w:r w:rsidRPr="000F3F83">
        <w:t>carriage</w:t>
      </w:r>
      <w:proofErr w:type="spellEnd"/>
      <w:r w:rsidRPr="000F3F83">
        <w:t xml:space="preserve">. If the country of </w:t>
      </w:r>
      <w:proofErr w:type="spellStart"/>
      <w:r w:rsidRPr="000F3F83">
        <w:t>origin</w:t>
      </w:r>
      <w:proofErr w:type="spellEnd"/>
      <w:r w:rsidRPr="000F3F83">
        <w:t xml:space="preserve"> </w:t>
      </w:r>
      <w:proofErr w:type="spellStart"/>
      <w:r w:rsidRPr="000F3F83">
        <w:t>is</w:t>
      </w:r>
      <w:proofErr w:type="spellEnd"/>
      <w:r w:rsidRPr="000F3F83">
        <w:t xml:space="preserve"> not a </w:t>
      </w:r>
      <w:proofErr w:type="spellStart"/>
      <w:r w:rsidRPr="000F3F83">
        <w:t>Contracting</w:t>
      </w:r>
      <w:proofErr w:type="spellEnd"/>
      <w:r w:rsidRPr="000F3F83">
        <w:t xml:space="preserve"> Party/State to RID/ADR, the classification and conditions of </w:t>
      </w:r>
      <w:proofErr w:type="spellStart"/>
      <w:r w:rsidRPr="000F3F83">
        <w:t>carriage</w:t>
      </w:r>
      <w:proofErr w:type="spellEnd"/>
      <w:r w:rsidRPr="000F3F83">
        <w:t xml:space="preserve"> </w:t>
      </w:r>
      <w:proofErr w:type="spellStart"/>
      <w:r w:rsidRPr="000F3F83">
        <w:t>shall</w:t>
      </w:r>
      <w:proofErr w:type="spellEnd"/>
      <w:r w:rsidRPr="000F3F83">
        <w:t xml:space="preserve"> </w:t>
      </w:r>
      <w:proofErr w:type="spellStart"/>
      <w:r w:rsidRPr="000F3F83">
        <w:t>be</w:t>
      </w:r>
      <w:proofErr w:type="spellEnd"/>
      <w:r w:rsidRPr="000F3F83">
        <w:t xml:space="preserve"> </w:t>
      </w:r>
      <w:proofErr w:type="spellStart"/>
      <w:r w:rsidRPr="000F3F83">
        <w:t>recognized</w:t>
      </w:r>
      <w:proofErr w:type="spellEnd"/>
      <w:r w:rsidRPr="000F3F83">
        <w:t xml:space="preserve"> by the </w:t>
      </w:r>
      <w:proofErr w:type="spellStart"/>
      <w:r w:rsidRPr="000F3F83">
        <w:t>competent</w:t>
      </w:r>
      <w:proofErr w:type="spellEnd"/>
      <w:r w:rsidRPr="000F3F83">
        <w:t xml:space="preserve"> </w:t>
      </w:r>
      <w:proofErr w:type="spellStart"/>
      <w:r w:rsidRPr="000F3F83">
        <w:t>authority</w:t>
      </w:r>
      <w:proofErr w:type="spellEnd"/>
      <w:r w:rsidRPr="000F3F83">
        <w:t xml:space="preserve"> of the first country </w:t>
      </w:r>
      <w:proofErr w:type="spellStart"/>
      <w:r w:rsidRPr="000F3F83">
        <w:t>Contracting</w:t>
      </w:r>
      <w:proofErr w:type="spellEnd"/>
      <w:r w:rsidRPr="000F3F83">
        <w:t xml:space="preserve"> Party/State to RID/ADR </w:t>
      </w:r>
      <w:proofErr w:type="spellStart"/>
      <w:r w:rsidRPr="000F3F83">
        <w:t>reached</w:t>
      </w:r>
      <w:proofErr w:type="spellEnd"/>
      <w:r w:rsidRPr="000F3F83">
        <w:t xml:space="preserve"> by the </w:t>
      </w:r>
      <w:proofErr w:type="spellStart"/>
      <w:r w:rsidRPr="000F3F83">
        <w:t>consignment</w:t>
      </w:r>
      <w:proofErr w:type="spellEnd"/>
      <w:r w:rsidRPr="000F3F83">
        <w:t xml:space="preserve"> (2.2.41.1.13 and 2.2.52.1.8).</w:t>
      </w:r>
    </w:p>
    <w:p w14:paraId="5D3A2A05" w14:textId="42BF27DC" w:rsidR="000F3F83" w:rsidRPr="000F3F83" w:rsidRDefault="000F3F83" w:rsidP="000F3F83">
      <w:pPr>
        <w:pStyle w:val="SingleTxtG"/>
      </w:pPr>
      <w:r>
        <w:t>3.</w:t>
      </w:r>
      <w:r>
        <w:tab/>
      </w:r>
      <w:r w:rsidRPr="000F3F83">
        <w:t xml:space="preserve">It </w:t>
      </w:r>
      <w:proofErr w:type="spellStart"/>
      <w:r w:rsidRPr="000F3F83">
        <w:t>appeared</w:t>
      </w:r>
      <w:proofErr w:type="spellEnd"/>
      <w:r w:rsidRPr="000F3F83">
        <w:t xml:space="preserve"> </w:t>
      </w:r>
      <w:proofErr w:type="spellStart"/>
      <w:r w:rsidRPr="000F3F83">
        <w:t>that</w:t>
      </w:r>
      <w:proofErr w:type="spellEnd"/>
      <w:r w:rsidRPr="000F3F83">
        <w:t xml:space="preserve"> in discussion </w:t>
      </w:r>
      <w:proofErr w:type="spellStart"/>
      <w:r w:rsidRPr="000F3F83">
        <w:t>with</w:t>
      </w:r>
      <w:proofErr w:type="spellEnd"/>
      <w:r w:rsidRPr="000F3F83">
        <w:t xml:space="preserve"> Belgium </w:t>
      </w:r>
      <w:proofErr w:type="spellStart"/>
      <w:r w:rsidRPr="000F3F83">
        <w:t>authorities</w:t>
      </w:r>
      <w:proofErr w:type="spellEnd"/>
      <w:r w:rsidRPr="000F3F83">
        <w:t xml:space="preserve"> the </w:t>
      </w:r>
      <w:proofErr w:type="spellStart"/>
      <w:r w:rsidRPr="000F3F83">
        <w:t>interpretation</w:t>
      </w:r>
      <w:proofErr w:type="spellEnd"/>
      <w:r w:rsidRPr="000F3F83">
        <w:t xml:space="preserve"> of “not </w:t>
      </w:r>
      <w:proofErr w:type="spellStart"/>
      <w:r w:rsidRPr="000F3F83">
        <w:t>listed</w:t>
      </w:r>
      <w:proofErr w:type="spellEnd"/>
      <w:r w:rsidRPr="000F3F83">
        <w:t xml:space="preserve">” </w:t>
      </w:r>
      <w:proofErr w:type="spellStart"/>
      <w:r w:rsidRPr="000F3F83">
        <w:t>is</w:t>
      </w:r>
      <w:proofErr w:type="spellEnd"/>
      <w:r w:rsidRPr="000F3F83">
        <w:t xml:space="preserve"> </w:t>
      </w:r>
      <w:proofErr w:type="spellStart"/>
      <w:r w:rsidRPr="000F3F83">
        <w:t>ambiguous</w:t>
      </w:r>
      <w:proofErr w:type="spellEnd"/>
      <w:r w:rsidRPr="000F3F83">
        <w:t xml:space="preserve"> and </w:t>
      </w:r>
      <w:proofErr w:type="spellStart"/>
      <w:r w:rsidRPr="000F3F83">
        <w:t>needs</w:t>
      </w:r>
      <w:proofErr w:type="spellEnd"/>
      <w:r w:rsidRPr="000F3F83">
        <w:t xml:space="preserve"> </w:t>
      </w:r>
      <w:proofErr w:type="spellStart"/>
      <w:r w:rsidRPr="000F3F83">
        <w:t>further</w:t>
      </w:r>
      <w:proofErr w:type="spellEnd"/>
      <w:r w:rsidRPr="000F3F83">
        <w:t xml:space="preserve"> clarification.</w:t>
      </w:r>
    </w:p>
    <w:p w14:paraId="1B6AE194" w14:textId="7F6B4114" w:rsidR="000F3F83" w:rsidRPr="005F3E06" w:rsidRDefault="000F3F83" w:rsidP="000F3F83">
      <w:pPr>
        <w:pStyle w:val="SingleTxtG"/>
        <w:rPr>
          <w:rFonts w:ascii="Arial" w:hAnsi="Arial" w:cs="Arial"/>
          <w:color w:val="000000"/>
          <w:lang w:val="en-US"/>
        </w:rPr>
      </w:pPr>
      <w:r>
        <w:t>4.</w:t>
      </w:r>
      <w:r>
        <w:tab/>
      </w:r>
      <w:proofErr w:type="spellStart"/>
      <w:r w:rsidRPr="000F3F83">
        <w:t>Further</w:t>
      </w:r>
      <w:proofErr w:type="spellEnd"/>
      <w:r w:rsidRPr="000F3F83">
        <w:t xml:space="preserve">, for </w:t>
      </w:r>
      <w:proofErr w:type="spellStart"/>
      <w:r w:rsidRPr="000F3F83">
        <w:t>this</w:t>
      </w:r>
      <w:proofErr w:type="spellEnd"/>
      <w:r w:rsidRPr="000F3F83">
        <w:t xml:space="preserve"> type of </w:t>
      </w:r>
      <w:proofErr w:type="spellStart"/>
      <w:r w:rsidRPr="000F3F83">
        <w:t>approvals</w:t>
      </w:r>
      <w:proofErr w:type="spellEnd"/>
      <w:r w:rsidRPr="000F3F83">
        <w:t xml:space="preserve">, the </w:t>
      </w:r>
      <w:proofErr w:type="spellStart"/>
      <w:r w:rsidRPr="000F3F83">
        <w:t>competent</w:t>
      </w:r>
      <w:proofErr w:type="spellEnd"/>
      <w:r w:rsidRPr="000F3F83">
        <w:t xml:space="preserve"> </w:t>
      </w:r>
      <w:proofErr w:type="spellStart"/>
      <w:r w:rsidRPr="00991BE6">
        <w:t>authority</w:t>
      </w:r>
      <w:proofErr w:type="spellEnd"/>
      <w:r w:rsidRPr="00991BE6">
        <w:t xml:space="preserve"> </w:t>
      </w:r>
      <w:proofErr w:type="spellStart"/>
      <w:r w:rsidRPr="00991BE6">
        <w:t>approval</w:t>
      </w:r>
      <w:proofErr w:type="spellEnd"/>
      <w:r w:rsidRPr="00991BE6">
        <w:t xml:space="preserve"> in relation to the country of </w:t>
      </w:r>
      <w:proofErr w:type="spellStart"/>
      <w:r w:rsidRPr="00991BE6">
        <w:t>origin</w:t>
      </w:r>
      <w:proofErr w:type="spellEnd"/>
      <w:r w:rsidRPr="00991BE6">
        <w:t xml:space="preserve"> </w:t>
      </w:r>
      <w:proofErr w:type="spellStart"/>
      <w:r w:rsidRPr="00991BE6">
        <w:t>may</w:t>
      </w:r>
      <w:proofErr w:type="spellEnd"/>
      <w:r w:rsidRPr="00991BE6">
        <w:t xml:space="preserve"> </w:t>
      </w:r>
      <w:proofErr w:type="spellStart"/>
      <w:r w:rsidRPr="00991BE6">
        <w:t>need</w:t>
      </w:r>
      <w:proofErr w:type="spellEnd"/>
      <w:r w:rsidRPr="00991BE6">
        <w:t xml:space="preserve"> </w:t>
      </w:r>
      <w:proofErr w:type="spellStart"/>
      <w:r w:rsidRPr="00991BE6">
        <w:t>further</w:t>
      </w:r>
      <w:proofErr w:type="spellEnd"/>
      <w:r w:rsidRPr="00991BE6">
        <w:t xml:space="preserve"> </w:t>
      </w:r>
      <w:proofErr w:type="spellStart"/>
      <w:r w:rsidRPr="00991BE6">
        <w:t>consideration</w:t>
      </w:r>
      <w:proofErr w:type="spellEnd"/>
      <w:r>
        <w:t>.</w:t>
      </w:r>
    </w:p>
    <w:p w14:paraId="6E5CA37C" w14:textId="400E972E" w:rsidR="000F3F83" w:rsidRPr="0068277F" w:rsidRDefault="000F3F83" w:rsidP="000F3F83">
      <w:pPr>
        <w:pStyle w:val="HChG"/>
      </w:pPr>
      <w:r>
        <w:tab/>
      </w:r>
      <w:r>
        <w:tab/>
      </w:r>
      <w:r w:rsidRPr="0068277F">
        <w:t xml:space="preserve">Not </w:t>
      </w:r>
      <w:proofErr w:type="spellStart"/>
      <w:r w:rsidRPr="0068277F">
        <w:t>listed</w:t>
      </w:r>
      <w:proofErr w:type="spellEnd"/>
    </w:p>
    <w:p w14:paraId="72F8B924" w14:textId="003EDC40" w:rsidR="000F3F83" w:rsidRPr="001C5457" w:rsidRDefault="000F3F83" w:rsidP="000F3F83">
      <w:pPr>
        <w:pStyle w:val="SingleTxtG"/>
        <w:rPr>
          <w:lang w:val="en-US"/>
        </w:rPr>
      </w:pPr>
      <w:r>
        <w:t>5.</w:t>
      </w:r>
      <w:r>
        <w:tab/>
        <w:t>I</w:t>
      </w:r>
      <w:r w:rsidRPr="00991BE6">
        <w:t xml:space="preserve">n the </w:t>
      </w:r>
      <w:proofErr w:type="spellStart"/>
      <w:r w:rsidRPr="00991BE6">
        <w:t>list</w:t>
      </w:r>
      <w:proofErr w:type="spellEnd"/>
      <w:r w:rsidRPr="00991BE6">
        <w:t xml:space="preserve"> of </w:t>
      </w:r>
      <w:proofErr w:type="spellStart"/>
      <w:r w:rsidRPr="00991BE6">
        <w:t>currently</w:t>
      </w:r>
      <w:proofErr w:type="spellEnd"/>
      <w:r w:rsidRPr="00991BE6">
        <w:t xml:space="preserve"> </w:t>
      </w:r>
      <w:proofErr w:type="spellStart"/>
      <w:r w:rsidRPr="00991BE6">
        <w:t>assigned</w:t>
      </w:r>
      <w:proofErr w:type="spellEnd"/>
      <w:r w:rsidRPr="00991BE6">
        <w:t xml:space="preserve"> self-</w:t>
      </w:r>
      <w:proofErr w:type="spellStart"/>
      <w:r w:rsidRPr="00991BE6">
        <w:t>reactive</w:t>
      </w:r>
      <w:proofErr w:type="spellEnd"/>
      <w:r w:rsidRPr="00991BE6">
        <w:t xml:space="preserve"> substances (2.2.41.4) or </w:t>
      </w:r>
      <w:proofErr w:type="spellStart"/>
      <w:r w:rsidRPr="00991BE6">
        <w:t>organic</w:t>
      </w:r>
      <w:proofErr w:type="spellEnd"/>
      <w:r w:rsidRPr="00991BE6">
        <w:t xml:space="preserve"> </w:t>
      </w:r>
      <w:proofErr w:type="spellStart"/>
      <w:r w:rsidRPr="00991BE6">
        <w:t>peroxides</w:t>
      </w:r>
      <w:proofErr w:type="spellEnd"/>
      <w:r w:rsidRPr="00991BE6">
        <w:t xml:space="preserve"> (2.2.52.4) in packagings or in IBC 520 or T23</w:t>
      </w:r>
      <w:r>
        <w:t xml:space="preserve">, </w:t>
      </w:r>
      <w:proofErr w:type="spellStart"/>
      <w:r>
        <w:t>products</w:t>
      </w:r>
      <w:proofErr w:type="spellEnd"/>
      <w:r>
        <w:t xml:space="preserve"> are </w:t>
      </w:r>
      <w:proofErr w:type="spellStart"/>
      <w:r>
        <w:t>listed</w:t>
      </w:r>
      <w:proofErr w:type="spellEnd"/>
      <w:r>
        <w:t xml:space="preserve"> as pure substances and as </w:t>
      </w:r>
      <w:proofErr w:type="spellStart"/>
      <w:r>
        <w:t>diluted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respective classification Type B – Type F (</w:t>
      </w:r>
      <w:proofErr w:type="spellStart"/>
      <w:r>
        <w:t>reflected</w:t>
      </w:r>
      <w:proofErr w:type="spellEnd"/>
      <w:r>
        <w:t xml:space="preserve"> by the UN </w:t>
      </w:r>
      <w:proofErr w:type="spellStart"/>
      <w:r>
        <w:t>number</w:t>
      </w:r>
      <w:proofErr w:type="spellEnd"/>
      <w:r>
        <w:t xml:space="preserve">). The classification </w:t>
      </w:r>
      <w:proofErr w:type="spellStart"/>
      <w:r>
        <w:t>dictates</w:t>
      </w:r>
      <w:proofErr w:type="spellEnd"/>
      <w:r>
        <w:t xml:space="preserve"> the maximum packaging size </w:t>
      </w:r>
      <w:proofErr w:type="spellStart"/>
      <w:r>
        <w:t>allowed</w:t>
      </w:r>
      <w:proofErr w:type="spellEnd"/>
      <w:r>
        <w:t>.</w:t>
      </w:r>
    </w:p>
    <w:p w14:paraId="2025E10B" w14:textId="64DDA056" w:rsidR="00D562EE" w:rsidRDefault="00D562EE" w:rsidP="000F3F83">
      <w:pPr>
        <w:pStyle w:val="SingleTxtG"/>
        <w:rPr>
          <w:u w:val="single"/>
        </w:rPr>
      </w:pPr>
      <w:r>
        <w:t>6.</w:t>
      </w:r>
      <w:r>
        <w:tab/>
      </w:r>
      <w:proofErr w:type="spellStart"/>
      <w:r w:rsidR="000F3F83">
        <w:t>Two</w:t>
      </w:r>
      <w:proofErr w:type="spellEnd"/>
      <w:r w:rsidR="000F3F83">
        <w:t xml:space="preserve"> cases of “not </w:t>
      </w:r>
      <w:proofErr w:type="spellStart"/>
      <w:r w:rsidR="000F3F83">
        <w:t>listed</w:t>
      </w:r>
      <w:proofErr w:type="spellEnd"/>
      <w:r w:rsidR="000F3F83">
        <w:t xml:space="preserve">” </w:t>
      </w:r>
      <w:proofErr w:type="spellStart"/>
      <w:r w:rsidR="000F3F83">
        <w:t>where</w:t>
      </w:r>
      <w:proofErr w:type="spellEnd"/>
      <w:r w:rsidR="000F3F83">
        <w:t xml:space="preserve"> </w:t>
      </w:r>
      <w:proofErr w:type="spellStart"/>
      <w:r w:rsidR="000F3F83">
        <w:t>interpretation</w:t>
      </w:r>
      <w:proofErr w:type="spellEnd"/>
      <w:r w:rsidR="000F3F83">
        <w:t xml:space="preserve"> </w:t>
      </w:r>
      <w:proofErr w:type="spellStart"/>
      <w:r w:rsidR="000F3F83">
        <w:t>may</w:t>
      </w:r>
      <w:proofErr w:type="spellEnd"/>
      <w:r w:rsidR="000F3F83">
        <w:t xml:space="preserve"> diverse, are </w:t>
      </w:r>
      <w:proofErr w:type="spellStart"/>
      <w:r w:rsidR="000F3F83">
        <w:t>described</w:t>
      </w:r>
      <w:proofErr w:type="spellEnd"/>
      <w:r w:rsidR="000F3F83">
        <w:t xml:space="preserve"> </w:t>
      </w:r>
      <w:proofErr w:type="spellStart"/>
      <w:r w:rsidR="000F3F83">
        <w:t>below</w:t>
      </w:r>
      <w:proofErr w:type="spellEnd"/>
      <w:r w:rsidR="001403DD">
        <w:t>:</w:t>
      </w:r>
    </w:p>
    <w:p w14:paraId="4AE385E6" w14:textId="4577A9AA" w:rsidR="000F3F83" w:rsidRPr="001C5457" w:rsidRDefault="000F3F83" w:rsidP="000F3F83">
      <w:pPr>
        <w:pStyle w:val="SingleTxtG"/>
        <w:rPr>
          <w:lang w:val="en-US"/>
        </w:rPr>
      </w:pPr>
      <w:r w:rsidRPr="001C5457">
        <w:rPr>
          <w:u w:val="single"/>
        </w:rPr>
        <w:lastRenderedPageBreak/>
        <w:t>Case 1</w:t>
      </w:r>
      <w:r w:rsidR="0061106D">
        <w:rPr>
          <w:u w:val="single"/>
        </w:rPr>
        <w:t>:</w:t>
      </w:r>
      <w:r>
        <w:t xml:space="preserve">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product</w:t>
      </w:r>
      <w:proofErr w:type="spellEnd"/>
      <w:r>
        <w:t xml:space="preserve"> has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in </w:t>
      </w:r>
      <w:proofErr w:type="spellStart"/>
      <w:r>
        <w:t>larger</w:t>
      </w:r>
      <w:proofErr w:type="spellEnd"/>
      <w:r>
        <w:t xml:space="preserve"> packagings the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dilute</w:t>
      </w:r>
      <w:proofErr w:type="spellEnd"/>
      <w:r>
        <w:t xml:space="preserve"> a </w:t>
      </w:r>
      <w:proofErr w:type="spellStart"/>
      <w:r>
        <w:t>product</w:t>
      </w:r>
      <w:proofErr w:type="spellEnd"/>
      <w:r>
        <w:t xml:space="preserve"> to a concentration at </w:t>
      </w:r>
      <w:proofErr w:type="spellStart"/>
      <w:r>
        <w:t>which</w:t>
      </w:r>
      <w:proofErr w:type="spellEnd"/>
      <w:r>
        <w:t xml:space="preserve"> the classification (as </w:t>
      </w:r>
      <w:proofErr w:type="spellStart"/>
      <w:r>
        <w:t>determined</w:t>
      </w:r>
      <w:proofErr w:type="spellEnd"/>
      <w:r>
        <w:t xml:space="preserve"> by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Manual of Tests and </w:t>
      </w:r>
      <w:proofErr w:type="spellStart"/>
      <w:r>
        <w:t>Criteria</w:t>
      </w:r>
      <w:proofErr w:type="spellEnd"/>
      <w:r>
        <w:t xml:space="preserve">, Part II)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in </w:t>
      </w:r>
      <w:proofErr w:type="spellStart"/>
      <w:r>
        <w:t>larger</w:t>
      </w:r>
      <w:proofErr w:type="spellEnd"/>
      <w:r>
        <w:t xml:space="preserve"> packagings. For </w:t>
      </w:r>
      <w:proofErr w:type="spellStart"/>
      <w:r>
        <w:t>carriage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“not </w:t>
      </w:r>
      <w:proofErr w:type="spellStart"/>
      <w:r>
        <w:t>listed</w:t>
      </w:r>
      <w:proofErr w:type="spellEnd"/>
      <w:r>
        <w:t xml:space="preserve">” </w:t>
      </w:r>
      <w:proofErr w:type="spellStart"/>
      <w:r>
        <w:t>lower</w:t>
      </w:r>
      <w:proofErr w:type="spellEnd"/>
      <w:r>
        <w:t xml:space="preserve"> concentration and </w:t>
      </w:r>
      <w:proofErr w:type="spellStart"/>
      <w:r>
        <w:t>related</w:t>
      </w:r>
      <w:proofErr w:type="spellEnd"/>
      <w:r>
        <w:t xml:space="preserve"> classification a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. </w:t>
      </w:r>
    </w:p>
    <w:p w14:paraId="1594B115" w14:textId="224E54EE" w:rsidR="000F3F83" w:rsidRDefault="000F3F83" w:rsidP="00D562EE">
      <w:pPr>
        <w:pStyle w:val="SingleTxtG"/>
      </w:pPr>
      <w:r w:rsidRPr="00131F87">
        <w:rPr>
          <w:u w:val="single"/>
        </w:rPr>
        <w:t>Case 2</w:t>
      </w:r>
      <w:r w:rsidR="0061106D">
        <w:rPr>
          <w:u w:val="single"/>
        </w:rPr>
        <w:t>:</w:t>
      </w:r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“not </w:t>
      </w:r>
      <w:proofErr w:type="spellStart"/>
      <w:r>
        <w:t>listed</w:t>
      </w:r>
      <w:proofErr w:type="spellEnd"/>
      <w:r>
        <w:t xml:space="preserve">” can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old</w:t>
      </w:r>
      <w:proofErr w:type="spellEnd"/>
      <w:r>
        <w:t xml:space="preserve"> test data or </w:t>
      </w:r>
      <w:proofErr w:type="spellStart"/>
      <w:r>
        <w:t>read-across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the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and new test data show </w:t>
      </w:r>
      <w:proofErr w:type="spellStart"/>
      <w:r>
        <w:t>another</w:t>
      </w:r>
      <w:proofErr w:type="spellEnd"/>
      <w:r>
        <w:t xml:space="preserve"> classification (e.g. a Type 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a Type F </w:t>
      </w:r>
      <w:proofErr w:type="spellStart"/>
      <w:r>
        <w:t>product</w:t>
      </w:r>
      <w:proofErr w:type="spellEnd"/>
      <w:r>
        <w:t xml:space="preserve">). This new classification of an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on the basis of a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>.</w:t>
      </w:r>
    </w:p>
    <w:p w14:paraId="045A3505" w14:textId="2C1ECF79" w:rsidR="000F3F83" w:rsidRPr="00D562EE" w:rsidRDefault="00D562EE" w:rsidP="00D562EE">
      <w:pPr>
        <w:pStyle w:val="SingleTxtG"/>
      </w:pPr>
      <w:r>
        <w:t>7.</w:t>
      </w:r>
      <w:r>
        <w:tab/>
      </w:r>
      <w:r w:rsidR="000F3F83" w:rsidRPr="00D562EE">
        <w:t xml:space="preserve">The </w:t>
      </w:r>
      <w:proofErr w:type="spellStart"/>
      <w:r w:rsidR="000F3F83" w:rsidRPr="00D562EE">
        <w:t>usual</w:t>
      </w:r>
      <w:proofErr w:type="spellEnd"/>
      <w:r w:rsidR="000F3F83" w:rsidRPr="00D562EE">
        <w:t xml:space="preserve"> follow-up </w:t>
      </w:r>
      <w:proofErr w:type="spellStart"/>
      <w:r w:rsidR="000F3F83" w:rsidRPr="00D562EE">
        <w:t>procedure</w:t>
      </w:r>
      <w:proofErr w:type="spellEnd"/>
      <w:r w:rsidR="000F3F83" w:rsidRPr="00D562EE">
        <w:t xml:space="preserve"> </w:t>
      </w:r>
      <w:proofErr w:type="spellStart"/>
      <w:r w:rsidR="000F3F83" w:rsidRPr="00D562EE">
        <w:t>is</w:t>
      </w:r>
      <w:proofErr w:type="spellEnd"/>
      <w:r w:rsidR="000F3F83" w:rsidRPr="00D562EE">
        <w:t xml:space="preserve"> </w:t>
      </w:r>
      <w:proofErr w:type="spellStart"/>
      <w:r w:rsidR="000F3F83" w:rsidRPr="00D562EE">
        <w:t>that</w:t>
      </w:r>
      <w:proofErr w:type="spellEnd"/>
      <w:r w:rsidR="000F3F83" w:rsidRPr="00D562EE">
        <w:t xml:space="preserve"> C</w:t>
      </w:r>
      <w:r w:rsidR="002F47D8">
        <w:t>efic</w:t>
      </w:r>
      <w:r w:rsidR="000F3F83" w:rsidRPr="00D562EE">
        <w:t xml:space="preserve"> </w:t>
      </w:r>
      <w:proofErr w:type="spellStart"/>
      <w:r w:rsidR="000F3F83" w:rsidRPr="00D562EE">
        <w:t>submits</w:t>
      </w:r>
      <w:proofErr w:type="spellEnd"/>
      <w:r w:rsidR="000F3F83" w:rsidRPr="00D562EE">
        <w:t xml:space="preserve">, </w:t>
      </w:r>
      <w:proofErr w:type="spellStart"/>
      <w:r w:rsidR="000F3F83" w:rsidRPr="00D562EE">
        <w:t>each</w:t>
      </w:r>
      <w:proofErr w:type="spellEnd"/>
      <w:r w:rsidR="000F3F83" w:rsidRPr="00D562EE">
        <w:t xml:space="preserve"> biennium </w:t>
      </w:r>
      <w:proofErr w:type="spellStart"/>
      <w:r w:rsidR="000F3F83" w:rsidRPr="00D562EE">
        <w:t>when</w:t>
      </w:r>
      <w:proofErr w:type="spellEnd"/>
      <w:r w:rsidR="000F3F83" w:rsidRPr="00D562EE">
        <w:t xml:space="preserve"> </w:t>
      </w:r>
      <w:proofErr w:type="spellStart"/>
      <w:r w:rsidR="000F3F83" w:rsidRPr="00D562EE">
        <w:t>needed</w:t>
      </w:r>
      <w:proofErr w:type="spellEnd"/>
      <w:r w:rsidR="000F3F83" w:rsidRPr="00D562EE">
        <w:t xml:space="preserve">, a </w:t>
      </w:r>
      <w:proofErr w:type="spellStart"/>
      <w:r w:rsidR="000F3F83" w:rsidRPr="00D562EE">
        <w:t>proposal</w:t>
      </w:r>
      <w:proofErr w:type="spellEnd"/>
      <w:r w:rsidR="000F3F83" w:rsidRPr="00D562EE">
        <w:t xml:space="preserve"> to UN SCE TDG </w:t>
      </w:r>
      <w:proofErr w:type="spellStart"/>
      <w:r w:rsidR="000F3F83" w:rsidRPr="00D562EE">
        <w:t>with</w:t>
      </w:r>
      <w:proofErr w:type="spellEnd"/>
      <w:r w:rsidR="000F3F83" w:rsidRPr="00D562EE">
        <w:t xml:space="preserve"> new to </w:t>
      </w:r>
      <w:proofErr w:type="spellStart"/>
      <w:r w:rsidR="000F3F83" w:rsidRPr="00D562EE">
        <w:t>be</w:t>
      </w:r>
      <w:proofErr w:type="spellEnd"/>
      <w:r w:rsidR="000F3F83" w:rsidRPr="00D562EE">
        <w:t xml:space="preserve"> </w:t>
      </w:r>
      <w:proofErr w:type="spellStart"/>
      <w:r w:rsidR="000F3F83" w:rsidRPr="00D562EE">
        <w:t>listed</w:t>
      </w:r>
      <w:proofErr w:type="spellEnd"/>
      <w:r w:rsidR="000F3F83" w:rsidRPr="00D562EE">
        <w:t xml:space="preserve"> </w:t>
      </w:r>
      <w:proofErr w:type="spellStart"/>
      <w:r w:rsidR="000F3F83" w:rsidRPr="00D562EE">
        <w:t>products</w:t>
      </w:r>
      <w:proofErr w:type="spellEnd"/>
      <w:r w:rsidR="000F3F83" w:rsidRPr="00D562EE">
        <w:t xml:space="preserve">, new formulations or changes </w:t>
      </w:r>
      <w:proofErr w:type="spellStart"/>
      <w:r w:rsidR="000F3F83" w:rsidRPr="00D562EE">
        <w:t>needed</w:t>
      </w:r>
      <w:proofErr w:type="spellEnd"/>
      <w:r w:rsidR="000F3F83" w:rsidRPr="00D562EE">
        <w:t xml:space="preserve"> (</w:t>
      </w:r>
      <w:proofErr w:type="spellStart"/>
      <w:r w:rsidR="000F3F83" w:rsidRPr="00D562EE">
        <w:t>with</w:t>
      </w:r>
      <w:proofErr w:type="spellEnd"/>
      <w:r w:rsidR="000F3F83" w:rsidRPr="00D562EE">
        <w:t xml:space="preserve"> </w:t>
      </w:r>
      <w:proofErr w:type="spellStart"/>
      <w:r w:rsidR="000F3F83" w:rsidRPr="00D562EE">
        <w:t>reference</w:t>
      </w:r>
      <w:proofErr w:type="spellEnd"/>
      <w:r w:rsidR="000F3F83" w:rsidRPr="00D562EE">
        <w:t xml:space="preserve"> to </w:t>
      </w:r>
      <w:proofErr w:type="spellStart"/>
      <w:r w:rsidR="000F3F83" w:rsidRPr="00D562EE">
        <w:t>competent</w:t>
      </w:r>
      <w:proofErr w:type="spellEnd"/>
      <w:r w:rsidR="000F3F83" w:rsidRPr="00D562EE">
        <w:t xml:space="preserve"> </w:t>
      </w:r>
      <w:proofErr w:type="spellStart"/>
      <w:r w:rsidR="000F3F83" w:rsidRPr="00D562EE">
        <w:t>authority</w:t>
      </w:r>
      <w:proofErr w:type="spellEnd"/>
      <w:r w:rsidR="000F3F83" w:rsidRPr="00D562EE">
        <w:t xml:space="preserve"> </w:t>
      </w:r>
      <w:proofErr w:type="spellStart"/>
      <w:r w:rsidR="000F3F83" w:rsidRPr="00D562EE">
        <w:t>approvals</w:t>
      </w:r>
      <w:proofErr w:type="spellEnd"/>
      <w:r w:rsidR="000F3F83" w:rsidRPr="00D562EE">
        <w:t xml:space="preserve"> for the </w:t>
      </w:r>
      <w:proofErr w:type="spellStart"/>
      <w:r w:rsidR="000F3F83" w:rsidRPr="00D562EE">
        <w:t>product</w:t>
      </w:r>
      <w:proofErr w:type="spellEnd"/>
      <w:r w:rsidR="000F3F83" w:rsidRPr="00D562EE">
        <w:t xml:space="preserve"> </w:t>
      </w:r>
      <w:r w:rsidR="00F5351A">
        <w:t>and</w:t>
      </w:r>
      <w:r w:rsidR="000F3F83" w:rsidRPr="00D562EE">
        <w:t xml:space="preserve"> classification as </w:t>
      </w:r>
      <w:proofErr w:type="spellStart"/>
      <w:r w:rsidR="000F3F83" w:rsidRPr="00D562EE">
        <w:t>proposed</w:t>
      </w:r>
      <w:proofErr w:type="spellEnd"/>
      <w:r w:rsidR="000F3F83" w:rsidRPr="00D562EE">
        <w:t>).</w:t>
      </w:r>
    </w:p>
    <w:p w14:paraId="13B0B1BF" w14:textId="1440B20A" w:rsidR="000F3F83" w:rsidRPr="00D562EE" w:rsidRDefault="00D562EE" w:rsidP="00D562EE">
      <w:pPr>
        <w:pStyle w:val="SingleTxtG"/>
      </w:pPr>
      <w:r>
        <w:t>8.</w:t>
      </w:r>
      <w:r>
        <w:tab/>
      </w:r>
      <w:r w:rsidR="000F3F83" w:rsidRPr="00D562EE">
        <w:t xml:space="preserve">For </w:t>
      </w:r>
      <w:proofErr w:type="spellStart"/>
      <w:r w:rsidR="000F3F83" w:rsidRPr="00D562EE">
        <w:t>both</w:t>
      </w:r>
      <w:proofErr w:type="spellEnd"/>
      <w:r w:rsidR="000F3F83" w:rsidRPr="00D562EE">
        <w:t xml:space="preserve"> cases 1</w:t>
      </w:r>
      <w:r w:rsidR="00F5351A">
        <w:t xml:space="preserve"> and </w:t>
      </w:r>
      <w:r w:rsidR="000F3F83" w:rsidRPr="00D562EE">
        <w:t xml:space="preserve">2 the </w:t>
      </w:r>
      <w:proofErr w:type="spellStart"/>
      <w:r w:rsidR="000F3F83" w:rsidRPr="00D562EE">
        <w:t>reasoning</w:t>
      </w:r>
      <w:proofErr w:type="spellEnd"/>
      <w:r w:rsidR="000F3F83" w:rsidRPr="00D562EE">
        <w:t xml:space="preserve"> </w:t>
      </w:r>
      <w:proofErr w:type="spellStart"/>
      <w:r w:rsidR="000F3F83" w:rsidRPr="00D562EE">
        <w:t>could</w:t>
      </w:r>
      <w:proofErr w:type="spellEnd"/>
      <w:r w:rsidR="000F3F83" w:rsidRPr="00D562EE">
        <w:t xml:space="preserve"> </w:t>
      </w:r>
      <w:proofErr w:type="spellStart"/>
      <w:r w:rsidR="000F3F83" w:rsidRPr="00D562EE">
        <w:t>be</w:t>
      </w:r>
      <w:proofErr w:type="spellEnd"/>
      <w:r w:rsidR="000F3F83" w:rsidRPr="00D562EE">
        <w:t xml:space="preserve"> </w:t>
      </w:r>
      <w:proofErr w:type="spellStart"/>
      <w:r w:rsidR="000F3F83" w:rsidRPr="00D562EE">
        <w:t>that</w:t>
      </w:r>
      <w:proofErr w:type="spellEnd"/>
      <w:r w:rsidR="000F3F83" w:rsidRPr="00D562EE">
        <w:t xml:space="preserve"> the </w:t>
      </w:r>
      <w:proofErr w:type="spellStart"/>
      <w:r w:rsidR="000F3F83" w:rsidRPr="00D562EE">
        <w:t>products</w:t>
      </w:r>
      <w:proofErr w:type="spellEnd"/>
      <w:r w:rsidR="000F3F83" w:rsidRPr="00D562EE">
        <w:t xml:space="preserve"> are “</w:t>
      </w:r>
      <w:proofErr w:type="spellStart"/>
      <w:r w:rsidR="000F3F83" w:rsidRPr="00D562EE">
        <w:t>already</w:t>
      </w:r>
      <w:proofErr w:type="spellEnd"/>
      <w:r w:rsidR="000F3F83" w:rsidRPr="00D562EE">
        <w:t xml:space="preserve"> </w:t>
      </w:r>
      <w:proofErr w:type="spellStart"/>
      <w:r w:rsidR="000F3F83" w:rsidRPr="00D562EE">
        <w:t>listed</w:t>
      </w:r>
      <w:proofErr w:type="spellEnd"/>
      <w:r w:rsidR="000F3F83" w:rsidRPr="00D562EE">
        <w:t xml:space="preserve">” and a </w:t>
      </w:r>
      <w:proofErr w:type="spellStart"/>
      <w:r w:rsidR="000F3F83" w:rsidRPr="00D562EE">
        <w:t>different</w:t>
      </w:r>
      <w:proofErr w:type="spellEnd"/>
      <w:r w:rsidR="000F3F83" w:rsidRPr="00D562EE">
        <w:t xml:space="preserve"> classification </w:t>
      </w:r>
      <w:proofErr w:type="spellStart"/>
      <w:r w:rsidR="000F3F83" w:rsidRPr="00D562EE">
        <w:t>cannot</w:t>
      </w:r>
      <w:proofErr w:type="spellEnd"/>
      <w:r w:rsidR="000F3F83" w:rsidRPr="00D562EE">
        <w:t xml:space="preserve"> </w:t>
      </w:r>
      <w:proofErr w:type="spellStart"/>
      <w:r w:rsidR="000F3F83" w:rsidRPr="00D562EE">
        <w:t>be</w:t>
      </w:r>
      <w:proofErr w:type="spellEnd"/>
      <w:r w:rsidR="000F3F83" w:rsidRPr="00D562EE">
        <w:t xml:space="preserve"> </w:t>
      </w:r>
      <w:proofErr w:type="spellStart"/>
      <w:r w:rsidR="000F3F83" w:rsidRPr="00D562EE">
        <w:t>used</w:t>
      </w:r>
      <w:proofErr w:type="spellEnd"/>
      <w:r w:rsidR="000F3F83" w:rsidRPr="00D562EE">
        <w:t xml:space="preserve"> </w:t>
      </w:r>
      <w:proofErr w:type="spellStart"/>
      <w:r w:rsidR="000F3F83" w:rsidRPr="00D562EE">
        <w:t>until</w:t>
      </w:r>
      <w:proofErr w:type="spellEnd"/>
      <w:r w:rsidR="000F3F83" w:rsidRPr="00D562EE">
        <w:t xml:space="preserve"> the substances are </w:t>
      </w:r>
      <w:proofErr w:type="spellStart"/>
      <w:r w:rsidR="000F3F83" w:rsidRPr="00D562EE">
        <w:t>included</w:t>
      </w:r>
      <w:proofErr w:type="spellEnd"/>
      <w:r w:rsidR="000F3F83" w:rsidRPr="00D562EE">
        <w:t xml:space="preserve"> in the </w:t>
      </w:r>
      <w:proofErr w:type="spellStart"/>
      <w:r w:rsidR="000F3F83" w:rsidRPr="00D562EE">
        <w:t>lists</w:t>
      </w:r>
      <w:proofErr w:type="spellEnd"/>
      <w:r w:rsidR="000F3F83" w:rsidRPr="00D562EE">
        <w:t xml:space="preserve">. </w:t>
      </w:r>
    </w:p>
    <w:p w14:paraId="7C9FB750" w14:textId="7A9AF90D" w:rsidR="000F3F83" w:rsidRPr="00D562EE" w:rsidRDefault="00D562EE" w:rsidP="00D562EE">
      <w:pPr>
        <w:pStyle w:val="SingleTxtG"/>
      </w:pPr>
      <w:r>
        <w:t>9.</w:t>
      </w:r>
      <w:r>
        <w:tab/>
      </w:r>
      <w:r w:rsidR="000F3F83" w:rsidRPr="00D562EE">
        <w:t>C</w:t>
      </w:r>
      <w:r w:rsidR="002F47D8">
        <w:t>efic</w:t>
      </w:r>
      <w:r w:rsidR="000F3F83" w:rsidRPr="00D562EE">
        <w:t xml:space="preserve"> </w:t>
      </w:r>
      <w:proofErr w:type="spellStart"/>
      <w:r w:rsidR="000F3F83" w:rsidRPr="00D562EE">
        <w:t>is</w:t>
      </w:r>
      <w:proofErr w:type="spellEnd"/>
      <w:r w:rsidR="000F3F83" w:rsidRPr="00D562EE">
        <w:t xml:space="preserve"> of the opinion, </w:t>
      </w:r>
      <w:proofErr w:type="spellStart"/>
      <w:r w:rsidR="000F3F83" w:rsidRPr="00D562EE">
        <w:t>that</w:t>
      </w:r>
      <w:proofErr w:type="spellEnd"/>
      <w:r w:rsidR="000F3F83" w:rsidRPr="00D562EE">
        <w:t xml:space="preserve"> the </w:t>
      </w:r>
      <w:proofErr w:type="spellStart"/>
      <w:r w:rsidR="000F3F83" w:rsidRPr="00D562EE">
        <w:t>term</w:t>
      </w:r>
      <w:proofErr w:type="spellEnd"/>
      <w:r w:rsidR="000F3F83" w:rsidRPr="00D562EE">
        <w:t xml:space="preserve"> “not </w:t>
      </w:r>
      <w:proofErr w:type="spellStart"/>
      <w:r w:rsidR="000F3F83" w:rsidRPr="00D562EE">
        <w:t>listed</w:t>
      </w:r>
      <w:proofErr w:type="spellEnd"/>
      <w:r w:rsidR="000F3F83" w:rsidRPr="00D562EE">
        <w:t xml:space="preserve">” </w:t>
      </w:r>
      <w:proofErr w:type="spellStart"/>
      <w:r w:rsidR="000F3F83" w:rsidRPr="00D562EE">
        <w:t>applies</w:t>
      </w:r>
      <w:proofErr w:type="spellEnd"/>
      <w:r w:rsidR="000F3F83" w:rsidRPr="00D562EE">
        <w:t xml:space="preserve"> to cases 1</w:t>
      </w:r>
      <w:r w:rsidR="00884F56">
        <w:t xml:space="preserve"> and </w:t>
      </w:r>
      <w:r w:rsidR="000F3F83" w:rsidRPr="00D562EE">
        <w:t xml:space="preserve">2 and </w:t>
      </w:r>
      <w:proofErr w:type="spellStart"/>
      <w:r w:rsidR="000F3F83" w:rsidRPr="00D562EE">
        <w:t>therefore</w:t>
      </w:r>
      <w:proofErr w:type="spellEnd"/>
      <w:r w:rsidR="000F3F83" w:rsidRPr="00D562EE">
        <w:t xml:space="preserve"> the </w:t>
      </w:r>
      <w:proofErr w:type="spellStart"/>
      <w:r w:rsidR="000F3F83" w:rsidRPr="00D562EE">
        <w:t>carriage</w:t>
      </w:r>
      <w:proofErr w:type="spellEnd"/>
      <w:r w:rsidR="000F3F83" w:rsidRPr="00D562EE">
        <w:t xml:space="preserve"> </w:t>
      </w:r>
      <w:proofErr w:type="spellStart"/>
      <w:r w:rsidR="000F3F83" w:rsidRPr="00D562EE">
        <w:t>is</w:t>
      </w:r>
      <w:proofErr w:type="spellEnd"/>
      <w:r w:rsidR="000F3F83" w:rsidRPr="00D562EE">
        <w:t xml:space="preserve"> </w:t>
      </w:r>
      <w:proofErr w:type="spellStart"/>
      <w:r w:rsidR="000F3F83" w:rsidRPr="00D562EE">
        <w:t>allowed</w:t>
      </w:r>
      <w:proofErr w:type="spellEnd"/>
      <w:r w:rsidR="000F3F83" w:rsidRPr="00D562EE">
        <w:t xml:space="preserve"> once a </w:t>
      </w:r>
      <w:proofErr w:type="spellStart"/>
      <w:r w:rsidR="000F3F83" w:rsidRPr="00D562EE">
        <w:t>competent</w:t>
      </w:r>
      <w:proofErr w:type="spellEnd"/>
      <w:r w:rsidR="000F3F83" w:rsidRPr="00D562EE">
        <w:t xml:space="preserve"> </w:t>
      </w:r>
      <w:proofErr w:type="spellStart"/>
      <w:r w:rsidR="000F3F83" w:rsidRPr="00D562EE">
        <w:t>authority</w:t>
      </w:r>
      <w:proofErr w:type="spellEnd"/>
      <w:r w:rsidR="000F3F83" w:rsidRPr="00D562EE">
        <w:t xml:space="preserve"> </w:t>
      </w:r>
      <w:proofErr w:type="spellStart"/>
      <w:r w:rsidR="000F3F83" w:rsidRPr="00D562EE">
        <w:t>approval</w:t>
      </w:r>
      <w:proofErr w:type="spellEnd"/>
      <w:r w:rsidR="000F3F83" w:rsidRPr="00D562EE">
        <w:t xml:space="preserve"> has been </w:t>
      </w:r>
      <w:proofErr w:type="spellStart"/>
      <w:r w:rsidR="000F3F83" w:rsidRPr="00D562EE">
        <w:t>granted</w:t>
      </w:r>
      <w:proofErr w:type="spellEnd"/>
      <w:r w:rsidR="000F3F83" w:rsidRPr="00D562EE">
        <w:t>.</w:t>
      </w:r>
    </w:p>
    <w:p w14:paraId="16486A7B" w14:textId="3C9FA3F3" w:rsidR="000F3F83" w:rsidRPr="00BC25F0" w:rsidRDefault="00D562EE" w:rsidP="00D562EE">
      <w:pPr>
        <w:pStyle w:val="SingleTxtG"/>
        <w:rPr>
          <w:lang w:val="en-US"/>
        </w:rPr>
      </w:pPr>
      <w:r>
        <w:t>10.</w:t>
      </w:r>
      <w:r>
        <w:tab/>
      </w:r>
      <w:proofErr w:type="spellStart"/>
      <w:r w:rsidR="000F3F83" w:rsidRPr="00D562EE">
        <w:t>After</w:t>
      </w:r>
      <w:proofErr w:type="spellEnd"/>
      <w:r w:rsidR="000F3F83" w:rsidRPr="00D562EE">
        <w:t xml:space="preserve"> discussion </w:t>
      </w:r>
      <w:proofErr w:type="spellStart"/>
      <w:r w:rsidR="000F3F83" w:rsidRPr="00D562EE">
        <w:t>with</w:t>
      </w:r>
      <w:proofErr w:type="spellEnd"/>
      <w:r w:rsidR="000F3F83" w:rsidRPr="00D562EE">
        <w:t xml:space="preserve"> a </w:t>
      </w:r>
      <w:proofErr w:type="spellStart"/>
      <w:r w:rsidR="000F3F83" w:rsidRPr="00D562EE">
        <w:t>competent</w:t>
      </w:r>
      <w:proofErr w:type="spellEnd"/>
      <w:r w:rsidR="000F3F83" w:rsidRPr="00D562EE">
        <w:t xml:space="preserve"> </w:t>
      </w:r>
      <w:proofErr w:type="spellStart"/>
      <w:r w:rsidR="000F3F83" w:rsidRPr="00D562EE">
        <w:t>authority</w:t>
      </w:r>
      <w:proofErr w:type="spellEnd"/>
      <w:r w:rsidR="000F3F83" w:rsidRPr="00D562EE">
        <w:t xml:space="preserve"> of Belgium </w:t>
      </w:r>
      <w:proofErr w:type="spellStart"/>
      <w:r w:rsidR="000F3F83" w:rsidRPr="00D562EE">
        <w:t>it</w:t>
      </w:r>
      <w:proofErr w:type="spellEnd"/>
      <w:r w:rsidR="000F3F83" w:rsidRPr="00D562EE">
        <w:t xml:space="preserve"> </w:t>
      </w:r>
      <w:proofErr w:type="spellStart"/>
      <w:r w:rsidR="000F3F83" w:rsidRPr="00D562EE">
        <w:t>was</w:t>
      </w:r>
      <w:proofErr w:type="spellEnd"/>
      <w:r w:rsidR="000F3F83" w:rsidRPr="00D562EE">
        <w:t xml:space="preserve"> </w:t>
      </w:r>
      <w:proofErr w:type="spellStart"/>
      <w:r w:rsidR="000F3F83" w:rsidRPr="00D562EE">
        <w:t>agreed</w:t>
      </w:r>
      <w:proofErr w:type="spellEnd"/>
      <w:r w:rsidR="000F3F83" w:rsidRPr="00D562EE">
        <w:t xml:space="preserve"> to </w:t>
      </w:r>
      <w:proofErr w:type="spellStart"/>
      <w:r w:rsidR="000F3F83" w:rsidRPr="00D562EE">
        <w:t>ask</w:t>
      </w:r>
      <w:proofErr w:type="spellEnd"/>
      <w:r w:rsidR="000F3F83" w:rsidRPr="00D562EE">
        <w:t xml:space="preserve"> for the opinion of </w:t>
      </w:r>
      <w:proofErr w:type="spellStart"/>
      <w:r w:rsidR="000F3F83" w:rsidRPr="00D562EE">
        <w:t>this</w:t>
      </w:r>
      <w:proofErr w:type="spellEnd"/>
      <w:r w:rsidR="000F3F83" w:rsidRPr="00D562EE">
        <w:t xml:space="preserve"> </w:t>
      </w:r>
      <w:proofErr w:type="spellStart"/>
      <w:r w:rsidR="000F3F83" w:rsidRPr="00D562EE">
        <w:t>i</w:t>
      </w:r>
      <w:r w:rsidR="000F3F83">
        <w:t>nterpretation</w:t>
      </w:r>
      <w:proofErr w:type="spellEnd"/>
      <w:r w:rsidR="000F3F83">
        <w:t xml:space="preserve"> by the Joint Meeting.</w:t>
      </w:r>
    </w:p>
    <w:p w14:paraId="7329B23E" w14:textId="7D7B31F0" w:rsidR="000F3F83" w:rsidRPr="0068277F" w:rsidRDefault="00D562EE" w:rsidP="00D562EE">
      <w:pPr>
        <w:pStyle w:val="HChG"/>
      </w:pPr>
      <w:r>
        <w:tab/>
      </w:r>
      <w:r>
        <w:tab/>
      </w:r>
      <w:proofErr w:type="spellStart"/>
      <w:r w:rsidR="000F3F83">
        <w:t>Competent</w:t>
      </w:r>
      <w:proofErr w:type="spellEnd"/>
      <w:r w:rsidR="000F3F83">
        <w:t xml:space="preserve"> </w:t>
      </w:r>
      <w:proofErr w:type="spellStart"/>
      <w:r w:rsidR="000F3F83">
        <w:t>authority</w:t>
      </w:r>
      <w:proofErr w:type="spellEnd"/>
      <w:r w:rsidR="000F3F83">
        <w:t xml:space="preserve"> </w:t>
      </w:r>
      <w:proofErr w:type="spellStart"/>
      <w:r w:rsidR="000F3F83">
        <w:t>approval</w:t>
      </w:r>
      <w:proofErr w:type="spellEnd"/>
      <w:r w:rsidR="000F3F83">
        <w:t xml:space="preserve"> of country of </w:t>
      </w:r>
      <w:proofErr w:type="spellStart"/>
      <w:r w:rsidR="000F3F83">
        <w:t>origin</w:t>
      </w:r>
      <w:proofErr w:type="spellEnd"/>
    </w:p>
    <w:p w14:paraId="21A7F241" w14:textId="12865154" w:rsidR="000F3F83" w:rsidRPr="00D562EE" w:rsidRDefault="00D562EE" w:rsidP="00D562EE">
      <w:pPr>
        <w:pStyle w:val="SingleTxtG"/>
      </w:pPr>
      <w:r>
        <w:t>11.</w:t>
      </w:r>
      <w:r>
        <w:tab/>
      </w:r>
      <w:r w:rsidR="000F3F83" w:rsidRPr="00D562EE">
        <w:t xml:space="preserve">As </w:t>
      </w:r>
      <w:proofErr w:type="spellStart"/>
      <w:r w:rsidR="000F3F83" w:rsidRPr="00D562EE">
        <w:t>indicated</w:t>
      </w:r>
      <w:proofErr w:type="spellEnd"/>
      <w:r w:rsidR="000F3F83" w:rsidRPr="00D562EE">
        <w:t xml:space="preserve"> (</w:t>
      </w:r>
      <w:proofErr w:type="spellStart"/>
      <w:r w:rsidR="000F3F83" w:rsidRPr="00D562EE">
        <w:t>in</w:t>
      </w:r>
      <w:proofErr w:type="spellEnd"/>
      <w:r w:rsidR="000F3F83" w:rsidRPr="00D562EE">
        <w:t xml:space="preserve"> 2.2.41.1.13 and 2.2.52.1.8), for not </w:t>
      </w:r>
      <w:proofErr w:type="spellStart"/>
      <w:r w:rsidR="000F3F83" w:rsidRPr="00D562EE">
        <w:t>listed</w:t>
      </w:r>
      <w:proofErr w:type="spellEnd"/>
      <w:r w:rsidR="000F3F83" w:rsidRPr="00D562EE">
        <w:t xml:space="preserve"> </w:t>
      </w:r>
      <w:proofErr w:type="spellStart"/>
      <w:r w:rsidR="000F3F83" w:rsidRPr="00D562EE">
        <w:t>products</w:t>
      </w:r>
      <w:proofErr w:type="spellEnd"/>
      <w:r w:rsidR="000F3F83" w:rsidRPr="00D562EE">
        <w:t xml:space="preserve">, the classification of </w:t>
      </w:r>
      <w:proofErr w:type="spellStart"/>
      <w:r w:rsidR="000F3F83" w:rsidRPr="00D562EE">
        <w:t>organic</w:t>
      </w:r>
      <w:proofErr w:type="spellEnd"/>
      <w:r w:rsidR="000F3F83" w:rsidRPr="00D562EE">
        <w:t xml:space="preserve"> </w:t>
      </w:r>
      <w:proofErr w:type="spellStart"/>
      <w:r w:rsidR="000F3F83" w:rsidRPr="00D562EE">
        <w:t>peroxides</w:t>
      </w:r>
      <w:proofErr w:type="spellEnd"/>
      <w:r w:rsidR="000F3F83" w:rsidRPr="00D562EE">
        <w:t xml:space="preserve"> and </w:t>
      </w:r>
      <w:proofErr w:type="spellStart"/>
      <w:r w:rsidR="000F3F83" w:rsidRPr="00D562EE">
        <w:t>assignment</w:t>
      </w:r>
      <w:proofErr w:type="spellEnd"/>
      <w:r w:rsidR="000F3F83" w:rsidRPr="00D562EE">
        <w:t xml:space="preserve"> to a collective entry </w:t>
      </w:r>
      <w:proofErr w:type="spellStart"/>
      <w:r w:rsidR="000F3F83" w:rsidRPr="00D562EE">
        <w:t>shall</w:t>
      </w:r>
      <w:proofErr w:type="spellEnd"/>
      <w:r w:rsidR="000F3F83" w:rsidRPr="00D562EE">
        <w:t xml:space="preserve"> </w:t>
      </w:r>
      <w:proofErr w:type="spellStart"/>
      <w:r w:rsidR="000F3F83" w:rsidRPr="00D562EE">
        <w:t>be</w:t>
      </w:r>
      <w:proofErr w:type="spellEnd"/>
      <w:r w:rsidR="000F3F83" w:rsidRPr="00D562EE">
        <w:t xml:space="preserve"> made by the </w:t>
      </w:r>
      <w:proofErr w:type="spellStart"/>
      <w:r w:rsidR="000F3F83" w:rsidRPr="00D562EE">
        <w:t>competent</w:t>
      </w:r>
      <w:proofErr w:type="spellEnd"/>
      <w:r w:rsidR="000F3F83" w:rsidRPr="00D562EE">
        <w:t xml:space="preserve"> </w:t>
      </w:r>
      <w:proofErr w:type="spellStart"/>
      <w:r w:rsidR="000F3F83" w:rsidRPr="00D562EE">
        <w:t>authority</w:t>
      </w:r>
      <w:proofErr w:type="spellEnd"/>
      <w:r w:rsidR="000F3F83" w:rsidRPr="00D562EE">
        <w:t xml:space="preserve"> of the country of </w:t>
      </w:r>
      <w:proofErr w:type="spellStart"/>
      <w:r w:rsidR="000F3F83" w:rsidRPr="00D562EE">
        <w:t>origin</w:t>
      </w:r>
      <w:proofErr w:type="spellEnd"/>
      <w:r w:rsidR="000F3F83" w:rsidRPr="00D562EE">
        <w:t xml:space="preserve">. </w:t>
      </w:r>
    </w:p>
    <w:p w14:paraId="430579A9" w14:textId="67D58846" w:rsidR="000F3F83" w:rsidRPr="00D562EE" w:rsidRDefault="00D562EE" w:rsidP="00D562EE">
      <w:pPr>
        <w:pStyle w:val="SingleTxtG"/>
      </w:pPr>
      <w:r>
        <w:t>12.</w:t>
      </w:r>
      <w:r>
        <w:tab/>
      </w:r>
      <w:r w:rsidR="000F3F83" w:rsidRPr="00D562EE">
        <w:t xml:space="preserve">The </w:t>
      </w:r>
      <w:proofErr w:type="spellStart"/>
      <w:r w:rsidR="000F3F83" w:rsidRPr="00D562EE">
        <w:t>interpretation</w:t>
      </w:r>
      <w:proofErr w:type="spellEnd"/>
      <w:r w:rsidR="000F3F83" w:rsidRPr="00D562EE">
        <w:t xml:space="preserve"> of “country of </w:t>
      </w:r>
      <w:proofErr w:type="spellStart"/>
      <w:r w:rsidR="000F3F83" w:rsidRPr="00D562EE">
        <w:t>origin</w:t>
      </w:r>
      <w:proofErr w:type="spellEnd"/>
      <w:r w:rsidR="000F3F83" w:rsidRPr="00D562EE">
        <w:t xml:space="preserve">” and the </w:t>
      </w:r>
      <w:proofErr w:type="spellStart"/>
      <w:r w:rsidR="000F3F83" w:rsidRPr="00D562EE">
        <w:t>validity</w:t>
      </w:r>
      <w:proofErr w:type="spellEnd"/>
      <w:r w:rsidR="000F3F83" w:rsidRPr="00D562EE">
        <w:t xml:space="preserve"> of the </w:t>
      </w:r>
      <w:proofErr w:type="spellStart"/>
      <w:r w:rsidR="000F3F83" w:rsidRPr="00D562EE">
        <w:t>competent</w:t>
      </w:r>
      <w:proofErr w:type="spellEnd"/>
      <w:r w:rsidR="000F3F83" w:rsidRPr="00D562EE">
        <w:t xml:space="preserve"> </w:t>
      </w:r>
      <w:proofErr w:type="spellStart"/>
      <w:r w:rsidR="000F3F83" w:rsidRPr="00D562EE">
        <w:t>authority</w:t>
      </w:r>
      <w:proofErr w:type="spellEnd"/>
      <w:r w:rsidR="000F3F83" w:rsidRPr="00D562EE">
        <w:t xml:space="preserve"> </w:t>
      </w:r>
      <w:proofErr w:type="spellStart"/>
      <w:r w:rsidR="000F3F83" w:rsidRPr="00D562EE">
        <w:t>approval</w:t>
      </w:r>
      <w:proofErr w:type="spellEnd"/>
      <w:r w:rsidR="000F3F83" w:rsidRPr="00D562EE">
        <w:t xml:space="preserve"> </w:t>
      </w:r>
      <w:proofErr w:type="spellStart"/>
      <w:r w:rsidR="000F3F83" w:rsidRPr="00D562EE">
        <w:t>is</w:t>
      </w:r>
      <w:proofErr w:type="spellEnd"/>
      <w:r w:rsidR="000F3F83" w:rsidRPr="00D562EE">
        <w:t xml:space="preserve"> open for </w:t>
      </w:r>
      <w:proofErr w:type="spellStart"/>
      <w:r w:rsidR="000F3F83" w:rsidRPr="00D562EE">
        <w:t>interpretation</w:t>
      </w:r>
      <w:proofErr w:type="spellEnd"/>
      <w:r w:rsidR="000F3F83" w:rsidRPr="00D562EE">
        <w:t xml:space="preserve">. </w:t>
      </w:r>
    </w:p>
    <w:p w14:paraId="44191E43" w14:textId="27BE668A" w:rsidR="000F3F83" w:rsidRDefault="004617BB" w:rsidP="00D562EE">
      <w:pPr>
        <w:pStyle w:val="SingleTxtG"/>
        <w:rPr>
          <w:lang w:val="en-US"/>
        </w:rPr>
      </w:pPr>
      <w:r>
        <w:t>13.</w:t>
      </w:r>
      <w:r>
        <w:tab/>
      </w:r>
      <w:r w:rsidR="000F3F83" w:rsidRPr="00D562EE">
        <w:t xml:space="preserve">The question </w:t>
      </w:r>
      <w:proofErr w:type="spellStart"/>
      <w:r w:rsidR="000F3F83" w:rsidRPr="00D562EE">
        <w:t>is</w:t>
      </w:r>
      <w:proofErr w:type="spellEnd"/>
      <w:r w:rsidR="000F3F83" w:rsidRPr="00D562EE">
        <w:t xml:space="preserve"> </w:t>
      </w:r>
      <w:proofErr w:type="spellStart"/>
      <w:r w:rsidR="000F3F83" w:rsidRPr="00D562EE">
        <w:t>whether</w:t>
      </w:r>
      <w:proofErr w:type="spellEnd"/>
      <w:r w:rsidR="000F3F83" w:rsidRPr="00D562EE">
        <w:t xml:space="preserve"> the </w:t>
      </w:r>
      <w:proofErr w:type="spellStart"/>
      <w:r w:rsidR="000F3F83" w:rsidRPr="00D562EE">
        <w:t>approval</w:t>
      </w:r>
      <w:proofErr w:type="spellEnd"/>
      <w:r w:rsidR="000F3F83" w:rsidRPr="00D562EE">
        <w:t xml:space="preserve"> has to </w:t>
      </w:r>
      <w:proofErr w:type="spellStart"/>
      <w:r w:rsidR="000F3F83" w:rsidRPr="00D562EE">
        <w:t>be</w:t>
      </w:r>
      <w:proofErr w:type="spellEnd"/>
      <w:r w:rsidR="000F3F83" w:rsidRPr="00D562EE">
        <w:t xml:space="preserve"> </w:t>
      </w:r>
      <w:proofErr w:type="spellStart"/>
      <w:r w:rsidR="000F3F83" w:rsidRPr="00D562EE">
        <w:t>issued</w:t>
      </w:r>
      <w:proofErr w:type="spellEnd"/>
      <w:r w:rsidR="000F3F83" w:rsidRPr="00D562EE">
        <w:t xml:space="preserve"> by the country of </w:t>
      </w:r>
      <w:proofErr w:type="spellStart"/>
      <w:r w:rsidR="000F3F83" w:rsidRPr="00D562EE">
        <w:t>manufacturing</w:t>
      </w:r>
      <w:proofErr w:type="spellEnd"/>
      <w:r w:rsidR="000F3F83" w:rsidRPr="00D562EE">
        <w:t xml:space="preserve"> or if an </w:t>
      </w:r>
      <w:proofErr w:type="spellStart"/>
      <w:r w:rsidR="000F3F83" w:rsidRPr="00D562EE">
        <w:t>approval</w:t>
      </w:r>
      <w:proofErr w:type="spellEnd"/>
      <w:r w:rsidR="000F3F83" w:rsidRPr="00D562EE">
        <w:t xml:space="preserve"> i</w:t>
      </w:r>
      <w:proofErr w:type="spellStart"/>
      <w:r w:rsidR="000F3F83">
        <w:rPr>
          <w:lang w:val="en-US"/>
        </w:rPr>
        <w:t>ssued</w:t>
      </w:r>
      <w:proofErr w:type="spellEnd"/>
      <w:r w:rsidR="000F3F83">
        <w:rPr>
          <w:lang w:val="en-US"/>
        </w:rPr>
        <w:t xml:space="preserve"> by another country for the same product is valid.</w:t>
      </w:r>
    </w:p>
    <w:p w14:paraId="12AAD053" w14:textId="1BC5B177" w:rsidR="000F3F83" w:rsidRDefault="00D562EE" w:rsidP="00D562EE">
      <w:pPr>
        <w:pStyle w:val="HChG"/>
        <w:rPr>
          <w:b w:val="0"/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szCs w:val="28"/>
          <w:lang w:val="en-US"/>
        </w:rPr>
        <w:tab/>
      </w:r>
      <w:r w:rsidR="000F3F83">
        <w:rPr>
          <w:bCs/>
          <w:szCs w:val="28"/>
          <w:lang w:val="en-US"/>
        </w:rPr>
        <w:t>Questions on interpretation</w:t>
      </w:r>
    </w:p>
    <w:p w14:paraId="3E06CDC7" w14:textId="1EECB80B" w:rsidR="000F3F83" w:rsidRDefault="00D562EE" w:rsidP="00D562EE">
      <w:pPr>
        <w:pStyle w:val="SingleTxtG"/>
        <w:rPr>
          <w:color w:val="000000"/>
          <w:lang w:val="en-US"/>
        </w:rPr>
      </w:pPr>
      <w:r>
        <w:rPr>
          <w:color w:val="000000"/>
          <w:lang w:val="en-US"/>
        </w:rPr>
        <w:t>14.</w:t>
      </w:r>
      <w:r>
        <w:rPr>
          <w:color w:val="000000"/>
          <w:lang w:val="en-US"/>
        </w:rPr>
        <w:tab/>
      </w:r>
      <w:r w:rsidR="000F3F83">
        <w:rPr>
          <w:color w:val="000000"/>
          <w:lang w:val="en-US"/>
        </w:rPr>
        <w:t>Question 1:</w:t>
      </w:r>
    </w:p>
    <w:p w14:paraId="26112C07" w14:textId="4AA5B92C" w:rsidR="000F3F83" w:rsidRDefault="000F3F83" w:rsidP="000F3F83">
      <w:pPr>
        <w:pStyle w:val="SingleTxtG"/>
        <w:shd w:val="clear" w:color="auto" w:fill="FFFFFF"/>
        <w:suppressAutoHyphens w:val="0"/>
        <w:spacing w:line="240" w:lineRule="auto"/>
        <w:ind w:left="1690"/>
        <w:rPr>
          <w:color w:val="000000"/>
          <w:lang w:val="en-US"/>
        </w:rPr>
      </w:pPr>
      <w:r>
        <w:rPr>
          <w:color w:val="000000"/>
          <w:lang w:val="en-US"/>
        </w:rPr>
        <w:t xml:space="preserve">Can the Joint Meeting agree with the interpretation that “not listed” is applicable for the situations as explained in paragraph </w:t>
      </w:r>
      <w:r w:rsidRPr="00DE6DF2">
        <w:rPr>
          <w:color w:val="000000" w:themeColor="text1"/>
          <w:lang w:val="en-US"/>
        </w:rPr>
        <w:t>6</w:t>
      </w:r>
      <w:r w:rsidR="00E275E2">
        <w:rPr>
          <w:color w:val="000000" w:themeColor="text1"/>
          <w:lang w:val="en-US"/>
        </w:rPr>
        <w:t xml:space="preserve"> above</w:t>
      </w:r>
      <w:r>
        <w:rPr>
          <w:color w:val="000000"/>
          <w:lang w:val="en-US"/>
        </w:rPr>
        <w:t>, Cases 1</w:t>
      </w:r>
      <w:r w:rsidR="00E275E2">
        <w:rPr>
          <w:color w:val="000000"/>
          <w:lang w:val="en-US"/>
        </w:rPr>
        <w:t xml:space="preserve"> and </w:t>
      </w:r>
      <w:r>
        <w:rPr>
          <w:color w:val="000000"/>
          <w:lang w:val="en-US"/>
        </w:rPr>
        <w:t>2?</w:t>
      </w:r>
    </w:p>
    <w:p w14:paraId="7BD2CF1F" w14:textId="77777777" w:rsidR="000F3F83" w:rsidRDefault="000F3F83" w:rsidP="000F3F83">
      <w:pPr>
        <w:pStyle w:val="SingleTxtG"/>
        <w:shd w:val="clear" w:color="auto" w:fill="FFFFFF"/>
        <w:suppressAutoHyphens w:val="0"/>
        <w:spacing w:line="240" w:lineRule="auto"/>
        <w:ind w:left="1690"/>
        <w:rPr>
          <w:color w:val="000000"/>
          <w:lang w:val="en-US"/>
        </w:rPr>
      </w:pPr>
      <w:r>
        <w:rPr>
          <w:color w:val="000000"/>
          <w:lang w:val="en-US"/>
        </w:rPr>
        <w:t>Question 2:</w:t>
      </w:r>
    </w:p>
    <w:p w14:paraId="5BF857FE" w14:textId="6C2C68D2" w:rsidR="000F3F83" w:rsidRDefault="000F3F83" w:rsidP="006917B1">
      <w:pPr>
        <w:pStyle w:val="SingleTxtG"/>
        <w:shd w:val="clear" w:color="auto" w:fill="FFFFFF"/>
        <w:suppressAutoHyphens w:val="0"/>
        <w:spacing w:line="240" w:lineRule="auto"/>
        <w:ind w:left="1690"/>
        <w:rPr>
          <w:color w:val="000000"/>
          <w:lang w:val="en-US"/>
        </w:rPr>
      </w:pPr>
      <w:r>
        <w:rPr>
          <w:color w:val="000000"/>
          <w:lang w:val="en-US"/>
        </w:rPr>
        <w:t>a)</w:t>
      </w:r>
      <w:r w:rsidR="005F03D1">
        <w:rPr>
          <w:color w:val="000000"/>
          <w:lang w:val="en-US"/>
        </w:rPr>
        <w:tab/>
      </w:r>
      <w:r>
        <w:rPr>
          <w:color w:val="000000"/>
          <w:lang w:val="en-US"/>
        </w:rPr>
        <w:t>Has the competent authority approval to be issued by the country of manufacturing of one of the Contracting Parties to ADR/Contracting States to RID</w:t>
      </w:r>
      <w:r w:rsidR="006917B1">
        <w:rPr>
          <w:color w:val="000000"/>
          <w:lang w:val="en-US"/>
        </w:rPr>
        <w:t xml:space="preserve">; </w:t>
      </w:r>
      <w:r>
        <w:rPr>
          <w:color w:val="000000"/>
          <w:lang w:val="en-US"/>
        </w:rPr>
        <w:t xml:space="preserve">and </w:t>
      </w:r>
    </w:p>
    <w:p w14:paraId="61549346" w14:textId="61C02A7C" w:rsidR="000F3F83" w:rsidRDefault="000F3F83" w:rsidP="000F3F83">
      <w:pPr>
        <w:pStyle w:val="SingleTxtG"/>
        <w:shd w:val="clear" w:color="auto" w:fill="FFFFFF"/>
        <w:suppressAutoHyphens w:val="0"/>
        <w:spacing w:line="240" w:lineRule="auto"/>
        <w:ind w:left="1690"/>
        <w:rPr>
          <w:color w:val="000000"/>
          <w:lang w:val="en-US"/>
        </w:rPr>
      </w:pPr>
      <w:r>
        <w:rPr>
          <w:color w:val="000000"/>
          <w:lang w:val="en-US"/>
        </w:rPr>
        <w:t>b)</w:t>
      </w:r>
      <w:r w:rsidR="005F03D1">
        <w:rPr>
          <w:color w:val="000000"/>
          <w:lang w:val="en-US"/>
        </w:rPr>
        <w:tab/>
      </w:r>
      <w:r w:rsidR="006917B1">
        <w:rPr>
          <w:color w:val="000000"/>
          <w:lang w:val="en-US"/>
        </w:rPr>
        <w:t>I</w:t>
      </w:r>
      <w:r>
        <w:rPr>
          <w:color w:val="000000"/>
          <w:lang w:val="en-US"/>
        </w:rPr>
        <w:t xml:space="preserve">s the competent authority approval issued only valid in that particular country of origin or is it valid in all </w:t>
      </w:r>
      <w:r w:rsidRPr="00BA5FCA">
        <w:rPr>
          <w:color w:val="000000" w:themeColor="text1"/>
          <w:lang w:val="en-US"/>
        </w:rPr>
        <w:t>Contracting</w:t>
      </w:r>
      <w:r w:rsidRPr="00BA5FCA">
        <w:rPr>
          <w:color w:val="000000"/>
          <w:lang w:val="en-US"/>
        </w:rPr>
        <w:t xml:space="preserve"> Parties</w:t>
      </w:r>
      <w:r>
        <w:rPr>
          <w:color w:val="000000"/>
          <w:lang w:val="en-US"/>
        </w:rPr>
        <w:t>/States.</w:t>
      </w:r>
    </w:p>
    <w:p w14:paraId="05ACA1C2" w14:textId="77777777" w:rsidR="005F03D1" w:rsidRPr="00155B75" w:rsidRDefault="005F03D1" w:rsidP="005F03D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B80F100" w14:textId="77777777" w:rsidR="008D64F5" w:rsidRDefault="008D64F5" w:rsidP="000F3F83">
      <w:pPr>
        <w:pStyle w:val="SingleTxtG"/>
        <w:shd w:val="clear" w:color="auto" w:fill="FFFFFF"/>
        <w:suppressAutoHyphens w:val="0"/>
        <w:spacing w:line="240" w:lineRule="auto"/>
        <w:ind w:left="1690"/>
        <w:rPr>
          <w:color w:val="000000"/>
          <w:lang w:val="en-US"/>
        </w:rPr>
      </w:pPr>
    </w:p>
    <w:sectPr w:rsidR="008D64F5" w:rsidSect="00572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3FC5" w14:textId="77777777" w:rsidR="00E74A10" w:rsidRDefault="00E74A10"/>
  </w:endnote>
  <w:endnote w:type="continuationSeparator" w:id="0">
    <w:p w14:paraId="0BD89E9D" w14:textId="77777777" w:rsidR="00E74A10" w:rsidRDefault="00E74A10"/>
  </w:endnote>
  <w:endnote w:type="continuationNotice" w:id="1">
    <w:p w14:paraId="7177AC17" w14:textId="77777777" w:rsidR="00E74A10" w:rsidRDefault="00E74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593B"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F4E6D">
      <w:rPr>
        <w:rStyle w:val="Numrodepage"/>
        <w:noProof/>
      </w:rPr>
      <w:t>13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EFEC" w14:textId="77777777" w:rsidR="00E74A10" w:rsidRPr="000B175B" w:rsidRDefault="00E74A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28ADC5" w14:textId="77777777" w:rsidR="00E74A10" w:rsidRPr="00FC68B7" w:rsidRDefault="00E74A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D378FC" w14:textId="77777777" w:rsidR="00E74A10" w:rsidRDefault="00E74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291B78A7" w:rsidR="000C5A28" w:rsidRPr="00D60FE0" w:rsidRDefault="000C5A28">
    <w:pPr>
      <w:pStyle w:val="En-tte"/>
      <w:rPr>
        <w:sz w:val="24"/>
        <w:szCs w:val="24"/>
      </w:rPr>
    </w:pPr>
    <w:r w:rsidRPr="00D60FE0">
      <w:rPr>
        <w:sz w:val="24"/>
        <w:szCs w:val="24"/>
      </w:rPr>
      <w:t>INF.</w:t>
    </w:r>
    <w:r w:rsidR="005F03D1">
      <w:rPr>
        <w:sz w:val="24"/>
        <w:szCs w:val="24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77777777" w:rsidR="000C5A28" w:rsidRPr="00517E8D" w:rsidRDefault="000C5A28" w:rsidP="0067520F">
    <w:pPr>
      <w:pStyle w:val="En-tte"/>
      <w:jc w:val="right"/>
    </w:pPr>
    <w:r w:rsidRPr="00D60FE0">
      <w:rPr>
        <w:rStyle w:val="Numrodepage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49F47168" w:rsidR="000C5A28" w:rsidRPr="00146493" w:rsidRDefault="0032115C" w:rsidP="0014649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</w:t>
    </w:r>
    <w:r w:rsidR="00AF713D">
      <w:rPr>
        <w:sz w:val="24"/>
        <w:szCs w:val="24"/>
      </w:rPr>
      <w:t>7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25875"/>
    <w:multiLevelType w:val="hybridMultilevel"/>
    <w:tmpl w:val="F2622D88"/>
    <w:lvl w:ilvl="0" w:tplc="5A084768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8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715AE2"/>
    <w:multiLevelType w:val="hybridMultilevel"/>
    <w:tmpl w:val="91B672D6"/>
    <w:lvl w:ilvl="0" w:tplc="481A7D94">
      <w:start w:val="1"/>
      <w:numFmt w:val="decimal"/>
      <w:lvlText w:val="%1."/>
      <w:lvlJc w:val="left"/>
      <w:pPr>
        <w:ind w:left="1690" w:hanging="555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1"/>
  </w:num>
  <w:num w:numId="13">
    <w:abstractNumId w:val="12"/>
  </w:num>
  <w:num w:numId="14">
    <w:abstractNumId w:val="19"/>
  </w:num>
  <w:num w:numId="15">
    <w:abstractNumId w:val="25"/>
  </w:num>
  <w:num w:numId="16">
    <w:abstractNumId w:val="20"/>
  </w:num>
  <w:num w:numId="17">
    <w:abstractNumId w:val="32"/>
  </w:num>
  <w:num w:numId="18">
    <w:abstractNumId w:val="35"/>
  </w:num>
  <w:num w:numId="19">
    <w:abstractNumId w:val="15"/>
  </w:num>
  <w:num w:numId="20">
    <w:abstractNumId w:val="14"/>
  </w:num>
  <w:num w:numId="21">
    <w:abstractNumId w:val="27"/>
  </w:num>
  <w:num w:numId="22">
    <w:abstractNumId w:val="22"/>
  </w:num>
  <w:num w:numId="23">
    <w:abstractNumId w:val="16"/>
  </w:num>
  <w:num w:numId="24">
    <w:abstractNumId w:val="28"/>
  </w:num>
  <w:num w:numId="25">
    <w:abstractNumId w:val="10"/>
  </w:num>
  <w:num w:numId="26">
    <w:abstractNumId w:val="11"/>
  </w:num>
  <w:num w:numId="27">
    <w:abstractNumId w:val="33"/>
  </w:num>
  <w:num w:numId="28">
    <w:abstractNumId w:val="26"/>
  </w:num>
  <w:num w:numId="29">
    <w:abstractNumId w:val="23"/>
  </w:num>
  <w:num w:numId="30">
    <w:abstractNumId w:val="30"/>
  </w:num>
  <w:num w:numId="31">
    <w:abstractNumId w:val="34"/>
  </w:num>
  <w:num w:numId="32">
    <w:abstractNumId w:val="13"/>
  </w:num>
  <w:num w:numId="33">
    <w:abstractNumId w:val="36"/>
  </w:num>
  <w:num w:numId="34">
    <w:abstractNumId w:val="18"/>
  </w:num>
  <w:num w:numId="35">
    <w:abstractNumId w:val="31"/>
  </w:num>
  <w:num w:numId="36">
    <w:abstractNumId w:val="29"/>
  </w:num>
  <w:num w:numId="37">
    <w:abstractNumId w:val="17"/>
  </w:num>
  <w:num w:numId="38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455B2"/>
    <w:rsid w:val="00050F6B"/>
    <w:rsid w:val="00051C81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A28"/>
    <w:rsid w:val="000D50AD"/>
    <w:rsid w:val="000E0415"/>
    <w:rsid w:val="000E7EB0"/>
    <w:rsid w:val="000F0910"/>
    <w:rsid w:val="000F2167"/>
    <w:rsid w:val="000F3F83"/>
    <w:rsid w:val="000F7715"/>
    <w:rsid w:val="00103410"/>
    <w:rsid w:val="00103E99"/>
    <w:rsid w:val="00112A5B"/>
    <w:rsid w:val="00113720"/>
    <w:rsid w:val="001213C0"/>
    <w:rsid w:val="001335C5"/>
    <w:rsid w:val="001403DD"/>
    <w:rsid w:val="0014164A"/>
    <w:rsid w:val="00146493"/>
    <w:rsid w:val="00155B75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26BA7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8647A"/>
    <w:rsid w:val="00296123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2F3FCF"/>
    <w:rsid w:val="002F47D8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0FF7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2D4A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47C96"/>
    <w:rsid w:val="00452166"/>
    <w:rsid w:val="00455FD4"/>
    <w:rsid w:val="00456A02"/>
    <w:rsid w:val="004617BB"/>
    <w:rsid w:val="0046243B"/>
    <w:rsid w:val="00462880"/>
    <w:rsid w:val="004714B8"/>
    <w:rsid w:val="0047298C"/>
    <w:rsid w:val="0047303D"/>
    <w:rsid w:val="00476F24"/>
    <w:rsid w:val="00482651"/>
    <w:rsid w:val="004909E7"/>
    <w:rsid w:val="004913D5"/>
    <w:rsid w:val="00493073"/>
    <w:rsid w:val="00493C61"/>
    <w:rsid w:val="004949C2"/>
    <w:rsid w:val="004953E5"/>
    <w:rsid w:val="004A3646"/>
    <w:rsid w:val="004A4250"/>
    <w:rsid w:val="004A6D6A"/>
    <w:rsid w:val="004B3354"/>
    <w:rsid w:val="004B45B0"/>
    <w:rsid w:val="004C19FC"/>
    <w:rsid w:val="004C55B0"/>
    <w:rsid w:val="004E4179"/>
    <w:rsid w:val="004E6E10"/>
    <w:rsid w:val="004F2D9F"/>
    <w:rsid w:val="004F643A"/>
    <w:rsid w:val="004F6BA0"/>
    <w:rsid w:val="00503BEA"/>
    <w:rsid w:val="00510A6D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65863"/>
    <w:rsid w:val="00565EBE"/>
    <w:rsid w:val="005711D3"/>
    <w:rsid w:val="0057224A"/>
    <w:rsid w:val="00577096"/>
    <w:rsid w:val="00584173"/>
    <w:rsid w:val="00586B0A"/>
    <w:rsid w:val="00595520"/>
    <w:rsid w:val="00597DE1"/>
    <w:rsid w:val="005A44B9"/>
    <w:rsid w:val="005A541E"/>
    <w:rsid w:val="005A589F"/>
    <w:rsid w:val="005A593B"/>
    <w:rsid w:val="005B0441"/>
    <w:rsid w:val="005B1BA0"/>
    <w:rsid w:val="005B3DB3"/>
    <w:rsid w:val="005B493B"/>
    <w:rsid w:val="005D15CA"/>
    <w:rsid w:val="005D390C"/>
    <w:rsid w:val="005D4A32"/>
    <w:rsid w:val="005F03D1"/>
    <w:rsid w:val="005F3066"/>
    <w:rsid w:val="005F3E61"/>
    <w:rsid w:val="005F51F6"/>
    <w:rsid w:val="00602013"/>
    <w:rsid w:val="00604DDD"/>
    <w:rsid w:val="00605E52"/>
    <w:rsid w:val="0061106D"/>
    <w:rsid w:val="006115CC"/>
    <w:rsid w:val="00611FC4"/>
    <w:rsid w:val="006176FB"/>
    <w:rsid w:val="00630FCB"/>
    <w:rsid w:val="00632F10"/>
    <w:rsid w:val="006354B8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E4F"/>
    <w:rsid w:val="006917B1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2E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462A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4F56"/>
    <w:rsid w:val="008979B1"/>
    <w:rsid w:val="008A6B25"/>
    <w:rsid w:val="008A6C4F"/>
    <w:rsid w:val="008B389E"/>
    <w:rsid w:val="008B4035"/>
    <w:rsid w:val="008B4C09"/>
    <w:rsid w:val="008C5BCB"/>
    <w:rsid w:val="008D045E"/>
    <w:rsid w:val="008D3F25"/>
    <w:rsid w:val="008D464D"/>
    <w:rsid w:val="008D4D82"/>
    <w:rsid w:val="008D64F5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98A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57804"/>
    <w:rsid w:val="009601FF"/>
    <w:rsid w:val="00960D5D"/>
    <w:rsid w:val="009610D0"/>
    <w:rsid w:val="0096375C"/>
    <w:rsid w:val="009662E6"/>
    <w:rsid w:val="0097095E"/>
    <w:rsid w:val="009741E1"/>
    <w:rsid w:val="0097751F"/>
    <w:rsid w:val="00980D03"/>
    <w:rsid w:val="00980F57"/>
    <w:rsid w:val="0098592B"/>
    <w:rsid w:val="00985FC4"/>
    <w:rsid w:val="00987F1F"/>
    <w:rsid w:val="00990766"/>
    <w:rsid w:val="00991261"/>
    <w:rsid w:val="00992C68"/>
    <w:rsid w:val="009964C4"/>
    <w:rsid w:val="009A402A"/>
    <w:rsid w:val="009A7B81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226A"/>
    <w:rsid w:val="00A54B9B"/>
    <w:rsid w:val="00A60CFD"/>
    <w:rsid w:val="00A6592A"/>
    <w:rsid w:val="00A72F22"/>
    <w:rsid w:val="00A733BC"/>
    <w:rsid w:val="00A748A6"/>
    <w:rsid w:val="00A749C1"/>
    <w:rsid w:val="00A76A69"/>
    <w:rsid w:val="00A77309"/>
    <w:rsid w:val="00A77D0C"/>
    <w:rsid w:val="00A824E7"/>
    <w:rsid w:val="00A879A4"/>
    <w:rsid w:val="00A96696"/>
    <w:rsid w:val="00AA0FF8"/>
    <w:rsid w:val="00AC0F2C"/>
    <w:rsid w:val="00AC14F5"/>
    <w:rsid w:val="00AC502A"/>
    <w:rsid w:val="00AC5B31"/>
    <w:rsid w:val="00AC648E"/>
    <w:rsid w:val="00AD21EB"/>
    <w:rsid w:val="00AD2623"/>
    <w:rsid w:val="00AE0522"/>
    <w:rsid w:val="00AE69BE"/>
    <w:rsid w:val="00AF0A80"/>
    <w:rsid w:val="00AF3A98"/>
    <w:rsid w:val="00AF462B"/>
    <w:rsid w:val="00AF58C1"/>
    <w:rsid w:val="00AF6882"/>
    <w:rsid w:val="00AF713D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482F"/>
    <w:rsid w:val="00B45C02"/>
    <w:rsid w:val="00B5617C"/>
    <w:rsid w:val="00B720E7"/>
    <w:rsid w:val="00B72A1E"/>
    <w:rsid w:val="00B81E12"/>
    <w:rsid w:val="00B840CD"/>
    <w:rsid w:val="00B91466"/>
    <w:rsid w:val="00B9282B"/>
    <w:rsid w:val="00BA2494"/>
    <w:rsid w:val="00BA339B"/>
    <w:rsid w:val="00BA7506"/>
    <w:rsid w:val="00BB3ED2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333D"/>
    <w:rsid w:val="00C9747B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47E1"/>
    <w:rsid w:val="00CC60D5"/>
    <w:rsid w:val="00CD46F5"/>
    <w:rsid w:val="00CD6C29"/>
    <w:rsid w:val="00CE4A8F"/>
    <w:rsid w:val="00CE52ED"/>
    <w:rsid w:val="00CF071D"/>
    <w:rsid w:val="00CF116C"/>
    <w:rsid w:val="00D001B3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562EE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4E"/>
    <w:rsid w:val="00DB66FA"/>
    <w:rsid w:val="00DC0334"/>
    <w:rsid w:val="00DC040A"/>
    <w:rsid w:val="00DC18AD"/>
    <w:rsid w:val="00DD5E4C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275E2"/>
    <w:rsid w:val="00E41BF3"/>
    <w:rsid w:val="00E423C0"/>
    <w:rsid w:val="00E44DD8"/>
    <w:rsid w:val="00E46DC9"/>
    <w:rsid w:val="00E46F54"/>
    <w:rsid w:val="00E55DC3"/>
    <w:rsid w:val="00E62486"/>
    <w:rsid w:val="00E6414C"/>
    <w:rsid w:val="00E64CA7"/>
    <w:rsid w:val="00E66DA2"/>
    <w:rsid w:val="00E7260F"/>
    <w:rsid w:val="00E74A10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0C38"/>
    <w:rsid w:val="00F3742B"/>
    <w:rsid w:val="00F41FDB"/>
    <w:rsid w:val="00F42721"/>
    <w:rsid w:val="00F42C0A"/>
    <w:rsid w:val="00F5337D"/>
    <w:rsid w:val="00F5351A"/>
    <w:rsid w:val="00F56D63"/>
    <w:rsid w:val="00F609A9"/>
    <w:rsid w:val="00F65614"/>
    <w:rsid w:val="00F66595"/>
    <w:rsid w:val="00F80C99"/>
    <w:rsid w:val="00F8342A"/>
    <w:rsid w:val="00F867EC"/>
    <w:rsid w:val="00F91B2B"/>
    <w:rsid w:val="00FB3B51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re1Car">
    <w:name w:val="Titre 1 Car"/>
    <w:aliases w:val="Table_G Car"/>
    <w:link w:val="Titre1"/>
    <w:locked/>
    <w:rsid w:val="00517E8D"/>
    <w:rPr>
      <w:rFonts w:eastAsia="MS Mincho"/>
      <w:lang w:val="en-GB" w:eastAsia="ja-JP" w:bidi="ar-SA"/>
    </w:rPr>
  </w:style>
  <w:style w:type="table" w:styleId="Grilledutableau">
    <w:name w:val="Table Grid"/>
    <w:basedOn w:val="Tableau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Titre2Car">
    <w:name w:val="Titre 2 Car"/>
    <w:link w:val="Titre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Titre3Car">
    <w:name w:val="Titre 3 Car"/>
    <w:link w:val="Titre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PieddepageCar">
    <w:name w:val="Pied de page Car"/>
    <w:aliases w:val="3_G Car"/>
    <w:link w:val="Pieddepage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En-tteCar">
    <w:name w:val="En-tête Car"/>
    <w:aliases w:val="6_G Car"/>
    <w:link w:val="En-tte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Corpsdetexte">
    <w:name w:val="Body Text"/>
    <w:basedOn w:val="Normal"/>
    <w:link w:val="CorpsdetexteC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CorpsdetexteCar">
    <w:name w:val="Corps de texte Car"/>
    <w:link w:val="Corpsdetexte"/>
    <w:semiHidden/>
    <w:locked/>
    <w:rsid w:val="00517E8D"/>
    <w:rPr>
      <w:sz w:val="24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RetraitcorpsdetexteCar">
    <w:name w:val="Retrait corps de texte Car"/>
    <w:link w:val="Retraitcorpsdetexte"/>
    <w:semiHidden/>
    <w:locked/>
    <w:rsid w:val="00517E8D"/>
    <w:rPr>
      <w:sz w:val="22"/>
      <w:szCs w:val="22"/>
      <w:lang w:val="en-GB" w:eastAsia="nb-NO" w:bidi="ar-SA"/>
    </w:rPr>
  </w:style>
  <w:style w:type="paragraph" w:styleId="Retraitcorpsdetexte2">
    <w:name w:val="Body Text Indent 2"/>
    <w:basedOn w:val="Normal"/>
    <w:link w:val="Retraitcorpsdetexte2C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Retraitcorpsdetexte2Car">
    <w:name w:val="Retrait corps de texte 2 Car"/>
    <w:link w:val="Retraitcorpsdetexte2"/>
    <w:semiHidden/>
    <w:locked/>
    <w:rsid w:val="00517E8D"/>
    <w:rPr>
      <w:sz w:val="24"/>
      <w:szCs w:val="24"/>
      <w:lang w:val="en-GB" w:eastAsia="nb-NO" w:bidi="ar-SA"/>
    </w:rPr>
  </w:style>
  <w:style w:type="paragraph" w:styleId="Paragraphedeliste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NotedebasdepageCar">
    <w:name w:val="Note de bas de page Car"/>
    <w:aliases w:val="5_G Car"/>
    <w:link w:val="Notedebasdepage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Textedebulles">
    <w:name w:val="Balloon Text"/>
    <w:basedOn w:val="Normal"/>
    <w:link w:val="TextedebullesC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aire">
    <w:name w:val="annotation text"/>
    <w:basedOn w:val="Normal"/>
    <w:link w:val="CommentaireC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aireCar">
    <w:name w:val="Commentaire Car"/>
    <w:link w:val="Commentaire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3FCCE-75EB-4A72-90C2-4E69983BDBF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25</cp:revision>
  <cp:lastPrinted>2014-06-18T09:27:00Z</cp:lastPrinted>
  <dcterms:created xsi:type="dcterms:W3CDTF">2021-08-31T12:55:00Z</dcterms:created>
  <dcterms:modified xsi:type="dcterms:W3CDTF">2021-09-02T12:19:00Z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