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9E6CB7" w:rsidRPr="00732FE5" w14:paraId="58D34B4A" w14:textId="77777777" w:rsidTr="00B20551">
        <w:trPr>
          <w:cantSplit/>
          <w:trHeight w:hRule="exact" w:val="851"/>
        </w:trPr>
        <w:tc>
          <w:tcPr>
            <w:tcW w:w="1276" w:type="dxa"/>
            <w:tcBorders>
              <w:bottom w:val="single" w:sz="4" w:space="0" w:color="auto"/>
            </w:tcBorders>
            <w:vAlign w:val="bottom"/>
          </w:tcPr>
          <w:p w14:paraId="4B5C3751" w14:textId="77777777" w:rsidR="009E6CB7" w:rsidRPr="00732FE5" w:rsidRDefault="009E6CB7" w:rsidP="00B20551">
            <w:pPr>
              <w:spacing w:after="80"/>
            </w:pPr>
          </w:p>
        </w:tc>
        <w:tc>
          <w:tcPr>
            <w:tcW w:w="2268" w:type="dxa"/>
            <w:tcBorders>
              <w:bottom w:val="single" w:sz="4" w:space="0" w:color="auto"/>
            </w:tcBorders>
            <w:vAlign w:val="bottom"/>
          </w:tcPr>
          <w:p w14:paraId="2BC30C1F" w14:textId="7DA4B580" w:rsidR="009E6CB7" w:rsidRPr="00732FE5" w:rsidRDefault="009E6CB7" w:rsidP="00B20551">
            <w:pPr>
              <w:spacing w:after="80" w:line="300" w:lineRule="exact"/>
              <w:rPr>
                <w:b/>
                <w:sz w:val="24"/>
                <w:szCs w:val="24"/>
              </w:rPr>
            </w:pPr>
          </w:p>
        </w:tc>
        <w:tc>
          <w:tcPr>
            <w:tcW w:w="6095" w:type="dxa"/>
            <w:tcBorders>
              <w:bottom w:val="single" w:sz="4" w:space="0" w:color="auto"/>
            </w:tcBorders>
            <w:vAlign w:val="bottom"/>
          </w:tcPr>
          <w:p w14:paraId="74B4D81A" w14:textId="6BAF7EA4" w:rsidR="009E6CB7" w:rsidRPr="00732FE5" w:rsidRDefault="00B23C35" w:rsidP="002E480D">
            <w:pPr>
              <w:jc w:val="right"/>
            </w:pPr>
            <w:r w:rsidRPr="00CD2E74">
              <w:rPr>
                <w:b/>
                <w:sz w:val="24"/>
                <w:szCs w:val="24"/>
              </w:rPr>
              <w:t>INF.</w:t>
            </w:r>
            <w:r>
              <w:rPr>
                <w:b/>
                <w:sz w:val="24"/>
                <w:szCs w:val="24"/>
              </w:rPr>
              <w:t>49</w:t>
            </w:r>
          </w:p>
        </w:tc>
      </w:tr>
    </w:tbl>
    <w:p w14:paraId="1647EAC3" w14:textId="77777777" w:rsidR="00B23C35" w:rsidRDefault="00B23C35" w:rsidP="00B23C35">
      <w:pPr>
        <w:spacing w:before="120"/>
        <w:rPr>
          <w:b/>
          <w:sz w:val="28"/>
          <w:szCs w:val="28"/>
        </w:rPr>
      </w:pPr>
      <w:r>
        <w:rPr>
          <w:b/>
          <w:sz w:val="28"/>
          <w:szCs w:val="28"/>
        </w:rPr>
        <w:t>Economic Commission for Europe</w:t>
      </w:r>
    </w:p>
    <w:p w14:paraId="600600D2" w14:textId="77777777" w:rsidR="00B23C35" w:rsidRDefault="00B23C35" w:rsidP="00B23C35">
      <w:pPr>
        <w:spacing w:before="120"/>
        <w:rPr>
          <w:sz w:val="28"/>
          <w:szCs w:val="28"/>
        </w:rPr>
      </w:pPr>
      <w:r>
        <w:rPr>
          <w:sz w:val="28"/>
          <w:szCs w:val="28"/>
        </w:rPr>
        <w:t>Inland Transport Committee</w:t>
      </w:r>
    </w:p>
    <w:p w14:paraId="615A6B27" w14:textId="77777777" w:rsidR="00B23C35" w:rsidRDefault="00B23C35" w:rsidP="00B23C35">
      <w:pPr>
        <w:spacing w:before="120" w:after="120"/>
        <w:rPr>
          <w:b/>
          <w:sz w:val="24"/>
          <w:szCs w:val="24"/>
        </w:rPr>
      </w:pPr>
      <w:r>
        <w:rPr>
          <w:b/>
          <w:sz w:val="24"/>
          <w:szCs w:val="24"/>
        </w:rPr>
        <w:t>Working Party on the Transport of Dangerous Goods</w:t>
      </w:r>
    </w:p>
    <w:p w14:paraId="64CDA277" w14:textId="77777777" w:rsidR="00B23C35" w:rsidRDefault="00B23C35" w:rsidP="00B23C35">
      <w:pPr>
        <w:rPr>
          <w:b/>
          <w:bCs/>
        </w:rPr>
      </w:pPr>
      <w:r>
        <w:rPr>
          <w:b/>
          <w:bCs/>
        </w:rPr>
        <w:t>Joint Meeting of the RID Committee of Experts and the</w:t>
      </w:r>
      <w:r>
        <w:rPr>
          <w:b/>
          <w:bCs/>
        </w:rPr>
        <w:br/>
        <w:t>Working Party on the Transport of Dangerous Goods</w:t>
      </w:r>
    </w:p>
    <w:p w14:paraId="3FDE8D44" w14:textId="77777777" w:rsidR="00B23C35" w:rsidRDefault="00B23C35" w:rsidP="00B23C35">
      <w:pPr>
        <w:rPr>
          <w:lang w:val="en-US"/>
        </w:rPr>
      </w:pPr>
      <w:r>
        <w:rPr>
          <w:lang w:val="en-US"/>
        </w:rPr>
        <w:t>Geneva, 21 September – 1 October 2021</w:t>
      </w:r>
      <w:r>
        <w:rPr>
          <w:lang w:val="en-US"/>
        </w:rPr>
        <w:tab/>
      </w:r>
      <w:r>
        <w:rPr>
          <w:lang w:val="en-US"/>
        </w:rPr>
        <w:tab/>
      </w:r>
      <w:r>
        <w:rPr>
          <w:lang w:val="en-US"/>
        </w:rPr>
        <w:tab/>
      </w:r>
      <w:r>
        <w:rPr>
          <w:lang w:val="en-US"/>
        </w:rPr>
        <w:tab/>
      </w:r>
      <w:r>
        <w:rPr>
          <w:lang w:val="en-US"/>
        </w:rPr>
        <w:tab/>
      </w:r>
      <w:r>
        <w:rPr>
          <w:lang w:val="en-US"/>
        </w:rPr>
        <w:tab/>
      </w:r>
      <w:r>
        <w:rPr>
          <w:lang w:val="en-US"/>
        </w:rPr>
        <w:tab/>
        <w:t>30 September 2021</w:t>
      </w:r>
    </w:p>
    <w:p w14:paraId="57DE41F8" w14:textId="77777777" w:rsidR="00B23C35" w:rsidRPr="000B4DCF" w:rsidRDefault="00B23C35" w:rsidP="00B23C35">
      <w:pPr>
        <w:rPr>
          <w:b/>
          <w:bCs/>
        </w:rPr>
      </w:pPr>
      <w:r w:rsidRPr="000B4DCF">
        <w:rPr>
          <w:b/>
          <w:bCs/>
        </w:rPr>
        <w:t>Item 2 of the provisional agenda</w:t>
      </w:r>
    </w:p>
    <w:p w14:paraId="04959FE3" w14:textId="77777777" w:rsidR="00B23C35" w:rsidRPr="000B4DCF" w:rsidRDefault="00B23C35" w:rsidP="00B23C35">
      <w:pPr>
        <w:rPr>
          <w:b/>
          <w:bCs/>
        </w:rPr>
      </w:pPr>
      <w:r w:rsidRPr="000B4DCF">
        <w:rPr>
          <w:b/>
          <w:bCs/>
        </w:rPr>
        <w:t>Tanks</w:t>
      </w:r>
    </w:p>
    <w:p w14:paraId="09D48440" w14:textId="2D07659A" w:rsidR="00FC4ACF" w:rsidRPr="007B5442" w:rsidRDefault="00FC4ACF" w:rsidP="00FC4ACF">
      <w:pPr>
        <w:pStyle w:val="HChG"/>
      </w:pPr>
      <w:r w:rsidRPr="007B5442">
        <w:tab/>
      </w:r>
      <w:r w:rsidRPr="007B5442">
        <w:tab/>
        <w:t>Report</w:t>
      </w:r>
      <w:r w:rsidR="007B5442" w:rsidRPr="007B5442">
        <w:t xml:space="preserve"> of the Working Group on Tanks</w:t>
      </w:r>
    </w:p>
    <w:p w14:paraId="584B713C" w14:textId="7955AF7F" w:rsidR="00FC4ACF" w:rsidRPr="007B5442" w:rsidRDefault="00FC4ACF" w:rsidP="000E12AE">
      <w:pPr>
        <w:pStyle w:val="H56G"/>
      </w:pPr>
      <w:r w:rsidRPr="007B5442">
        <w:tab/>
      </w:r>
      <w:r w:rsidRPr="007B5442">
        <w:tab/>
      </w:r>
      <w:r w:rsidR="007B5442" w:rsidRPr="007B5442">
        <w:t xml:space="preserve">Meeting </w:t>
      </w:r>
      <w:r w:rsidRPr="007B5442">
        <w:t xml:space="preserve">held </w:t>
      </w:r>
      <w:r w:rsidR="007B5442" w:rsidRPr="007B5442">
        <w:t xml:space="preserve">remotely </w:t>
      </w:r>
      <w:r w:rsidRPr="007B5442">
        <w:t xml:space="preserve">in </w:t>
      </w:r>
      <w:r w:rsidR="000E12AE" w:rsidRPr="007B5442">
        <w:t>Geneva</w:t>
      </w:r>
      <w:r w:rsidRPr="007B5442">
        <w:t xml:space="preserve">, </w:t>
      </w:r>
      <w:r w:rsidR="00726571" w:rsidRPr="007B5442">
        <w:t xml:space="preserve">on </w:t>
      </w:r>
      <w:r w:rsidR="000E12AE" w:rsidRPr="007B5442">
        <w:t>27</w:t>
      </w:r>
      <w:r w:rsidRPr="007B5442">
        <w:t>–</w:t>
      </w:r>
      <w:r w:rsidR="000E12AE" w:rsidRPr="007B5442">
        <w:t>2</w:t>
      </w:r>
      <w:r w:rsidR="00B56D4F" w:rsidRPr="007B5442">
        <w:t>9</w:t>
      </w:r>
      <w:r w:rsidRPr="007B5442">
        <w:t xml:space="preserve"> </w:t>
      </w:r>
      <w:r w:rsidR="000E12AE" w:rsidRPr="007B5442">
        <w:t xml:space="preserve">September </w:t>
      </w:r>
      <w:r w:rsidRPr="007B5442">
        <w:t>202</w:t>
      </w:r>
      <w:r w:rsidR="00C35008" w:rsidRPr="007B5442">
        <w:t>1</w:t>
      </w:r>
    </w:p>
    <w:p w14:paraId="0A7165CC" w14:textId="0D703279" w:rsidR="00E06790" w:rsidRPr="007B5442" w:rsidRDefault="00E06790" w:rsidP="00E06790">
      <w:pPr>
        <w:pStyle w:val="SingleTxtG"/>
      </w:pPr>
      <w:r w:rsidRPr="007B5442">
        <w:tab/>
        <w:t>1.</w:t>
      </w:r>
      <w:r w:rsidRPr="007B5442">
        <w:tab/>
        <w:t xml:space="preserve">The Working Group on Tanks met from </w:t>
      </w:r>
      <w:r w:rsidR="000E12AE" w:rsidRPr="007B5442">
        <w:t>27</w:t>
      </w:r>
      <w:r w:rsidRPr="007B5442">
        <w:t xml:space="preserve"> to </w:t>
      </w:r>
      <w:r w:rsidR="000E12AE" w:rsidRPr="007B5442">
        <w:t>29</w:t>
      </w:r>
      <w:r w:rsidRPr="007B5442">
        <w:t xml:space="preserve"> </w:t>
      </w:r>
      <w:r w:rsidR="000E12AE" w:rsidRPr="007B5442">
        <w:t xml:space="preserve">September </w:t>
      </w:r>
      <w:r w:rsidRPr="007B5442">
        <w:t>2021 on a virtual basis on the mandate from the RID/ADR/ADN Joint Meeting, under the chairmanship of Mr. Arne Bale (United Kingdom), with Mr. Kees de Putter (Netherlands) as secretary. The relevant documents were submitted to the plenary session and transferred to the Working Group for consideration.</w:t>
      </w:r>
    </w:p>
    <w:p w14:paraId="3B5AEB0C" w14:textId="43996752" w:rsidR="00E06790" w:rsidRPr="007B5442" w:rsidRDefault="00E06790" w:rsidP="00E06790">
      <w:pPr>
        <w:pStyle w:val="SingleTxtG"/>
        <w:ind w:right="973"/>
      </w:pPr>
      <w:r w:rsidRPr="007B5442">
        <w:t>2.</w:t>
      </w:r>
      <w:r w:rsidRPr="007B5442">
        <w:tab/>
        <w:t>For the Working Group on Tanks, 4</w:t>
      </w:r>
      <w:r w:rsidR="00CA43BF" w:rsidRPr="007B5442">
        <w:t>1</w:t>
      </w:r>
      <w:r w:rsidRPr="007B5442">
        <w:t xml:space="preserve"> experts registered for participation from 1</w:t>
      </w:r>
      <w:r w:rsidR="00CA43BF" w:rsidRPr="007B5442">
        <w:t>4</w:t>
      </w:r>
      <w:r w:rsidRPr="007B5442">
        <w:t xml:space="preserve"> countries and </w:t>
      </w:r>
      <w:r w:rsidR="00CA43BF" w:rsidRPr="007B5442">
        <w:t>6</w:t>
      </w:r>
      <w:r w:rsidRPr="007B5442">
        <w:t xml:space="preserve"> non-governmental organizations</w:t>
      </w:r>
      <w:r w:rsidR="000E12AE" w:rsidRPr="007B5442">
        <w:t xml:space="preserve"> and the European Commission</w:t>
      </w:r>
      <w:r w:rsidRPr="007B5442">
        <w:t>. They dealt with the following official and informal documents:</w:t>
      </w:r>
    </w:p>
    <w:p w14:paraId="29F7FE15" w14:textId="4221BB07" w:rsidR="00E06790" w:rsidRPr="007B5442" w:rsidRDefault="00E06790" w:rsidP="00F51A5A">
      <w:pPr>
        <w:pStyle w:val="SingleTxtG"/>
        <w:tabs>
          <w:tab w:val="left" w:pos="2977"/>
          <w:tab w:val="left" w:pos="5812"/>
        </w:tabs>
        <w:spacing w:after="0"/>
        <w:ind w:left="2977" w:hanging="1843"/>
        <w:jc w:val="left"/>
      </w:pPr>
      <w:r w:rsidRPr="007B5442">
        <w:rPr>
          <w:i/>
        </w:rPr>
        <w:t>Documents</w:t>
      </w:r>
      <w:r w:rsidRPr="007B5442">
        <w:t>:</w:t>
      </w:r>
      <w:r w:rsidRPr="007B5442">
        <w:tab/>
        <w:t>ECE/TRANS/WP.15/AC.1/2021/</w:t>
      </w:r>
      <w:r w:rsidR="000E12AE" w:rsidRPr="007B5442">
        <w:t>23/Rev1</w:t>
      </w:r>
      <w:r w:rsidRPr="007B5442">
        <w:t xml:space="preserve"> (U</w:t>
      </w:r>
      <w:r w:rsidR="000E12AE" w:rsidRPr="007B5442">
        <w:t>nited Kingdom</w:t>
      </w:r>
      <w:r w:rsidRPr="007B5442">
        <w:t>)</w:t>
      </w:r>
    </w:p>
    <w:p w14:paraId="29DB337D" w14:textId="673A980A" w:rsidR="00E06790" w:rsidRPr="007B5442" w:rsidRDefault="00790231" w:rsidP="00790231">
      <w:pPr>
        <w:pStyle w:val="SingleTxtG"/>
        <w:tabs>
          <w:tab w:val="left" w:pos="2977"/>
          <w:tab w:val="left" w:pos="5812"/>
        </w:tabs>
        <w:spacing w:after="0"/>
        <w:ind w:left="2977" w:hanging="1843"/>
        <w:jc w:val="left"/>
      </w:pPr>
      <w:r w:rsidRPr="007B5442">
        <w:rPr>
          <w:i/>
        </w:rPr>
        <w:tab/>
      </w:r>
      <w:r w:rsidRPr="007B5442">
        <w:t>ECE/TRANS/WP.15/AC.1/2021/24/Add 1(Secretariat)</w:t>
      </w:r>
    </w:p>
    <w:p w14:paraId="5952FD4D" w14:textId="699668B3" w:rsidR="00E06790" w:rsidRPr="007B5442" w:rsidRDefault="00E06790" w:rsidP="00F51A5A">
      <w:pPr>
        <w:pStyle w:val="SingleTxtG"/>
        <w:tabs>
          <w:tab w:val="left" w:pos="2977"/>
        </w:tabs>
        <w:spacing w:after="0"/>
        <w:ind w:left="2977" w:hanging="1843"/>
        <w:jc w:val="left"/>
      </w:pPr>
      <w:r w:rsidRPr="007B5442">
        <w:tab/>
        <w:t>ECE/TRANS/WP.15/AC.1/2021/</w:t>
      </w:r>
      <w:r w:rsidR="000E12AE" w:rsidRPr="007B5442">
        <w:t>27</w:t>
      </w:r>
      <w:r w:rsidRPr="007B5442">
        <w:t xml:space="preserve"> (</w:t>
      </w:r>
      <w:r w:rsidR="000E12AE" w:rsidRPr="007B5442">
        <w:t>UIP</w:t>
      </w:r>
      <w:r w:rsidRPr="007B5442">
        <w:t>)</w:t>
      </w:r>
    </w:p>
    <w:p w14:paraId="4A3B819B" w14:textId="57F09AC6" w:rsidR="00790231" w:rsidRPr="007B5442" w:rsidRDefault="00790231" w:rsidP="00F51A5A">
      <w:pPr>
        <w:pStyle w:val="SingleTxtG"/>
        <w:tabs>
          <w:tab w:val="left" w:pos="2977"/>
        </w:tabs>
        <w:spacing w:after="0"/>
        <w:ind w:left="2977" w:hanging="1843"/>
        <w:jc w:val="left"/>
      </w:pPr>
      <w:r w:rsidRPr="007B5442">
        <w:tab/>
        <w:t>ECE/TRANS/WP.15/AC.1/2021/34 (Switzerland)</w:t>
      </w:r>
    </w:p>
    <w:p w14:paraId="5FCC6A55" w14:textId="1794B6A9" w:rsidR="00E06790" w:rsidRPr="007B5442" w:rsidRDefault="00F51A5A" w:rsidP="00F51A5A">
      <w:pPr>
        <w:pStyle w:val="SingleTxtG"/>
        <w:tabs>
          <w:tab w:val="left" w:pos="2977"/>
        </w:tabs>
        <w:spacing w:after="0"/>
        <w:ind w:left="2977" w:hanging="1843"/>
        <w:jc w:val="left"/>
      </w:pPr>
      <w:r w:rsidRPr="007B5442">
        <w:tab/>
      </w:r>
      <w:r w:rsidR="00E06790" w:rsidRPr="007B5442">
        <w:t>ECE/TRANS/WP.15/AC.1/2021/</w:t>
      </w:r>
      <w:r w:rsidR="000E12AE" w:rsidRPr="007B5442">
        <w:t>36</w:t>
      </w:r>
      <w:r w:rsidR="00E06790" w:rsidRPr="007B5442">
        <w:t xml:space="preserve"> (</w:t>
      </w:r>
      <w:r w:rsidR="000E12AE" w:rsidRPr="007B5442">
        <w:t>LGE</w:t>
      </w:r>
      <w:r w:rsidR="00E06790" w:rsidRPr="007B5442">
        <w:t>)</w:t>
      </w:r>
    </w:p>
    <w:p w14:paraId="02BCBCB2" w14:textId="77777777" w:rsidR="000E12AE" w:rsidRPr="007B5442" w:rsidRDefault="00F51A5A" w:rsidP="007B5442">
      <w:pPr>
        <w:pStyle w:val="SingleTxtG"/>
        <w:tabs>
          <w:tab w:val="left" w:pos="2977"/>
        </w:tabs>
        <w:ind w:left="2977" w:hanging="1843"/>
        <w:jc w:val="left"/>
      </w:pPr>
      <w:r w:rsidRPr="007B5442">
        <w:tab/>
      </w:r>
      <w:r w:rsidR="000E12AE" w:rsidRPr="007B5442">
        <w:t>ECE/TRANS/WP.15/AC.1/2021/43 (France)</w:t>
      </w:r>
    </w:p>
    <w:p w14:paraId="08B08A86" w14:textId="1D14CFD6" w:rsidR="00E06790" w:rsidRPr="007B5442" w:rsidRDefault="00E06790" w:rsidP="00AC0FEA">
      <w:pPr>
        <w:pStyle w:val="SingleTxtG"/>
        <w:tabs>
          <w:tab w:val="left" w:pos="2977"/>
          <w:tab w:val="left" w:pos="5812"/>
        </w:tabs>
        <w:spacing w:after="0"/>
        <w:ind w:left="2977" w:hanging="1843"/>
        <w:jc w:val="left"/>
      </w:pPr>
      <w:r w:rsidRPr="007B5442">
        <w:rPr>
          <w:i/>
          <w:iCs/>
        </w:rPr>
        <w:t>Informal documents</w:t>
      </w:r>
      <w:r w:rsidRPr="007B5442">
        <w:t>:</w:t>
      </w:r>
      <w:r w:rsidR="008C2086" w:rsidRPr="007B5442">
        <w:tab/>
      </w:r>
      <w:r w:rsidRPr="007B5442">
        <w:t>INF.</w:t>
      </w:r>
      <w:r w:rsidR="00EC37A7" w:rsidRPr="007B5442">
        <w:t>10</w:t>
      </w:r>
      <w:r w:rsidRPr="007B5442">
        <w:t xml:space="preserve"> (</w:t>
      </w:r>
      <w:r w:rsidR="00EC37A7" w:rsidRPr="007B5442">
        <w:t>Poland</w:t>
      </w:r>
      <w:r w:rsidRPr="007B5442">
        <w:t>)</w:t>
      </w:r>
    </w:p>
    <w:p w14:paraId="7465D877" w14:textId="420C8900" w:rsidR="00E06790" w:rsidRPr="007B5442" w:rsidRDefault="00790231" w:rsidP="00ED5F1C">
      <w:pPr>
        <w:pStyle w:val="SingleTxtG"/>
        <w:tabs>
          <w:tab w:val="left" w:pos="2977"/>
          <w:tab w:val="left" w:pos="5812"/>
        </w:tabs>
        <w:spacing w:after="0"/>
        <w:ind w:left="2977" w:hanging="1843"/>
        <w:jc w:val="left"/>
      </w:pPr>
      <w:r w:rsidRPr="007B5442">
        <w:rPr>
          <w:i/>
          <w:iCs/>
        </w:rPr>
        <w:tab/>
      </w:r>
      <w:r w:rsidR="00E06790" w:rsidRPr="007B5442">
        <w:t>INF.</w:t>
      </w:r>
      <w:r w:rsidR="00B40B76" w:rsidRPr="007B5442">
        <w:t>28</w:t>
      </w:r>
      <w:r w:rsidR="00E06790" w:rsidRPr="007B5442">
        <w:t xml:space="preserve"> (</w:t>
      </w:r>
      <w:r w:rsidR="00B40B76" w:rsidRPr="007B5442">
        <w:t>Germany</w:t>
      </w:r>
      <w:r w:rsidR="00E06790" w:rsidRPr="007B5442">
        <w:t>)</w:t>
      </w:r>
    </w:p>
    <w:p w14:paraId="022E3E9A" w14:textId="18EDAA8F" w:rsidR="00E06790" w:rsidRPr="007B5442" w:rsidRDefault="00F51A5A" w:rsidP="00F51A5A">
      <w:pPr>
        <w:pStyle w:val="SingleTxtG"/>
        <w:tabs>
          <w:tab w:val="left" w:pos="2977"/>
        </w:tabs>
        <w:spacing w:after="0"/>
        <w:ind w:left="2977" w:hanging="1843"/>
        <w:jc w:val="left"/>
      </w:pPr>
      <w:r w:rsidRPr="007B5442">
        <w:tab/>
      </w:r>
      <w:r w:rsidR="00E06790" w:rsidRPr="007B5442">
        <w:t>INF.</w:t>
      </w:r>
      <w:r w:rsidR="00B40B76" w:rsidRPr="007B5442">
        <w:t>35</w:t>
      </w:r>
      <w:r w:rsidR="00E06790" w:rsidRPr="007B5442">
        <w:t xml:space="preserve"> (</w:t>
      </w:r>
      <w:r w:rsidR="00B40B76" w:rsidRPr="007B5442">
        <w:t>France</w:t>
      </w:r>
      <w:r w:rsidR="00E06790" w:rsidRPr="007B5442">
        <w:t>)</w:t>
      </w:r>
    </w:p>
    <w:p w14:paraId="76C0CF2B" w14:textId="4DE7B00B" w:rsidR="00790231" w:rsidRPr="007B5442" w:rsidRDefault="00F51A5A" w:rsidP="00F51A5A">
      <w:pPr>
        <w:pStyle w:val="SingleTxtG"/>
        <w:tabs>
          <w:tab w:val="left" w:pos="2977"/>
        </w:tabs>
        <w:spacing w:after="0"/>
        <w:ind w:left="2977" w:hanging="1843"/>
        <w:jc w:val="left"/>
      </w:pPr>
      <w:r w:rsidRPr="007B5442">
        <w:tab/>
      </w:r>
      <w:r w:rsidR="00790231" w:rsidRPr="007B5442">
        <w:t>INF.38 (Switzerland)</w:t>
      </w:r>
    </w:p>
    <w:p w14:paraId="61B8458C" w14:textId="01F3DB05" w:rsidR="00E06790" w:rsidRPr="007B5442" w:rsidRDefault="00790231" w:rsidP="00E40211">
      <w:pPr>
        <w:pStyle w:val="SingleTxtG"/>
        <w:tabs>
          <w:tab w:val="left" w:pos="2977"/>
        </w:tabs>
        <w:snapToGrid w:val="0"/>
        <w:spacing w:after="0"/>
        <w:ind w:left="2977" w:hanging="1843"/>
        <w:jc w:val="left"/>
      </w:pPr>
      <w:r w:rsidRPr="007B5442">
        <w:tab/>
      </w:r>
      <w:r w:rsidR="00E06790" w:rsidRPr="007B5442">
        <w:t>INF.</w:t>
      </w:r>
      <w:r w:rsidR="00B40B76" w:rsidRPr="007B5442">
        <w:t>40</w:t>
      </w:r>
      <w:r w:rsidR="00E06790" w:rsidRPr="007B5442">
        <w:t xml:space="preserve"> (</w:t>
      </w:r>
      <w:r w:rsidR="00B40B76" w:rsidRPr="007B5442">
        <w:t>United Kingdom</w:t>
      </w:r>
      <w:r w:rsidR="00E06790" w:rsidRPr="007B5442">
        <w:t>)</w:t>
      </w:r>
    </w:p>
    <w:p w14:paraId="7550EF83" w14:textId="4233EDD0" w:rsidR="00E06790" w:rsidRPr="007B5442" w:rsidRDefault="00F51A5A" w:rsidP="00E40211">
      <w:pPr>
        <w:pStyle w:val="SingleTxtG"/>
        <w:tabs>
          <w:tab w:val="left" w:pos="2977"/>
        </w:tabs>
        <w:snapToGrid w:val="0"/>
        <w:spacing w:after="0"/>
        <w:ind w:left="2977" w:hanging="1843"/>
        <w:jc w:val="left"/>
      </w:pPr>
      <w:r w:rsidRPr="007B5442">
        <w:tab/>
      </w:r>
      <w:r w:rsidR="00E06790" w:rsidRPr="007B5442">
        <w:t>INF.</w:t>
      </w:r>
      <w:r w:rsidR="00B40B76" w:rsidRPr="007B5442">
        <w:t>4</w:t>
      </w:r>
      <w:r w:rsidR="00E06790" w:rsidRPr="007B5442">
        <w:t>2 (</w:t>
      </w:r>
      <w:r w:rsidR="00B40B76" w:rsidRPr="007B5442">
        <w:t>United Kingdom</w:t>
      </w:r>
      <w:r w:rsidR="00E06790" w:rsidRPr="007B5442">
        <w:t>)</w:t>
      </w:r>
    </w:p>
    <w:p w14:paraId="3D0164C2" w14:textId="545D6FA4" w:rsidR="00E06790" w:rsidRPr="007B5442" w:rsidRDefault="00F51A5A" w:rsidP="00E40211">
      <w:pPr>
        <w:pStyle w:val="SingleTxtG"/>
        <w:tabs>
          <w:tab w:val="left" w:pos="2977"/>
        </w:tabs>
        <w:snapToGrid w:val="0"/>
        <w:spacing w:after="0"/>
        <w:ind w:left="2977" w:hanging="1843"/>
        <w:jc w:val="left"/>
      </w:pPr>
      <w:r w:rsidRPr="007B5442">
        <w:tab/>
      </w:r>
      <w:r w:rsidR="00E06790" w:rsidRPr="007B5442">
        <w:t>INF.</w:t>
      </w:r>
      <w:r w:rsidR="00B40B76" w:rsidRPr="007B5442">
        <w:t>4</w:t>
      </w:r>
      <w:r w:rsidR="00E06790" w:rsidRPr="007B5442">
        <w:t>3 (</w:t>
      </w:r>
      <w:r w:rsidR="00B40B76" w:rsidRPr="007B5442">
        <w:t>France</w:t>
      </w:r>
      <w:r w:rsidR="00E06790" w:rsidRPr="007B5442">
        <w:t>)</w:t>
      </w:r>
    </w:p>
    <w:p w14:paraId="14CA4366" w14:textId="64F0B9BE" w:rsidR="000E12AE" w:rsidRPr="007B5442" w:rsidRDefault="00ED5F1C" w:rsidP="00E40211">
      <w:pPr>
        <w:pStyle w:val="SingleTxtG"/>
        <w:spacing w:before="120"/>
      </w:pPr>
      <w:r w:rsidRPr="007B5442">
        <w:t>3.</w:t>
      </w:r>
      <w:r w:rsidRPr="007B5442">
        <w:tab/>
      </w:r>
      <w:r w:rsidR="000E12AE" w:rsidRPr="007B5442">
        <w:t>Due to prioritizing document ECE/TRANS/WP.15/AC.1/2021/23/Rev</w:t>
      </w:r>
      <w:r w:rsidR="007B5442">
        <w:t>.</w:t>
      </w:r>
      <w:r w:rsidR="000E12AE" w:rsidRPr="007B5442">
        <w:t>1</w:t>
      </w:r>
      <w:r w:rsidR="009D5CDA" w:rsidRPr="007B5442">
        <w:t xml:space="preserve">, </w:t>
      </w:r>
      <w:r w:rsidR="00B935DE" w:rsidRPr="007B5442">
        <w:t>the following documents could not be dealt with due to time restraints. The secretariat is requested to keep these on the agenda for consideration at the next session.</w:t>
      </w:r>
    </w:p>
    <w:p w14:paraId="3F082FD2" w14:textId="2D2A8988" w:rsidR="000E12AE" w:rsidRPr="007B5442" w:rsidRDefault="00B935DE" w:rsidP="00E40211">
      <w:pPr>
        <w:pStyle w:val="SingleTxtG"/>
        <w:tabs>
          <w:tab w:val="left" w:pos="2977"/>
        </w:tabs>
        <w:snapToGrid w:val="0"/>
        <w:spacing w:after="0"/>
        <w:ind w:left="2977" w:hanging="1843"/>
        <w:jc w:val="left"/>
      </w:pPr>
      <w:r w:rsidRPr="00E40211">
        <w:rPr>
          <w:i/>
        </w:rPr>
        <w:t>Documents</w:t>
      </w:r>
      <w:r w:rsidR="007F7870" w:rsidRPr="007B5442">
        <w:t>:</w:t>
      </w:r>
      <w:r w:rsidRPr="007B5442">
        <w:tab/>
      </w:r>
      <w:r w:rsidR="000E12AE" w:rsidRPr="007B5442">
        <w:t>ECE/TRANS/WP.15/AC.1/2021/</w:t>
      </w:r>
      <w:r w:rsidRPr="007B5442">
        <w:t>29</w:t>
      </w:r>
      <w:r w:rsidR="000E12AE" w:rsidRPr="007B5442">
        <w:t xml:space="preserve"> (</w:t>
      </w:r>
      <w:r w:rsidRPr="007B5442">
        <w:t>UIC</w:t>
      </w:r>
      <w:r w:rsidR="000E12AE" w:rsidRPr="007B5442">
        <w:t>)</w:t>
      </w:r>
    </w:p>
    <w:p w14:paraId="381F728B" w14:textId="0CA522C2" w:rsidR="000E12AE" w:rsidRPr="007B5442" w:rsidRDefault="000E12AE" w:rsidP="00E40211">
      <w:pPr>
        <w:pStyle w:val="SingleTxtG"/>
        <w:tabs>
          <w:tab w:val="left" w:pos="2977"/>
        </w:tabs>
        <w:snapToGrid w:val="0"/>
        <w:ind w:left="2977" w:hanging="1843"/>
        <w:jc w:val="left"/>
      </w:pPr>
      <w:r w:rsidRPr="007B5442">
        <w:tab/>
        <w:t>ECE/TRANS/WP.15/AC.1/2021/</w:t>
      </w:r>
      <w:r w:rsidR="00B935DE" w:rsidRPr="007B5442">
        <w:t>42</w:t>
      </w:r>
      <w:r w:rsidRPr="007B5442">
        <w:t xml:space="preserve"> (Netherlands)</w:t>
      </w:r>
    </w:p>
    <w:p w14:paraId="418071DD" w14:textId="53EAE9B1" w:rsidR="000107A1" w:rsidRPr="007B5442" w:rsidRDefault="00B935DE" w:rsidP="00B40B76">
      <w:pPr>
        <w:pStyle w:val="SingleTxtG"/>
        <w:tabs>
          <w:tab w:val="left" w:pos="2977"/>
        </w:tabs>
        <w:spacing w:after="0"/>
        <w:ind w:left="2977" w:hanging="1843"/>
        <w:jc w:val="left"/>
      </w:pPr>
      <w:r w:rsidRPr="00E40211">
        <w:rPr>
          <w:i/>
          <w:iCs/>
        </w:rPr>
        <w:t>Informal documents</w:t>
      </w:r>
      <w:r w:rsidR="007F7870" w:rsidRPr="007B5442">
        <w:t>:</w:t>
      </w:r>
      <w:r w:rsidRPr="007B5442">
        <w:tab/>
      </w:r>
      <w:r w:rsidR="000107A1" w:rsidRPr="007B5442">
        <w:t>INF.11 (United Kingdom) (spring 2021 session)</w:t>
      </w:r>
    </w:p>
    <w:p w14:paraId="574DDF83" w14:textId="5DA117DC" w:rsidR="000107A1" w:rsidRPr="007B5442" w:rsidRDefault="000107A1" w:rsidP="00B40B76">
      <w:pPr>
        <w:pStyle w:val="SingleTxtG"/>
        <w:tabs>
          <w:tab w:val="left" w:pos="2977"/>
        </w:tabs>
        <w:spacing w:after="0"/>
        <w:ind w:left="2977" w:hanging="1843"/>
        <w:jc w:val="left"/>
      </w:pPr>
      <w:r w:rsidRPr="007B5442">
        <w:tab/>
        <w:t>INF.15 (United Kingdom) (spring 2021 session)</w:t>
      </w:r>
    </w:p>
    <w:p w14:paraId="112E26A3" w14:textId="6E5EA7EF" w:rsidR="00B40B76" w:rsidRPr="007B5442" w:rsidRDefault="000107A1" w:rsidP="00B40B76">
      <w:pPr>
        <w:pStyle w:val="SingleTxtG"/>
        <w:tabs>
          <w:tab w:val="left" w:pos="2977"/>
        </w:tabs>
        <w:spacing w:after="0"/>
        <w:ind w:left="2977" w:hanging="1843"/>
        <w:jc w:val="left"/>
      </w:pPr>
      <w:r w:rsidRPr="007B5442">
        <w:tab/>
      </w:r>
      <w:r w:rsidR="00B40B76" w:rsidRPr="007B5442">
        <w:t>INF.3 (Netherlands)</w:t>
      </w:r>
    </w:p>
    <w:p w14:paraId="328CEFBE" w14:textId="61DA5D4D" w:rsidR="00B40B76" w:rsidRPr="007B5442" w:rsidRDefault="00B40B76" w:rsidP="00B40B76">
      <w:pPr>
        <w:pStyle w:val="SingleTxtG"/>
        <w:tabs>
          <w:tab w:val="left" w:pos="2977"/>
        </w:tabs>
        <w:spacing w:after="0"/>
        <w:ind w:left="2977" w:hanging="1843"/>
        <w:jc w:val="left"/>
      </w:pPr>
      <w:r w:rsidRPr="007B5442">
        <w:tab/>
        <w:t>INF.6 (CLCC</w:t>
      </w:r>
      <w:r w:rsidR="000107A1" w:rsidRPr="007B5442">
        <w:t>R</w:t>
      </w:r>
      <w:r w:rsidRPr="007B5442">
        <w:t>)</w:t>
      </w:r>
    </w:p>
    <w:p w14:paraId="7A22E451" w14:textId="65313E29" w:rsidR="007F7870" w:rsidRPr="007B5442" w:rsidRDefault="00B40B76" w:rsidP="00B40B76">
      <w:pPr>
        <w:pStyle w:val="SingleTxtG"/>
        <w:tabs>
          <w:tab w:val="left" w:pos="2977"/>
        </w:tabs>
        <w:spacing w:after="0"/>
        <w:ind w:left="2977" w:hanging="1843"/>
        <w:jc w:val="left"/>
      </w:pPr>
      <w:r w:rsidRPr="007B5442">
        <w:tab/>
        <w:t>INF.11 (UIP)</w:t>
      </w:r>
    </w:p>
    <w:p w14:paraId="0FEB7847" w14:textId="6FF93647" w:rsidR="00B935DE" w:rsidRPr="007B5442" w:rsidRDefault="007F7870" w:rsidP="000E12AE">
      <w:pPr>
        <w:pStyle w:val="SingleTxtG"/>
        <w:tabs>
          <w:tab w:val="left" w:pos="2977"/>
        </w:tabs>
        <w:spacing w:after="0"/>
        <w:ind w:left="2977" w:hanging="1843"/>
        <w:jc w:val="left"/>
      </w:pPr>
      <w:r w:rsidRPr="007B5442">
        <w:tab/>
        <w:t>INF.17 (Switzerland)</w:t>
      </w:r>
      <w:r w:rsidR="00B40B76" w:rsidRPr="007B5442">
        <w:br/>
        <w:t>INF.23 (United Kingdom)</w:t>
      </w:r>
      <w:r w:rsidR="00B40B76" w:rsidRPr="007B5442">
        <w:br/>
        <w:t>INF</w:t>
      </w:r>
      <w:r w:rsidR="007B5442">
        <w:t>.</w:t>
      </w:r>
      <w:r w:rsidR="00B40B76" w:rsidRPr="007B5442">
        <w:t>27 (Germany)</w:t>
      </w:r>
      <w:r w:rsidR="00B40B76" w:rsidRPr="007B5442">
        <w:br/>
        <w:t>INF</w:t>
      </w:r>
      <w:r w:rsidR="007B5442">
        <w:t>.</w:t>
      </w:r>
      <w:r w:rsidR="00B40B76" w:rsidRPr="007B5442">
        <w:t>32 (Chair Ad-Hoc WG)</w:t>
      </w:r>
      <w:r w:rsidR="00B40B76" w:rsidRPr="007B5442">
        <w:br/>
        <w:t>INF</w:t>
      </w:r>
      <w:r w:rsidR="007B5442">
        <w:t>.</w:t>
      </w:r>
      <w:r w:rsidR="00B40B76" w:rsidRPr="007B5442">
        <w:t>41 (United Kingdom)</w:t>
      </w:r>
    </w:p>
    <w:p w14:paraId="729399AA" w14:textId="02128E3C" w:rsidR="00E06790" w:rsidRPr="007B5442" w:rsidRDefault="00E06790" w:rsidP="004842CF">
      <w:pPr>
        <w:keepNext/>
        <w:keepLines/>
        <w:snapToGrid w:val="0"/>
        <w:spacing w:before="120" w:after="120"/>
        <w:ind w:left="1134" w:right="1134"/>
        <w:rPr>
          <w:b/>
          <w:bCs/>
          <w:sz w:val="22"/>
          <w:szCs w:val="22"/>
        </w:rPr>
      </w:pPr>
      <w:r w:rsidRPr="007B5442">
        <w:rPr>
          <w:b/>
          <w:bCs/>
          <w:sz w:val="22"/>
          <w:szCs w:val="22"/>
        </w:rPr>
        <w:lastRenderedPageBreak/>
        <w:t>Item 1:</w:t>
      </w:r>
      <w:r w:rsidR="0059056B" w:rsidRPr="007B5442">
        <w:rPr>
          <w:b/>
          <w:bCs/>
          <w:sz w:val="22"/>
          <w:szCs w:val="22"/>
        </w:rPr>
        <w:tab/>
      </w:r>
      <w:r w:rsidR="00B3735A" w:rsidRPr="007B5442">
        <w:rPr>
          <w:b/>
          <w:bCs/>
        </w:rPr>
        <w:t xml:space="preserve">Informal Working Group on the </w:t>
      </w:r>
      <w:r w:rsidR="007F7870" w:rsidRPr="007B5442">
        <w:rPr>
          <w:b/>
          <w:bCs/>
        </w:rPr>
        <w:t>I</w:t>
      </w:r>
      <w:r w:rsidR="00B3735A" w:rsidRPr="007B5442">
        <w:rPr>
          <w:b/>
          <w:bCs/>
        </w:rPr>
        <w:t xml:space="preserve">nspection and </w:t>
      </w:r>
      <w:r w:rsidR="007F7870" w:rsidRPr="007B5442">
        <w:rPr>
          <w:b/>
          <w:bCs/>
        </w:rPr>
        <w:t>C</w:t>
      </w:r>
      <w:r w:rsidR="00B3735A" w:rsidRPr="007B5442">
        <w:rPr>
          <w:b/>
          <w:bCs/>
        </w:rPr>
        <w:t xml:space="preserve">ertification of </w:t>
      </w:r>
      <w:r w:rsidR="007F7870" w:rsidRPr="007B5442">
        <w:rPr>
          <w:b/>
          <w:bCs/>
        </w:rPr>
        <w:t>T</w:t>
      </w:r>
      <w:r w:rsidR="00B3735A" w:rsidRPr="007B5442">
        <w:rPr>
          <w:b/>
          <w:bCs/>
        </w:rPr>
        <w:t>anks.</w:t>
      </w:r>
    </w:p>
    <w:p w14:paraId="43C5DC02" w14:textId="1CE74FF7" w:rsidR="00E06790" w:rsidRPr="007B5442" w:rsidRDefault="00E06790" w:rsidP="004842CF">
      <w:pPr>
        <w:keepNext/>
        <w:keepLines/>
        <w:tabs>
          <w:tab w:val="left" w:pos="2977"/>
        </w:tabs>
        <w:ind w:left="1134"/>
        <w:rPr>
          <w:bCs/>
        </w:rPr>
      </w:pPr>
      <w:r w:rsidRPr="007B5442">
        <w:rPr>
          <w:bCs/>
          <w:i/>
        </w:rPr>
        <w:t>Documents:</w:t>
      </w:r>
      <w:r w:rsidRPr="007B5442">
        <w:rPr>
          <w:bCs/>
        </w:rPr>
        <w:tab/>
        <w:t>ECE/TRANS/WP.15/AC.1/2021/</w:t>
      </w:r>
      <w:r w:rsidR="00B3735A" w:rsidRPr="007B5442">
        <w:rPr>
          <w:bCs/>
        </w:rPr>
        <w:t>23/Rev</w:t>
      </w:r>
      <w:r w:rsidR="007B5442">
        <w:rPr>
          <w:bCs/>
        </w:rPr>
        <w:t>.</w:t>
      </w:r>
      <w:r w:rsidR="00B3735A" w:rsidRPr="007B5442">
        <w:rPr>
          <w:bCs/>
        </w:rPr>
        <w:t>1</w:t>
      </w:r>
      <w:r w:rsidRPr="007B5442">
        <w:rPr>
          <w:bCs/>
        </w:rPr>
        <w:t xml:space="preserve"> (</w:t>
      </w:r>
      <w:r w:rsidR="00B3735A" w:rsidRPr="007B5442">
        <w:rPr>
          <w:bCs/>
        </w:rPr>
        <w:t>United Kingdom)</w:t>
      </w:r>
    </w:p>
    <w:p w14:paraId="18960801" w14:textId="6738ACC2" w:rsidR="00E06790" w:rsidRPr="007B5442" w:rsidRDefault="00E06790" w:rsidP="004842CF">
      <w:pPr>
        <w:keepNext/>
        <w:keepLines/>
        <w:tabs>
          <w:tab w:val="left" w:pos="2977"/>
        </w:tabs>
        <w:spacing w:after="120"/>
        <w:ind w:left="2977"/>
        <w:rPr>
          <w:bCs/>
        </w:rPr>
      </w:pPr>
      <w:r w:rsidRPr="007B5442">
        <w:rPr>
          <w:bCs/>
        </w:rPr>
        <w:t>ECE/TRANS/WP.15/AC.1/2021/</w:t>
      </w:r>
      <w:r w:rsidR="00B3735A" w:rsidRPr="007B5442">
        <w:rPr>
          <w:bCs/>
        </w:rPr>
        <w:t>34</w:t>
      </w:r>
      <w:r w:rsidRPr="007B5442">
        <w:rPr>
          <w:bCs/>
        </w:rPr>
        <w:t xml:space="preserve"> (</w:t>
      </w:r>
      <w:r w:rsidR="00B3735A" w:rsidRPr="007B5442">
        <w:rPr>
          <w:bCs/>
        </w:rPr>
        <w:t>Switzerland</w:t>
      </w:r>
      <w:r w:rsidRPr="007B5442">
        <w:rPr>
          <w:bCs/>
        </w:rPr>
        <w:t>)</w:t>
      </w:r>
    </w:p>
    <w:p w14:paraId="0A7F2D3B" w14:textId="52510F4B" w:rsidR="00357C76" w:rsidRPr="007B5442" w:rsidRDefault="00E06790" w:rsidP="00E40211">
      <w:pPr>
        <w:keepLines/>
        <w:tabs>
          <w:tab w:val="left" w:pos="2977"/>
        </w:tabs>
        <w:spacing w:after="120"/>
        <w:ind w:left="2964" w:right="1134" w:hanging="1830"/>
        <w:rPr>
          <w:bCs/>
        </w:rPr>
      </w:pPr>
      <w:r w:rsidRPr="007B5442">
        <w:rPr>
          <w:bCs/>
          <w:i/>
        </w:rPr>
        <w:t>Informal document</w:t>
      </w:r>
      <w:r w:rsidR="00B3735A" w:rsidRPr="007B5442">
        <w:rPr>
          <w:bCs/>
          <w:i/>
        </w:rPr>
        <w:t>s</w:t>
      </w:r>
      <w:r w:rsidRPr="007B5442">
        <w:rPr>
          <w:bCs/>
          <w:i/>
        </w:rPr>
        <w:t>:</w:t>
      </w:r>
      <w:r w:rsidRPr="007B5442">
        <w:rPr>
          <w:bCs/>
          <w:i/>
        </w:rPr>
        <w:tab/>
      </w:r>
      <w:r w:rsidR="00B3735A" w:rsidRPr="007B5442">
        <w:rPr>
          <w:bCs/>
        </w:rPr>
        <w:tab/>
        <w:t>INF</w:t>
      </w:r>
      <w:r w:rsidR="007B5442">
        <w:rPr>
          <w:bCs/>
        </w:rPr>
        <w:t>.</w:t>
      </w:r>
      <w:r w:rsidR="00B3735A" w:rsidRPr="007B5442">
        <w:rPr>
          <w:bCs/>
        </w:rPr>
        <w:t>28 (Germany)</w:t>
      </w:r>
      <w:r w:rsidR="007F7870" w:rsidRPr="007B5442">
        <w:rPr>
          <w:bCs/>
        </w:rPr>
        <w:t xml:space="preserve">, </w:t>
      </w:r>
      <w:r w:rsidR="00B3735A" w:rsidRPr="007B5442">
        <w:rPr>
          <w:bCs/>
        </w:rPr>
        <w:t>INF</w:t>
      </w:r>
      <w:r w:rsidR="007B5442">
        <w:rPr>
          <w:bCs/>
        </w:rPr>
        <w:t>.</w:t>
      </w:r>
      <w:r w:rsidR="00B3735A" w:rsidRPr="007B5442">
        <w:rPr>
          <w:bCs/>
        </w:rPr>
        <w:t>35 (France)</w:t>
      </w:r>
      <w:r w:rsidR="007F7870" w:rsidRPr="007B5442">
        <w:rPr>
          <w:bCs/>
        </w:rPr>
        <w:t xml:space="preserve">, </w:t>
      </w:r>
      <w:r w:rsidR="00357C76" w:rsidRPr="007B5442">
        <w:rPr>
          <w:bCs/>
          <w:iCs/>
        </w:rPr>
        <w:t>INF</w:t>
      </w:r>
      <w:r w:rsidR="007B5442">
        <w:rPr>
          <w:bCs/>
          <w:iCs/>
        </w:rPr>
        <w:t>.</w:t>
      </w:r>
      <w:r w:rsidR="00357C76" w:rsidRPr="007B5442">
        <w:rPr>
          <w:bCs/>
          <w:iCs/>
        </w:rPr>
        <w:t>38 (Switzerland)</w:t>
      </w:r>
      <w:r w:rsidR="007F7870" w:rsidRPr="007B5442">
        <w:rPr>
          <w:bCs/>
          <w:iCs/>
        </w:rPr>
        <w:t>,</w:t>
      </w:r>
      <w:r w:rsidR="00711BF4" w:rsidRPr="007B5442">
        <w:rPr>
          <w:bCs/>
          <w:iCs/>
        </w:rPr>
        <w:t xml:space="preserve"> </w:t>
      </w:r>
      <w:r w:rsidR="00B3735A" w:rsidRPr="007B5442">
        <w:rPr>
          <w:bCs/>
        </w:rPr>
        <w:t>INF</w:t>
      </w:r>
      <w:r w:rsidR="007B5442">
        <w:rPr>
          <w:bCs/>
        </w:rPr>
        <w:t>.</w:t>
      </w:r>
      <w:r w:rsidR="00B3735A" w:rsidRPr="007B5442">
        <w:rPr>
          <w:bCs/>
        </w:rPr>
        <w:t>40 (United Kingdom)</w:t>
      </w:r>
      <w:r w:rsidR="007F7870" w:rsidRPr="007B5442">
        <w:rPr>
          <w:bCs/>
        </w:rPr>
        <w:t xml:space="preserve">, </w:t>
      </w:r>
      <w:r w:rsidR="00B3735A" w:rsidRPr="007B5442">
        <w:rPr>
          <w:bCs/>
        </w:rPr>
        <w:t>INF</w:t>
      </w:r>
      <w:r w:rsidR="007B5442">
        <w:rPr>
          <w:bCs/>
        </w:rPr>
        <w:t>.</w:t>
      </w:r>
      <w:r w:rsidR="00B3735A" w:rsidRPr="007B5442">
        <w:rPr>
          <w:bCs/>
        </w:rPr>
        <w:t>42 (United Kingdom)</w:t>
      </w:r>
      <w:r w:rsidR="007F7870" w:rsidRPr="007B5442">
        <w:rPr>
          <w:bCs/>
        </w:rPr>
        <w:t xml:space="preserve"> and </w:t>
      </w:r>
      <w:r w:rsidR="00B3735A" w:rsidRPr="007B5442">
        <w:rPr>
          <w:bCs/>
        </w:rPr>
        <w:t>INF</w:t>
      </w:r>
      <w:r w:rsidR="007B5442">
        <w:rPr>
          <w:bCs/>
        </w:rPr>
        <w:t>.</w:t>
      </w:r>
      <w:r w:rsidR="00B3735A" w:rsidRPr="007B5442">
        <w:rPr>
          <w:bCs/>
        </w:rPr>
        <w:t>43 (France)</w:t>
      </w:r>
    </w:p>
    <w:p w14:paraId="2DBBF8DB" w14:textId="50898F3C" w:rsidR="00357C76" w:rsidRPr="007B5442" w:rsidRDefault="00ED5F1C" w:rsidP="00E40211">
      <w:pPr>
        <w:pStyle w:val="SingleTxtG"/>
      </w:pPr>
      <w:r w:rsidRPr="007B5442">
        <w:t>4</w:t>
      </w:r>
      <w:r w:rsidR="00B44E24" w:rsidRPr="007B5442">
        <w:t>.</w:t>
      </w:r>
      <w:r w:rsidR="00B44E24" w:rsidRPr="007B5442">
        <w:tab/>
      </w:r>
      <w:r w:rsidR="00357C76" w:rsidRPr="007B5442">
        <w:t xml:space="preserve">In a general discussion and further discussions on the proposals and questions in </w:t>
      </w:r>
      <w:r w:rsidR="007F7870" w:rsidRPr="007B5442">
        <w:t>INF</w:t>
      </w:r>
      <w:r w:rsidR="007B5442">
        <w:t>.</w:t>
      </w:r>
      <w:r w:rsidR="00357C76" w:rsidRPr="007B5442">
        <w:t>38 it became clear</w:t>
      </w:r>
      <w:r w:rsidR="00711BF4" w:rsidRPr="007B5442">
        <w:t xml:space="preserve">, other than for some text in square brackets, </w:t>
      </w:r>
      <w:r w:rsidR="00357C76" w:rsidRPr="007B5442">
        <w:t>that it would be difficult to a</w:t>
      </w:r>
      <w:r w:rsidR="00711BF4" w:rsidRPr="007B5442">
        <w:t>dopt</w:t>
      </w:r>
      <w:r w:rsidR="00357C76" w:rsidRPr="007B5442">
        <w:t xml:space="preserve"> separate sections of the proposals in </w:t>
      </w:r>
      <w:r w:rsidR="007F7870" w:rsidRPr="007B5442">
        <w:t>2021/</w:t>
      </w:r>
      <w:r w:rsidR="00357C76" w:rsidRPr="007B5442">
        <w:t>23</w:t>
      </w:r>
      <w:r w:rsidR="007B5442">
        <w:t>/</w:t>
      </w:r>
      <w:r w:rsidR="00357C76" w:rsidRPr="007B5442">
        <w:t>Rev</w:t>
      </w:r>
      <w:r w:rsidR="007B5442">
        <w:t>.</w:t>
      </w:r>
      <w:r w:rsidR="00357C76" w:rsidRPr="007B5442">
        <w:t xml:space="preserve">1 as they were strongly </w:t>
      </w:r>
      <w:r w:rsidR="00711BF4" w:rsidRPr="007B5442">
        <w:t>interlinked</w:t>
      </w:r>
      <w:r w:rsidR="00357C76" w:rsidRPr="007B5442">
        <w:t>.</w:t>
      </w:r>
    </w:p>
    <w:p w14:paraId="2E1E73E5" w14:textId="703A4610" w:rsidR="00B44E24" w:rsidRPr="007B5442" w:rsidRDefault="00ED5F1C" w:rsidP="00E40211">
      <w:pPr>
        <w:pStyle w:val="SingleTxtG"/>
      </w:pPr>
      <w:r w:rsidRPr="007B5442">
        <w:t>5</w:t>
      </w:r>
      <w:r w:rsidR="00B44E24" w:rsidRPr="007B5442">
        <w:t>.</w:t>
      </w:r>
      <w:r w:rsidR="00B44E24" w:rsidRPr="007B5442">
        <w:tab/>
      </w:r>
      <w:r w:rsidR="00357C76" w:rsidRPr="007B5442">
        <w:t>It may be concluded that difficulties in adopting the proposals would originate from different perspective</w:t>
      </w:r>
      <w:r w:rsidR="00734FE2" w:rsidRPr="007B5442">
        <w:t>s, including</w:t>
      </w:r>
      <w:r w:rsidR="00357C76" w:rsidRPr="007B5442">
        <w:t xml:space="preserve"> </w:t>
      </w:r>
      <w:r w:rsidR="00734FE2" w:rsidRPr="007B5442">
        <w:t xml:space="preserve">reciprocal </w:t>
      </w:r>
      <w:r w:rsidR="00357C76" w:rsidRPr="007B5442">
        <w:t>recognition of work done by the inspection bodies</w:t>
      </w:r>
      <w:r w:rsidR="00711BF4" w:rsidRPr="007B5442">
        <w:t>, differences between RID and ADR,</w:t>
      </w:r>
      <w:r w:rsidR="00357C76" w:rsidRPr="007B5442">
        <w:t xml:space="preserve"> and uncertainties and consequences of the introduction of the new system. In understanding the new </w:t>
      </w:r>
      <w:r w:rsidR="007B5442" w:rsidRPr="007B5442">
        <w:t>system,</w:t>
      </w:r>
      <w:r w:rsidR="00357C76" w:rsidRPr="007B5442">
        <w:t xml:space="preserve"> the explanatory document 2021</w:t>
      </w:r>
      <w:r w:rsidR="00711BF4" w:rsidRPr="007B5442">
        <w:t xml:space="preserve">/34 </w:t>
      </w:r>
      <w:r w:rsidR="00734FE2" w:rsidRPr="007B5442">
        <w:t>is</w:t>
      </w:r>
      <w:r w:rsidR="00357C76" w:rsidRPr="007B5442">
        <w:t xml:space="preserve"> </w:t>
      </w:r>
      <w:r w:rsidR="00734FE2" w:rsidRPr="007B5442">
        <w:t>helpful</w:t>
      </w:r>
      <w:r w:rsidR="00357C76" w:rsidRPr="007B5442">
        <w:t xml:space="preserve">. The </w:t>
      </w:r>
      <w:r w:rsidR="00734FE2" w:rsidRPr="007B5442">
        <w:t xml:space="preserve">aim is still to establish a system of robust reciprocal </w:t>
      </w:r>
      <w:r w:rsidR="00357C76" w:rsidRPr="007B5442">
        <w:t>recognition of inspection bodies.</w:t>
      </w:r>
    </w:p>
    <w:p w14:paraId="26C2B9F1" w14:textId="7B886138" w:rsidR="00B60603" w:rsidRPr="007B5442" w:rsidRDefault="00ED5F1C" w:rsidP="00E40211">
      <w:pPr>
        <w:pStyle w:val="SingleTxtG"/>
      </w:pPr>
      <w:r w:rsidRPr="007B5442">
        <w:t>6</w:t>
      </w:r>
      <w:r w:rsidR="00B44E24" w:rsidRPr="007B5442">
        <w:t>.</w:t>
      </w:r>
      <w:r w:rsidR="00B44E24" w:rsidRPr="007B5442">
        <w:tab/>
      </w:r>
      <w:r w:rsidR="00357C76" w:rsidRPr="007B5442">
        <w:t xml:space="preserve">Concern was raised on a fair introduction of the system as it was noted that contracting parties were </w:t>
      </w:r>
      <w:r w:rsidR="005C59F1" w:rsidRPr="007B5442">
        <w:t>at</w:t>
      </w:r>
      <w:r w:rsidR="00357C76" w:rsidRPr="007B5442">
        <w:t xml:space="preserve"> different </w:t>
      </w:r>
      <w:r w:rsidR="005C59F1" w:rsidRPr="007B5442">
        <w:t>stages</w:t>
      </w:r>
      <w:r w:rsidR="00357C76" w:rsidRPr="007B5442">
        <w:t xml:space="preserve"> of accreditation of inspection bodies and experts. Th</w:t>
      </w:r>
      <w:r w:rsidR="005C59F1" w:rsidRPr="007B5442">
        <w:t>ese</w:t>
      </w:r>
      <w:r w:rsidR="00357C76" w:rsidRPr="007B5442">
        <w:t xml:space="preserve"> different </w:t>
      </w:r>
      <w:r w:rsidR="005C59F1" w:rsidRPr="007B5442">
        <w:t>stages</w:t>
      </w:r>
      <w:r w:rsidR="00357C76" w:rsidRPr="007B5442">
        <w:t xml:space="preserve"> would lead </w:t>
      </w:r>
      <w:r w:rsidR="005C59F1" w:rsidRPr="007B5442">
        <w:t xml:space="preserve">to some countries </w:t>
      </w:r>
      <w:r w:rsidR="00357C76" w:rsidRPr="007B5442">
        <w:t>benefit</w:t>
      </w:r>
      <w:r w:rsidR="005C59F1" w:rsidRPr="007B5442">
        <w:t>ing</w:t>
      </w:r>
      <w:r w:rsidR="00357C76" w:rsidRPr="007B5442">
        <w:t xml:space="preserve"> immediately</w:t>
      </w:r>
      <w:r w:rsidR="005C59F1" w:rsidRPr="007B5442">
        <w:t>,</w:t>
      </w:r>
      <w:r w:rsidR="00357C76" w:rsidRPr="007B5442">
        <w:t xml:space="preserve"> while other</w:t>
      </w:r>
      <w:r w:rsidR="005C59F1" w:rsidRPr="007B5442">
        <w:t>s</w:t>
      </w:r>
      <w:r w:rsidR="00357C76" w:rsidRPr="007B5442">
        <w:t xml:space="preserve"> still ha</w:t>
      </w:r>
      <w:r w:rsidR="005C59F1" w:rsidRPr="007B5442">
        <w:t>ve</w:t>
      </w:r>
      <w:r w:rsidR="00357C76" w:rsidRPr="007B5442">
        <w:t xml:space="preserve"> a long way to go.</w:t>
      </w:r>
      <w:r w:rsidR="00B60603" w:rsidRPr="007B5442">
        <w:t xml:space="preserve"> </w:t>
      </w:r>
      <w:r w:rsidR="006F52A9" w:rsidRPr="007B5442">
        <w:t xml:space="preserve">It was </w:t>
      </w:r>
      <w:r w:rsidR="00357C76" w:rsidRPr="007B5442">
        <w:t xml:space="preserve">suggested </w:t>
      </w:r>
      <w:r w:rsidR="006F52A9" w:rsidRPr="007B5442">
        <w:t xml:space="preserve">that </w:t>
      </w:r>
      <w:r w:rsidR="007116C4" w:rsidRPr="007B5442">
        <w:t xml:space="preserve">ensure a fair </w:t>
      </w:r>
      <w:r w:rsidR="006F52A9" w:rsidRPr="007B5442">
        <w:t xml:space="preserve">introduction of the new system, consideration </w:t>
      </w:r>
      <w:r w:rsidR="007116C4" w:rsidRPr="007B5442">
        <w:t xml:space="preserve">should </w:t>
      </w:r>
      <w:r w:rsidR="006F52A9" w:rsidRPr="007B5442">
        <w:t>be given to</w:t>
      </w:r>
      <w:r w:rsidR="00B60603" w:rsidRPr="007B5442">
        <w:t xml:space="preserve"> refining the (transitional) </w:t>
      </w:r>
      <w:r w:rsidR="00E10AF7" w:rsidRPr="007B5442">
        <w:t xml:space="preserve">measures to </w:t>
      </w:r>
      <w:r w:rsidR="00AC6F01" w:rsidRPr="007B5442">
        <w:t xml:space="preserve">provide </w:t>
      </w:r>
      <w:r w:rsidR="00B60603" w:rsidRPr="007B5442">
        <w:t>a step by step implementation of the new tasks</w:t>
      </w:r>
      <w:r w:rsidR="00AC6F01" w:rsidRPr="007B5442">
        <w:t xml:space="preserve">, recognizing </w:t>
      </w:r>
      <w:r w:rsidR="00B60603" w:rsidRPr="007B5442">
        <w:t>that 1.8.6.2.4.3 can be applied.</w:t>
      </w:r>
    </w:p>
    <w:p w14:paraId="38C3CA75" w14:textId="357E3FFE" w:rsidR="00BD2423" w:rsidRPr="007B5442" w:rsidRDefault="00ED5F1C" w:rsidP="00E40211">
      <w:pPr>
        <w:pStyle w:val="SingleTxtG"/>
      </w:pPr>
      <w:r w:rsidRPr="007B5442">
        <w:t>7</w:t>
      </w:r>
      <w:r w:rsidR="00BD2423" w:rsidRPr="007B5442">
        <w:t>.</w:t>
      </w:r>
      <w:r w:rsidR="00BD2423" w:rsidRPr="007B5442">
        <w:tab/>
      </w:r>
      <w:r w:rsidR="00415C1F" w:rsidRPr="007B5442">
        <w:t>The corrections in INF</w:t>
      </w:r>
      <w:r w:rsidR="007B5442">
        <w:t>.</w:t>
      </w:r>
      <w:r w:rsidR="00415C1F" w:rsidRPr="007B5442">
        <w:t>40 were accepted apart from that relating to 1.8.7.1.5. After discussion on INF</w:t>
      </w:r>
      <w:r w:rsidR="007B5442">
        <w:t>.</w:t>
      </w:r>
      <w:r w:rsidR="00415C1F" w:rsidRPr="007B5442">
        <w:t>42 it was decided to keep the wording concerning in-house inspection services in 6.8.1.5.3 (b) and 6.8.1.5.4 (b) in square brackets pending further discussion.</w:t>
      </w:r>
    </w:p>
    <w:p w14:paraId="064BE638" w14:textId="0A578779" w:rsidR="00357C76" w:rsidRPr="007B5442" w:rsidRDefault="00ED5F1C" w:rsidP="00E40211">
      <w:pPr>
        <w:pStyle w:val="SingleTxtG"/>
      </w:pPr>
      <w:r w:rsidRPr="007B5442">
        <w:t>8</w:t>
      </w:r>
      <w:r w:rsidR="00FC76AB" w:rsidRPr="007B5442">
        <w:t>.</w:t>
      </w:r>
      <w:r w:rsidR="00FC76AB" w:rsidRPr="007B5442">
        <w:tab/>
      </w:r>
      <w:r w:rsidR="00357C76" w:rsidRPr="007B5442">
        <w:t>Based on discussion of the Informal documents the following amendments were proposed for the wording in 2021/23</w:t>
      </w:r>
      <w:r w:rsidR="007B5442">
        <w:t>/</w:t>
      </w:r>
      <w:r w:rsidR="00357C76" w:rsidRPr="007B5442">
        <w:t>Rev</w:t>
      </w:r>
      <w:r w:rsidR="007B5442">
        <w:t>.</w:t>
      </w:r>
      <w:r w:rsidR="00357C76" w:rsidRPr="007B5442">
        <w:t>1:</w:t>
      </w:r>
    </w:p>
    <w:p w14:paraId="28CB9902" w14:textId="740A5AAB" w:rsidR="00357C76" w:rsidRPr="007B5442" w:rsidRDefault="00357C76" w:rsidP="00E40211">
      <w:pPr>
        <w:snapToGrid w:val="0"/>
        <w:spacing w:before="120" w:after="120"/>
        <w:ind w:left="1134"/>
      </w:pPr>
      <w:r w:rsidRPr="007B5442">
        <w:t xml:space="preserve">Proposal </w:t>
      </w:r>
      <w:r w:rsidR="00AC6F01" w:rsidRPr="007B5442">
        <w:t>1</w:t>
      </w:r>
      <w:r w:rsidRPr="007B5442">
        <w:t xml:space="preserve"> </w:t>
      </w:r>
      <w:r w:rsidR="009D5CDA" w:rsidRPr="007B5442">
        <w:t xml:space="preserve">- </w:t>
      </w:r>
      <w:r w:rsidRPr="007B5442">
        <w:t>(INF</w:t>
      </w:r>
      <w:r w:rsidR="007B5442">
        <w:t>.</w:t>
      </w:r>
      <w:r w:rsidRPr="007B5442">
        <w:t>28) Replace the note to 1.8.6.3.3 to read:</w:t>
      </w:r>
    </w:p>
    <w:p w14:paraId="3E5B66FB" w14:textId="11A5851E" w:rsidR="00AC6F01" w:rsidRPr="007B5442" w:rsidRDefault="00357C76" w:rsidP="00AC6F01">
      <w:pPr>
        <w:numPr>
          <w:ilvl w:val="2"/>
          <w:numId w:val="17"/>
        </w:numPr>
        <w:spacing w:before="120" w:after="120"/>
        <w:ind w:left="2977" w:right="1134" w:hanging="992"/>
        <w:jc w:val="both"/>
        <w:rPr>
          <w:rFonts w:asciiTheme="majorBidi" w:hAnsiTheme="majorBidi" w:cstheme="majorBidi"/>
          <w:bCs/>
        </w:rPr>
      </w:pPr>
      <w:r w:rsidRPr="007B5442">
        <w:rPr>
          <w:rFonts w:asciiTheme="majorBidi" w:hAnsiTheme="majorBidi" w:cstheme="majorBidi"/>
          <w:i/>
          <w:iCs/>
        </w:rPr>
        <w:t>NOTE:</w:t>
      </w:r>
      <w:r w:rsidR="007B5442" w:rsidRPr="007B5442">
        <w:rPr>
          <w:rFonts w:asciiTheme="majorBidi" w:hAnsiTheme="majorBidi" w:cstheme="majorBidi"/>
          <w:i/>
          <w:iCs/>
        </w:rPr>
        <w:tab/>
      </w:r>
      <w:r w:rsidRPr="007B5442">
        <w:rPr>
          <w:rFonts w:asciiTheme="majorBidi" w:hAnsiTheme="majorBidi" w:cstheme="majorBidi"/>
          <w:bCs/>
          <w:i/>
          <w:iCs/>
        </w:rPr>
        <w:t xml:space="preserve">The following provisions only apply to type A inspection bodies. </w:t>
      </w:r>
      <w:r w:rsidRPr="007B5442">
        <w:rPr>
          <w:rFonts w:asciiTheme="majorBidi" w:hAnsiTheme="majorBidi" w:cstheme="majorBidi"/>
          <w:i/>
          <w:iCs/>
        </w:rPr>
        <w:t>Type B inspection bodies are not allowed to delegate the activities for which they are approved.</w:t>
      </w:r>
      <w:r w:rsidR="007B5442" w:rsidRPr="007B5442">
        <w:rPr>
          <w:rFonts w:asciiTheme="majorBidi" w:hAnsiTheme="majorBidi" w:cstheme="majorBidi"/>
          <w:i/>
          <w:iCs/>
        </w:rPr>
        <w:t xml:space="preserve"> </w:t>
      </w:r>
      <w:r w:rsidRPr="007B5442">
        <w:rPr>
          <w:rFonts w:asciiTheme="majorBidi" w:hAnsiTheme="majorBidi" w:cstheme="majorBidi"/>
          <w:i/>
          <w:iCs/>
        </w:rPr>
        <w:t>For in-house inspection services see 1.8.7.7.2.</w:t>
      </w:r>
    </w:p>
    <w:p w14:paraId="0BCFF608" w14:textId="5DF4635E" w:rsidR="00357C76" w:rsidRPr="007B5442" w:rsidRDefault="00357C76" w:rsidP="00FC76AB">
      <w:pPr>
        <w:ind w:left="1134"/>
      </w:pPr>
      <w:r w:rsidRPr="007B5442">
        <w:t xml:space="preserve">Proposal </w:t>
      </w:r>
      <w:r w:rsidR="00AC6F01" w:rsidRPr="007B5442">
        <w:t>2</w:t>
      </w:r>
      <w:r w:rsidRPr="007B5442">
        <w:t xml:space="preserve"> </w:t>
      </w:r>
      <w:r w:rsidR="009D5CDA" w:rsidRPr="007B5442">
        <w:t xml:space="preserve">- </w:t>
      </w:r>
      <w:r w:rsidRPr="007B5442">
        <w:t>(INF</w:t>
      </w:r>
      <w:r w:rsidR="007B5442">
        <w:t>.</w:t>
      </w:r>
      <w:r w:rsidRPr="007B5442">
        <w:t>28) Amend the last paragraph of 1.8.7.7.2 to read:</w:t>
      </w:r>
    </w:p>
    <w:p w14:paraId="441E510C" w14:textId="4A420681" w:rsidR="00357C76" w:rsidRPr="007B5442" w:rsidRDefault="009D5CDA" w:rsidP="00E40211">
      <w:pPr>
        <w:tabs>
          <w:tab w:val="left" w:pos="708"/>
        </w:tabs>
        <w:snapToGrid w:val="0"/>
        <w:spacing w:before="120" w:after="120"/>
        <w:ind w:left="1701" w:right="1134"/>
        <w:jc w:val="both"/>
        <w:rPr>
          <w:rFonts w:asciiTheme="majorBidi" w:hAnsiTheme="majorBidi" w:cstheme="majorBidi"/>
          <w:bCs/>
          <w:i/>
          <w:iCs/>
        </w:rPr>
      </w:pPr>
      <w:r w:rsidRPr="007B5442">
        <w:rPr>
          <w:rFonts w:asciiTheme="majorBidi" w:hAnsiTheme="majorBidi" w:cstheme="majorBidi"/>
          <w:i/>
          <w:iCs/>
        </w:rPr>
        <w:t>"</w:t>
      </w:r>
      <w:r w:rsidR="00357C76" w:rsidRPr="007B5442">
        <w:rPr>
          <w:rFonts w:asciiTheme="majorBidi" w:hAnsiTheme="majorBidi" w:cstheme="majorBidi"/>
          <w:bCs/>
          <w:i/>
          <w:iCs/>
        </w:rPr>
        <w:t xml:space="preserve">The in-house inspection service </w:t>
      </w:r>
      <w:r w:rsidR="00357C76" w:rsidRPr="007B5442">
        <w:rPr>
          <w:rFonts w:asciiTheme="majorBidi" w:hAnsiTheme="majorBidi" w:cstheme="majorBidi"/>
          <w:bCs/>
          <w:i/>
          <w:iCs/>
          <w:u w:val="single"/>
        </w:rPr>
        <w:t>may, in specific cases only, subcontract specific parts of its activities if approved by the inspection body which has authorized it. The subcontractor shall additionally be accredited according to EN ISO/IEC 17025:2017 (except clause 8.1.3) or EN ISO/IEC 17020:2012 (except clause 8.1.3) as an independent and impartial testing laboratory or inspection body in order to perform testing tasks in accordance with its accreditation.</w:t>
      </w:r>
      <w:r w:rsidRPr="007B5442">
        <w:rPr>
          <w:rFonts w:asciiTheme="majorBidi" w:hAnsiTheme="majorBidi" w:cstheme="majorBidi"/>
          <w:i/>
          <w:iCs/>
        </w:rPr>
        <w:t>"</w:t>
      </w:r>
    </w:p>
    <w:p w14:paraId="65AE7F57" w14:textId="62DA2CAF" w:rsidR="00357C76" w:rsidRPr="007B5442" w:rsidRDefault="00357C76" w:rsidP="00E40211">
      <w:pPr>
        <w:snapToGrid w:val="0"/>
        <w:spacing w:before="120" w:after="120"/>
        <w:ind w:left="1134" w:right="1134"/>
      </w:pPr>
      <w:r w:rsidRPr="007B5442">
        <w:t xml:space="preserve">Proposal </w:t>
      </w:r>
      <w:r w:rsidR="00AC6F01" w:rsidRPr="007B5442">
        <w:t>3</w:t>
      </w:r>
      <w:r w:rsidRPr="007B5442">
        <w:t xml:space="preserve"> </w:t>
      </w:r>
      <w:r w:rsidR="009D5CDA" w:rsidRPr="007B5442">
        <w:t xml:space="preserve">- </w:t>
      </w:r>
      <w:r w:rsidRPr="007B5442">
        <w:t>(INF</w:t>
      </w:r>
      <w:r w:rsidR="0070717F">
        <w:t>.</w:t>
      </w:r>
      <w:r w:rsidRPr="007B5442">
        <w:t>28) Amend the first paragraph of 1.8.7.1.5 to read</w:t>
      </w:r>
      <w:r w:rsidR="0070717F">
        <w:t xml:space="preserve"> </w:t>
      </w:r>
      <w:r w:rsidRPr="007B5442">
        <w:t>(modified wording underlined):</w:t>
      </w:r>
    </w:p>
    <w:p w14:paraId="725813C7" w14:textId="66F10FB6" w:rsidR="00357C76" w:rsidRPr="007B5442" w:rsidRDefault="00357C76" w:rsidP="00E40211">
      <w:pPr>
        <w:pStyle w:val="Bullet1G"/>
        <w:numPr>
          <w:ilvl w:val="0"/>
          <w:numId w:val="0"/>
        </w:numPr>
        <w:snapToGrid w:val="0"/>
        <w:spacing w:before="120"/>
        <w:ind w:left="1701" w:hanging="567"/>
        <w:rPr>
          <w:rFonts w:asciiTheme="majorBidi" w:hAnsiTheme="majorBidi" w:cstheme="majorBidi"/>
          <w:highlight w:val="yellow"/>
        </w:rPr>
      </w:pPr>
      <w:r w:rsidRPr="007B5442">
        <w:rPr>
          <w:rFonts w:asciiTheme="majorBidi" w:hAnsiTheme="majorBidi" w:cstheme="majorBidi"/>
          <w:bCs/>
        </w:rPr>
        <w:t>"</w:t>
      </w:r>
      <w:r w:rsidRPr="007B5442">
        <w:rPr>
          <w:rFonts w:asciiTheme="majorBidi" w:hAnsiTheme="majorBidi" w:cstheme="majorBidi"/>
          <w:b/>
        </w:rPr>
        <w:t>1.8.7.1.5</w:t>
      </w:r>
      <w:r w:rsidRPr="007B5442">
        <w:rPr>
          <w:rFonts w:asciiTheme="majorBidi" w:hAnsiTheme="majorBidi" w:cstheme="majorBidi"/>
          <w:b/>
        </w:rPr>
        <w:tab/>
      </w:r>
      <w:bookmarkStart w:id="0" w:name="_Hlk83653881"/>
      <w:r w:rsidRPr="007B5442">
        <w:rPr>
          <w:rFonts w:asciiTheme="majorBidi" w:hAnsiTheme="majorBidi" w:cstheme="majorBidi"/>
          <w:i/>
          <w:iCs/>
        </w:rPr>
        <w:t xml:space="preserve">Type approval certificates, inspection certificates and reports for the </w:t>
      </w:r>
      <w:bookmarkStart w:id="1" w:name="_Hlk82187835"/>
      <w:r w:rsidRPr="007B5442">
        <w:rPr>
          <w:rFonts w:asciiTheme="majorBidi" w:hAnsiTheme="majorBidi" w:cstheme="majorBidi"/>
          <w:i/>
          <w:iCs/>
        </w:rPr>
        <w:t xml:space="preserve">products (pressure receptacles, tanks, </w:t>
      </w:r>
      <w:r w:rsidRPr="007B5442">
        <w:rPr>
          <w:rFonts w:asciiTheme="majorBidi" w:hAnsiTheme="majorBidi" w:cstheme="majorBidi"/>
          <w:i/>
          <w:iCs/>
          <w:u w:val="single"/>
        </w:rPr>
        <w:t>service equipment, and the assembly of the elements, structural equipment and service equipment of</w:t>
      </w:r>
      <w:r w:rsidRPr="007B5442">
        <w:rPr>
          <w:rFonts w:asciiTheme="majorBidi" w:hAnsiTheme="majorBidi" w:cstheme="majorBidi"/>
          <w:i/>
          <w:iCs/>
        </w:rPr>
        <w:t xml:space="preserve"> battery wagons/battery vehicles or MEGCs)</w:t>
      </w:r>
      <w:bookmarkEnd w:id="1"/>
      <w:r w:rsidRPr="007B5442">
        <w:rPr>
          <w:rFonts w:asciiTheme="majorBidi" w:hAnsiTheme="majorBidi" w:cstheme="majorBidi"/>
          <w:i/>
          <w:iCs/>
        </w:rPr>
        <w:t>, including the technical documentation, shall be kept:"</w:t>
      </w:r>
      <w:bookmarkEnd w:id="0"/>
      <w:r w:rsidRPr="007B5442">
        <w:rPr>
          <w:rFonts w:asciiTheme="majorBidi" w:hAnsiTheme="majorBidi" w:cstheme="majorBidi"/>
        </w:rPr>
        <w:t xml:space="preserve"> </w:t>
      </w:r>
    </w:p>
    <w:p w14:paraId="4FB766EB" w14:textId="377E1DC4" w:rsidR="00357C76" w:rsidRPr="007B5442" w:rsidRDefault="00357C76" w:rsidP="00E40211">
      <w:pPr>
        <w:snapToGrid w:val="0"/>
        <w:spacing w:before="120" w:after="120"/>
        <w:ind w:left="1560" w:right="1134" w:hanging="426"/>
      </w:pPr>
      <w:r w:rsidRPr="007B5442">
        <w:t xml:space="preserve">Proposal </w:t>
      </w:r>
      <w:r w:rsidR="00AC6F01" w:rsidRPr="007B5442">
        <w:t>4</w:t>
      </w:r>
      <w:r w:rsidR="009D5CDA" w:rsidRPr="007B5442">
        <w:t xml:space="preserve"> -</w:t>
      </w:r>
      <w:r w:rsidRPr="007B5442">
        <w:t xml:space="preserve"> (INF</w:t>
      </w:r>
      <w:r w:rsidR="0070717F">
        <w:t>.</w:t>
      </w:r>
      <w:r w:rsidRPr="007B5442">
        <w:t xml:space="preserve">28) Amend the “Note 2” to 1.8.7 to read (new wording </w:t>
      </w:r>
      <w:r w:rsidR="0070717F">
        <w:t xml:space="preserve">is </w:t>
      </w:r>
      <w:r w:rsidRPr="007B5442">
        <w:t xml:space="preserve">underlined, deleted wording stricken through): </w:t>
      </w:r>
    </w:p>
    <w:p w14:paraId="49F42FEB" w14:textId="7C48AA36" w:rsidR="00357C76" w:rsidRPr="007B5442" w:rsidRDefault="00941AF2" w:rsidP="00E40211">
      <w:pPr>
        <w:numPr>
          <w:ilvl w:val="0"/>
          <w:numId w:val="36"/>
        </w:numPr>
        <w:tabs>
          <w:tab w:val="left" w:pos="720"/>
        </w:tabs>
        <w:snapToGrid w:val="0"/>
        <w:spacing w:before="120" w:after="120" w:line="240" w:lineRule="exact"/>
        <w:ind w:left="1701" w:right="1134" w:firstLine="0"/>
        <w:jc w:val="both"/>
        <w:outlineLvl w:val="2"/>
      </w:pPr>
      <w:r w:rsidRPr="007B5442">
        <w:rPr>
          <w:i/>
          <w:lang w:eastAsia="ar-SA"/>
        </w:rPr>
        <w:t>“</w:t>
      </w:r>
      <w:r w:rsidR="00357C76" w:rsidRPr="007B5442">
        <w:rPr>
          <w:i/>
          <w:lang w:eastAsia="ar-SA"/>
        </w:rPr>
        <w:t>NOTE 2: In this section, “manufacturer” means the enterprise who is responsible to the competent authority for all aspects of the conformity assessment and for ensuring the conformity of construction whose name and mark appear in the approvals and on the markings. It is not essential that the enterprise is directly involved in all stages of the construction</w:t>
      </w:r>
      <w:r w:rsidR="00357C76" w:rsidRPr="007B5442">
        <w:rPr>
          <w:i/>
          <w:u w:val="single"/>
          <w:lang w:eastAsia="ar-SA"/>
        </w:rPr>
        <w:t xml:space="preserve"> of the product (see 1.8.7.1.5</w:t>
      </w:r>
      <w:r w:rsidR="00357C76" w:rsidRPr="007B5442">
        <w:rPr>
          <w:i/>
          <w:lang w:eastAsia="ar-SA"/>
        </w:rPr>
        <w:t xml:space="preserve">) </w:t>
      </w:r>
      <w:r w:rsidR="00357C76" w:rsidRPr="007B5442">
        <w:rPr>
          <w:i/>
          <w:strike/>
          <w:lang w:eastAsia="ar-SA"/>
        </w:rPr>
        <w:t xml:space="preserve">tanks, elements </w:t>
      </w:r>
      <w:r w:rsidR="00357C76" w:rsidRPr="007B5442">
        <w:rPr>
          <w:i/>
          <w:strike/>
          <w:lang w:eastAsia="ar-SA"/>
        </w:rPr>
        <w:lastRenderedPageBreak/>
        <w:t>of battery-wagons/battery-vehicles, MEGCs, or pressure receptacles, or structural or service equipment</w:t>
      </w:r>
      <w:r w:rsidR="00357C76" w:rsidRPr="007B5442">
        <w:rPr>
          <w:i/>
          <w:lang w:eastAsia="ar-SA"/>
        </w:rPr>
        <w:t xml:space="preserve"> which is subject to the conformity assessment.</w:t>
      </w:r>
      <w:r w:rsidRPr="007B5442">
        <w:rPr>
          <w:i/>
          <w:lang w:eastAsia="ar-SA"/>
        </w:rPr>
        <w:t>”</w:t>
      </w:r>
    </w:p>
    <w:p w14:paraId="082C29E5" w14:textId="23F47D48" w:rsidR="00357C76" w:rsidRPr="007B5442" w:rsidRDefault="00357C76" w:rsidP="00E40211">
      <w:pPr>
        <w:snapToGrid w:val="0"/>
        <w:spacing w:before="120" w:after="120"/>
        <w:ind w:left="1134" w:right="1134"/>
      </w:pPr>
      <w:r w:rsidRPr="007B5442">
        <w:t xml:space="preserve">Proposal </w:t>
      </w:r>
      <w:r w:rsidR="00AC6F01" w:rsidRPr="007B5442">
        <w:t>5</w:t>
      </w:r>
      <w:r w:rsidRPr="007B5442">
        <w:t xml:space="preserve"> </w:t>
      </w:r>
      <w:r w:rsidR="009D5CDA" w:rsidRPr="007B5442">
        <w:t xml:space="preserve">- </w:t>
      </w:r>
      <w:r w:rsidRPr="007B5442">
        <w:t>(INF</w:t>
      </w:r>
      <w:r w:rsidR="0070717F">
        <w:t>.</w:t>
      </w:r>
      <w:r w:rsidRPr="007B5442">
        <w:t>28) Amend the second sentence of 1.8.7.2.2.2 to read (deleted wording stricken through):</w:t>
      </w:r>
    </w:p>
    <w:p w14:paraId="214FE4E0" w14:textId="7576FD55" w:rsidR="00357C76" w:rsidRPr="007B5442" w:rsidRDefault="00941AF2" w:rsidP="00E40211">
      <w:pPr>
        <w:snapToGrid w:val="0"/>
        <w:spacing w:before="120" w:after="120"/>
        <w:ind w:left="1701" w:right="1134"/>
        <w:rPr>
          <w:rFonts w:asciiTheme="majorBidi" w:hAnsiTheme="majorBidi" w:cstheme="majorBidi"/>
          <w:i/>
          <w:iCs/>
        </w:rPr>
      </w:pPr>
      <w:r w:rsidRPr="007B5442">
        <w:rPr>
          <w:rFonts w:asciiTheme="majorBidi" w:hAnsiTheme="majorBidi" w:cstheme="majorBidi"/>
          <w:i/>
          <w:iCs/>
        </w:rPr>
        <w:t>“</w:t>
      </w:r>
      <w:r w:rsidR="00357C76" w:rsidRPr="007B5442">
        <w:rPr>
          <w:rFonts w:asciiTheme="majorBidi" w:hAnsiTheme="majorBidi" w:cstheme="majorBidi"/>
          <w:i/>
          <w:iCs/>
        </w:rPr>
        <w:t xml:space="preserve">If within that period, the relevant technical requirements of RID/ADR </w:t>
      </w:r>
      <w:r w:rsidR="00357C76" w:rsidRPr="007B5442">
        <w:rPr>
          <w:rFonts w:asciiTheme="majorBidi" w:hAnsiTheme="majorBidi" w:cstheme="majorBidi"/>
          <w:i/>
          <w:iCs/>
          <w:strike/>
        </w:rPr>
        <w:t>(including the referenced standards)</w:t>
      </w:r>
      <w:r w:rsidR="00357C76" w:rsidRPr="007B5442">
        <w:rPr>
          <w:rFonts w:asciiTheme="majorBidi" w:hAnsiTheme="majorBidi" w:cstheme="majorBidi"/>
          <w:i/>
          <w:iCs/>
        </w:rPr>
        <w:t xml:space="preserve"> have changed so that the approved type is no longer in conformity with them, then the type approval is no longer valid.</w:t>
      </w:r>
      <w:r w:rsidRPr="007B5442">
        <w:rPr>
          <w:rFonts w:asciiTheme="majorBidi" w:hAnsiTheme="majorBidi" w:cstheme="majorBidi"/>
          <w:i/>
          <w:iCs/>
        </w:rPr>
        <w:t>”</w:t>
      </w:r>
    </w:p>
    <w:p w14:paraId="1910CA23" w14:textId="1AAA9105" w:rsidR="00357C76" w:rsidRPr="007B5442" w:rsidRDefault="00357C76" w:rsidP="00E40211">
      <w:pPr>
        <w:snapToGrid w:val="0"/>
        <w:spacing w:before="120" w:after="120"/>
        <w:ind w:left="1134"/>
      </w:pPr>
      <w:r w:rsidRPr="007B5442">
        <w:rPr>
          <w:rFonts w:asciiTheme="majorBidi" w:hAnsiTheme="majorBidi" w:cstheme="majorBidi"/>
        </w:rPr>
        <w:t xml:space="preserve">Proposal </w:t>
      </w:r>
      <w:r w:rsidR="00AC6F01" w:rsidRPr="007B5442">
        <w:rPr>
          <w:rFonts w:asciiTheme="majorBidi" w:hAnsiTheme="majorBidi" w:cstheme="majorBidi"/>
        </w:rPr>
        <w:t>6</w:t>
      </w:r>
      <w:r w:rsidRPr="007B5442">
        <w:rPr>
          <w:rFonts w:asciiTheme="majorBidi" w:hAnsiTheme="majorBidi" w:cstheme="majorBidi"/>
        </w:rPr>
        <w:t xml:space="preserve"> </w:t>
      </w:r>
      <w:r w:rsidR="00941AF2" w:rsidRPr="007B5442">
        <w:rPr>
          <w:rFonts w:asciiTheme="majorBidi" w:hAnsiTheme="majorBidi" w:cstheme="majorBidi"/>
        </w:rPr>
        <w:t xml:space="preserve">- </w:t>
      </w:r>
      <w:r w:rsidRPr="007B5442">
        <w:rPr>
          <w:rFonts w:asciiTheme="majorBidi" w:hAnsiTheme="majorBidi" w:cstheme="majorBidi"/>
        </w:rPr>
        <w:t>(INF</w:t>
      </w:r>
      <w:r w:rsidR="0070717F">
        <w:rPr>
          <w:rFonts w:asciiTheme="majorBidi" w:hAnsiTheme="majorBidi" w:cstheme="majorBidi"/>
        </w:rPr>
        <w:t>.</w:t>
      </w:r>
      <w:r w:rsidRPr="007B5442">
        <w:rPr>
          <w:rFonts w:asciiTheme="majorBidi" w:hAnsiTheme="majorBidi" w:cstheme="majorBidi"/>
        </w:rPr>
        <w:t>28) Amend the second paragraph after the table of 6.2.2.12 to read:</w:t>
      </w:r>
    </w:p>
    <w:p w14:paraId="342756F7" w14:textId="3C83BA51" w:rsidR="00357C76" w:rsidRPr="007B5442" w:rsidRDefault="00AC6F01" w:rsidP="00E40211">
      <w:pPr>
        <w:pStyle w:val="Bullet1G"/>
        <w:numPr>
          <w:ilvl w:val="0"/>
          <w:numId w:val="0"/>
        </w:numPr>
        <w:snapToGrid w:val="0"/>
        <w:spacing w:before="120"/>
        <w:ind w:left="1701"/>
        <w:rPr>
          <w:rFonts w:asciiTheme="majorBidi" w:hAnsiTheme="majorBidi" w:cstheme="majorBidi"/>
          <w:i/>
          <w:iCs/>
        </w:rPr>
      </w:pPr>
      <w:r w:rsidRPr="007B5442">
        <w:rPr>
          <w:rFonts w:asciiTheme="majorBidi" w:hAnsiTheme="majorBidi" w:cstheme="majorBidi"/>
          <w:i/>
          <w:iCs/>
          <w:strike/>
        </w:rPr>
        <w:t>“</w:t>
      </w:r>
      <w:r w:rsidR="00357C76" w:rsidRPr="007B5442">
        <w:rPr>
          <w:rFonts w:asciiTheme="majorBidi" w:hAnsiTheme="majorBidi" w:cstheme="majorBidi"/>
          <w:i/>
          <w:iCs/>
          <w:u w:val="single"/>
        </w:rPr>
        <w:t>For separate conformity assessments (e.g. cylinder shell and closure) see 6.2.1.4.4</w:t>
      </w:r>
      <w:r w:rsidR="00357C76" w:rsidRPr="007B5442">
        <w:rPr>
          <w:rFonts w:asciiTheme="majorBidi" w:hAnsiTheme="majorBidi" w:cstheme="majorBidi"/>
          <w:i/>
          <w:iCs/>
        </w:rPr>
        <w:t>.</w:t>
      </w:r>
      <w:r w:rsidR="0070717F" w:rsidRPr="007B5442">
        <w:rPr>
          <w:rFonts w:asciiTheme="majorBidi" w:hAnsiTheme="majorBidi" w:cstheme="majorBidi"/>
          <w:i/>
          <w:iCs/>
        </w:rPr>
        <w:t>”</w:t>
      </w:r>
    </w:p>
    <w:p w14:paraId="079A224E" w14:textId="1B258E65" w:rsidR="00357C76" w:rsidRPr="007B5442" w:rsidRDefault="00357C76" w:rsidP="00E40211">
      <w:pPr>
        <w:snapToGrid w:val="0"/>
        <w:spacing w:before="120" w:after="120"/>
        <w:ind w:left="1134"/>
      </w:pPr>
      <w:r w:rsidRPr="007B5442">
        <w:t xml:space="preserve">Proposal </w:t>
      </w:r>
      <w:r w:rsidR="00AC6F01" w:rsidRPr="007B5442">
        <w:t>7</w:t>
      </w:r>
      <w:r w:rsidRPr="007B5442">
        <w:t xml:space="preserve"> </w:t>
      </w:r>
      <w:r w:rsidR="00941AF2" w:rsidRPr="007B5442">
        <w:t xml:space="preserve">- </w:t>
      </w:r>
      <w:r w:rsidRPr="007B5442">
        <w:t>(INF</w:t>
      </w:r>
      <w:r w:rsidR="0070717F">
        <w:t>.</w:t>
      </w:r>
      <w:r w:rsidRPr="007B5442">
        <w:t>28) Amend the second paragraph after the table of 6.2.3.6.1 to read:</w:t>
      </w:r>
    </w:p>
    <w:p w14:paraId="3F22C00F" w14:textId="7BF884CB" w:rsidR="00357C76" w:rsidRPr="007B5442" w:rsidRDefault="0070717F" w:rsidP="00E40211">
      <w:pPr>
        <w:pStyle w:val="Bullet1G"/>
        <w:numPr>
          <w:ilvl w:val="0"/>
          <w:numId w:val="0"/>
        </w:numPr>
        <w:snapToGrid w:val="0"/>
        <w:spacing w:before="120"/>
        <w:ind w:left="1701"/>
        <w:rPr>
          <w:rFonts w:asciiTheme="majorBidi" w:hAnsiTheme="majorBidi" w:cstheme="majorBidi"/>
          <w:i/>
          <w:iCs/>
          <w:u w:val="single"/>
        </w:rPr>
      </w:pPr>
      <w:r w:rsidRPr="007B5442">
        <w:rPr>
          <w:rFonts w:asciiTheme="majorBidi" w:hAnsiTheme="majorBidi" w:cstheme="majorBidi"/>
          <w:i/>
          <w:iCs/>
        </w:rPr>
        <w:t>“</w:t>
      </w:r>
      <w:r w:rsidR="00357C76" w:rsidRPr="007B5442">
        <w:rPr>
          <w:rFonts w:asciiTheme="majorBidi" w:hAnsiTheme="majorBidi" w:cstheme="majorBidi"/>
          <w:i/>
          <w:iCs/>
          <w:u w:val="single"/>
        </w:rPr>
        <w:t>For separate conformity assessments (e.g. cylinder shell and closure) see 6.2.1.4.4</w:t>
      </w:r>
      <w:r w:rsidR="00357C76" w:rsidRPr="007B5442">
        <w:rPr>
          <w:i/>
          <w:iCs/>
          <w:u w:val="single"/>
        </w:rPr>
        <w:t>.</w:t>
      </w:r>
      <w:r w:rsidRPr="0070717F">
        <w:rPr>
          <w:rFonts w:asciiTheme="majorBidi" w:hAnsiTheme="majorBidi" w:cstheme="majorBidi"/>
          <w:i/>
          <w:iCs/>
        </w:rPr>
        <w:t xml:space="preserve"> </w:t>
      </w:r>
      <w:r w:rsidR="00357C76" w:rsidRPr="007B5442">
        <w:rPr>
          <w:rFonts w:asciiTheme="majorBidi" w:hAnsiTheme="majorBidi" w:cstheme="majorBidi"/>
          <w:i/>
          <w:iCs/>
          <w:u w:val="single"/>
        </w:rPr>
        <w:t>For non-refillable pressure receptacles, separate type approval certificates for either the shell or the closure shall not be issued.</w:t>
      </w:r>
      <w:bookmarkStart w:id="2" w:name="_Hlk83857280"/>
      <w:r w:rsidR="00357C76" w:rsidRPr="007B5442">
        <w:rPr>
          <w:rFonts w:asciiTheme="majorBidi" w:hAnsiTheme="majorBidi" w:cstheme="majorBidi"/>
          <w:i/>
          <w:iCs/>
          <w:u w:val="single"/>
        </w:rPr>
        <w:t>”</w:t>
      </w:r>
      <w:bookmarkEnd w:id="2"/>
    </w:p>
    <w:p w14:paraId="332EE25B" w14:textId="6F06263D" w:rsidR="00357C76" w:rsidRPr="007B5442" w:rsidRDefault="00357C76" w:rsidP="00E40211">
      <w:pPr>
        <w:snapToGrid w:val="0"/>
        <w:spacing w:before="120" w:after="120"/>
        <w:ind w:left="1134" w:right="1134"/>
      </w:pPr>
      <w:r w:rsidRPr="007B5442">
        <w:t xml:space="preserve">Proposal </w:t>
      </w:r>
      <w:r w:rsidR="00AC6F01" w:rsidRPr="007B5442">
        <w:t>8</w:t>
      </w:r>
      <w:r w:rsidRPr="007B5442">
        <w:t xml:space="preserve"> </w:t>
      </w:r>
      <w:r w:rsidR="009D5CDA" w:rsidRPr="007B5442">
        <w:t xml:space="preserve">- </w:t>
      </w:r>
      <w:r w:rsidRPr="007B5442">
        <w:t>(INF</w:t>
      </w:r>
      <w:r w:rsidR="0070717F">
        <w:t>.</w:t>
      </w:r>
      <w:r w:rsidRPr="007B5442">
        <w:t xml:space="preserve">28) Amend the fifth paragraph of 6.8.2.3.2 to read (new wording </w:t>
      </w:r>
      <w:r w:rsidR="0070717F">
        <w:t xml:space="preserve">is </w:t>
      </w:r>
      <w:r w:rsidRPr="007B5442">
        <w:t>underlined, deleted wording stricken through):</w:t>
      </w:r>
    </w:p>
    <w:p w14:paraId="28AE8DE8" w14:textId="7E8827FA" w:rsidR="00357C76" w:rsidRPr="007B5442" w:rsidRDefault="0070717F" w:rsidP="00E40211">
      <w:pPr>
        <w:pStyle w:val="Bullet1G"/>
        <w:numPr>
          <w:ilvl w:val="0"/>
          <w:numId w:val="0"/>
        </w:numPr>
        <w:snapToGrid w:val="0"/>
        <w:spacing w:before="120"/>
        <w:ind w:left="1701"/>
        <w:rPr>
          <w:rFonts w:asciiTheme="majorBidi" w:hAnsiTheme="majorBidi" w:cstheme="majorBidi"/>
          <w:i/>
          <w:iCs/>
        </w:rPr>
      </w:pPr>
      <w:r w:rsidRPr="007B5442">
        <w:rPr>
          <w:rFonts w:asciiTheme="majorBidi" w:hAnsiTheme="majorBidi" w:cstheme="majorBidi"/>
          <w:i/>
          <w:iCs/>
        </w:rPr>
        <w:t>“</w:t>
      </w:r>
      <w:r w:rsidR="00357C76" w:rsidRPr="007B5442">
        <w:rPr>
          <w:rFonts w:asciiTheme="majorBidi" w:hAnsiTheme="majorBidi" w:cstheme="majorBidi"/>
          <w:i/>
          <w:iCs/>
        </w:rPr>
        <w:t xml:space="preserve">When the manufacturer of service equipment </w:t>
      </w:r>
      <w:r w:rsidR="00357C76" w:rsidRPr="007B5442">
        <w:rPr>
          <w:rFonts w:asciiTheme="majorBidi" w:hAnsiTheme="majorBidi" w:cstheme="majorBidi"/>
          <w:i/>
          <w:iCs/>
          <w:strike/>
        </w:rPr>
        <w:t>has carried out</w:t>
      </w:r>
      <w:r w:rsidR="00357C76" w:rsidRPr="007B5442">
        <w:rPr>
          <w:rFonts w:asciiTheme="majorBidi" w:hAnsiTheme="majorBidi" w:cstheme="majorBidi"/>
          <w:i/>
          <w:iCs/>
        </w:rPr>
        <w:t xml:space="preserve"> </w:t>
      </w:r>
      <w:r w:rsidR="00357C76" w:rsidRPr="007B5442">
        <w:rPr>
          <w:rFonts w:asciiTheme="majorBidi" w:hAnsiTheme="majorBidi" w:cstheme="majorBidi"/>
          <w:i/>
          <w:iCs/>
          <w:u w:val="single"/>
        </w:rPr>
        <w:t>had</w:t>
      </w:r>
      <w:r w:rsidR="00357C76" w:rsidRPr="007B5442">
        <w:rPr>
          <w:rFonts w:asciiTheme="majorBidi" w:hAnsiTheme="majorBidi" w:cstheme="majorBidi"/>
          <w:i/>
          <w:iCs/>
        </w:rPr>
        <w:t xml:space="preserve"> a separate type examination </w:t>
      </w:r>
      <w:r w:rsidR="00357C76" w:rsidRPr="007B5442">
        <w:rPr>
          <w:rFonts w:asciiTheme="majorBidi" w:hAnsiTheme="majorBidi" w:cstheme="majorBidi"/>
          <w:i/>
          <w:iCs/>
          <w:u w:val="single"/>
        </w:rPr>
        <w:t>carried out</w:t>
      </w:r>
      <w:r w:rsidR="00357C76" w:rsidRPr="007B5442">
        <w:rPr>
          <w:rFonts w:asciiTheme="majorBidi" w:hAnsiTheme="majorBidi" w:cstheme="majorBidi"/>
          <w:i/>
          <w:iCs/>
        </w:rPr>
        <w:t xml:space="preserve"> and when </w:t>
      </w:r>
      <w:r w:rsidR="00357C76" w:rsidRPr="007B5442">
        <w:rPr>
          <w:rFonts w:asciiTheme="majorBidi" w:hAnsiTheme="majorBidi" w:cstheme="majorBidi"/>
          <w:i/>
          <w:iCs/>
          <w:strike/>
        </w:rPr>
        <w:t>he</w:t>
      </w:r>
      <w:r w:rsidR="00357C76" w:rsidRPr="007B5442">
        <w:rPr>
          <w:rFonts w:asciiTheme="majorBidi" w:hAnsiTheme="majorBidi" w:cstheme="majorBidi"/>
          <w:i/>
          <w:iCs/>
        </w:rPr>
        <w:t xml:space="preserve"> </w:t>
      </w:r>
      <w:r w:rsidR="00357C76" w:rsidRPr="007B5442">
        <w:rPr>
          <w:rFonts w:asciiTheme="majorBidi" w:hAnsiTheme="majorBidi" w:cstheme="majorBidi"/>
          <w:i/>
          <w:iCs/>
          <w:u w:val="single"/>
        </w:rPr>
        <w:t>the manufacturer</w:t>
      </w:r>
      <w:r w:rsidR="00357C76" w:rsidRPr="007B5442">
        <w:rPr>
          <w:rFonts w:asciiTheme="majorBidi" w:hAnsiTheme="majorBidi" w:cstheme="majorBidi"/>
          <w:i/>
          <w:iCs/>
        </w:rPr>
        <w:t xml:space="preserve"> requests it, the competent authority shall issue a certificate attesting that the type which has been examined meets the standard listed in the table in 6.8.2.6.1 or 6.8.3.6.</w:t>
      </w:r>
      <w:r w:rsidRPr="0070717F">
        <w:rPr>
          <w:rFonts w:asciiTheme="majorBidi" w:hAnsiTheme="majorBidi" w:cstheme="majorBidi"/>
          <w:i/>
          <w:iCs/>
        </w:rPr>
        <w:t>”</w:t>
      </w:r>
    </w:p>
    <w:p w14:paraId="0EE93295" w14:textId="74D7555C" w:rsidR="00357C76" w:rsidRPr="007B5442" w:rsidRDefault="00357C76" w:rsidP="00E40211">
      <w:pPr>
        <w:snapToGrid w:val="0"/>
        <w:spacing w:before="120" w:after="120"/>
        <w:ind w:left="1134" w:right="1134"/>
      </w:pPr>
      <w:r w:rsidRPr="007B5442">
        <w:t xml:space="preserve">Proposal </w:t>
      </w:r>
      <w:r w:rsidR="00BD2423" w:rsidRPr="007B5442">
        <w:t>9</w:t>
      </w:r>
      <w:r w:rsidR="009D5CDA" w:rsidRPr="007B5442">
        <w:t xml:space="preserve"> -</w:t>
      </w:r>
      <w:r w:rsidRPr="007B5442">
        <w:t xml:space="preserve"> (INF</w:t>
      </w:r>
      <w:r w:rsidR="0070717F">
        <w:t>.</w:t>
      </w:r>
      <w:r w:rsidRPr="007B5442">
        <w:t>35) Delete the note under 6.1.8.5.5 and add a new note under the first paragraph to 6.1.8.5 read:</w:t>
      </w:r>
    </w:p>
    <w:p w14:paraId="234645C3" w14:textId="77777777" w:rsidR="00357C76" w:rsidRPr="007B5442" w:rsidRDefault="00357C76" w:rsidP="00E40211">
      <w:pPr>
        <w:pStyle w:val="SingleTxtG"/>
        <w:snapToGrid w:val="0"/>
        <w:spacing w:before="120"/>
        <w:ind w:left="1701"/>
        <w:rPr>
          <w:noProof/>
        </w:rPr>
      </w:pPr>
      <w:r w:rsidRPr="007B5442">
        <w:rPr>
          <w:i/>
          <w:iCs/>
        </w:rPr>
        <w:t>”NOTE: These provisions apply, subject to the compliance of the inspection bodies with the provisions of 1.8.6, and without prejudice to rights and obligations, in particular notification and recognition, fixed for them by agreements or legal acts (e.g. Directive 2010/35/EU) otherwise binding on RID Contracting States/Contracting Parties of ADR”.</w:t>
      </w:r>
    </w:p>
    <w:p w14:paraId="59EF1631" w14:textId="70B032A5" w:rsidR="00357C76" w:rsidRPr="007B5442" w:rsidRDefault="00357C76" w:rsidP="00E40211">
      <w:pPr>
        <w:snapToGrid w:val="0"/>
        <w:spacing w:before="120" w:after="120"/>
        <w:ind w:left="1134"/>
      </w:pPr>
      <w:r w:rsidRPr="007B5442">
        <w:t xml:space="preserve">Proposal </w:t>
      </w:r>
      <w:r w:rsidR="00BD2423" w:rsidRPr="007B5442">
        <w:t>10</w:t>
      </w:r>
      <w:r w:rsidRPr="007B5442">
        <w:t xml:space="preserve"> </w:t>
      </w:r>
      <w:r w:rsidR="009D5CDA" w:rsidRPr="007B5442">
        <w:t xml:space="preserve">- </w:t>
      </w:r>
      <w:r w:rsidRPr="007B5442">
        <w:t>(INF</w:t>
      </w:r>
      <w:r w:rsidR="0070717F">
        <w:t>.</w:t>
      </w:r>
      <w:r w:rsidRPr="007B5442">
        <w:t>35) Amend 1.8.6.2.2.2 to read:</w:t>
      </w:r>
    </w:p>
    <w:p w14:paraId="44333329" w14:textId="6E0058A2" w:rsidR="00357C76" w:rsidRPr="007B5442" w:rsidRDefault="00357C76" w:rsidP="00E40211">
      <w:pPr>
        <w:pStyle w:val="SingleTxtG"/>
        <w:snapToGrid w:val="0"/>
        <w:spacing w:before="120"/>
        <w:ind w:left="1701"/>
        <w:rPr>
          <w:i/>
          <w:iCs/>
          <w:lang w:eastAsia="zh-CN"/>
        </w:rPr>
      </w:pPr>
      <w:r w:rsidRPr="007B5442">
        <w:rPr>
          <w:i/>
          <w:iCs/>
          <w:lang w:eastAsia="zh-CN"/>
        </w:rPr>
        <w:t>”</w:t>
      </w:r>
      <w:r w:rsidRPr="007B5442">
        <w:rPr>
          <w:i/>
          <w:iCs/>
        </w:rPr>
        <w:t>The competent authority shall ensure that the inspection body continuously meets the conditions for its approval and shall end it if these conditions are not met</w:t>
      </w:r>
      <w:r w:rsidRPr="007B5442">
        <w:rPr>
          <w:i/>
          <w:iCs/>
          <w:lang w:eastAsia="zh-CN"/>
        </w:rPr>
        <w:t>. However, in the case of suspension of the accreditation, the approval is only suspended during the suspension period of the accreditation”.</w:t>
      </w:r>
    </w:p>
    <w:p w14:paraId="63C8F9B2" w14:textId="78A1BD45" w:rsidR="00EB052C" w:rsidRPr="007B5442" w:rsidRDefault="00EB052C" w:rsidP="00E40211">
      <w:pPr>
        <w:pStyle w:val="SingleTxtG"/>
        <w:snapToGrid w:val="0"/>
        <w:spacing w:before="120"/>
        <w:rPr>
          <w:i/>
          <w:iCs/>
          <w:lang w:eastAsia="zh-CN"/>
        </w:rPr>
      </w:pPr>
      <w:r w:rsidRPr="007B5442">
        <w:rPr>
          <w:lang w:eastAsia="zh-CN"/>
        </w:rPr>
        <w:t xml:space="preserve">Proposal </w:t>
      </w:r>
      <w:r w:rsidR="00BD2423" w:rsidRPr="007B5442">
        <w:rPr>
          <w:lang w:eastAsia="zh-CN"/>
        </w:rPr>
        <w:t>11</w:t>
      </w:r>
      <w:r w:rsidRPr="007B5442">
        <w:rPr>
          <w:lang w:eastAsia="zh-CN"/>
        </w:rPr>
        <w:t xml:space="preserve"> </w:t>
      </w:r>
      <w:r w:rsidR="009D5CDA" w:rsidRPr="007B5442">
        <w:rPr>
          <w:lang w:eastAsia="zh-CN"/>
        </w:rPr>
        <w:t xml:space="preserve">- </w:t>
      </w:r>
      <w:r w:rsidRPr="007B5442">
        <w:rPr>
          <w:lang w:eastAsia="zh-CN"/>
        </w:rPr>
        <w:t>(INF</w:t>
      </w:r>
      <w:r w:rsidR="0070717F">
        <w:rPr>
          <w:lang w:eastAsia="zh-CN"/>
        </w:rPr>
        <w:t>.</w:t>
      </w:r>
      <w:r w:rsidRPr="007B5442">
        <w:rPr>
          <w:lang w:eastAsia="zh-CN"/>
        </w:rPr>
        <w:t xml:space="preserve">38) In 1.6.3.x and 1.6.4.x change the last </w:t>
      </w:r>
      <w:r w:rsidR="00B66DE7" w:rsidRPr="007B5442">
        <w:rPr>
          <w:lang w:eastAsia="zh-CN"/>
        </w:rPr>
        <w:t>reference to</w:t>
      </w:r>
      <w:r w:rsidR="00B66DE7" w:rsidRPr="007B5442">
        <w:rPr>
          <w:i/>
          <w:iCs/>
          <w:lang w:eastAsia="zh-CN"/>
        </w:rPr>
        <w:t xml:space="preserve"> “Chapter 6.8” </w:t>
      </w:r>
      <w:r w:rsidR="00B66DE7" w:rsidRPr="007B5442">
        <w:rPr>
          <w:lang w:eastAsia="zh-CN"/>
        </w:rPr>
        <w:t>to</w:t>
      </w:r>
      <w:r w:rsidR="00B66DE7" w:rsidRPr="007B5442">
        <w:rPr>
          <w:i/>
          <w:iCs/>
          <w:lang w:eastAsia="zh-CN"/>
        </w:rPr>
        <w:t xml:space="preserve"> “1.8.6”.</w:t>
      </w:r>
    </w:p>
    <w:p w14:paraId="75E1C81D" w14:textId="0D00F41D" w:rsidR="00BD2423" w:rsidRPr="007B5442" w:rsidRDefault="00BD2423" w:rsidP="00E40211">
      <w:pPr>
        <w:snapToGrid w:val="0"/>
        <w:spacing w:before="120" w:after="120"/>
        <w:ind w:left="1134" w:right="1134"/>
        <w:jc w:val="both"/>
        <w:rPr>
          <w:b/>
        </w:rPr>
      </w:pPr>
      <w:r w:rsidRPr="007B5442">
        <w:rPr>
          <w:bCs/>
        </w:rPr>
        <w:t xml:space="preserve">Proposal 12 </w:t>
      </w:r>
      <w:r w:rsidR="009D5CDA" w:rsidRPr="007B5442">
        <w:rPr>
          <w:bCs/>
        </w:rPr>
        <w:t xml:space="preserve">- </w:t>
      </w:r>
      <w:r w:rsidRPr="007B5442">
        <w:rPr>
          <w:bCs/>
        </w:rPr>
        <w:t>(INF</w:t>
      </w:r>
      <w:r w:rsidR="0070717F">
        <w:rPr>
          <w:bCs/>
        </w:rPr>
        <w:t>.</w:t>
      </w:r>
      <w:r w:rsidRPr="007B5442">
        <w:rPr>
          <w:bCs/>
        </w:rPr>
        <w:t>38)</w:t>
      </w:r>
      <w:r w:rsidRPr="007B5442">
        <w:rPr>
          <w:b/>
        </w:rPr>
        <w:t xml:space="preserve"> </w:t>
      </w:r>
      <w:r w:rsidRPr="007B5442">
        <w:t>Amend the second paragraph of 1.8.6.2.4.3:</w:t>
      </w:r>
    </w:p>
    <w:p w14:paraId="7F628ED2" w14:textId="26B930AD" w:rsidR="00BD2423" w:rsidRPr="007B5442" w:rsidRDefault="00BD2423" w:rsidP="00E40211">
      <w:pPr>
        <w:snapToGrid w:val="0"/>
        <w:spacing w:before="120" w:after="120"/>
        <w:ind w:left="1701" w:right="1134"/>
        <w:jc w:val="both"/>
        <w:rPr>
          <w:i/>
          <w:iCs/>
        </w:rPr>
      </w:pPr>
      <w:r w:rsidRPr="007B5442">
        <w:rPr>
          <w:bCs/>
          <w:i/>
          <w:iCs/>
        </w:rPr>
        <w:t>“Where a competent authority wishes to engage the services of an inspection body already approved by another competent authority to carry out activities related to conformity assessments and inspections on its behalf, then that</w:t>
      </w:r>
      <w:r w:rsidRPr="007B5442">
        <w:rPr>
          <w:b/>
          <w:i/>
          <w:iCs/>
        </w:rPr>
        <w:t xml:space="preserve"> </w:t>
      </w:r>
      <w:r w:rsidRPr="007B5442">
        <w:rPr>
          <w:i/>
          <w:iCs/>
        </w:rPr>
        <w:t>competent authority shall add this inspection body, the scope of activities for which it is recognized, and the competent authority that approved the inspection body, to the list mentioned in 1.8.6.2.4.2 and inform the secretariat of OTIF/UNECE. If the approval is withdrawn or suspended the recognition is no longer valid.</w:t>
      </w:r>
      <w:r w:rsidR="0070717F" w:rsidRPr="0070717F">
        <w:rPr>
          <w:i/>
          <w:iCs/>
        </w:rPr>
        <w:t>”</w:t>
      </w:r>
    </w:p>
    <w:p w14:paraId="7BBF69AB" w14:textId="1FEF9DF7" w:rsidR="008E4034" w:rsidRPr="007B5442" w:rsidRDefault="008E4034" w:rsidP="00E40211">
      <w:pPr>
        <w:pStyle w:val="SingleTxtG"/>
        <w:keepNext/>
        <w:keepLines/>
        <w:snapToGrid w:val="0"/>
        <w:spacing w:before="120"/>
        <w:rPr>
          <w:lang w:eastAsia="zh-CN"/>
        </w:rPr>
      </w:pPr>
      <w:r w:rsidRPr="007B5442">
        <w:rPr>
          <w:lang w:eastAsia="zh-CN"/>
        </w:rPr>
        <w:lastRenderedPageBreak/>
        <w:t>Prop</w:t>
      </w:r>
      <w:r w:rsidR="00DF170E" w:rsidRPr="007B5442">
        <w:rPr>
          <w:lang w:eastAsia="zh-CN"/>
        </w:rPr>
        <w:t>o</w:t>
      </w:r>
      <w:r w:rsidRPr="007B5442">
        <w:rPr>
          <w:lang w:eastAsia="zh-CN"/>
        </w:rPr>
        <w:t>sal</w:t>
      </w:r>
      <w:r w:rsidR="00BD2423" w:rsidRPr="007B5442">
        <w:rPr>
          <w:lang w:eastAsia="zh-CN"/>
        </w:rPr>
        <w:t xml:space="preserve"> 13</w:t>
      </w:r>
      <w:r w:rsidRPr="007B5442">
        <w:rPr>
          <w:lang w:eastAsia="zh-CN"/>
        </w:rPr>
        <w:t xml:space="preserve"> </w:t>
      </w:r>
      <w:r w:rsidR="009D5CDA" w:rsidRPr="007B5442">
        <w:rPr>
          <w:lang w:eastAsia="zh-CN"/>
        </w:rPr>
        <w:t xml:space="preserve">- </w:t>
      </w:r>
      <w:r w:rsidRPr="007B5442">
        <w:rPr>
          <w:lang w:eastAsia="zh-CN"/>
        </w:rPr>
        <w:t>(INF</w:t>
      </w:r>
      <w:r w:rsidR="0070717F">
        <w:rPr>
          <w:lang w:eastAsia="zh-CN"/>
        </w:rPr>
        <w:t>.</w:t>
      </w:r>
      <w:r w:rsidRPr="007B5442">
        <w:rPr>
          <w:lang w:eastAsia="zh-CN"/>
        </w:rPr>
        <w:t xml:space="preserve">43) In 6.8.1.5.6 left hand side for ADR only </w:t>
      </w:r>
      <w:r w:rsidR="00DF170E" w:rsidRPr="007B5442">
        <w:rPr>
          <w:lang w:eastAsia="zh-CN"/>
        </w:rPr>
        <w:t>a new paragraph to read</w:t>
      </w:r>
      <w:r w:rsidRPr="007B5442">
        <w:rPr>
          <w:lang w:eastAsia="zh-CN"/>
        </w:rPr>
        <w:t>:</w:t>
      </w:r>
    </w:p>
    <w:p w14:paraId="2DEC6171" w14:textId="46536660" w:rsidR="008E4034" w:rsidRPr="007B5442" w:rsidRDefault="0070717F" w:rsidP="00E40211">
      <w:pPr>
        <w:pStyle w:val="SingleTxtG"/>
        <w:keepNext/>
        <w:keepLines/>
        <w:snapToGrid w:val="0"/>
        <w:spacing w:before="120"/>
        <w:ind w:left="1701"/>
        <w:rPr>
          <w:bCs/>
          <w:i/>
          <w:iCs/>
        </w:rPr>
      </w:pPr>
      <w:r w:rsidRPr="007B5442">
        <w:rPr>
          <w:bCs/>
          <w:i/>
          <w:iCs/>
        </w:rPr>
        <w:t>“</w:t>
      </w:r>
      <w:r w:rsidR="008E4034" w:rsidRPr="007B5442">
        <w:rPr>
          <w:bCs/>
          <w:i/>
          <w:iCs/>
        </w:rPr>
        <w:t>Exceptional inspections may alternatively be performed in the country of manufacture by an inspection body approved or recognized by the competent authority of the country of manufacture or the country of registration</w:t>
      </w:r>
      <w:r>
        <w:rPr>
          <w:bCs/>
          <w:i/>
          <w:iCs/>
        </w:rPr>
        <w:t>.</w:t>
      </w:r>
      <w:r w:rsidRPr="0070717F">
        <w:rPr>
          <w:bCs/>
          <w:i/>
          <w:iCs/>
        </w:rPr>
        <w:t>”</w:t>
      </w:r>
    </w:p>
    <w:p w14:paraId="0CC8CD11" w14:textId="22D506F3" w:rsidR="00E06790" w:rsidRPr="007B5442" w:rsidRDefault="0064317F" w:rsidP="00E40211">
      <w:pPr>
        <w:pStyle w:val="H23G"/>
        <w:snapToGrid w:val="0"/>
        <w:spacing w:before="120"/>
        <w:rPr>
          <w:b w:val="0"/>
          <w:bCs/>
          <w:sz w:val="22"/>
          <w:szCs w:val="22"/>
        </w:rPr>
      </w:pPr>
      <w:r w:rsidRPr="007B5442">
        <w:tab/>
      </w:r>
      <w:r w:rsidRPr="007B5442">
        <w:tab/>
      </w:r>
      <w:r w:rsidR="00E06790" w:rsidRPr="007B5442">
        <w:rPr>
          <w:bCs/>
          <w:sz w:val="22"/>
          <w:szCs w:val="22"/>
        </w:rPr>
        <w:t>Item 2</w:t>
      </w:r>
      <w:bookmarkStart w:id="3" w:name="_Hlk50936435"/>
      <w:r w:rsidR="00E06790" w:rsidRPr="007B5442">
        <w:rPr>
          <w:bCs/>
          <w:sz w:val="22"/>
          <w:szCs w:val="22"/>
        </w:rPr>
        <w:t>:</w:t>
      </w:r>
      <w:bookmarkEnd w:id="3"/>
      <w:r w:rsidR="00974BBF" w:rsidRPr="007B5442">
        <w:rPr>
          <w:bCs/>
          <w:sz w:val="22"/>
          <w:szCs w:val="22"/>
        </w:rPr>
        <w:tab/>
      </w:r>
      <w:r w:rsidR="00357C76" w:rsidRPr="007B5442">
        <w:rPr>
          <w:bCs/>
          <w:lang w:eastAsia="zh-CN"/>
        </w:rPr>
        <w:t>Report of the Ad-Hoc Working Group on the Harmonization of RID/ADR/A</w:t>
      </w:r>
      <w:r w:rsidR="00A20D1D">
        <w:rPr>
          <w:bCs/>
          <w:lang w:eastAsia="zh-CN"/>
        </w:rPr>
        <w:t>D</w:t>
      </w:r>
      <w:r w:rsidR="00357C76" w:rsidRPr="007B5442">
        <w:rPr>
          <w:bCs/>
          <w:lang w:eastAsia="zh-CN"/>
        </w:rPr>
        <w:t xml:space="preserve">N with the United </w:t>
      </w:r>
      <w:r w:rsidR="00A20D1D">
        <w:rPr>
          <w:bCs/>
          <w:lang w:eastAsia="zh-CN"/>
        </w:rPr>
        <w:t>N</w:t>
      </w:r>
      <w:r w:rsidR="00357C76" w:rsidRPr="007B5442">
        <w:rPr>
          <w:bCs/>
          <w:lang w:eastAsia="zh-CN"/>
        </w:rPr>
        <w:t>ations Recommendations on the transport of dangerous Goods.</w:t>
      </w:r>
    </w:p>
    <w:p w14:paraId="71F42ED7" w14:textId="61784EC0" w:rsidR="00E06790" w:rsidRPr="007B5442" w:rsidRDefault="00E06790" w:rsidP="00E40211">
      <w:pPr>
        <w:keepNext/>
        <w:keepLines/>
        <w:tabs>
          <w:tab w:val="left" w:pos="2977"/>
        </w:tabs>
        <w:snapToGrid w:val="0"/>
        <w:spacing w:before="120" w:after="120"/>
        <w:ind w:left="1134"/>
        <w:rPr>
          <w:bCs/>
        </w:rPr>
      </w:pPr>
      <w:r w:rsidRPr="007B5442">
        <w:rPr>
          <w:bCs/>
          <w:i/>
        </w:rPr>
        <w:t>Document:</w:t>
      </w:r>
      <w:r w:rsidRPr="007B5442">
        <w:rPr>
          <w:bCs/>
        </w:rPr>
        <w:tab/>
        <w:t>ECE/TRANS/WP.15/AC.1/2021/</w:t>
      </w:r>
      <w:r w:rsidR="00357C76" w:rsidRPr="007B5442">
        <w:rPr>
          <w:bCs/>
        </w:rPr>
        <w:t>24/Add</w:t>
      </w:r>
      <w:r w:rsidR="00A20D1D">
        <w:rPr>
          <w:bCs/>
        </w:rPr>
        <w:t>.</w:t>
      </w:r>
      <w:r w:rsidR="00357C76" w:rsidRPr="007B5442">
        <w:rPr>
          <w:bCs/>
        </w:rPr>
        <w:t>1</w:t>
      </w:r>
      <w:r w:rsidRPr="007B5442">
        <w:rPr>
          <w:bCs/>
        </w:rPr>
        <w:t xml:space="preserve"> (</w:t>
      </w:r>
      <w:r w:rsidR="00357C76" w:rsidRPr="007B5442">
        <w:rPr>
          <w:bCs/>
        </w:rPr>
        <w:t>Secretariat</w:t>
      </w:r>
      <w:r w:rsidRPr="007B5442">
        <w:rPr>
          <w:bCs/>
        </w:rPr>
        <w:t>)</w:t>
      </w:r>
    </w:p>
    <w:p w14:paraId="0671CF31" w14:textId="7597AD29" w:rsidR="00E06790" w:rsidRPr="007B5442" w:rsidRDefault="00ED5F1C" w:rsidP="00E40211">
      <w:pPr>
        <w:pStyle w:val="SingleTxtG"/>
        <w:keepNext/>
        <w:keepLines/>
        <w:snapToGrid w:val="0"/>
        <w:spacing w:before="120"/>
        <w:rPr>
          <w:bCs/>
          <w:u w:val="single"/>
        </w:rPr>
      </w:pPr>
      <w:r w:rsidRPr="007B5442">
        <w:rPr>
          <w:lang w:eastAsia="zh-CN"/>
        </w:rPr>
        <w:t>9.</w:t>
      </w:r>
      <w:r w:rsidRPr="007B5442">
        <w:rPr>
          <w:lang w:eastAsia="zh-CN"/>
        </w:rPr>
        <w:tab/>
      </w:r>
      <w:r w:rsidR="00357C76" w:rsidRPr="007B5442">
        <w:rPr>
          <w:lang w:eastAsia="zh-CN"/>
        </w:rPr>
        <w:t>The Tanks Working Group was asked to check if the tank code and special provisions for the new entr</w:t>
      </w:r>
      <w:r w:rsidR="00415C1F" w:rsidRPr="007B5442">
        <w:rPr>
          <w:lang w:eastAsia="zh-CN"/>
        </w:rPr>
        <w:t>y</w:t>
      </w:r>
      <w:r w:rsidR="00357C76" w:rsidRPr="007B5442">
        <w:rPr>
          <w:lang w:eastAsia="zh-CN"/>
        </w:rPr>
        <w:t xml:space="preserve"> for “UN 3550 COBALT DIH</w:t>
      </w:r>
      <w:r w:rsidRPr="007B5442">
        <w:rPr>
          <w:lang w:eastAsia="zh-CN"/>
        </w:rPr>
        <w:t>Y</w:t>
      </w:r>
      <w:r w:rsidR="00357C76" w:rsidRPr="007B5442">
        <w:rPr>
          <w:lang w:eastAsia="zh-CN"/>
        </w:rPr>
        <w:t xml:space="preserve">DROXIDE POWDER” </w:t>
      </w:r>
      <w:r w:rsidR="00415C1F" w:rsidRPr="007B5442">
        <w:rPr>
          <w:lang w:eastAsia="zh-CN"/>
        </w:rPr>
        <w:t>are</w:t>
      </w:r>
      <w:r w:rsidR="00357C76" w:rsidRPr="007B5442">
        <w:rPr>
          <w:lang w:eastAsia="zh-CN"/>
        </w:rPr>
        <w:t xml:space="preserve"> correct. Based on the rationalized approach of </w:t>
      </w:r>
      <w:r w:rsidR="00415C1F" w:rsidRPr="007B5442">
        <w:rPr>
          <w:lang w:eastAsia="zh-CN"/>
        </w:rPr>
        <w:t>C</w:t>
      </w:r>
      <w:r w:rsidR="00357C76" w:rsidRPr="007B5442">
        <w:rPr>
          <w:lang w:eastAsia="zh-CN"/>
        </w:rPr>
        <w:t>hapter 4.3 and comparison with other similar substances it is confirmed that the tank code</w:t>
      </w:r>
      <w:r w:rsidR="00415C1F" w:rsidRPr="007B5442">
        <w:rPr>
          <w:lang w:eastAsia="zh-CN"/>
        </w:rPr>
        <w:t>s and tank special provisions are correct</w:t>
      </w:r>
      <w:r w:rsidR="00357C76" w:rsidRPr="007B5442">
        <w:rPr>
          <w:lang w:eastAsia="zh-CN"/>
        </w:rPr>
        <w:t>.</w:t>
      </w:r>
    </w:p>
    <w:p w14:paraId="49D52B24" w14:textId="345D92A3" w:rsidR="00E06790" w:rsidRPr="007B5442" w:rsidRDefault="00E06790" w:rsidP="00E40211">
      <w:pPr>
        <w:snapToGrid w:val="0"/>
        <w:spacing w:before="120" w:after="120"/>
        <w:ind w:left="1134" w:right="1134"/>
        <w:rPr>
          <w:b/>
          <w:bCs/>
          <w:i/>
          <w:iCs/>
        </w:rPr>
      </w:pPr>
      <w:r w:rsidRPr="007B5442">
        <w:rPr>
          <w:b/>
        </w:rPr>
        <w:t>Item</w:t>
      </w:r>
      <w:r w:rsidRPr="007B5442">
        <w:rPr>
          <w:b/>
          <w:bCs/>
          <w:sz w:val="22"/>
          <w:szCs w:val="22"/>
        </w:rPr>
        <w:t xml:space="preserve"> 3:</w:t>
      </w:r>
      <w:r w:rsidR="00B93D12" w:rsidRPr="007B5442">
        <w:rPr>
          <w:b/>
          <w:bCs/>
          <w:sz w:val="22"/>
          <w:szCs w:val="22"/>
        </w:rPr>
        <w:tab/>
      </w:r>
      <w:r w:rsidR="00357C76" w:rsidRPr="007B5442">
        <w:rPr>
          <w:b/>
          <w:bCs/>
          <w:lang w:eastAsia="zh-CN"/>
        </w:rPr>
        <w:t>Development of the requirements on fibre-reinforced plastics (FRP) tanks.</w:t>
      </w:r>
    </w:p>
    <w:p w14:paraId="121169D8" w14:textId="5F71F79C" w:rsidR="00E06790" w:rsidRPr="007B5442" w:rsidRDefault="00357C76" w:rsidP="00E40211">
      <w:pPr>
        <w:keepLines/>
        <w:tabs>
          <w:tab w:val="left" w:pos="2977"/>
        </w:tabs>
        <w:snapToGrid w:val="0"/>
        <w:spacing w:before="120" w:after="120"/>
        <w:ind w:left="1134"/>
        <w:rPr>
          <w:bCs/>
          <w:iCs/>
        </w:rPr>
      </w:pPr>
      <w:r w:rsidRPr="007B5442">
        <w:rPr>
          <w:bCs/>
          <w:i/>
          <w:iCs/>
        </w:rPr>
        <w:t>D</w:t>
      </w:r>
      <w:r w:rsidR="00E06790" w:rsidRPr="007B5442">
        <w:rPr>
          <w:bCs/>
          <w:i/>
          <w:iCs/>
        </w:rPr>
        <w:t>ocument:</w:t>
      </w:r>
      <w:r w:rsidR="00E06790" w:rsidRPr="007B5442">
        <w:rPr>
          <w:bCs/>
          <w:i/>
          <w:iCs/>
        </w:rPr>
        <w:tab/>
      </w:r>
      <w:r w:rsidRPr="007B5442">
        <w:rPr>
          <w:lang w:eastAsia="zh-CN"/>
        </w:rPr>
        <w:t>ECE/TRANS/WP.15/AC.1/2021/43 (France)</w:t>
      </w:r>
    </w:p>
    <w:p w14:paraId="1399FB8C" w14:textId="32351009" w:rsidR="00357C76" w:rsidRPr="007B5442" w:rsidRDefault="00E06790" w:rsidP="00E40211">
      <w:pPr>
        <w:pStyle w:val="SingleTxtG"/>
        <w:snapToGrid w:val="0"/>
        <w:spacing w:before="120"/>
        <w:rPr>
          <w:lang w:eastAsia="zh-CN"/>
        </w:rPr>
      </w:pPr>
      <w:r w:rsidRPr="007B5442">
        <w:tab/>
      </w:r>
      <w:r w:rsidR="00ED5F1C" w:rsidRPr="007B5442">
        <w:t>10.</w:t>
      </w:r>
      <w:r w:rsidR="00ED5F1C" w:rsidRPr="007B5442">
        <w:tab/>
      </w:r>
      <w:r w:rsidR="00357C76" w:rsidRPr="007B5442">
        <w:rPr>
          <w:lang w:eastAsia="zh-CN"/>
        </w:rPr>
        <w:t xml:space="preserve">The Tanks Working Group confirmed the text proposed for the new chapter 6.13 </w:t>
      </w:r>
      <w:r w:rsidR="00815B97" w:rsidRPr="007B5442">
        <w:rPr>
          <w:lang w:eastAsia="zh-CN"/>
        </w:rPr>
        <w:t>in ADR only f</w:t>
      </w:r>
      <w:r w:rsidR="00357C76" w:rsidRPr="007B5442">
        <w:rPr>
          <w:lang w:eastAsia="zh-CN"/>
        </w:rPr>
        <w:t>or FRP tanks, taking into account the amendments from the last UNTDG meeting that were included by the secretariat.</w:t>
      </w:r>
      <w:r w:rsidR="00815B97" w:rsidRPr="007B5442">
        <w:rPr>
          <w:lang w:eastAsia="zh-CN"/>
        </w:rPr>
        <w:t xml:space="preserve"> It was agreed that 6.13.2.5 penultimate paragraph shall be amended to be in line with 6.9.2.3.4. </w:t>
      </w:r>
      <w:r w:rsidR="00FB27E9" w:rsidRPr="007B5442">
        <w:rPr>
          <w:lang w:eastAsia="zh-CN"/>
        </w:rPr>
        <w:t>It was also agreed that paragraph 6.13.2.x and the following paragraphs should be renumbered.</w:t>
      </w:r>
    </w:p>
    <w:p w14:paraId="1553EB20" w14:textId="38B5067B" w:rsidR="00357C76" w:rsidRPr="007B5442" w:rsidRDefault="00ED5F1C" w:rsidP="00E40211">
      <w:pPr>
        <w:pStyle w:val="SingleTxtG"/>
        <w:snapToGrid w:val="0"/>
        <w:spacing w:before="120"/>
        <w:rPr>
          <w:lang w:eastAsia="zh-CN"/>
        </w:rPr>
      </w:pPr>
      <w:r w:rsidRPr="007B5442">
        <w:rPr>
          <w:lang w:eastAsia="zh-CN"/>
        </w:rPr>
        <w:t>11.</w:t>
      </w:r>
      <w:r w:rsidRPr="007B5442">
        <w:rPr>
          <w:lang w:eastAsia="zh-CN"/>
        </w:rPr>
        <w:tab/>
      </w:r>
      <w:r w:rsidR="00357C76" w:rsidRPr="007B5442">
        <w:rPr>
          <w:lang w:eastAsia="zh-CN"/>
        </w:rPr>
        <w:t>As requirements were amended in line with the new Chapter 6.9 it was felt that transitional measures should be included. The transitional measures would allow for the continued use of existing FRP tanks and those that will be constructed in the near future based on existing and still valid type approvals. The final date of construction needs to be verified and are therefore kept in square brackets.</w:t>
      </w:r>
    </w:p>
    <w:p w14:paraId="4F6FE61E" w14:textId="35E052D3" w:rsidR="00357C76" w:rsidRPr="007B5442" w:rsidRDefault="00357C76" w:rsidP="00E40211">
      <w:pPr>
        <w:pStyle w:val="SingleTxtG"/>
        <w:snapToGrid w:val="0"/>
        <w:spacing w:before="120"/>
        <w:rPr>
          <w:b/>
          <w:bCs/>
          <w:lang w:eastAsia="zh-CN"/>
        </w:rPr>
      </w:pPr>
      <w:r w:rsidRPr="007B5442">
        <w:rPr>
          <w:lang w:eastAsia="zh-CN"/>
        </w:rPr>
        <w:t xml:space="preserve">Proposal </w:t>
      </w:r>
      <w:r w:rsidR="00815B97" w:rsidRPr="007B5442">
        <w:rPr>
          <w:lang w:eastAsia="zh-CN"/>
        </w:rPr>
        <w:t>14</w:t>
      </w:r>
      <w:r w:rsidR="00941AF2" w:rsidRPr="007B5442">
        <w:rPr>
          <w:lang w:eastAsia="zh-CN"/>
        </w:rPr>
        <w:t xml:space="preserve"> -</w:t>
      </w:r>
      <w:r w:rsidRPr="007B5442">
        <w:rPr>
          <w:b/>
          <w:bCs/>
          <w:lang w:eastAsia="zh-CN"/>
        </w:rPr>
        <w:t xml:space="preserve"> </w:t>
      </w:r>
      <w:r w:rsidRPr="007B5442">
        <w:rPr>
          <w:lang w:eastAsia="zh-CN"/>
        </w:rPr>
        <w:t>Introduce a new transitional measure 1.6.3.xy (ADR only) to read:</w:t>
      </w:r>
    </w:p>
    <w:p w14:paraId="12DBEF48" w14:textId="77777777" w:rsidR="00357C76" w:rsidRPr="007B5442" w:rsidRDefault="00357C76" w:rsidP="00E40211">
      <w:pPr>
        <w:tabs>
          <w:tab w:val="left" w:pos="-666"/>
          <w:tab w:val="left" w:pos="2552"/>
          <w:tab w:val="left" w:pos="5004"/>
          <w:tab w:val="left" w:pos="5760"/>
          <w:tab w:val="left" w:pos="6480"/>
          <w:tab w:val="left" w:pos="7164"/>
          <w:tab w:val="left" w:pos="7920"/>
          <w:tab w:val="left" w:pos="10080"/>
          <w:tab w:val="left" w:pos="10800"/>
          <w:tab w:val="left" w:pos="11520"/>
          <w:tab w:val="left" w:pos="12240"/>
          <w:tab w:val="left" w:pos="12960"/>
          <w:tab w:val="left" w:pos="13680"/>
          <w:tab w:val="left" w:pos="14400"/>
        </w:tabs>
        <w:snapToGrid w:val="0"/>
        <w:spacing w:before="120" w:after="120"/>
        <w:ind w:left="1560" w:right="992"/>
        <w:rPr>
          <w:i/>
        </w:rPr>
      </w:pPr>
      <w:r w:rsidRPr="007B5442">
        <w:rPr>
          <w:i/>
        </w:rPr>
        <w:t>“1.6.3.xy</w:t>
      </w:r>
      <w:r w:rsidRPr="007B5442">
        <w:rPr>
          <w:i/>
        </w:rPr>
        <w:tab/>
        <w:t>Fixed tanks (tank-vehicles) and demountable tanks constructed before [1 July 2033] in accordance with the requirements of Chapter 6.9 in force up to 31 December 2022 but which do not however conform to the requirements of Chapter 6.13 applicable as from 1 January 2023, may still be used.”</w:t>
      </w:r>
    </w:p>
    <w:p w14:paraId="1A776397" w14:textId="13C67507" w:rsidR="00357C76" w:rsidRPr="007B5442" w:rsidRDefault="00357C76" w:rsidP="00E40211">
      <w:pPr>
        <w:pStyle w:val="SingleTxtG"/>
        <w:snapToGrid w:val="0"/>
        <w:spacing w:before="120"/>
        <w:rPr>
          <w:lang w:eastAsia="en-GB"/>
        </w:rPr>
      </w:pPr>
      <w:r w:rsidRPr="007B5442">
        <w:rPr>
          <w:lang w:eastAsia="en-GB"/>
        </w:rPr>
        <w:t xml:space="preserve">Proposal </w:t>
      </w:r>
      <w:r w:rsidR="00815B97" w:rsidRPr="007B5442">
        <w:rPr>
          <w:lang w:eastAsia="en-GB"/>
        </w:rPr>
        <w:t>15</w:t>
      </w:r>
      <w:r w:rsidR="00941AF2" w:rsidRPr="007B5442">
        <w:rPr>
          <w:lang w:eastAsia="en-GB"/>
        </w:rPr>
        <w:t xml:space="preserve"> -</w:t>
      </w:r>
      <w:r w:rsidRPr="007B5442">
        <w:rPr>
          <w:lang w:eastAsia="en-GB"/>
        </w:rPr>
        <w:t xml:space="preserve"> </w:t>
      </w:r>
      <w:r w:rsidRPr="007B5442">
        <w:rPr>
          <w:lang w:eastAsia="zh-CN"/>
        </w:rPr>
        <w:t>Introduce</w:t>
      </w:r>
      <w:r w:rsidRPr="007B5442">
        <w:rPr>
          <w:lang w:eastAsia="en-GB"/>
        </w:rPr>
        <w:t xml:space="preserve"> a new transitional measure 1.6.4.xy (RID/ADR) to read:</w:t>
      </w:r>
    </w:p>
    <w:p w14:paraId="713467CD" w14:textId="0672A94C" w:rsidR="00357C76" w:rsidRPr="007B5442" w:rsidRDefault="00357C76" w:rsidP="00E40211">
      <w:pPr>
        <w:snapToGrid w:val="0"/>
        <w:spacing w:before="120" w:after="120"/>
        <w:ind w:left="1560" w:right="992"/>
        <w:rPr>
          <w:i/>
          <w:iCs/>
          <w:lang w:eastAsia="en-GB"/>
        </w:rPr>
      </w:pPr>
      <w:r w:rsidRPr="007B5442">
        <w:rPr>
          <w:i/>
          <w:iCs/>
          <w:lang w:eastAsia="en-GB"/>
        </w:rPr>
        <w:t>“1.6.4.xy</w:t>
      </w:r>
      <w:r w:rsidRPr="007B5442">
        <w:rPr>
          <w:i/>
          <w:iCs/>
          <w:lang w:eastAsia="en-GB"/>
        </w:rPr>
        <w:tab/>
        <w:t>Tank-containers constructed before [1 July 2033] in accordance with the requirements of Chapter 6.9 in force up to 31 December 2022 may still be used.”</w:t>
      </w:r>
    </w:p>
    <w:p w14:paraId="7E8EF937" w14:textId="6D1F3BFA" w:rsidR="00357C76" w:rsidRPr="007B5442" w:rsidRDefault="009F326F" w:rsidP="00E40211">
      <w:pPr>
        <w:snapToGrid w:val="0"/>
        <w:spacing w:before="120" w:after="120"/>
        <w:ind w:left="1134" w:right="1134"/>
        <w:rPr>
          <w:b/>
          <w:bCs/>
          <w:lang w:eastAsia="zh-CN"/>
        </w:rPr>
      </w:pPr>
      <w:r w:rsidRPr="007B5442">
        <w:tab/>
      </w:r>
      <w:r w:rsidR="00E06790" w:rsidRPr="007B5442">
        <w:rPr>
          <w:b/>
        </w:rPr>
        <w:t>Item 4:</w:t>
      </w:r>
      <w:r w:rsidR="00755BF3" w:rsidRPr="007B5442">
        <w:rPr>
          <w:b/>
        </w:rPr>
        <w:tab/>
      </w:r>
      <w:r w:rsidR="00357C76" w:rsidRPr="007B5442">
        <w:rPr>
          <w:b/>
          <w:bCs/>
          <w:lang w:eastAsia="zh-CN"/>
        </w:rPr>
        <w:t>Clarification on using tanks after the deadline specified for the next test or inspection.</w:t>
      </w:r>
    </w:p>
    <w:p w14:paraId="7ED6CFC9" w14:textId="5C7CBAF1" w:rsidR="00E06790" w:rsidRPr="00A20D1D" w:rsidRDefault="00357C76" w:rsidP="00E40211">
      <w:pPr>
        <w:keepLines/>
        <w:tabs>
          <w:tab w:val="left" w:pos="2977"/>
        </w:tabs>
        <w:snapToGrid w:val="0"/>
        <w:spacing w:before="120" w:after="120"/>
        <w:ind w:left="1134"/>
        <w:rPr>
          <w:lang w:eastAsia="zh-CN"/>
        </w:rPr>
      </w:pPr>
      <w:r w:rsidRPr="00A20D1D">
        <w:rPr>
          <w:i/>
        </w:rPr>
        <w:t>D</w:t>
      </w:r>
      <w:r w:rsidR="00E06790" w:rsidRPr="00A20D1D">
        <w:rPr>
          <w:i/>
        </w:rPr>
        <w:t>ocument:</w:t>
      </w:r>
      <w:r w:rsidR="00E06790" w:rsidRPr="00A20D1D">
        <w:tab/>
      </w:r>
      <w:r w:rsidRPr="00A20D1D">
        <w:rPr>
          <w:lang w:eastAsia="zh-CN"/>
        </w:rPr>
        <w:t>ECE/TRANS/WP.15/AC.1/2021/27 (UIP)</w:t>
      </w:r>
      <w:r w:rsidR="00B44E24" w:rsidRPr="00A20D1D">
        <w:br/>
      </w:r>
      <w:r w:rsidR="00B44E24" w:rsidRPr="00A20D1D">
        <w:rPr>
          <w:i/>
          <w:iCs/>
        </w:rPr>
        <w:t>Informal document:</w:t>
      </w:r>
      <w:r w:rsidR="00B44E24" w:rsidRPr="00A20D1D">
        <w:rPr>
          <w:lang w:eastAsia="zh-CN"/>
        </w:rPr>
        <w:t xml:space="preserve"> </w:t>
      </w:r>
      <w:r w:rsidR="00B44E24" w:rsidRPr="00A20D1D">
        <w:rPr>
          <w:lang w:eastAsia="zh-CN"/>
        </w:rPr>
        <w:tab/>
        <w:t>INF</w:t>
      </w:r>
      <w:r w:rsidR="00A20D1D">
        <w:rPr>
          <w:lang w:eastAsia="zh-CN"/>
        </w:rPr>
        <w:t>.</w:t>
      </w:r>
      <w:r w:rsidR="00B44E24" w:rsidRPr="00A20D1D">
        <w:rPr>
          <w:lang w:eastAsia="zh-CN"/>
        </w:rPr>
        <w:t>10 (Poland)</w:t>
      </w:r>
    </w:p>
    <w:p w14:paraId="4ACDD535" w14:textId="0BF3ABBB" w:rsidR="00B44E24" w:rsidRPr="007B5442" w:rsidRDefault="00ED5F1C" w:rsidP="00E40211">
      <w:pPr>
        <w:pStyle w:val="SingleTxtG"/>
        <w:snapToGrid w:val="0"/>
        <w:spacing w:before="120"/>
        <w:rPr>
          <w:lang w:eastAsia="zh-CN"/>
        </w:rPr>
      </w:pPr>
      <w:r w:rsidRPr="007B5442">
        <w:rPr>
          <w:lang w:eastAsia="zh-CN"/>
        </w:rPr>
        <w:t>12.</w:t>
      </w:r>
      <w:r w:rsidRPr="007B5442">
        <w:rPr>
          <w:lang w:eastAsia="zh-CN"/>
        </w:rPr>
        <w:tab/>
      </w:r>
      <w:r w:rsidR="00B44E24" w:rsidRPr="007B5442">
        <w:rPr>
          <w:lang w:eastAsia="zh-CN"/>
        </w:rPr>
        <w:t>In previous sessions of the Tanks Working Group no consensus could be reached on the appropriate resolution of this topic. The plenary was requested to take a decision on the principle</w:t>
      </w:r>
      <w:r w:rsidR="00C51935" w:rsidRPr="007B5442">
        <w:rPr>
          <w:lang w:eastAsia="zh-CN"/>
        </w:rPr>
        <w:t xml:space="preserve">. </w:t>
      </w:r>
      <w:r w:rsidR="009134BB" w:rsidRPr="007B5442">
        <w:rPr>
          <w:lang w:eastAsia="zh-CN"/>
        </w:rPr>
        <w:t xml:space="preserve">No decision was </w:t>
      </w:r>
      <w:r w:rsidR="00B23C35" w:rsidRPr="007B5442">
        <w:rPr>
          <w:lang w:eastAsia="zh-CN"/>
        </w:rPr>
        <w:t>taken,</w:t>
      </w:r>
      <w:r w:rsidR="009134BB" w:rsidRPr="007B5442">
        <w:rPr>
          <w:lang w:eastAsia="zh-CN"/>
        </w:rPr>
        <w:t xml:space="preserve"> and the </w:t>
      </w:r>
      <w:r w:rsidR="00B44E24" w:rsidRPr="007B5442">
        <w:rPr>
          <w:lang w:eastAsia="zh-CN"/>
        </w:rPr>
        <w:t xml:space="preserve">Tanks Working Group </w:t>
      </w:r>
      <w:r w:rsidR="00C51935" w:rsidRPr="007B5442">
        <w:rPr>
          <w:lang w:eastAsia="zh-CN"/>
        </w:rPr>
        <w:t xml:space="preserve">was asked to prepare two options </w:t>
      </w:r>
      <w:r w:rsidR="009134BB" w:rsidRPr="007B5442">
        <w:rPr>
          <w:lang w:eastAsia="zh-CN"/>
        </w:rPr>
        <w:t xml:space="preserve">so that </w:t>
      </w:r>
      <w:r w:rsidR="00C51935" w:rsidRPr="007B5442">
        <w:rPr>
          <w:lang w:eastAsia="zh-CN"/>
        </w:rPr>
        <w:t>a decision</w:t>
      </w:r>
      <w:r w:rsidR="009134BB" w:rsidRPr="007B5442">
        <w:rPr>
          <w:lang w:eastAsia="zh-CN"/>
        </w:rPr>
        <w:t xml:space="preserve"> could be made</w:t>
      </w:r>
      <w:r w:rsidR="00C51935" w:rsidRPr="007B5442">
        <w:rPr>
          <w:lang w:eastAsia="zh-CN"/>
        </w:rPr>
        <w:t>.</w:t>
      </w:r>
    </w:p>
    <w:p w14:paraId="5579275F" w14:textId="5FC31344" w:rsidR="00B44E24" w:rsidRPr="007B5442" w:rsidRDefault="00ED5F1C" w:rsidP="00E40211">
      <w:pPr>
        <w:pStyle w:val="SingleTxtG"/>
        <w:snapToGrid w:val="0"/>
        <w:spacing w:before="120"/>
        <w:rPr>
          <w:lang w:eastAsia="zh-CN"/>
        </w:rPr>
      </w:pPr>
      <w:r w:rsidRPr="007B5442">
        <w:rPr>
          <w:lang w:eastAsia="zh-CN"/>
        </w:rPr>
        <w:t>13.</w:t>
      </w:r>
      <w:r w:rsidRPr="007B5442">
        <w:rPr>
          <w:lang w:eastAsia="zh-CN"/>
        </w:rPr>
        <w:tab/>
      </w:r>
      <w:r w:rsidR="00B44E24" w:rsidRPr="007B5442">
        <w:rPr>
          <w:lang w:eastAsia="zh-CN"/>
        </w:rPr>
        <w:t xml:space="preserve">Below the amendments </w:t>
      </w:r>
      <w:r w:rsidR="00C51935" w:rsidRPr="007B5442">
        <w:rPr>
          <w:lang w:eastAsia="zh-CN"/>
        </w:rPr>
        <w:t xml:space="preserve">for both options are given including consequential amendments </w:t>
      </w:r>
      <w:r w:rsidR="009134BB" w:rsidRPr="007B5442">
        <w:rPr>
          <w:lang w:eastAsia="zh-CN"/>
        </w:rPr>
        <w:t xml:space="preserve">to 6.8.2.4.3 </w:t>
      </w:r>
      <w:r w:rsidR="00C51935" w:rsidRPr="007B5442">
        <w:rPr>
          <w:lang w:eastAsia="zh-CN"/>
        </w:rPr>
        <w:t>that would be required for either one of the options</w:t>
      </w:r>
      <w:r w:rsidR="00B23C35">
        <w:rPr>
          <w:lang w:eastAsia="zh-CN"/>
        </w:rPr>
        <w:t>:</w:t>
      </w:r>
    </w:p>
    <w:p w14:paraId="5075C5A5" w14:textId="46F3989D" w:rsidR="00C51935" w:rsidRPr="007B5442" w:rsidRDefault="00C51935" w:rsidP="00E40211">
      <w:pPr>
        <w:pStyle w:val="SingleTxtG"/>
        <w:keepNext/>
        <w:keepLines/>
        <w:snapToGrid w:val="0"/>
        <w:spacing w:before="120"/>
        <w:rPr>
          <w:lang w:eastAsia="zh-CN"/>
        </w:rPr>
      </w:pPr>
      <w:r w:rsidRPr="007B5442">
        <w:rPr>
          <w:b/>
          <w:bCs/>
          <w:lang w:eastAsia="zh-CN"/>
        </w:rPr>
        <w:lastRenderedPageBreak/>
        <w:t>Option 1</w:t>
      </w:r>
      <w:r w:rsidRPr="007B5442">
        <w:rPr>
          <w:lang w:eastAsia="zh-CN"/>
        </w:rPr>
        <w:t xml:space="preserve"> </w:t>
      </w:r>
      <w:r w:rsidR="00EB2766" w:rsidRPr="007B5442">
        <w:rPr>
          <w:lang w:eastAsia="zh-CN"/>
        </w:rPr>
        <w:t>allows during the three months after the specified date for the intermediate inspection that tanks can be filled, carried and emptied as normal</w:t>
      </w:r>
      <w:r w:rsidRPr="007B5442">
        <w:rPr>
          <w:lang w:eastAsia="zh-CN"/>
        </w:rPr>
        <w:t>.</w:t>
      </w:r>
    </w:p>
    <w:p w14:paraId="4CA62132" w14:textId="10CB6A32" w:rsidR="000D38EF" w:rsidRPr="007B5442" w:rsidRDefault="000D38EF" w:rsidP="00E40211">
      <w:pPr>
        <w:pStyle w:val="SingleTxtG"/>
        <w:keepNext/>
        <w:keepLines/>
        <w:snapToGrid w:val="0"/>
        <w:spacing w:before="120"/>
        <w:rPr>
          <w:bCs/>
        </w:rPr>
      </w:pPr>
      <w:r w:rsidRPr="007B5442">
        <w:t xml:space="preserve">Amend 4.3.2.3.7 to read as follows (new </w:t>
      </w:r>
      <w:r w:rsidR="0099533F" w:rsidRPr="007B5442">
        <w:t>wording underlined, deleted wording stricken through</w:t>
      </w:r>
      <w:r w:rsidRPr="007B5442">
        <w:t>):</w:t>
      </w:r>
    </w:p>
    <w:p w14:paraId="1C5469B0" w14:textId="77777777" w:rsidR="000D38EF" w:rsidRPr="007B5442" w:rsidRDefault="000D38EF" w:rsidP="00E40211">
      <w:pPr>
        <w:keepNext/>
        <w:keepLines/>
        <w:snapToGrid w:val="0"/>
        <w:spacing w:before="120" w:after="120"/>
        <w:ind w:left="2268" w:right="1134" w:hanging="1134"/>
        <w:jc w:val="both"/>
        <w:rPr>
          <w:i/>
          <w:iCs/>
        </w:rPr>
      </w:pPr>
      <w:r w:rsidRPr="007B5442">
        <w:rPr>
          <w:i/>
          <w:iCs/>
        </w:rPr>
        <w:t>“4.3.2.3.7</w:t>
      </w:r>
      <w:r w:rsidRPr="007B5442">
        <w:rPr>
          <w:i/>
          <w:iCs/>
        </w:rPr>
        <w:tab/>
        <w:t xml:space="preserve">Tank-wagons, demountable tanks, battery-wagons (RID) / Fixed tanks (tank-vehicles), demountable tanks, battery-vehicles (ADR), tank-containers, tank swap bodies and MEGCs may not be filled or offered for carriage after the </w:t>
      </w:r>
      <w:r w:rsidRPr="007B5442">
        <w:rPr>
          <w:i/>
          <w:iCs/>
          <w:u w:val="single"/>
        </w:rPr>
        <w:t>date specified</w:t>
      </w:r>
      <w:r w:rsidRPr="007B5442">
        <w:rPr>
          <w:i/>
          <w:iCs/>
        </w:rPr>
        <w:t xml:space="preserve"> </w:t>
      </w:r>
      <w:r w:rsidRPr="007B5442">
        <w:rPr>
          <w:i/>
          <w:iCs/>
          <w:strike/>
        </w:rPr>
        <w:t>deadline</w:t>
      </w:r>
      <w:r w:rsidRPr="007B5442">
        <w:rPr>
          <w:i/>
          <w:iCs/>
        </w:rPr>
        <w:t xml:space="preserve"> for the </w:t>
      </w:r>
      <w:r w:rsidRPr="007B5442">
        <w:rPr>
          <w:i/>
          <w:iCs/>
          <w:strike/>
        </w:rPr>
        <w:t>test or</w:t>
      </w:r>
      <w:r w:rsidRPr="007B5442">
        <w:rPr>
          <w:i/>
          <w:iCs/>
        </w:rPr>
        <w:t xml:space="preserve"> inspection required by 6.8.2.4.2, 6.8.3.4.6 </w:t>
      </w:r>
      <w:r w:rsidRPr="007B5442">
        <w:rPr>
          <w:i/>
          <w:iCs/>
          <w:u w:val="single"/>
        </w:rPr>
        <w:t>(a)</w:t>
      </w:r>
      <w:r w:rsidRPr="007B5442">
        <w:rPr>
          <w:i/>
          <w:iCs/>
        </w:rPr>
        <w:t xml:space="preserve"> and 6.8.3.4.12 </w:t>
      </w:r>
      <w:r w:rsidRPr="007B5442">
        <w:rPr>
          <w:i/>
          <w:iCs/>
          <w:strike/>
        </w:rPr>
        <w:t>has expired</w:t>
      </w:r>
      <w:r w:rsidRPr="007B5442">
        <w:rPr>
          <w:i/>
          <w:iCs/>
        </w:rPr>
        <w:t>.</w:t>
      </w:r>
    </w:p>
    <w:p w14:paraId="6D673557" w14:textId="77777777" w:rsidR="000D38EF" w:rsidRPr="007B5442" w:rsidRDefault="000D38EF" w:rsidP="00E40211">
      <w:pPr>
        <w:snapToGrid w:val="0"/>
        <w:spacing w:before="120" w:after="120"/>
        <w:ind w:left="2268" w:right="1134"/>
        <w:jc w:val="both"/>
        <w:rPr>
          <w:i/>
          <w:iCs/>
        </w:rPr>
      </w:pPr>
      <w:r w:rsidRPr="007B5442">
        <w:rPr>
          <w:i/>
          <w:iCs/>
        </w:rPr>
        <w:t xml:space="preserve">However, tank-wagons, demountable tanks, battery-wagons (RID) / fixed tanks (tank-vehicles), demountable tanks, battery-vehicles (ADR), tank-containers, tank swap bodies and MEGCs filled prior to the </w:t>
      </w:r>
      <w:r w:rsidRPr="007B5442">
        <w:rPr>
          <w:i/>
          <w:iCs/>
          <w:strike/>
        </w:rPr>
        <w:t>date of expiry of</w:t>
      </w:r>
      <w:r w:rsidRPr="007B5442">
        <w:rPr>
          <w:i/>
          <w:iCs/>
        </w:rPr>
        <w:t xml:space="preserve"> </w:t>
      </w:r>
      <w:r w:rsidRPr="007B5442">
        <w:rPr>
          <w:i/>
          <w:iCs/>
          <w:u w:val="single"/>
        </w:rPr>
        <w:t>date specified for</w:t>
      </w:r>
      <w:r w:rsidRPr="007B5442">
        <w:rPr>
          <w:i/>
          <w:iCs/>
        </w:rPr>
        <w:t xml:space="preserve"> the </w:t>
      </w:r>
      <w:r w:rsidRPr="007B5442">
        <w:rPr>
          <w:i/>
          <w:iCs/>
          <w:strike/>
        </w:rPr>
        <w:t>last</w:t>
      </w:r>
      <w:r w:rsidRPr="007B5442">
        <w:rPr>
          <w:i/>
          <w:iCs/>
        </w:rPr>
        <w:t xml:space="preserve"> periodic inspection may be carried:</w:t>
      </w:r>
    </w:p>
    <w:p w14:paraId="2B76317C" w14:textId="77777777" w:rsidR="000D38EF" w:rsidRPr="007B5442" w:rsidRDefault="000D38EF" w:rsidP="00E40211">
      <w:pPr>
        <w:snapToGrid w:val="0"/>
        <w:spacing w:before="120" w:after="120"/>
        <w:ind w:left="2268" w:right="1134"/>
        <w:jc w:val="both"/>
        <w:rPr>
          <w:i/>
          <w:iCs/>
        </w:rPr>
      </w:pPr>
      <w:r w:rsidRPr="007B5442">
        <w:rPr>
          <w:i/>
          <w:iCs/>
        </w:rPr>
        <w:t>(a)</w:t>
      </w:r>
      <w:r w:rsidRPr="007B5442">
        <w:rPr>
          <w:i/>
          <w:iCs/>
        </w:rPr>
        <w:tab/>
        <w:t xml:space="preserve">for a period not to exceed one month after </w:t>
      </w:r>
      <w:r w:rsidRPr="007B5442">
        <w:rPr>
          <w:i/>
          <w:iCs/>
          <w:strike/>
        </w:rPr>
        <w:t>the expiry of these deadlines</w:t>
      </w:r>
      <w:r w:rsidRPr="007B5442">
        <w:rPr>
          <w:i/>
          <w:iCs/>
        </w:rPr>
        <w:t xml:space="preserve"> </w:t>
      </w:r>
      <w:r w:rsidRPr="007B5442">
        <w:rPr>
          <w:i/>
          <w:iCs/>
          <w:u w:val="single"/>
        </w:rPr>
        <w:t>this date</w:t>
      </w:r>
      <w:r w:rsidRPr="007B5442">
        <w:rPr>
          <w:i/>
          <w:iCs/>
        </w:rPr>
        <w:t>;</w:t>
      </w:r>
    </w:p>
    <w:p w14:paraId="705524A8" w14:textId="77777777" w:rsidR="000D38EF" w:rsidRPr="007B5442" w:rsidRDefault="000D38EF" w:rsidP="00E40211">
      <w:pPr>
        <w:snapToGrid w:val="0"/>
        <w:spacing w:before="120" w:after="120"/>
        <w:ind w:left="2268" w:right="1134"/>
        <w:jc w:val="both"/>
        <w:rPr>
          <w:bCs/>
          <w:i/>
          <w:iCs/>
        </w:rPr>
      </w:pPr>
      <w:r w:rsidRPr="007B5442">
        <w:rPr>
          <w:i/>
          <w:iCs/>
        </w:rPr>
        <w:t>(b)</w:t>
      </w:r>
      <w:r w:rsidRPr="007B5442">
        <w:rPr>
          <w:i/>
          <w:iCs/>
        </w:rPr>
        <w:tab/>
        <w:t xml:space="preserve">unless otherwise approved by the competent authority, for a period not to exceed three months after </w:t>
      </w:r>
      <w:r w:rsidRPr="007B5442">
        <w:rPr>
          <w:i/>
          <w:iCs/>
          <w:strike/>
        </w:rPr>
        <w:t>the expiry of these deadlines</w:t>
      </w:r>
      <w:r w:rsidRPr="007B5442">
        <w:rPr>
          <w:i/>
          <w:iCs/>
        </w:rPr>
        <w:t xml:space="preserve"> </w:t>
      </w:r>
      <w:r w:rsidRPr="007B5442">
        <w:rPr>
          <w:i/>
          <w:iCs/>
          <w:u w:val="single"/>
        </w:rPr>
        <w:t>this date</w:t>
      </w:r>
      <w:r w:rsidRPr="007B5442">
        <w:rPr>
          <w:i/>
          <w:iCs/>
        </w:rPr>
        <w:t xml:space="preserve"> in order to allow the return of dangerous goods for proper disposal or recycling. Reference to this exemption shall be mentioned in the transport document.”</w:t>
      </w:r>
    </w:p>
    <w:p w14:paraId="0D6C2D3B" w14:textId="7D31D75E" w:rsidR="000D38EF" w:rsidRPr="007B5442" w:rsidRDefault="000D38EF" w:rsidP="00E40211">
      <w:pPr>
        <w:pStyle w:val="SingleTxtG"/>
        <w:snapToGrid w:val="0"/>
        <w:spacing w:before="120"/>
        <w:ind w:right="567"/>
      </w:pPr>
      <w:r w:rsidRPr="007B5442">
        <w:t xml:space="preserve">Insert a new 4.3.2.3.8 </w:t>
      </w:r>
      <w:r w:rsidR="0099533F" w:rsidRPr="007B5442">
        <w:t>to read:</w:t>
      </w:r>
    </w:p>
    <w:p w14:paraId="0A0FEF01" w14:textId="7E667DF1" w:rsidR="000D38EF" w:rsidRPr="007B5442" w:rsidRDefault="000D38EF" w:rsidP="00E40211">
      <w:pPr>
        <w:snapToGrid w:val="0"/>
        <w:spacing w:before="120" w:after="120"/>
        <w:ind w:left="2268" w:right="1134" w:hanging="1134"/>
        <w:jc w:val="both"/>
        <w:rPr>
          <w:bCs/>
          <w:i/>
          <w:iCs/>
        </w:rPr>
      </w:pPr>
      <w:r w:rsidRPr="007B5442">
        <w:t>“</w:t>
      </w:r>
      <w:r w:rsidRPr="007B5442">
        <w:rPr>
          <w:bCs/>
          <w:i/>
          <w:iCs/>
        </w:rPr>
        <w:t>4.3.2.3.8</w:t>
      </w:r>
      <w:r w:rsidRPr="007B5442">
        <w:rPr>
          <w:bCs/>
          <w:i/>
          <w:iCs/>
        </w:rPr>
        <w:tab/>
      </w:r>
      <w:r w:rsidRPr="007B5442">
        <w:rPr>
          <w:bCs/>
          <w:i/>
          <w:iCs/>
        </w:rPr>
        <w:tab/>
        <w:t>Tank-wagons, demountable tanks, battery-wagons (RID) / Fixed tanks (tank-vehicles), demountable tanks, battery-vehicles (ADR), tank-containers, tank swap bodies and MEGCs may continue to be used after the date specified for the  intermediate inspection required by 6.8.2.4.3, 6.8.3.4.6 (b) and 6.8.3.4.12:</w:t>
      </w:r>
    </w:p>
    <w:p w14:paraId="2050A02E" w14:textId="77777777" w:rsidR="000D38EF" w:rsidRPr="007B5442" w:rsidRDefault="000D38EF" w:rsidP="00E40211">
      <w:pPr>
        <w:snapToGrid w:val="0"/>
        <w:spacing w:before="120" w:after="120"/>
        <w:ind w:left="2268" w:right="1134"/>
        <w:jc w:val="both"/>
        <w:rPr>
          <w:bCs/>
          <w:i/>
          <w:iCs/>
        </w:rPr>
      </w:pPr>
      <w:r w:rsidRPr="007B5442">
        <w:rPr>
          <w:bCs/>
          <w:i/>
          <w:iCs/>
        </w:rPr>
        <w:t>(a)</w:t>
      </w:r>
      <w:r w:rsidRPr="007B5442">
        <w:rPr>
          <w:bCs/>
          <w:i/>
          <w:iCs/>
        </w:rPr>
        <w:tab/>
        <w:t>for a period not to exceed three months after this date;</w:t>
      </w:r>
    </w:p>
    <w:p w14:paraId="501DBBA2" w14:textId="77777777" w:rsidR="000D38EF" w:rsidRPr="007B5442" w:rsidRDefault="000D38EF" w:rsidP="00E40211">
      <w:pPr>
        <w:snapToGrid w:val="0"/>
        <w:spacing w:before="120" w:after="120"/>
        <w:ind w:left="2268" w:right="1134"/>
        <w:jc w:val="both"/>
        <w:rPr>
          <w:bCs/>
        </w:rPr>
      </w:pPr>
      <w:r w:rsidRPr="007B5442">
        <w:rPr>
          <w:bCs/>
          <w:i/>
          <w:iCs/>
        </w:rPr>
        <w:t>(b)</w:t>
      </w:r>
      <w:r w:rsidRPr="007B5442">
        <w:rPr>
          <w:bCs/>
          <w:i/>
          <w:iCs/>
        </w:rPr>
        <w:tab/>
        <w:t>unless otherwise approved by the competent authority, for a period not to exceed five months after this date in order to allow the return of dangerous goods for proper disposal or recycling. Reference to this exemption shall be mentioned in the transport document</w:t>
      </w:r>
      <w:r w:rsidRPr="007B5442">
        <w:t>.”</w:t>
      </w:r>
    </w:p>
    <w:p w14:paraId="1FB4152A" w14:textId="02557AAF" w:rsidR="000D38EF" w:rsidRPr="007B5442" w:rsidRDefault="000D38EF" w:rsidP="00E40211">
      <w:pPr>
        <w:pStyle w:val="SingleTxtG"/>
        <w:snapToGrid w:val="0"/>
        <w:spacing w:before="120"/>
      </w:pPr>
      <w:r w:rsidRPr="007B5442">
        <w:t xml:space="preserve">Amend 1.4.2.2.1 (d) to read as follows </w:t>
      </w:r>
      <w:r w:rsidR="0099533F" w:rsidRPr="007B5442">
        <w:t>(new wording underlined, deleted wording stricken through):</w:t>
      </w:r>
    </w:p>
    <w:p w14:paraId="5A9CA188" w14:textId="77777777" w:rsidR="000D38EF" w:rsidRPr="007B5442" w:rsidRDefault="000D38EF" w:rsidP="00E40211">
      <w:pPr>
        <w:snapToGrid w:val="0"/>
        <w:spacing w:before="120" w:after="120"/>
        <w:ind w:left="2268" w:right="1134"/>
        <w:jc w:val="both"/>
        <w:rPr>
          <w:i/>
          <w:iCs/>
        </w:rPr>
      </w:pPr>
      <w:bookmarkStart w:id="4" w:name="_Hlk67388848"/>
      <w:r w:rsidRPr="007B5442">
        <w:rPr>
          <w:i/>
          <w:iCs/>
        </w:rPr>
        <w:t>“(d)</w:t>
      </w:r>
      <w:r w:rsidRPr="007B5442">
        <w:rPr>
          <w:i/>
          <w:iCs/>
        </w:rPr>
        <w:tab/>
        <w:t xml:space="preserve">Ascertain that the </w:t>
      </w:r>
      <w:r w:rsidRPr="007B5442">
        <w:rPr>
          <w:i/>
          <w:iCs/>
          <w:strike/>
        </w:rPr>
        <w:t>deadline</w:t>
      </w:r>
      <w:r w:rsidRPr="007B5442">
        <w:rPr>
          <w:i/>
          <w:iCs/>
        </w:rPr>
        <w:t xml:space="preserve"> </w:t>
      </w:r>
      <w:r w:rsidRPr="007B5442">
        <w:rPr>
          <w:i/>
          <w:iCs/>
          <w:u w:val="single"/>
        </w:rPr>
        <w:t>date specified</w:t>
      </w:r>
      <w:r w:rsidRPr="007B5442">
        <w:rPr>
          <w:i/>
          <w:iCs/>
        </w:rPr>
        <w:t xml:space="preserve"> for the next inspection for tank-wagons, battery-wagons, wagons with demountable tanks (RID) / tank-vehicles, battery-vehicles, demountable tanks (ADR), portable tanks, tank-containers and MEGCs, </w:t>
      </w:r>
      <w:r w:rsidRPr="007B5442">
        <w:rPr>
          <w:i/>
          <w:iCs/>
          <w:u w:val="single"/>
        </w:rPr>
        <w:t>taking into account the provisions of 4.3.2.3.7 and 4.3.2.3.8</w:t>
      </w:r>
      <w:r w:rsidRPr="007B5442">
        <w:rPr>
          <w:i/>
          <w:iCs/>
        </w:rPr>
        <w:t>, has not expired;</w:t>
      </w:r>
    </w:p>
    <w:p w14:paraId="45EDBDDD" w14:textId="245031CA" w:rsidR="000D38EF" w:rsidRPr="007B5442" w:rsidRDefault="000D38EF" w:rsidP="00E40211">
      <w:pPr>
        <w:snapToGrid w:val="0"/>
        <w:spacing w:before="120" w:after="120"/>
        <w:ind w:left="2268" w:right="1134"/>
      </w:pPr>
      <w:r w:rsidRPr="007B5442">
        <w:t>(Amend the note by deleting reference to 4.3.2.3.7)”.</w:t>
      </w:r>
    </w:p>
    <w:p w14:paraId="4C99B0DC" w14:textId="4122E580" w:rsidR="000D38EF" w:rsidRPr="007B5442" w:rsidRDefault="000D38EF" w:rsidP="00E40211">
      <w:pPr>
        <w:pStyle w:val="SingleTxtG"/>
        <w:snapToGrid w:val="0"/>
        <w:spacing w:before="120"/>
      </w:pPr>
      <w:r w:rsidRPr="007B5442">
        <w:t xml:space="preserve">Amend 1.4.3.3 (b) to read as follows </w:t>
      </w:r>
      <w:bookmarkStart w:id="5" w:name="_Hlk83823748"/>
      <w:r w:rsidRPr="007B5442">
        <w:t xml:space="preserve">(new </w:t>
      </w:r>
      <w:r w:rsidR="0099533F" w:rsidRPr="007B5442">
        <w:t>wording underlined, deleted wording stricken through)</w:t>
      </w:r>
      <w:r w:rsidRPr="007B5442">
        <w:t>:</w:t>
      </w:r>
      <w:bookmarkEnd w:id="5"/>
    </w:p>
    <w:p w14:paraId="3F22BF24" w14:textId="5ACF8746" w:rsidR="000D38EF" w:rsidRPr="007B5442" w:rsidRDefault="000D38EF" w:rsidP="00E40211">
      <w:pPr>
        <w:snapToGrid w:val="0"/>
        <w:spacing w:before="120" w:after="120"/>
        <w:ind w:left="2268" w:right="1134"/>
        <w:jc w:val="both"/>
        <w:rPr>
          <w:i/>
          <w:iCs/>
        </w:rPr>
      </w:pPr>
      <w:r w:rsidRPr="007B5442">
        <w:rPr>
          <w:i/>
          <w:iCs/>
        </w:rPr>
        <w:t>“(b)</w:t>
      </w:r>
      <w:r w:rsidRPr="007B5442">
        <w:rPr>
          <w:i/>
          <w:iCs/>
        </w:rPr>
        <w:tab/>
        <w:t xml:space="preserve">Ascertain that the </w:t>
      </w:r>
      <w:r w:rsidRPr="007B5442">
        <w:rPr>
          <w:i/>
          <w:iCs/>
          <w:strike/>
        </w:rPr>
        <w:t>deadline</w:t>
      </w:r>
      <w:r w:rsidRPr="007B5442">
        <w:rPr>
          <w:i/>
          <w:iCs/>
        </w:rPr>
        <w:t xml:space="preserve"> </w:t>
      </w:r>
      <w:r w:rsidRPr="007B5442">
        <w:rPr>
          <w:i/>
          <w:iCs/>
          <w:u w:val="single"/>
        </w:rPr>
        <w:t>date specified for the next inspection</w:t>
      </w:r>
      <w:r w:rsidRPr="007B5442">
        <w:rPr>
          <w:i/>
          <w:iCs/>
        </w:rPr>
        <w:t xml:space="preserve"> for tank-wagons, battery-wagons, wagons with demountable tanks (RID) / tank-vehicles, battery-vehicles, demountable tanks (ADR), portable tanks, tank-containers and MEGCs, </w:t>
      </w:r>
      <w:r w:rsidRPr="007B5442">
        <w:rPr>
          <w:i/>
          <w:iCs/>
          <w:u w:val="single"/>
        </w:rPr>
        <w:t>taking into account the provisions of 4.3.2.3.8</w:t>
      </w:r>
      <w:r w:rsidRPr="007B5442">
        <w:rPr>
          <w:i/>
          <w:iCs/>
        </w:rPr>
        <w:t>, has not expired;”.</w:t>
      </w:r>
    </w:p>
    <w:p w14:paraId="5D082BCE" w14:textId="312F5A1F" w:rsidR="000D38EF" w:rsidRPr="007B5442" w:rsidRDefault="000D38EF" w:rsidP="00E40211">
      <w:pPr>
        <w:snapToGrid w:val="0"/>
        <w:spacing w:before="120" w:after="120"/>
        <w:ind w:left="1134" w:right="567"/>
        <w:jc w:val="both"/>
      </w:pPr>
      <w:r w:rsidRPr="007B5442">
        <w:t>Amend 5.4.1.1.11</w:t>
      </w:r>
      <w:r w:rsidR="00B23C35">
        <w:t xml:space="preserve"> as follows</w:t>
      </w:r>
      <w:r w:rsidRPr="007B5442">
        <w:t>:</w:t>
      </w:r>
    </w:p>
    <w:p w14:paraId="1D856550" w14:textId="00A121BF" w:rsidR="000D38EF" w:rsidRPr="007B5442" w:rsidRDefault="008E4034" w:rsidP="00E40211">
      <w:pPr>
        <w:snapToGrid w:val="0"/>
        <w:spacing w:before="120" w:after="120"/>
        <w:ind w:left="2268" w:right="567"/>
        <w:jc w:val="both"/>
      </w:pPr>
      <w:r w:rsidRPr="007B5442">
        <w:t>*</w:t>
      </w:r>
      <w:r w:rsidR="00B23C35">
        <w:t xml:space="preserve"> </w:t>
      </w:r>
      <w:r w:rsidR="000D38EF" w:rsidRPr="007B5442">
        <w:t>In the heading delete “periodic”</w:t>
      </w:r>
      <w:r w:rsidRPr="007B5442">
        <w:t>,</w:t>
      </w:r>
    </w:p>
    <w:p w14:paraId="218C81FC" w14:textId="2BA780B4" w:rsidR="000D38EF" w:rsidRPr="007B5442" w:rsidRDefault="008E4034" w:rsidP="00E40211">
      <w:pPr>
        <w:snapToGrid w:val="0"/>
        <w:spacing w:before="120" w:after="120"/>
        <w:ind w:left="2268" w:right="567"/>
        <w:jc w:val="both"/>
      </w:pPr>
      <w:r w:rsidRPr="007B5442">
        <w:t>*</w:t>
      </w:r>
      <w:r w:rsidR="00B23C35">
        <w:t xml:space="preserve"> </w:t>
      </w:r>
      <w:r w:rsidR="000D38EF" w:rsidRPr="007B5442">
        <w:t xml:space="preserve">In the first paragraph add </w:t>
      </w:r>
      <w:r w:rsidRPr="007B5442">
        <w:t>“</w:t>
      </w:r>
      <w:r w:rsidR="000D38EF" w:rsidRPr="007B5442">
        <w:rPr>
          <w:i/>
          <w:iCs/>
          <w:u w:val="single"/>
        </w:rPr>
        <w:t>4.3.2.3.8</w:t>
      </w:r>
      <w:r w:rsidRPr="007B5442">
        <w:rPr>
          <w:i/>
          <w:iCs/>
          <w:u w:val="single"/>
        </w:rPr>
        <w:t xml:space="preserve"> </w:t>
      </w:r>
      <w:r w:rsidR="000D38EF" w:rsidRPr="007B5442">
        <w:rPr>
          <w:i/>
          <w:iCs/>
          <w:u w:val="single"/>
        </w:rPr>
        <w:t>(b</w:t>
      </w:r>
      <w:r w:rsidR="000D38EF" w:rsidRPr="007B5442">
        <w:rPr>
          <w:i/>
          <w:iCs/>
        </w:rPr>
        <w:t>)</w:t>
      </w:r>
      <w:r w:rsidRPr="007B5442">
        <w:rPr>
          <w:i/>
          <w:iCs/>
        </w:rPr>
        <w:t>”;</w:t>
      </w:r>
    </w:p>
    <w:p w14:paraId="266364CF" w14:textId="2B4394B9" w:rsidR="000D38EF" w:rsidRPr="007B5442" w:rsidRDefault="008E4034" w:rsidP="00E40211">
      <w:pPr>
        <w:snapToGrid w:val="0"/>
        <w:spacing w:before="120" w:after="120"/>
        <w:ind w:left="2268" w:right="1134"/>
        <w:jc w:val="both"/>
        <w:rPr>
          <w:bCs/>
          <w:i/>
          <w:iCs/>
          <w:u w:val="single"/>
        </w:rPr>
      </w:pPr>
      <w:r w:rsidRPr="007B5442">
        <w:rPr>
          <w:i/>
          <w:iCs/>
          <w:u w:val="single"/>
        </w:rPr>
        <w:t xml:space="preserve">* introduce a new indent reading </w:t>
      </w:r>
      <w:r w:rsidR="000D38EF" w:rsidRPr="007B5442">
        <w:rPr>
          <w:i/>
          <w:iCs/>
          <w:u w:val="single"/>
        </w:rPr>
        <w:t>“CARRIAGE IN ACCORDANCE WITH 4.3.2.3.8 (b)”,</w:t>
      </w:r>
    </w:p>
    <w:bookmarkEnd w:id="4"/>
    <w:p w14:paraId="75E86E73" w14:textId="1457B905" w:rsidR="000D38EF" w:rsidRPr="007B5442" w:rsidRDefault="00E37FFE" w:rsidP="00E40211">
      <w:pPr>
        <w:pStyle w:val="SingleTxtG"/>
        <w:keepNext/>
        <w:keepLines/>
        <w:snapToGrid w:val="0"/>
        <w:spacing w:before="120"/>
        <w:rPr>
          <w:lang w:eastAsia="zh-CN"/>
        </w:rPr>
      </w:pPr>
      <w:r w:rsidRPr="007B5442">
        <w:rPr>
          <w:b/>
          <w:bCs/>
          <w:lang w:eastAsia="zh-CN"/>
        </w:rPr>
        <w:lastRenderedPageBreak/>
        <w:t>Option 2</w:t>
      </w:r>
      <w:r w:rsidR="008E4034" w:rsidRPr="007B5442">
        <w:rPr>
          <w:lang w:eastAsia="zh-CN"/>
        </w:rPr>
        <w:t xml:space="preserve"> allows for filling before the date specified for the next inspection and finishing of the transport operation up to 3 months</w:t>
      </w:r>
      <w:r w:rsidR="00EB2766" w:rsidRPr="007B5442">
        <w:rPr>
          <w:lang w:eastAsia="zh-CN"/>
        </w:rPr>
        <w:t xml:space="preserve"> after this date</w:t>
      </w:r>
      <w:r w:rsidR="008E4034" w:rsidRPr="007B5442">
        <w:rPr>
          <w:lang w:eastAsia="zh-CN"/>
        </w:rPr>
        <w:t xml:space="preserve">. In this case no additional period is included for return of dangerous goods </w:t>
      </w:r>
      <w:r w:rsidR="00EB2766" w:rsidRPr="007B5442">
        <w:rPr>
          <w:lang w:eastAsia="zh-CN"/>
        </w:rPr>
        <w:t>f</w:t>
      </w:r>
      <w:r w:rsidR="008E4034" w:rsidRPr="007B5442">
        <w:rPr>
          <w:lang w:eastAsia="zh-CN"/>
        </w:rPr>
        <w:t>or proper disposal or recycling.</w:t>
      </w:r>
    </w:p>
    <w:p w14:paraId="7E6D07C6" w14:textId="1C902ACB" w:rsidR="000D38EF" w:rsidRPr="007B5442" w:rsidRDefault="000D38EF" w:rsidP="00E40211">
      <w:pPr>
        <w:pStyle w:val="SingleTxtG"/>
        <w:keepNext/>
        <w:keepLines/>
        <w:snapToGrid w:val="0"/>
        <w:spacing w:before="120"/>
      </w:pPr>
      <w:r w:rsidRPr="007B5442">
        <w:t xml:space="preserve">Amend 4.3.2.3.7 to read as follows (new </w:t>
      </w:r>
      <w:r w:rsidR="00EB2766" w:rsidRPr="007B5442">
        <w:t>wording</w:t>
      </w:r>
      <w:r w:rsidRPr="007B5442">
        <w:t xml:space="preserve"> </w:t>
      </w:r>
      <w:r w:rsidR="00EB2766" w:rsidRPr="007B5442">
        <w:t>underlined and deleted wording stricken through</w:t>
      </w:r>
      <w:r w:rsidRPr="007B5442">
        <w:t>):</w:t>
      </w:r>
    </w:p>
    <w:p w14:paraId="37D037F5" w14:textId="4AB2DE76" w:rsidR="000D38EF" w:rsidRPr="007B5442" w:rsidRDefault="000D38EF" w:rsidP="00E40211">
      <w:pPr>
        <w:keepNext/>
        <w:keepLines/>
        <w:snapToGrid w:val="0"/>
        <w:spacing w:before="120" w:after="120"/>
        <w:ind w:left="2268" w:right="1134" w:hanging="1134"/>
        <w:jc w:val="both"/>
        <w:rPr>
          <w:i/>
          <w:iCs/>
        </w:rPr>
      </w:pPr>
      <w:r w:rsidRPr="007B5442">
        <w:rPr>
          <w:i/>
          <w:iCs/>
        </w:rPr>
        <w:t>“4.3.2.3.</w:t>
      </w:r>
      <w:r w:rsidRPr="007B5442">
        <w:rPr>
          <w:b/>
          <w:bCs/>
          <w:i/>
          <w:iCs/>
        </w:rPr>
        <w:t>7</w:t>
      </w:r>
      <w:r w:rsidRPr="007B5442">
        <w:rPr>
          <w:i/>
          <w:iCs/>
        </w:rPr>
        <w:tab/>
      </w:r>
      <w:r w:rsidRPr="007B5442">
        <w:rPr>
          <w:i/>
          <w:iCs/>
        </w:rPr>
        <w:tab/>
        <w:t xml:space="preserve">Tank-wagons, demountable tanks, battery-wagons (RID) / fixed tanks (tank-vehicles), demountable tanks, battery-vehicles (ADR), tank-containers, tank swap bodies and MEGCs may not be filled or offered for carriage after the date specified </w:t>
      </w:r>
      <w:r w:rsidRPr="007B5442">
        <w:rPr>
          <w:i/>
          <w:iCs/>
          <w:strike/>
        </w:rPr>
        <w:t>deadline</w:t>
      </w:r>
      <w:r w:rsidRPr="007B5442">
        <w:rPr>
          <w:i/>
          <w:iCs/>
        </w:rPr>
        <w:t xml:space="preserve"> for the </w:t>
      </w:r>
      <w:r w:rsidRPr="007B5442">
        <w:rPr>
          <w:i/>
          <w:iCs/>
          <w:strike/>
        </w:rPr>
        <w:t>test or</w:t>
      </w:r>
      <w:r w:rsidRPr="007B5442">
        <w:rPr>
          <w:i/>
          <w:iCs/>
        </w:rPr>
        <w:t xml:space="preserve"> inspection required by 6.8.2.4.2, </w:t>
      </w:r>
      <w:r w:rsidRPr="007B5442">
        <w:rPr>
          <w:i/>
          <w:iCs/>
          <w:u w:val="single"/>
        </w:rPr>
        <w:t>6.8.2.4.3</w:t>
      </w:r>
      <w:r w:rsidRPr="007B5442">
        <w:rPr>
          <w:i/>
          <w:iCs/>
        </w:rPr>
        <w:t xml:space="preserve">, 6.8.3.4.6 and 6.8.3.4.12 </w:t>
      </w:r>
      <w:r w:rsidRPr="007B5442">
        <w:rPr>
          <w:i/>
          <w:iCs/>
          <w:strike/>
        </w:rPr>
        <w:t>has expired</w:t>
      </w:r>
      <w:r w:rsidRPr="007B5442">
        <w:rPr>
          <w:i/>
          <w:iCs/>
        </w:rPr>
        <w:t>.</w:t>
      </w:r>
    </w:p>
    <w:p w14:paraId="49FF83C0" w14:textId="77777777" w:rsidR="000D38EF" w:rsidRPr="007B5442" w:rsidRDefault="000D38EF" w:rsidP="00E40211">
      <w:pPr>
        <w:snapToGrid w:val="0"/>
        <w:spacing w:before="120" w:after="120"/>
        <w:ind w:left="2268" w:right="1134"/>
        <w:jc w:val="both"/>
        <w:rPr>
          <w:i/>
          <w:iCs/>
        </w:rPr>
      </w:pPr>
      <w:r w:rsidRPr="007B5442">
        <w:rPr>
          <w:i/>
          <w:iCs/>
        </w:rPr>
        <w:t xml:space="preserve">However, tank-wagons, demountable tanks, battery-wagons (RID) / fixed tanks (tank-vehicles), demountable tanks, battery-vehicles (ADR), tank-containers, tank swap bodies and MEGCs filled prior to the </w:t>
      </w:r>
      <w:r w:rsidRPr="007B5442">
        <w:rPr>
          <w:bCs/>
          <w:i/>
          <w:iCs/>
        </w:rPr>
        <w:t>date</w:t>
      </w:r>
      <w:r w:rsidRPr="007B5442">
        <w:rPr>
          <w:i/>
          <w:iCs/>
        </w:rPr>
        <w:t xml:space="preserve"> </w:t>
      </w:r>
      <w:r w:rsidRPr="007B5442">
        <w:rPr>
          <w:i/>
          <w:iCs/>
          <w:strike/>
        </w:rPr>
        <w:t>of expiry of the last periodic</w:t>
      </w:r>
      <w:r w:rsidRPr="007B5442">
        <w:rPr>
          <w:i/>
          <w:iCs/>
        </w:rPr>
        <w:t xml:space="preserve"> </w:t>
      </w:r>
      <w:r w:rsidRPr="007B5442">
        <w:rPr>
          <w:i/>
          <w:iCs/>
          <w:u w:val="single"/>
        </w:rPr>
        <w:t xml:space="preserve">specified for the next </w:t>
      </w:r>
      <w:r w:rsidRPr="007B5442">
        <w:rPr>
          <w:i/>
          <w:iCs/>
        </w:rPr>
        <w:t>inspection may be carried:</w:t>
      </w:r>
    </w:p>
    <w:p w14:paraId="6A6E3D1B" w14:textId="77777777" w:rsidR="000D38EF" w:rsidRPr="007B5442" w:rsidRDefault="000D38EF" w:rsidP="00E40211">
      <w:pPr>
        <w:snapToGrid w:val="0"/>
        <w:spacing w:before="120" w:after="120"/>
        <w:ind w:left="2268" w:right="1134"/>
        <w:jc w:val="both"/>
        <w:rPr>
          <w:i/>
          <w:iCs/>
        </w:rPr>
      </w:pPr>
      <w:r w:rsidRPr="007B5442">
        <w:rPr>
          <w:i/>
          <w:iCs/>
        </w:rPr>
        <w:t>(a)</w:t>
      </w:r>
      <w:r w:rsidRPr="007B5442">
        <w:rPr>
          <w:i/>
          <w:iCs/>
        </w:rPr>
        <w:tab/>
        <w:t xml:space="preserve">for a period not to exceed one month after </w:t>
      </w:r>
      <w:r w:rsidRPr="007B5442">
        <w:rPr>
          <w:i/>
          <w:iCs/>
          <w:strike/>
        </w:rPr>
        <w:t>the expiry of these deadlines</w:t>
      </w:r>
      <w:r w:rsidRPr="007B5442">
        <w:rPr>
          <w:i/>
          <w:iCs/>
        </w:rPr>
        <w:t xml:space="preserve"> </w:t>
      </w:r>
      <w:r w:rsidRPr="007B5442">
        <w:rPr>
          <w:i/>
          <w:iCs/>
          <w:u w:val="single"/>
        </w:rPr>
        <w:t>the date specified if the inspection due is a periodic inspection in accordance with 6.8.2.4.2, 6.8.3.4.6(a) and 6.8.3.4.12;</w:t>
      </w:r>
    </w:p>
    <w:p w14:paraId="222B2547" w14:textId="77777777" w:rsidR="000D38EF" w:rsidRPr="007B5442" w:rsidRDefault="000D38EF" w:rsidP="00E40211">
      <w:pPr>
        <w:snapToGrid w:val="0"/>
        <w:spacing w:before="120" w:after="120"/>
        <w:ind w:left="2268" w:right="1134"/>
        <w:jc w:val="both"/>
        <w:rPr>
          <w:b/>
          <w:bCs/>
          <w:i/>
          <w:iCs/>
        </w:rPr>
      </w:pPr>
      <w:r w:rsidRPr="007B5442">
        <w:rPr>
          <w:i/>
          <w:iCs/>
        </w:rPr>
        <w:t>(b)</w:t>
      </w:r>
      <w:r w:rsidRPr="007B5442">
        <w:rPr>
          <w:i/>
          <w:iCs/>
        </w:rPr>
        <w:tab/>
        <w:t xml:space="preserve">unless otherwise approved by the competent authority, for a period not to exceed three months after the expiry </w:t>
      </w:r>
      <w:r w:rsidRPr="007B5442">
        <w:rPr>
          <w:i/>
          <w:iCs/>
          <w:strike/>
        </w:rPr>
        <w:t>of these deadlines</w:t>
      </w:r>
      <w:r w:rsidRPr="007B5442">
        <w:rPr>
          <w:i/>
          <w:iCs/>
        </w:rPr>
        <w:t xml:space="preserve"> </w:t>
      </w:r>
      <w:r w:rsidRPr="007B5442">
        <w:rPr>
          <w:i/>
          <w:iCs/>
          <w:u w:val="single"/>
        </w:rPr>
        <w:t>of the date specified, if the inspection due is a periodic inspection in accordance with 6.8.2.4.2, 6.8.3.4.6(a) and 6.8.3.4.12</w:t>
      </w:r>
      <w:r w:rsidRPr="007B5442">
        <w:rPr>
          <w:i/>
          <w:iCs/>
        </w:rPr>
        <w:t xml:space="preserve"> in order to allow the return of dangerous goods for proper disposal or recycling. Reference to this exemption shall be mentioned in the transport document;</w:t>
      </w:r>
    </w:p>
    <w:p w14:paraId="6C41E0EB" w14:textId="77777777" w:rsidR="000D38EF" w:rsidRPr="007B5442" w:rsidRDefault="000D38EF" w:rsidP="00E40211">
      <w:pPr>
        <w:snapToGrid w:val="0"/>
        <w:spacing w:before="120" w:after="120"/>
        <w:ind w:left="2268" w:right="1134"/>
        <w:jc w:val="both"/>
        <w:rPr>
          <w:bCs/>
          <w:i/>
          <w:iCs/>
          <w:u w:val="single"/>
        </w:rPr>
      </w:pPr>
      <w:r w:rsidRPr="007B5442">
        <w:rPr>
          <w:bCs/>
          <w:i/>
          <w:iCs/>
          <w:u w:val="single"/>
        </w:rPr>
        <w:t>(c)</w:t>
      </w:r>
      <w:r w:rsidRPr="007B5442">
        <w:rPr>
          <w:bCs/>
          <w:i/>
          <w:iCs/>
          <w:u w:val="single"/>
        </w:rPr>
        <w:tab/>
        <w:t>for a period not to exceed three months after the date specified, if the inspection due is an intermediate inspection in accordance with 6.8.2.4.3, 6.8.3.4.6 (b) and 6.8.3.4.12.”</w:t>
      </w:r>
    </w:p>
    <w:p w14:paraId="365E8631" w14:textId="126688AB" w:rsidR="000D38EF" w:rsidRPr="007B5442" w:rsidRDefault="000D38EF" w:rsidP="00E40211">
      <w:pPr>
        <w:pStyle w:val="SingleTxtG"/>
        <w:snapToGrid w:val="0"/>
        <w:spacing w:before="120"/>
      </w:pPr>
      <w:r w:rsidRPr="007B5442">
        <w:t xml:space="preserve">Amend 1.4.2.2.1 (d) to read as follows (new </w:t>
      </w:r>
      <w:r w:rsidR="00E37FFE" w:rsidRPr="007B5442">
        <w:t>wording underlined, deleted wording stricken through)</w:t>
      </w:r>
      <w:r w:rsidRPr="007B5442">
        <w:t>:</w:t>
      </w:r>
    </w:p>
    <w:p w14:paraId="61E0FF87" w14:textId="4F83F644" w:rsidR="000D38EF" w:rsidRPr="007B5442" w:rsidRDefault="000D38EF" w:rsidP="00E40211">
      <w:pPr>
        <w:snapToGrid w:val="0"/>
        <w:spacing w:before="120" w:after="120"/>
        <w:ind w:left="2268" w:right="1134"/>
        <w:jc w:val="both"/>
        <w:rPr>
          <w:i/>
          <w:iCs/>
        </w:rPr>
      </w:pPr>
      <w:r w:rsidRPr="007B5442">
        <w:rPr>
          <w:i/>
          <w:iCs/>
        </w:rPr>
        <w:t>“(d)</w:t>
      </w:r>
      <w:r w:rsidRPr="007B5442">
        <w:rPr>
          <w:i/>
          <w:iCs/>
        </w:rPr>
        <w:tab/>
        <w:t xml:space="preserve">Ascertain that the </w:t>
      </w:r>
      <w:r w:rsidRPr="007B5442">
        <w:rPr>
          <w:i/>
          <w:iCs/>
          <w:strike/>
        </w:rPr>
        <w:t>deadline</w:t>
      </w:r>
      <w:r w:rsidRPr="007B5442">
        <w:rPr>
          <w:i/>
          <w:iCs/>
        </w:rPr>
        <w:t xml:space="preserve"> </w:t>
      </w:r>
      <w:r w:rsidRPr="007B5442">
        <w:rPr>
          <w:i/>
          <w:iCs/>
          <w:u w:val="single"/>
        </w:rPr>
        <w:t>date specified</w:t>
      </w:r>
      <w:r w:rsidRPr="007B5442">
        <w:rPr>
          <w:i/>
          <w:iCs/>
        </w:rPr>
        <w:t xml:space="preserve"> for the next inspection for tank-wagons, battery-wagons, wagons with demountable tanks (RID)/tank-vehicles, battery-vehicles, demountable tanks (ADR), portable tanks, tank-containers and MEGCs, has not expired</w:t>
      </w:r>
      <w:r w:rsidR="0099533F" w:rsidRPr="007B5442">
        <w:rPr>
          <w:i/>
          <w:iCs/>
        </w:rPr>
        <w:t>;</w:t>
      </w:r>
      <w:r w:rsidRPr="007B5442">
        <w:t>”.</w:t>
      </w:r>
    </w:p>
    <w:p w14:paraId="0FB7C453" w14:textId="4F4AF14C" w:rsidR="000D38EF" w:rsidRPr="007B5442" w:rsidRDefault="000D38EF" w:rsidP="00E40211">
      <w:pPr>
        <w:pStyle w:val="SingleTxtG"/>
        <w:snapToGrid w:val="0"/>
        <w:spacing w:before="120"/>
      </w:pPr>
      <w:r w:rsidRPr="007B5442">
        <w:t xml:space="preserve">Amend 1.4.3.3 (b) to read as follows (new </w:t>
      </w:r>
      <w:r w:rsidR="00E37FFE" w:rsidRPr="007B5442">
        <w:t>wording underlined,</w:t>
      </w:r>
      <w:r w:rsidRPr="007B5442">
        <w:t xml:space="preserve"> deleted </w:t>
      </w:r>
      <w:r w:rsidR="00E37FFE" w:rsidRPr="007B5442">
        <w:t>wording stricken through</w:t>
      </w:r>
      <w:r w:rsidRPr="007B5442">
        <w:t>):</w:t>
      </w:r>
    </w:p>
    <w:p w14:paraId="17F3554F" w14:textId="66237292" w:rsidR="000D38EF" w:rsidRPr="007B5442" w:rsidRDefault="000D38EF" w:rsidP="00E40211">
      <w:pPr>
        <w:snapToGrid w:val="0"/>
        <w:spacing w:before="120" w:after="120"/>
        <w:ind w:left="2268" w:right="1134"/>
        <w:jc w:val="both"/>
        <w:rPr>
          <w:i/>
          <w:iCs/>
        </w:rPr>
      </w:pPr>
      <w:r w:rsidRPr="007B5442">
        <w:rPr>
          <w:i/>
          <w:iCs/>
        </w:rPr>
        <w:t>“(b)</w:t>
      </w:r>
      <w:r w:rsidRPr="007B5442">
        <w:rPr>
          <w:i/>
          <w:iCs/>
        </w:rPr>
        <w:tab/>
      </w:r>
      <w:r w:rsidR="00E37FFE" w:rsidRPr="007B5442">
        <w:rPr>
          <w:i/>
          <w:iCs/>
        </w:rPr>
        <w:t>He shall a</w:t>
      </w:r>
      <w:r w:rsidRPr="007B5442">
        <w:rPr>
          <w:i/>
          <w:iCs/>
        </w:rPr>
        <w:t>scertain that the date</w:t>
      </w:r>
      <w:r w:rsidR="00E37FFE" w:rsidRPr="007B5442">
        <w:rPr>
          <w:i/>
          <w:iCs/>
        </w:rPr>
        <w:t xml:space="preserve"> </w:t>
      </w:r>
      <w:r w:rsidR="00E37FFE" w:rsidRPr="007B5442">
        <w:rPr>
          <w:i/>
          <w:iCs/>
          <w:strike/>
        </w:rPr>
        <w:t xml:space="preserve">of the </w:t>
      </w:r>
      <w:r w:rsidRPr="007B5442">
        <w:rPr>
          <w:i/>
          <w:iCs/>
          <w:u w:val="single"/>
        </w:rPr>
        <w:t xml:space="preserve">specified for </w:t>
      </w:r>
      <w:r w:rsidRPr="007B5442">
        <w:rPr>
          <w:i/>
          <w:iCs/>
        </w:rPr>
        <w:t>the next inspection for tank-wagons, battery-wagons, wagons with demountable tanks (RID)/tank-vehicles, battery-vehicles, demountable tanks (ADR), portable tanks, tank-containers and MEGCs,  has not expired;”.</w:t>
      </w:r>
    </w:p>
    <w:p w14:paraId="2701E17E" w14:textId="77777777" w:rsidR="000D38EF" w:rsidRPr="007B5442" w:rsidRDefault="000D38EF" w:rsidP="00E40211">
      <w:pPr>
        <w:pStyle w:val="SingleTxtG"/>
        <w:snapToGrid w:val="0"/>
        <w:spacing w:before="120"/>
        <w:rPr>
          <w:b/>
          <w:bCs/>
          <w:lang w:eastAsia="zh-CN"/>
        </w:rPr>
      </w:pPr>
      <w:r w:rsidRPr="007B5442">
        <w:rPr>
          <w:b/>
          <w:bCs/>
          <w:lang w:eastAsia="zh-CN"/>
        </w:rPr>
        <w:t>Consequential amendments for both options:</w:t>
      </w:r>
    </w:p>
    <w:p w14:paraId="5E36412A" w14:textId="0B426B23" w:rsidR="00C51935" w:rsidRPr="007B5442" w:rsidRDefault="00ED5F1C" w:rsidP="00E40211">
      <w:pPr>
        <w:pStyle w:val="SingleTxtG"/>
        <w:snapToGrid w:val="0"/>
        <w:spacing w:before="120"/>
        <w:rPr>
          <w:bCs/>
        </w:rPr>
      </w:pPr>
      <w:r w:rsidRPr="007B5442">
        <w:t>1</w:t>
      </w:r>
      <w:r w:rsidR="009D5CDA" w:rsidRPr="007B5442">
        <w:t>4</w:t>
      </w:r>
      <w:r w:rsidRPr="007B5442">
        <w:t>.</w:t>
      </w:r>
      <w:r w:rsidRPr="007B5442">
        <w:tab/>
      </w:r>
      <w:r w:rsidR="00C51935" w:rsidRPr="007B5442">
        <w:t xml:space="preserve">In 6.8.2.4.3 amend the first three subparagraphs to read as follows, taking into account the amendments adopted by the Joint Meeting in March 2021 (see report ECE/TRANS/WP.15/AC.1/160, Annex II) (new text is shown in </w:t>
      </w:r>
      <w:r w:rsidR="00C51935" w:rsidRPr="007B5442">
        <w:rPr>
          <w:b/>
          <w:bCs/>
        </w:rPr>
        <w:t>bold</w:t>
      </w:r>
      <w:r w:rsidR="00C51935" w:rsidRPr="007B5442">
        <w:t>, deleted text is crossed out).</w:t>
      </w:r>
    </w:p>
    <w:p w14:paraId="626ED32E" w14:textId="77777777" w:rsidR="00C51935" w:rsidRPr="007B5442" w:rsidRDefault="00C51935" w:rsidP="00E40211">
      <w:pPr>
        <w:snapToGrid w:val="0"/>
        <w:spacing w:before="120" w:after="120"/>
        <w:ind w:left="2268" w:right="1134" w:hanging="1134"/>
        <w:jc w:val="both"/>
        <w:rPr>
          <w:strike/>
        </w:rPr>
      </w:pPr>
      <w:r w:rsidRPr="007B5442">
        <w:t>“</w:t>
      </w:r>
      <w:r w:rsidRPr="007B5442">
        <w:rPr>
          <w:bCs/>
        </w:rPr>
        <w:t>6.8.2.4.3</w:t>
      </w:r>
      <w:r w:rsidRPr="007B5442">
        <w:rPr>
          <w:b/>
        </w:rPr>
        <w:tab/>
      </w:r>
      <w:r w:rsidRPr="007B5442">
        <w:rPr>
          <w:b/>
        </w:rPr>
        <w:tab/>
      </w:r>
      <w:r w:rsidRPr="007B5442">
        <w:t>Shells and their equipment shall undergo intermediate inspections no later than four (RID) / three (ADR)/two and a half years</w:t>
      </w:r>
      <w:r w:rsidRPr="007B5442">
        <w:rPr>
          <w:b/>
        </w:rPr>
        <w:t xml:space="preserve"> </w:t>
      </w:r>
      <w:r w:rsidRPr="007B5442">
        <w:t xml:space="preserve">after the initial inspection and each periodic inspection. </w:t>
      </w:r>
      <w:r w:rsidRPr="007B5442">
        <w:rPr>
          <w:strike/>
        </w:rPr>
        <w:t>These intermediate inspections may be performed within three months before or after the specified date.</w:t>
      </w:r>
    </w:p>
    <w:p w14:paraId="50A86D44" w14:textId="77777777" w:rsidR="00C51935" w:rsidRPr="007B5442" w:rsidRDefault="00C51935" w:rsidP="00E40211">
      <w:pPr>
        <w:snapToGrid w:val="0"/>
        <w:spacing w:before="120" w:after="120"/>
        <w:ind w:left="2268" w:right="1134"/>
        <w:jc w:val="both"/>
      </w:pPr>
      <w:r w:rsidRPr="007B5442">
        <w:t>However, the intermediate inspection may be performed at any time before the specified date.</w:t>
      </w:r>
    </w:p>
    <w:p w14:paraId="6874B692" w14:textId="6A036E33" w:rsidR="00C51935" w:rsidRPr="007B5442" w:rsidRDefault="00C51935" w:rsidP="00E40211">
      <w:pPr>
        <w:snapToGrid w:val="0"/>
        <w:spacing w:before="120" w:after="120"/>
        <w:ind w:left="2268" w:right="1134"/>
        <w:jc w:val="both"/>
        <w:rPr>
          <w:strike/>
          <w:highlight w:val="yellow"/>
        </w:rPr>
      </w:pPr>
      <w:r w:rsidRPr="007B5442">
        <w:t xml:space="preserve">If an intermediate inspection is performed more than three months before the specified date, another intermediate inspection shall be performed no later than four (RID) / three (ADR)/two and a half years after this earlier date </w:t>
      </w:r>
      <w:r w:rsidRPr="007B5442">
        <w:rPr>
          <w:b/>
          <w:bCs/>
        </w:rPr>
        <w:t xml:space="preserve">or </w:t>
      </w:r>
      <w:r w:rsidRPr="007B5442">
        <w:rPr>
          <w:b/>
          <w:bCs/>
        </w:rPr>
        <w:lastRenderedPageBreak/>
        <w:t>alternatively a periodic inspection may be performed in accordance with 6.8.2.4.2.</w:t>
      </w:r>
      <w:r w:rsidR="00B23C35" w:rsidRPr="007B5442">
        <w:rPr>
          <w:i/>
          <w:iCs/>
        </w:rPr>
        <w:t>”</w:t>
      </w:r>
    </w:p>
    <w:p w14:paraId="0DEA4BF6" w14:textId="7B7905C2" w:rsidR="00E06790" w:rsidRPr="007B5442" w:rsidRDefault="00E06790" w:rsidP="00E40211">
      <w:pPr>
        <w:snapToGrid w:val="0"/>
        <w:spacing w:before="120" w:after="120"/>
        <w:ind w:left="1134" w:right="1134"/>
        <w:rPr>
          <w:b/>
          <w:bCs/>
          <w:sz w:val="22"/>
          <w:szCs w:val="22"/>
        </w:rPr>
      </w:pPr>
      <w:r w:rsidRPr="007B5442">
        <w:rPr>
          <w:b/>
          <w:bCs/>
          <w:sz w:val="22"/>
          <w:szCs w:val="22"/>
        </w:rPr>
        <w:t xml:space="preserve">Item </w:t>
      </w:r>
      <w:r w:rsidR="00B44E24" w:rsidRPr="007B5442">
        <w:rPr>
          <w:b/>
          <w:bCs/>
          <w:sz w:val="22"/>
          <w:szCs w:val="22"/>
        </w:rPr>
        <w:t>5</w:t>
      </w:r>
      <w:r w:rsidRPr="007B5442">
        <w:rPr>
          <w:b/>
          <w:bCs/>
          <w:sz w:val="22"/>
          <w:szCs w:val="22"/>
        </w:rPr>
        <w:t>:</w:t>
      </w:r>
      <w:r w:rsidR="0061575C" w:rsidRPr="007B5442">
        <w:rPr>
          <w:b/>
          <w:bCs/>
          <w:sz w:val="22"/>
          <w:szCs w:val="22"/>
        </w:rPr>
        <w:tab/>
      </w:r>
      <w:r w:rsidR="00B44E24" w:rsidRPr="007B5442">
        <w:rPr>
          <w:b/>
          <w:bCs/>
          <w:lang w:eastAsia="zh-CN"/>
        </w:rPr>
        <w:t>Mandatory fitment of safety valves to tanks carrying flammable liquefied gases.</w:t>
      </w:r>
    </w:p>
    <w:p w14:paraId="32444A41" w14:textId="0DC6E373" w:rsidR="00E06790" w:rsidRPr="00D879F5" w:rsidRDefault="00B44E24" w:rsidP="00E40211">
      <w:pPr>
        <w:keepLines/>
        <w:tabs>
          <w:tab w:val="left" w:pos="2835"/>
        </w:tabs>
        <w:snapToGrid w:val="0"/>
        <w:spacing w:before="120" w:after="120"/>
        <w:ind w:left="1134"/>
        <w:rPr>
          <w:bCs/>
        </w:rPr>
      </w:pPr>
      <w:r w:rsidRPr="00D879F5">
        <w:rPr>
          <w:bCs/>
          <w:i/>
        </w:rPr>
        <w:t>D</w:t>
      </w:r>
      <w:r w:rsidR="00E06790" w:rsidRPr="00D879F5">
        <w:rPr>
          <w:bCs/>
          <w:i/>
        </w:rPr>
        <w:t>ocument:</w:t>
      </w:r>
      <w:r w:rsidR="00E06790" w:rsidRPr="00D879F5">
        <w:rPr>
          <w:bCs/>
        </w:rPr>
        <w:tab/>
      </w:r>
      <w:r w:rsidRPr="00D879F5">
        <w:rPr>
          <w:bCs/>
          <w:lang w:eastAsia="zh-CN"/>
        </w:rPr>
        <w:t>ECE/TRANS/WP.15/AC.1/2021/36 (LGE)</w:t>
      </w:r>
    </w:p>
    <w:p w14:paraId="5C1093BB" w14:textId="690A6A79" w:rsidR="00E06790" w:rsidRPr="007B5442" w:rsidRDefault="00ED5F1C" w:rsidP="00E40211">
      <w:pPr>
        <w:pStyle w:val="SingleTxtG"/>
        <w:snapToGrid w:val="0"/>
        <w:spacing w:before="120"/>
      </w:pPr>
      <w:r w:rsidRPr="007B5442">
        <w:t>1</w:t>
      </w:r>
      <w:r w:rsidR="009D5CDA" w:rsidRPr="007B5442">
        <w:t>5</w:t>
      </w:r>
      <w:r w:rsidRPr="007B5442">
        <w:t>.</w:t>
      </w:r>
      <w:r w:rsidRPr="007B5442">
        <w:tab/>
      </w:r>
      <w:r w:rsidR="00B01EDD" w:rsidRPr="007B5442">
        <w:t xml:space="preserve">The </w:t>
      </w:r>
      <w:r w:rsidR="00090591" w:rsidRPr="007B5442">
        <w:t>proposals were adopted with some modifications in particular regarding bursting discs when used in conjunction with safety valves and protection of safety valves.</w:t>
      </w:r>
    </w:p>
    <w:p w14:paraId="0ADF6688" w14:textId="701C65C3" w:rsidR="00B01EDD" w:rsidRPr="007B5442" w:rsidRDefault="00B01EDD" w:rsidP="00E40211">
      <w:pPr>
        <w:pStyle w:val="SingleTxtG"/>
        <w:snapToGrid w:val="0"/>
        <w:spacing w:before="120"/>
      </w:pPr>
      <w:r w:rsidRPr="007B5442">
        <w:t xml:space="preserve">Proposal </w:t>
      </w:r>
      <w:r w:rsidR="00ED5F1C" w:rsidRPr="007B5442">
        <w:t xml:space="preserve">16 </w:t>
      </w:r>
      <w:r w:rsidR="00941AF2" w:rsidRPr="007B5442">
        <w:t xml:space="preserve">- </w:t>
      </w:r>
      <w:r w:rsidR="000D7F0B" w:rsidRPr="007B5442">
        <w:t xml:space="preserve">Amend </w:t>
      </w:r>
      <w:r w:rsidRPr="007B5442">
        <w:t xml:space="preserve">6.8.3.2.9 </w:t>
      </w:r>
      <w:r w:rsidR="000D7F0B" w:rsidRPr="007B5442">
        <w:t>for ADR across the page and RID to the right hand side only, to read: (new wording underlined, deleted wording stricken through)</w:t>
      </w:r>
      <w:r w:rsidR="00090591" w:rsidRPr="007B5442">
        <w:t>:</w:t>
      </w:r>
      <w:r w:rsidRPr="007B5442">
        <w:t xml:space="preserve"> </w:t>
      </w:r>
    </w:p>
    <w:p w14:paraId="67EE2B1A" w14:textId="12088BAD" w:rsidR="000D7F0B" w:rsidRPr="007B5442" w:rsidRDefault="00941AF2" w:rsidP="00E40211">
      <w:pPr>
        <w:snapToGrid w:val="0"/>
        <w:spacing w:before="120" w:after="120"/>
        <w:ind w:left="2268" w:right="1134" w:hanging="1134"/>
        <w:jc w:val="both"/>
        <w:rPr>
          <w:i/>
          <w:iCs/>
          <w:u w:val="single"/>
        </w:rPr>
      </w:pPr>
      <w:r w:rsidRPr="007B5442">
        <w:rPr>
          <w:i/>
          <w:iCs/>
        </w:rPr>
        <w:t>“</w:t>
      </w:r>
      <w:r w:rsidR="000D7F0B" w:rsidRPr="007B5442">
        <w:rPr>
          <w:i/>
          <w:iCs/>
        </w:rPr>
        <w:t>6.8.3.2.9</w:t>
      </w:r>
      <w:r w:rsidR="000D7F0B" w:rsidRPr="007B5442">
        <w:rPr>
          <w:i/>
          <w:iCs/>
        </w:rPr>
        <w:tab/>
        <w:t xml:space="preserve">Tanks intended for the carriage of </w:t>
      </w:r>
      <w:r w:rsidR="000D7F0B" w:rsidRPr="007B5442">
        <w:rPr>
          <w:i/>
          <w:iCs/>
          <w:u w:val="single"/>
        </w:rPr>
        <w:t xml:space="preserve">flammable </w:t>
      </w:r>
      <w:r w:rsidR="000D7F0B" w:rsidRPr="007B5442">
        <w:rPr>
          <w:i/>
          <w:iCs/>
          <w:strike/>
        </w:rPr>
        <w:t>compressed</w:t>
      </w:r>
      <w:r w:rsidR="000D7F0B" w:rsidRPr="007B5442">
        <w:rPr>
          <w:i/>
          <w:iCs/>
        </w:rPr>
        <w:t xml:space="preserve"> </w:t>
      </w:r>
      <w:r w:rsidR="000D7F0B" w:rsidRPr="007B5442">
        <w:rPr>
          <w:i/>
          <w:iCs/>
          <w:strike/>
        </w:rPr>
        <w:t>or</w:t>
      </w:r>
      <w:r w:rsidR="000D7F0B" w:rsidRPr="007B5442">
        <w:rPr>
          <w:i/>
          <w:iCs/>
        </w:rPr>
        <w:t xml:space="preserve"> liquefied gases </w:t>
      </w:r>
      <w:r w:rsidR="000D7F0B" w:rsidRPr="007B5442">
        <w:rPr>
          <w:i/>
          <w:iCs/>
          <w:u w:val="single"/>
        </w:rPr>
        <w:t xml:space="preserve">shall </w:t>
      </w:r>
      <w:r w:rsidR="000D7F0B" w:rsidRPr="007B5442">
        <w:rPr>
          <w:i/>
          <w:iCs/>
          <w:strike/>
        </w:rPr>
        <w:t xml:space="preserve">or dissolved gases, may </w:t>
      </w:r>
      <w:r w:rsidR="000D7F0B" w:rsidRPr="007B5442">
        <w:rPr>
          <w:i/>
          <w:iCs/>
        </w:rPr>
        <w:t xml:space="preserve">be fitted with </w:t>
      </w:r>
      <w:r w:rsidR="000D7F0B" w:rsidRPr="007B5442">
        <w:rPr>
          <w:i/>
          <w:iCs/>
          <w:strike/>
        </w:rPr>
        <w:t>spring-loaded</w:t>
      </w:r>
      <w:r w:rsidR="000D7F0B" w:rsidRPr="007B5442">
        <w:rPr>
          <w:i/>
          <w:iCs/>
        </w:rPr>
        <w:t xml:space="preserve"> safety valves. </w:t>
      </w:r>
      <w:r w:rsidR="000D7F0B" w:rsidRPr="007B5442">
        <w:rPr>
          <w:i/>
          <w:iCs/>
          <w:u w:val="single"/>
        </w:rPr>
        <w:t>Tanks intended for the carriage of compressed or non-flammable</w:t>
      </w:r>
      <w:r w:rsidR="000D7F0B" w:rsidRPr="007B5442">
        <w:rPr>
          <w:i/>
          <w:iCs/>
        </w:rPr>
        <w:t xml:space="preserve"> </w:t>
      </w:r>
      <w:r w:rsidR="000D7F0B" w:rsidRPr="007B5442">
        <w:rPr>
          <w:i/>
          <w:iCs/>
          <w:u w:val="single"/>
        </w:rPr>
        <w:t>liquefied gases or dissolved gases, may</w:t>
      </w:r>
      <w:r w:rsidR="000D7F0B" w:rsidRPr="007B5442">
        <w:rPr>
          <w:i/>
          <w:iCs/>
        </w:rPr>
        <w:t xml:space="preserve"> </w:t>
      </w:r>
      <w:r w:rsidR="000D7F0B" w:rsidRPr="007B5442">
        <w:rPr>
          <w:i/>
          <w:iCs/>
          <w:u w:val="single"/>
        </w:rPr>
        <w:t>be fitted with safety valves</w:t>
      </w:r>
      <w:r w:rsidR="000D7F0B" w:rsidRPr="007B5442">
        <w:rPr>
          <w:i/>
          <w:iCs/>
        </w:rPr>
        <w:t>. S</w:t>
      </w:r>
      <w:r w:rsidR="000D7F0B" w:rsidRPr="007B5442">
        <w:rPr>
          <w:i/>
          <w:iCs/>
          <w:u w:val="single"/>
        </w:rPr>
        <w:t>afety valves, where fitted, shall meet the requirements of 6.8.3.2.9.1 to 6.8.3.2.9.5.</w:t>
      </w:r>
    </w:p>
    <w:p w14:paraId="36F86135" w14:textId="77777777" w:rsidR="000D7F0B" w:rsidRPr="007B5442" w:rsidRDefault="000D7F0B" w:rsidP="00E40211">
      <w:pPr>
        <w:snapToGrid w:val="0"/>
        <w:spacing w:before="120" w:after="120"/>
        <w:ind w:left="2268" w:right="1134" w:hanging="1134"/>
        <w:jc w:val="both"/>
        <w:rPr>
          <w:i/>
          <w:iCs/>
        </w:rPr>
      </w:pPr>
      <w:r w:rsidRPr="007B5442">
        <w:rPr>
          <w:i/>
          <w:iCs/>
          <w:u w:val="single"/>
        </w:rPr>
        <w:t>6.8.3.2.9.1</w:t>
      </w:r>
      <w:r w:rsidRPr="007B5442">
        <w:rPr>
          <w:i/>
          <w:iCs/>
        </w:rPr>
        <w:tab/>
      </w:r>
      <w:r w:rsidRPr="007B5442">
        <w:rPr>
          <w:i/>
          <w:iCs/>
          <w:u w:val="single"/>
        </w:rPr>
        <w:t>Safety</w:t>
      </w:r>
      <w:r w:rsidRPr="007B5442">
        <w:rPr>
          <w:i/>
          <w:iCs/>
        </w:rPr>
        <w:t xml:space="preserve"> </w:t>
      </w:r>
      <w:r w:rsidRPr="007B5442">
        <w:rPr>
          <w:i/>
          <w:iCs/>
          <w:strike/>
        </w:rPr>
        <w:t>These</w:t>
      </w:r>
      <w:r w:rsidRPr="007B5442">
        <w:rPr>
          <w:i/>
          <w:iCs/>
        </w:rPr>
        <w:t xml:space="preserve"> valves shall be capable of opening automatically under a pressure between 0.9 and 1.0 times the test pressure of the tank to which they are fitted. They shall be of such a type as to resist dynamic stresses, including liquid surge. The use of dead weight or counter weight valves is prohibited. The required capacity of the safety valves shall be calculated in accordance with the formula contained in 6.7.3.8.1.1.</w:t>
      </w:r>
    </w:p>
    <w:p w14:paraId="71B60325" w14:textId="77777777" w:rsidR="000D7F0B" w:rsidRPr="007B5442" w:rsidRDefault="000D7F0B" w:rsidP="00E40211">
      <w:pPr>
        <w:snapToGrid w:val="0"/>
        <w:spacing w:before="120" w:after="120"/>
        <w:ind w:left="2268" w:right="1134"/>
        <w:jc w:val="both"/>
        <w:rPr>
          <w:i/>
          <w:iCs/>
        </w:rPr>
      </w:pPr>
      <w:r w:rsidRPr="007B5442">
        <w:rPr>
          <w:i/>
          <w:iCs/>
        </w:rPr>
        <w:t>Safety valves shall be designed to prevent or be protected from the entry of water or other foreign matter which may impair their correct functioning. Any protection shall not impair their performance.</w:t>
      </w:r>
    </w:p>
    <w:p w14:paraId="6EA39AEC" w14:textId="77777777" w:rsidR="000D7F0B" w:rsidRPr="007B5442" w:rsidRDefault="000D7F0B" w:rsidP="00E40211">
      <w:pPr>
        <w:widowControl w:val="0"/>
        <w:suppressAutoHyphens w:val="0"/>
        <w:autoSpaceDE w:val="0"/>
        <w:autoSpaceDN w:val="0"/>
        <w:adjustRightInd w:val="0"/>
        <w:snapToGrid w:val="0"/>
        <w:spacing w:before="120" w:after="120" w:line="240" w:lineRule="auto"/>
        <w:ind w:left="2257" w:right="1134" w:hanging="1123"/>
        <w:jc w:val="both"/>
        <w:rPr>
          <w:i/>
          <w:iCs/>
          <w:u w:val="single"/>
          <w:lang w:eastAsia="en-US"/>
        </w:rPr>
      </w:pPr>
      <w:r w:rsidRPr="007B5442">
        <w:rPr>
          <w:i/>
          <w:iCs/>
          <w:u w:val="single"/>
        </w:rPr>
        <w:t>6.8.3.2.9.2</w:t>
      </w:r>
      <w:r w:rsidRPr="007B5442">
        <w:rPr>
          <w:rFonts w:ascii="Times-New-Roman,Bold" w:hAnsi="Times-New-Roman,Bold" w:cs="Times-New-Roman,Bold"/>
          <w:i/>
          <w:iCs/>
          <w:color w:val="000000"/>
          <w:sz w:val="24"/>
          <w:szCs w:val="24"/>
          <w:lang w:eastAsia="en-US"/>
        </w:rPr>
        <w:tab/>
      </w:r>
      <w:r w:rsidRPr="007B5442">
        <w:rPr>
          <w:i/>
          <w:iCs/>
          <w:u w:val="single"/>
          <w:lang w:eastAsia="en-US"/>
        </w:rPr>
        <w:t>If tanks required to be hermetically closed are equipped with safety valves, these shall be preceded by a bursting disc and the following conditions shall be met:</w:t>
      </w:r>
    </w:p>
    <w:p w14:paraId="372976C3" w14:textId="6FD51A21" w:rsidR="000D7F0B" w:rsidRPr="007B5442" w:rsidRDefault="000D7F0B" w:rsidP="00E40211">
      <w:pPr>
        <w:widowControl w:val="0"/>
        <w:numPr>
          <w:ilvl w:val="0"/>
          <w:numId w:val="37"/>
        </w:numPr>
        <w:suppressAutoHyphens w:val="0"/>
        <w:autoSpaceDE w:val="0"/>
        <w:autoSpaceDN w:val="0"/>
        <w:adjustRightInd w:val="0"/>
        <w:snapToGrid w:val="0"/>
        <w:spacing w:before="120" w:after="120" w:line="240" w:lineRule="auto"/>
        <w:ind w:left="2694" w:right="1134" w:hanging="426"/>
        <w:rPr>
          <w:i/>
          <w:iCs/>
          <w:u w:val="single"/>
          <w:lang w:eastAsia="en-US"/>
        </w:rPr>
      </w:pPr>
      <w:r w:rsidRPr="007B5442">
        <w:rPr>
          <w:i/>
          <w:iCs/>
          <w:u w:val="single"/>
          <w:lang w:eastAsia="en-US"/>
        </w:rPr>
        <w:t>The minimum burst pressure at 20</w:t>
      </w:r>
      <w:r w:rsidR="00D879F5">
        <w:rPr>
          <w:i/>
          <w:iCs/>
          <w:u w:val="single"/>
          <w:lang w:eastAsia="en-US"/>
        </w:rPr>
        <w:t xml:space="preserve"> </w:t>
      </w:r>
      <w:r w:rsidRPr="007B5442">
        <w:rPr>
          <w:i/>
          <w:iCs/>
          <w:u w:val="single"/>
          <w:vertAlign w:val="superscript"/>
          <w:lang w:eastAsia="en-US"/>
        </w:rPr>
        <w:t>0</w:t>
      </w:r>
      <w:r w:rsidRPr="007B5442">
        <w:rPr>
          <w:i/>
          <w:iCs/>
          <w:u w:val="single"/>
          <w:lang w:eastAsia="en-US"/>
        </w:rPr>
        <w:t>C, tolerances included, shall be greater than or equal to 1.0 times the test pressure;</w:t>
      </w:r>
    </w:p>
    <w:p w14:paraId="4CBDEBCF" w14:textId="5D584552" w:rsidR="000D7F0B" w:rsidRPr="007B5442" w:rsidRDefault="000D7F0B" w:rsidP="00E40211">
      <w:pPr>
        <w:widowControl w:val="0"/>
        <w:numPr>
          <w:ilvl w:val="0"/>
          <w:numId w:val="37"/>
        </w:numPr>
        <w:suppressAutoHyphens w:val="0"/>
        <w:autoSpaceDE w:val="0"/>
        <w:autoSpaceDN w:val="0"/>
        <w:adjustRightInd w:val="0"/>
        <w:snapToGrid w:val="0"/>
        <w:spacing w:before="120" w:after="120" w:line="240" w:lineRule="auto"/>
        <w:ind w:left="2694" w:right="1134" w:hanging="426"/>
        <w:rPr>
          <w:i/>
          <w:iCs/>
          <w:u w:val="single"/>
          <w:lang w:eastAsia="en-US"/>
        </w:rPr>
      </w:pPr>
      <w:r w:rsidRPr="007B5442">
        <w:rPr>
          <w:i/>
          <w:iCs/>
          <w:u w:val="single"/>
          <w:lang w:eastAsia="en-US"/>
        </w:rPr>
        <w:t>The maximum burst pressure at 20</w:t>
      </w:r>
      <w:r w:rsidR="00D879F5">
        <w:rPr>
          <w:i/>
          <w:iCs/>
          <w:u w:val="single"/>
          <w:lang w:eastAsia="en-US"/>
        </w:rPr>
        <w:t xml:space="preserve"> </w:t>
      </w:r>
      <w:r w:rsidRPr="007B5442">
        <w:rPr>
          <w:i/>
          <w:iCs/>
          <w:u w:val="single"/>
          <w:vertAlign w:val="superscript"/>
          <w:lang w:eastAsia="en-US"/>
        </w:rPr>
        <w:t>0</w:t>
      </w:r>
      <w:r w:rsidRPr="007B5442">
        <w:rPr>
          <w:i/>
          <w:iCs/>
          <w:u w:val="single"/>
          <w:lang w:eastAsia="en-US"/>
        </w:rPr>
        <w:t>C, tolerances included, shall be equal to 1.1 times the test pressure; and</w:t>
      </w:r>
    </w:p>
    <w:p w14:paraId="2D0C3D4A" w14:textId="3E1FDC49" w:rsidR="000D7F0B" w:rsidRPr="007B5442" w:rsidRDefault="000D7F0B" w:rsidP="00E40211">
      <w:pPr>
        <w:widowControl w:val="0"/>
        <w:numPr>
          <w:ilvl w:val="0"/>
          <w:numId w:val="37"/>
        </w:numPr>
        <w:suppressAutoHyphens w:val="0"/>
        <w:autoSpaceDE w:val="0"/>
        <w:autoSpaceDN w:val="0"/>
        <w:adjustRightInd w:val="0"/>
        <w:snapToGrid w:val="0"/>
        <w:spacing w:before="120" w:after="120" w:line="240" w:lineRule="auto"/>
        <w:ind w:left="2693" w:right="1134" w:hanging="425"/>
        <w:rPr>
          <w:i/>
          <w:iCs/>
          <w:u w:val="single"/>
          <w:lang w:eastAsia="en-US"/>
        </w:rPr>
      </w:pPr>
      <w:r w:rsidRPr="007B5442">
        <w:rPr>
          <w:i/>
          <w:iCs/>
          <w:u w:val="single"/>
          <w:lang w:eastAsia="en-US"/>
        </w:rPr>
        <w:t>The bursting disc shall not reduce the required discharge capacity or correct operation of the safety valve.</w:t>
      </w:r>
    </w:p>
    <w:p w14:paraId="6AF481D1" w14:textId="6B825A7E" w:rsidR="000D7F0B" w:rsidRPr="007B5442" w:rsidRDefault="000D7F0B" w:rsidP="00E40211">
      <w:pPr>
        <w:widowControl w:val="0"/>
        <w:suppressAutoHyphens w:val="0"/>
        <w:autoSpaceDE w:val="0"/>
        <w:autoSpaceDN w:val="0"/>
        <w:adjustRightInd w:val="0"/>
        <w:snapToGrid w:val="0"/>
        <w:spacing w:before="120" w:after="120" w:line="240" w:lineRule="auto"/>
        <w:ind w:left="2268" w:right="1134"/>
        <w:rPr>
          <w:i/>
          <w:iCs/>
          <w:highlight w:val="yellow"/>
          <w:u w:val="single"/>
          <w:lang w:eastAsia="en-US"/>
        </w:rPr>
      </w:pPr>
      <w:r w:rsidRPr="007B5442">
        <w:rPr>
          <w:i/>
          <w:iCs/>
          <w:u w:val="single"/>
          <w:lang w:eastAsia="en-US"/>
        </w:rPr>
        <w:t xml:space="preserve">A pressure gauge or another suitable indicator shall be provided in the space between the bursting disc and the safety valve, to enable detection of any rupture, perforation or leakage of the disc. </w:t>
      </w:r>
    </w:p>
    <w:p w14:paraId="76598281" w14:textId="10A28351" w:rsidR="000D7F0B" w:rsidRPr="007B5442" w:rsidRDefault="00090591" w:rsidP="00E40211">
      <w:pPr>
        <w:snapToGrid w:val="0"/>
        <w:spacing w:before="120" w:after="120"/>
        <w:ind w:left="2268" w:right="1134" w:hanging="1134"/>
        <w:jc w:val="both"/>
        <w:rPr>
          <w:i/>
          <w:iCs/>
          <w:u w:val="single"/>
        </w:rPr>
      </w:pPr>
      <w:r w:rsidRPr="007B5442">
        <w:rPr>
          <w:i/>
          <w:iCs/>
          <w:u w:val="single"/>
        </w:rPr>
        <w:t>6</w:t>
      </w:r>
      <w:r w:rsidR="000D7F0B" w:rsidRPr="007B5442">
        <w:rPr>
          <w:i/>
          <w:iCs/>
          <w:u w:val="single"/>
        </w:rPr>
        <w:t>.8.3.2.9.3</w:t>
      </w:r>
      <w:r w:rsidR="000D7F0B" w:rsidRPr="007B5442">
        <w:rPr>
          <w:i/>
          <w:iCs/>
        </w:rPr>
        <w:tab/>
      </w:r>
      <w:r w:rsidR="000D7F0B" w:rsidRPr="007B5442">
        <w:rPr>
          <w:i/>
          <w:iCs/>
          <w:u w:val="single"/>
        </w:rPr>
        <w:t>Safety valves shall be directly connected to the shell or directly connected to the outlet of the bursting disc.</w:t>
      </w:r>
    </w:p>
    <w:p w14:paraId="62F09176" w14:textId="24F04B40" w:rsidR="000D7F0B" w:rsidRPr="007B5442" w:rsidRDefault="000D7F0B" w:rsidP="00E40211">
      <w:pPr>
        <w:snapToGrid w:val="0"/>
        <w:spacing w:before="120" w:after="120"/>
        <w:ind w:left="2268" w:right="1134" w:hanging="1134"/>
        <w:jc w:val="both"/>
        <w:rPr>
          <w:i/>
          <w:iCs/>
        </w:rPr>
      </w:pPr>
      <w:r w:rsidRPr="007B5442">
        <w:rPr>
          <w:i/>
          <w:iCs/>
          <w:u w:val="single"/>
        </w:rPr>
        <w:t>6.8.3.2.9.4</w:t>
      </w:r>
      <w:r w:rsidRPr="007B5442">
        <w:rPr>
          <w:i/>
          <w:iCs/>
        </w:rPr>
        <w:tab/>
      </w:r>
      <w:r w:rsidRPr="007B5442">
        <w:rPr>
          <w:i/>
          <w:iCs/>
          <w:u w:val="single"/>
        </w:rPr>
        <w:t>Each safety valve inlet shall be situated on top of the shell in a position as near the transverse centre of the shell as reasonably practicable. All safety valve inlets shall under maximum filling conditions be situated in the vapour space of the shell and the devices shall be so arranged as to ensure that the escaping vapour is discharged unrestrictedly. For flammable liquefied gases, the escaping vapour shall be directed away from the shell in such a manner that it cannot impinge upon the shell. Protective devices which deflect the flow of vapour are permissible provided the required safety valve capacity is not reduced</w:t>
      </w:r>
      <w:r w:rsidRPr="007B5442">
        <w:rPr>
          <w:i/>
          <w:iCs/>
        </w:rPr>
        <w:t>.</w:t>
      </w:r>
    </w:p>
    <w:p w14:paraId="42094CC9" w14:textId="5652E524" w:rsidR="000D7F0B" w:rsidRPr="007B5442" w:rsidRDefault="000D7F0B" w:rsidP="00E40211">
      <w:pPr>
        <w:snapToGrid w:val="0"/>
        <w:spacing w:before="120" w:after="120"/>
        <w:ind w:left="2259" w:right="1134" w:hanging="1125"/>
        <w:jc w:val="both"/>
        <w:rPr>
          <w:i/>
          <w:iCs/>
          <w:u w:val="single"/>
        </w:rPr>
      </w:pPr>
      <w:r w:rsidRPr="007B5442">
        <w:rPr>
          <w:i/>
          <w:iCs/>
          <w:u w:val="single"/>
        </w:rPr>
        <w:t>6.8.3.2.9.5</w:t>
      </w:r>
      <w:r w:rsidRPr="007B5442">
        <w:rPr>
          <w:i/>
          <w:iCs/>
        </w:rPr>
        <w:tab/>
      </w:r>
      <w:r w:rsidRPr="007B5442">
        <w:rPr>
          <w:i/>
          <w:iCs/>
          <w:u w:val="single"/>
        </w:rPr>
        <w:t>Arrangements shall be made to protect the safety valves from damage caused by the tank overturning or striking overhead obstructions. Where possible safety valves shall not project outside of the profile of the shell.</w:t>
      </w:r>
      <w:r w:rsidR="00941AF2" w:rsidRPr="007B5442">
        <w:rPr>
          <w:i/>
          <w:iCs/>
          <w:u w:val="single"/>
        </w:rPr>
        <w:t>”</w:t>
      </w:r>
    </w:p>
    <w:p w14:paraId="6A25E0E7" w14:textId="7957488C" w:rsidR="00A316D2" w:rsidRPr="007B5442" w:rsidRDefault="00941AF2" w:rsidP="00E40211">
      <w:pPr>
        <w:pStyle w:val="SingleTxtG"/>
        <w:keepNext/>
        <w:keepLines/>
        <w:snapToGrid w:val="0"/>
        <w:spacing w:before="120"/>
      </w:pPr>
      <w:r w:rsidRPr="007B5442">
        <w:lastRenderedPageBreak/>
        <w:t xml:space="preserve">Proposal 17 - </w:t>
      </w:r>
      <w:r w:rsidR="00A316D2" w:rsidRPr="007B5442">
        <w:t>Introduce new transitional measure</w:t>
      </w:r>
      <w:r w:rsidR="00090591" w:rsidRPr="007B5442">
        <w:t>s</w:t>
      </w:r>
      <w:r w:rsidR="00A316D2" w:rsidRPr="007B5442">
        <w:t xml:space="preserve"> in 1.6.3 for ADR and 1.6.4 for RID and ADR to read:</w:t>
      </w:r>
    </w:p>
    <w:p w14:paraId="1ADB272C" w14:textId="40DB055B" w:rsidR="00A316D2" w:rsidRPr="007B5442" w:rsidRDefault="00A316D2" w:rsidP="00E40211">
      <w:pPr>
        <w:keepNext/>
        <w:keepLines/>
        <w:snapToGrid w:val="0"/>
        <w:spacing w:before="120" w:after="120"/>
        <w:ind w:left="2268" w:right="1134" w:hanging="1134"/>
        <w:jc w:val="both"/>
        <w:rPr>
          <w:bCs/>
        </w:rPr>
      </w:pPr>
      <w:r w:rsidRPr="007B5442">
        <w:rPr>
          <w:bCs/>
        </w:rPr>
        <w:t>(ADR only)</w:t>
      </w:r>
    </w:p>
    <w:p w14:paraId="647A85BE" w14:textId="77777777" w:rsidR="00A316D2" w:rsidRPr="007B5442" w:rsidRDefault="00A316D2" w:rsidP="00E40211">
      <w:pPr>
        <w:keepNext/>
        <w:keepLines/>
        <w:snapToGrid w:val="0"/>
        <w:spacing w:before="120" w:after="120"/>
        <w:ind w:left="2268" w:right="1134" w:hanging="1134"/>
        <w:jc w:val="both"/>
        <w:rPr>
          <w:bCs/>
        </w:rPr>
      </w:pPr>
      <w:r w:rsidRPr="007B5442">
        <w:rPr>
          <w:bCs/>
        </w:rPr>
        <w:t>1.6.3</w:t>
      </w:r>
      <w:r w:rsidRPr="007B5442">
        <w:rPr>
          <w:bCs/>
        </w:rPr>
        <w:tab/>
        <w:t>Insert the following new transitional provision:</w:t>
      </w:r>
    </w:p>
    <w:p w14:paraId="4B69C428" w14:textId="77777777" w:rsidR="00A316D2" w:rsidRPr="007B5442" w:rsidRDefault="00A316D2" w:rsidP="00E40211">
      <w:pPr>
        <w:keepNext/>
        <w:keepLines/>
        <w:snapToGrid w:val="0"/>
        <w:spacing w:before="120" w:after="120"/>
        <w:ind w:left="2410" w:right="1134" w:hanging="996"/>
        <w:jc w:val="both"/>
        <w:rPr>
          <w:i/>
          <w:iCs/>
          <w:u w:val="single"/>
        </w:rPr>
      </w:pPr>
      <w:r w:rsidRPr="007B5442">
        <w:rPr>
          <w:i/>
          <w:iCs/>
        </w:rPr>
        <w:t>“</w:t>
      </w:r>
      <w:r w:rsidRPr="007B5442">
        <w:rPr>
          <w:i/>
          <w:iCs/>
          <w:u w:val="single"/>
        </w:rPr>
        <w:t>1.6.3.xx</w:t>
      </w:r>
      <w:r w:rsidRPr="007B5442">
        <w:rPr>
          <w:i/>
          <w:iCs/>
        </w:rPr>
        <w:tab/>
      </w:r>
      <w:r w:rsidRPr="007B5442">
        <w:rPr>
          <w:i/>
          <w:iCs/>
          <w:u w:val="single"/>
        </w:rPr>
        <w:t>Fixed tanks (tank-vehicles) and demountable tanks constructed before 1 January 2024 in accordance with the requirements in force up to 31 December 2022 but which do not, however, conform to the requirements applicable as from 1 January 2023 regarding the fitting of safety valves in accordance with 6.8.3.2.9 may still be used.”</w:t>
      </w:r>
    </w:p>
    <w:p w14:paraId="33970F38" w14:textId="5A437A7A" w:rsidR="00A316D2" w:rsidRPr="007B5442" w:rsidRDefault="00A316D2" w:rsidP="00E40211">
      <w:pPr>
        <w:snapToGrid w:val="0"/>
        <w:spacing w:before="120" w:after="120"/>
        <w:ind w:left="2268" w:right="1134" w:hanging="1134"/>
        <w:jc w:val="both"/>
        <w:rPr>
          <w:u w:val="single"/>
        </w:rPr>
      </w:pPr>
      <w:r w:rsidRPr="007B5442">
        <w:rPr>
          <w:u w:val="single"/>
        </w:rPr>
        <w:t>(RID/ADR)</w:t>
      </w:r>
    </w:p>
    <w:p w14:paraId="452FA545" w14:textId="77777777" w:rsidR="00A316D2" w:rsidRPr="007B5442" w:rsidRDefault="00A316D2" w:rsidP="00E40211">
      <w:pPr>
        <w:snapToGrid w:val="0"/>
        <w:spacing w:before="120" w:after="120"/>
        <w:ind w:left="2268" w:right="1134" w:hanging="1134"/>
        <w:jc w:val="both"/>
        <w:rPr>
          <w:bCs/>
        </w:rPr>
      </w:pPr>
      <w:r w:rsidRPr="007B5442">
        <w:t>1.6.4</w:t>
      </w:r>
      <w:r w:rsidRPr="007B5442">
        <w:tab/>
      </w:r>
      <w:r w:rsidRPr="007B5442">
        <w:rPr>
          <w:bCs/>
        </w:rPr>
        <w:t>Insert the following new transitional provision:</w:t>
      </w:r>
    </w:p>
    <w:p w14:paraId="4FE41E4F" w14:textId="7C3EB0E4" w:rsidR="00A316D2" w:rsidRPr="007B5442" w:rsidRDefault="00A316D2" w:rsidP="00E40211">
      <w:pPr>
        <w:snapToGrid w:val="0"/>
        <w:spacing w:before="120" w:after="120"/>
        <w:ind w:left="2410" w:right="1134" w:hanging="1134"/>
        <w:jc w:val="both"/>
        <w:rPr>
          <w:i/>
          <w:iCs/>
        </w:rPr>
      </w:pPr>
      <w:r w:rsidRPr="007B5442">
        <w:rPr>
          <w:i/>
          <w:iCs/>
        </w:rPr>
        <w:t>“</w:t>
      </w:r>
      <w:r w:rsidRPr="007B5442">
        <w:rPr>
          <w:i/>
          <w:iCs/>
          <w:u w:val="single"/>
        </w:rPr>
        <w:t>1.6.4.xx</w:t>
      </w:r>
      <w:r w:rsidRPr="007B5442">
        <w:rPr>
          <w:i/>
          <w:iCs/>
        </w:rPr>
        <w:tab/>
      </w:r>
      <w:r w:rsidRPr="007B5442">
        <w:rPr>
          <w:i/>
          <w:iCs/>
          <w:u w:val="single"/>
        </w:rPr>
        <w:t>Tank-containers constructed before 1 January 2024 in accordance with the requirements in force up to 31 December 2022 but which do not, however, conform to the requirements applicable as from 1 January 2023 regarding the fitting of safety valves in accordance with 6.8.3.2.9 may still be used</w:t>
      </w:r>
      <w:r w:rsidRPr="007B5442">
        <w:rPr>
          <w:i/>
          <w:iCs/>
        </w:rPr>
        <w:t>.”</w:t>
      </w:r>
    </w:p>
    <w:p w14:paraId="159D4F21" w14:textId="74B10897" w:rsidR="00A316D2" w:rsidRPr="007B5442" w:rsidRDefault="00941AF2" w:rsidP="00E40211">
      <w:pPr>
        <w:pStyle w:val="SingleTxtG"/>
        <w:snapToGrid w:val="0"/>
        <w:spacing w:before="120"/>
      </w:pPr>
      <w:r w:rsidRPr="007B5442">
        <w:t>Proposal 18 - C</w:t>
      </w:r>
      <w:r w:rsidR="00090591" w:rsidRPr="007B5442">
        <w:t>onsequential a</w:t>
      </w:r>
      <w:r w:rsidR="00A316D2" w:rsidRPr="007B5442">
        <w:t>mend</w:t>
      </w:r>
      <w:r w:rsidR="00090591" w:rsidRPr="007B5442">
        <w:t xml:space="preserve">ment to </w:t>
      </w:r>
      <w:r w:rsidR="00A316D2" w:rsidRPr="007B5442">
        <w:t>the second paragraph of 6.8.2.2.10 to read</w:t>
      </w:r>
      <w:r w:rsidR="000D38EF" w:rsidRPr="007B5442">
        <w:t xml:space="preserve"> (new wording </w:t>
      </w:r>
      <w:r w:rsidR="004842CF">
        <w:t xml:space="preserve">is </w:t>
      </w:r>
      <w:r w:rsidR="000D38EF" w:rsidRPr="007B5442">
        <w:t>underlined, deleted wording stricken through)</w:t>
      </w:r>
      <w:r w:rsidR="00A316D2" w:rsidRPr="007B5442">
        <w:t>:|</w:t>
      </w:r>
    </w:p>
    <w:p w14:paraId="2A4D99D4" w14:textId="51A83C65" w:rsidR="00A316D2" w:rsidRPr="007B5442" w:rsidRDefault="00A316D2" w:rsidP="00E40211">
      <w:pPr>
        <w:snapToGrid w:val="0"/>
        <w:spacing w:before="120" w:after="120"/>
        <w:ind w:left="1843" w:right="1134" w:firstLine="9"/>
        <w:jc w:val="both"/>
        <w:rPr>
          <w:i/>
          <w:iCs/>
        </w:rPr>
      </w:pPr>
      <w:r w:rsidRPr="007B5442">
        <w:rPr>
          <w:i/>
          <w:iCs/>
        </w:rPr>
        <w:t>“Except for tanks intended for the carriage of compressed, liquefied or d</w:t>
      </w:r>
      <w:r w:rsidR="000D38EF" w:rsidRPr="007B5442">
        <w:rPr>
          <w:i/>
          <w:iCs/>
        </w:rPr>
        <w:t>is</w:t>
      </w:r>
      <w:r w:rsidRPr="007B5442">
        <w:rPr>
          <w:i/>
          <w:iCs/>
        </w:rPr>
        <w:t xml:space="preserve">solved gases where the arrangement of the bursting disc and the safety valve shall </w:t>
      </w:r>
      <w:r w:rsidRPr="007B5442">
        <w:rPr>
          <w:i/>
          <w:iCs/>
          <w:strike/>
        </w:rPr>
        <w:t>be such as</w:t>
      </w:r>
      <w:r w:rsidR="000D38EF" w:rsidRPr="007B5442">
        <w:rPr>
          <w:i/>
          <w:iCs/>
          <w:strike/>
        </w:rPr>
        <w:t xml:space="preserve"> to</w:t>
      </w:r>
      <w:r w:rsidRPr="007B5442">
        <w:rPr>
          <w:i/>
          <w:iCs/>
        </w:rPr>
        <w:t xml:space="preserve"> satisfy the</w:t>
      </w:r>
      <w:r w:rsidR="000D38EF" w:rsidRPr="007B5442">
        <w:rPr>
          <w:i/>
          <w:iCs/>
          <w:strike/>
        </w:rPr>
        <w:t xml:space="preserve"> competent authority</w:t>
      </w:r>
      <w:r w:rsidRPr="007B5442">
        <w:rPr>
          <w:i/>
          <w:iCs/>
          <w:u w:val="single"/>
        </w:rPr>
        <w:t xml:space="preserve"> requirements </w:t>
      </w:r>
      <w:r w:rsidR="000D38EF" w:rsidRPr="007B5442">
        <w:rPr>
          <w:i/>
          <w:iCs/>
          <w:u w:val="single"/>
        </w:rPr>
        <w:t>of</w:t>
      </w:r>
      <w:r w:rsidRPr="007B5442">
        <w:rPr>
          <w:i/>
          <w:iCs/>
          <w:u w:val="single"/>
        </w:rPr>
        <w:t xml:space="preserve"> 6.8.3.9.2, </w:t>
      </w:r>
      <w:r w:rsidRPr="007B5442">
        <w:rPr>
          <w:i/>
          <w:iCs/>
        </w:rPr>
        <w:t>burst pressures of the bursting disc shall satisfy the following requirements</w:t>
      </w:r>
      <w:r w:rsidR="000D38EF" w:rsidRPr="007B5442">
        <w:rPr>
          <w:i/>
          <w:iCs/>
        </w:rPr>
        <w:t>:</w:t>
      </w:r>
      <w:r w:rsidRPr="007B5442">
        <w:rPr>
          <w:i/>
          <w:iCs/>
        </w:rPr>
        <w:t>”</w:t>
      </w:r>
    </w:p>
    <w:p w14:paraId="1E748711" w14:textId="058EC856" w:rsidR="00FC4ACF" w:rsidRPr="007B5442" w:rsidRDefault="00FC4ACF" w:rsidP="00FC4ACF">
      <w:pPr>
        <w:pStyle w:val="SingleTxtG"/>
        <w:spacing w:before="240" w:after="0"/>
        <w:jc w:val="center"/>
        <w:rPr>
          <w:u w:val="single"/>
        </w:rPr>
      </w:pPr>
      <w:r w:rsidRPr="007B5442">
        <w:rPr>
          <w:u w:val="single"/>
        </w:rPr>
        <w:tab/>
      </w:r>
      <w:r w:rsidR="004842CF">
        <w:rPr>
          <w:u w:val="single"/>
        </w:rPr>
        <w:tab/>
      </w:r>
      <w:r w:rsidR="004842CF">
        <w:rPr>
          <w:u w:val="single"/>
        </w:rPr>
        <w:tab/>
      </w:r>
      <w:r w:rsidR="004842CF">
        <w:rPr>
          <w:u w:val="single"/>
        </w:rPr>
        <w:tab/>
      </w:r>
    </w:p>
    <w:sectPr w:rsidR="00FC4ACF" w:rsidRPr="007B5442" w:rsidSect="002E480D">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4EA69" w14:textId="77777777" w:rsidR="00F85675" w:rsidRDefault="00F85675"/>
  </w:endnote>
  <w:endnote w:type="continuationSeparator" w:id="0">
    <w:p w14:paraId="5706CD72" w14:textId="77777777" w:rsidR="00F85675" w:rsidRDefault="00F85675"/>
  </w:endnote>
  <w:endnote w:type="continuationNotice" w:id="1">
    <w:p w14:paraId="34A745B3" w14:textId="77777777" w:rsidR="00F85675" w:rsidRDefault="00F85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8B3A2" w14:textId="63CDC925" w:rsidR="00C91FEC" w:rsidRPr="002E480D" w:rsidRDefault="00C91FEC" w:rsidP="002E480D">
    <w:pPr>
      <w:pStyle w:val="Footer"/>
      <w:tabs>
        <w:tab w:val="right" w:pos="9638"/>
      </w:tabs>
      <w:rPr>
        <w:sz w:val="18"/>
      </w:rPr>
    </w:pPr>
    <w:r w:rsidRPr="002E480D">
      <w:rPr>
        <w:b/>
        <w:sz w:val="18"/>
      </w:rPr>
      <w:fldChar w:fldCharType="begin"/>
    </w:r>
    <w:r w:rsidRPr="002E480D">
      <w:rPr>
        <w:b/>
        <w:sz w:val="18"/>
      </w:rPr>
      <w:instrText xml:space="preserve"> PAGE  \* MERGEFORMAT </w:instrText>
    </w:r>
    <w:r w:rsidRPr="002E480D">
      <w:rPr>
        <w:b/>
        <w:sz w:val="18"/>
      </w:rPr>
      <w:fldChar w:fldCharType="separate"/>
    </w:r>
    <w:r w:rsidR="009E31E5">
      <w:rPr>
        <w:b/>
        <w:noProof/>
        <w:sz w:val="18"/>
      </w:rPr>
      <w:t>2</w:t>
    </w:r>
    <w:r w:rsidRPr="002E480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CBB2" w14:textId="2AA9BC15" w:rsidR="00C91FEC" w:rsidRPr="002E480D" w:rsidRDefault="00C91FEC" w:rsidP="002E480D">
    <w:pPr>
      <w:pStyle w:val="Footer"/>
      <w:tabs>
        <w:tab w:val="right" w:pos="9638"/>
      </w:tabs>
      <w:rPr>
        <w:b/>
        <w:sz w:val="18"/>
      </w:rPr>
    </w:pPr>
    <w:r>
      <w:tab/>
    </w:r>
    <w:r w:rsidRPr="002E480D">
      <w:rPr>
        <w:b/>
        <w:sz w:val="18"/>
      </w:rPr>
      <w:fldChar w:fldCharType="begin"/>
    </w:r>
    <w:r w:rsidRPr="002E480D">
      <w:rPr>
        <w:b/>
        <w:sz w:val="18"/>
      </w:rPr>
      <w:instrText xml:space="preserve"> PAGE  \* MERGEFORMAT </w:instrText>
    </w:r>
    <w:r w:rsidRPr="002E480D">
      <w:rPr>
        <w:b/>
        <w:sz w:val="18"/>
      </w:rPr>
      <w:fldChar w:fldCharType="separate"/>
    </w:r>
    <w:r w:rsidR="009E31E5">
      <w:rPr>
        <w:b/>
        <w:noProof/>
        <w:sz w:val="18"/>
      </w:rPr>
      <w:t>7</w:t>
    </w:r>
    <w:r w:rsidRPr="002E480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3404C" w14:textId="77777777" w:rsidR="00F85675" w:rsidRPr="000B175B" w:rsidRDefault="00F85675" w:rsidP="000B175B">
      <w:pPr>
        <w:tabs>
          <w:tab w:val="right" w:pos="2155"/>
        </w:tabs>
        <w:spacing w:after="80"/>
        <w:ind w:left="680"/>
        <w:rPr>
          <w:u w:val="single"/>
        </w:rPr>
      </w:pPr>
      <w:r>
        <w:rPr>
          <w:u w:val="single"/>
        </w:rPr>
        <w:tab/>
      </w:r>
    </w:p>
  </w:footnote>
  <w:footnote w:type="continuationSeparator" w:id="0">
    <w:p w14:paraId="30DF9FD6" w14:textId="77777777" w:rsidR="00F85675" w:rsidRPr="00FC68B7" w:rsidRDefault="00F85675" w:rsidP="00FC68B7">
      <w:pPr>
        <w:tabs>
          <w:tab w:val="left" w:pos="2155"/>
        </w:tabs>
        <w:spacing w:after="80"/>
        <w:ind w:left="680"/>
        <w:rPr>
          <w:u w:val="single"/>
        </w:rPr>
      </w:pPr>
      <w:r>
        <w:rPr>
          <w:u w:val="single"/>
        </w:rPr>
        <w:tab/>
      </w:r>
    </w:p>
  </w:footnote>
  <w:footnote w:type="continuationNotice" w:id="1">
    <w:p w14:paraId="3AA445F6" w14:textId="77777777" w:rsidR="00F85675" w:rsidRDefault="00F85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BB2D8" w14:textId="366AD125" w:rsidR="00B23C35" w:rsidRPr="00652CFC" w:rsidRDefault="00B23C35" w:rsidP="00B23C35">
    <w:pPr>
      <w:pStyle w:val="Header"/>
      <w:rPr>
        <w:lang w:val="fr-CH"/>
      </w:rPr>
    </w:pPr>
    <w:r>
      <w:rPr>
        <w:lang w:val="fr-CH"/>
      </w:rPr>
      <w:t>INF.49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51F6" w14:textId="31B16591" w:rsidR="00C91FEC" w:rsidRPr="002E480D" w:rsidRDefault="00B23C35" w:rsidP="002E480D">
    <w:pPr>
      <w:pStyle w:val="Header"/>
      <w:jc w:val="right"/>
    </w:pPr>
    <w:r w:rsidRPr="00B23C35">
      <w:t>INF.4</w:t>
    </w:r>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00401"/>
    <w:multiLevelType w:val="hybridMultilevel"/>
    <w:tmpl w:val="B04AA754"/>
    <w:lvl w:ilvl="0" w:tplc="83A48D4C">
      <w:numFmt w:val="bullet"/>
      <w:lvlText w:val="-"/>
      <w:lvlJc w:val="left"/>
      <w:pPr>
        <w:ind w:left="2424" w:hanging="360"/>
      </w:pPr>
      <w:rPr>
        <w:rFonts w:ascii="Times New Roman" w:eastAsia="Times New Roman" w:hAnsi="Times New Roman" w:cs="Times New Roman"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1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164DA9"/>
    <w:multiLevelType w:val="hybridMultilevel"/>
    <w:tmpl w:val="1AFA5D0A"/>
    <w:lvl w:ilvl="0" w:tplc="E5163CEC">
      <w:start w:val="1"/>
      <w:numFmt w:val="lowerLetter"/>
      <w:lvlText w:val="(%1)"/>
      <w:lvlJc w:val="left"/>
      <w:pPr>
        <w:ind w:left="3338" w:hanging="360"/>
      </w:pPr>
      <w:rPr>
        <w:rFonts w:hint="default"/>
        <w:b w:val="0"/>
        <w:i w:val="0"/>
        <w:u w:val="none"/>
      </w:rPr>
    </w:lvl>
    <w:lvl w:ilvl="1" w:tplc="08090019" w:tentative="1">
      <w:start w:val="1"/>
      <w:numFmt w:val="lowerLetter"/>
      <w:lvlText w:val="%2."/>
      <w:lvlJc w:val="left"/>
      <w:pPr>
        <w:ind w:left="4068" w:hanging="360"/>
      </w:pPr>
    </w:lvl>
    <w:lvl w:ilvl="2" w:tplc="0809001B" w:tentative="1">
      <w:start w:val="1"/>
      <w:numFmt w:val="lowerRoman"/>
      <w:lvlText w:val="%3."/>
      <w:lvlJc w:val="right"/>
      <w:pPr>
        <w:ind w:left="4788" w:hanging="180"/>
      </w:pPr>
    </w:lvl>
    <w:lvl w:ilvl="3" w:tplc="0809000F" w:tentative="1">
      <w:start w:val="1"/>
      <w:numFmt w:val="decimal"/>
      <w:lvlText w:val="%4."/>
      <w:lvlJc w:val="left"/>
      <w:pPr>
        <w:ind w:left="5508" w:hanging="360"/>
      </w:pPr>
    </w:lvl>
    <w:lvl w:ilvl="4" w:tplc="08090019" w:tentative="1">
      <w:start w:val="1"/>
      <w:numFmt w:val="lowerLetter"/>
      <w:lvlText w:val="%5."/>
      <w:lvlJc w:val="left"/>
      <w:pPr>
        <w:ind w:left="6228" w:hanging="360"/>
      </w:pPr>
    </w:lvl>
    <w:lvl w:ilvl="5" w:tplc="0809001B" w:tentative="1">
      <w:start w:val="1"/>
      <w:numFmt w:val="lowerRoman"/>
      <w:lvlText w:val="%6."/>
      <w:lvlJc w:val="right"/>
      <w:pPr>
        <w:ind w:left="6948" w:hanging="180"/>
      </w:pPr>
    </w:lvl>
    <w:lvl w:ilvl="6" w:tplc="0809000F" w:tentative="1">
      <w:start w:val="1"/>
      <w:numFmt w:val="decimal"/>
      <w:lvlText w:val="%7."/>
      <w:lvlJc w:val="left"/>
      <w:pPr>
        <w:ind w:left="7668" w:hanging="360"/>
      </w:pPr>
    </w:lvl>
    <w:lvl w:ilvl="7" w:tplc="08090019" w:tentative="1">
      <w:start w:val="1"/>
      <w:numFmt w:val="lowerLetter"/>
      <w:lvlText w:val="%8."/>
      <w:lvlJc w:val="left"/>
      <w:pPr>
        <w:ind w:left="8388" w:hanging="360"/>
      </w:pPr>
    </w:lvl>
    <w:lvl w:ilvl="8" w:tplc="0809001B" w:tentative="1">
      <w:start w:val="1"/>
      <w:numFmt w:val="lowerRoman"/>
      <w:lvlText w:val="%9."/>
      <w:lvlJc w:val="right"/>
      <w:pPr>
        <w:ind w:left="9108" w:hanging="180"/>
      </w:pPr>
    </w:lvl>
  </w:abstractNum>
  <w:abstractNum w:abstractNumId="15" w15:restartNumberingAfterBreak="0">
    <w:nsid w:val="18E95060"/>
    <w:multiLevelType w:val="hybridMultilevel"/>
    <w:tmpl w:val="8092DBEA"/>
    <w:lvl w:ilvl="0" w:tplc="260ABE98">
      <w:start w:val="31"/>
      <w:numFmt w:val="decimal"/>
      <w:lvlText w:val="%1."/>
      <w:lvlJc w:val="left"/>
      <w:pPr>
        <w:ind w:left="2062"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080290"/>
    <w:multiLevelType w:val="hybridMultilevel"/>
    <w:tmpl w:val="C5BE8D62"/>
    <w:lvl w:ilvl="0" w:tplc="429EF60C">
      <w:start w:val="17"/>
      <w:numFmt w:val="bullet"/>
      <w:lvlText w:val=""/>
      <w:lvlJc w:val="left"/>
      <w:pPr>
        <w:ind w:left="1494" w:hanging="360"/>
      </w:pPr>
      <w:rPr>
        <w:rFonts w:ascii="Symbol" w:eastAsia="Times New Roman" w:hAnsi="Symbol"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0" w15:restartNumberingAfterBreak="0">
    <w:nsid w:val="24D65648"/>
    <w:multiLevelType w:val="hybridMultilevel"/>
    <w:tmpl w:val="DCF8D992"/>
    <w:lvl w:ilvl="0" w:tplc="032284B0">
      <w:start w:val="2"/>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2" w15:restartNumberingAfterBreak="0">
    <w:nsid w:val="2FB032B4"/>
    <w:multiLevelType w:val="hybridMultilevel"/>
    <w:tmpl w:val="A016FD72"/>
    <w:lvl w:ilvl="0" w:tplc="D5E2DCC0">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F3001B"/>
    <w:multiLevelType w:val="hybridMultilevel"/>
    <w:tmpl w:val="393E8D9E"/>
    <w:lvl w:ilvl="0" w:tplc="83A48D4C">
      <w:numFmt w:val="bullet"/>
      <w:lvlText w:val="-"/>
      <w:lvlJc w:val="left"/>
      <w:pPr>
        <w:ind w:left="2064" w:hanging="360"/>
      </w:pPr>
      <w:rPr>
        <w:rFonts w:ascii="Times New Roman" w:eastAsia="Times New Roman" w:hAnsi="Times New Roman" w:cs="Times New Roman" w:hint="default"/>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6A4B0C"/>
    <w:multiLevelType w:val="hybridMultilevel"/>
    <w:tmpl w:val="4F049BBA"/>
    <w:lvl w:ilvl="0" w:tplc="80444A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38C20E0"/>
    <w:multiLevelType w:val="hybridMultilevel"/>
    <w:tmpl w:val="5B0424F2"/>
    <w:lvl w:ilvl="0" w:tplc="D32A7BF0">
      <w:start w:val="1"/>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8" w15:restartNumberingAfterBreak="0">
    <w:nsid w:val="440237E3"/>
    <w:multiLevelType w:val="hybridMultilevel"/>
    <w:tmpl w:val="FB384B3A"/>
    <w:lvl w:ilvl="0" w:tplc="886CFA3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4AD8099B"/>
    <w:multiLevelType w:val="hybridMultilevel"/>
    <w:tmpl w:val="7396E6A4"/>
    <w:lvl w:ilvl="0" w:tplc="82CA0E00">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F31716"/>
    <w:multiLevelType w:val="hybridMultilevel"/>
    <w:tmpl w:val="0040F474"/>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ACB003A"/>
    <w:multiLevelType w:val="hybridMultilevel"/>
    <w:tmpl w:val="3322ECB0"/>
    <w:lvl w:ilvl="0" w:tplc="315E6656">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35" w15:restartNumberingAfterBreak="0">
    <w:nsid w:val="7E541FC2"/>
    <w:multiLevelType w:val="hybridMultilevel"/>
    <w:tmpl w:val="C7A80214"/>
    <w:lvl w:ilvl="0" w:tplc="1E10D250">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10"/>
  </w:num>
  <w:num w:numId="14">
    <w:abstractNumId w:val="16"/>
  </w:num>
  <w:num w:numId="15">
    <w:abstractNumId w:val="25"/>
  </w:num>
  <w:num w:numId="16">
    <w:abstractNumId w:val="17"/>
  </w:num>
  <w:num w:numId="17">
    <w:abstractNumId w:val="30"/>
  </w:num>
  <w:num w:numId="18">
    <w:abstractNumId w:val="31"/>
  </w:num>
  <w:num w:numId="19">
    <w:abstractNumId w:val="13"/>
  </w:num>
  <w:num w:numId="20">
    <w:abstractNumId w:val="13"/>
  </w:num>
  <w:num w:numId="21">
    <w:abstractNumId w:val="34"/>
  </w:num>
  <w:num w:numId="22">
    <w:abstractNumId w:val="27"/>
  </w:num>
  <w:num w:numId="23">
    <w:abstractNumId w:val="20"/>
  </w:num>
  <w:num w:numId="24">
    <w:abstractNumId w:val="21"/>
  </w:num>
  <w:num w:numId="25">
    <w:abstractNumId w:val="32"/>
  </w:num>
  <w:num w:numId="26">
    <w:abstractNumId w:val="33"/>
  </w:num>
  <w:num w:numId="27">
    <w:abstractNumId w:val="29"/>
  </w:num>
  <w:num w:numId="28">
    <w:abstractNumId w:val="15"/>
  </w:num>
  <w:num w:numId="29">
    <w:abstractNumId w:val="11"/>
  </w:num>
  <w:num w:numId="30">
    <w:abstractNumId w:val="24"/>
  </w:num>
  <w:num w:numId="31">
    <w:abstractNumId w:val="35"/>
  </w:num>
  <w:num w:numId="32">
    <w:abstractNumId w:val="19"/>
  </w:num>
  <w:num w:numId="33">
    <w:abstractNumId w:val="28"/>
  </w:num>
  <w:num w:numId="34">
    <w:abstractNumId w:val="14"/>
  </w:num>
  <w:num w:numId="35">
    <w:abstractNumId w:val="2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0"/>
  <w:activeWritingStyle w:appName="MSWord" w:lang="nl-NL" w:vendorID="64" w:dllVersion="0" w:nlCheck="1" w:checkStyle="0"/>
  <w:activeWritingStyle w:appName="MSWord" w:lang="fr-CH" w:vendorID="64" w:dllVersion="0" w:nlCheck="1" w:checkStyle="0"/>
  <w:activeWritingStyle w:appName="MSWord" w:lang="en-I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0D"/>
    <w:rsid w:val="00002A7D"/>
    <w:rsid w:val="000038A8"/>
    <w:rsid w:val="00006790"/>
    <w:rsid w:val="000107A1"/>
    <w:rsid w:val="00010940"/>
    <w:rsid w:val="00021018"/>
    <w:rsid w:val="00027624"/>
    <w:rsid w:val="00031988"/>
    <w:rsid w:val="0003213C"/>
    <w:rsid w:val="00046618"/>
    <w:rsid w:val="00050F6B"/>
    <w:rsid w:val="00056C1C"/>
    <w:rsid w:val="00062D40"/>
    <w:rsid w:val="00066908"/>
    <w:rsid w:val="000678CD"/>
    <w:rsid w:val="00072C8C"/>
    <w:rsid w:val="00080072"/>
    <w:rsid w:val="0008092D"/>
    <w:rsid w:val="00081CE0"/>
    <w:rsid w:val="00084D30"/>
    <w:rsid w:val="00090320"/>
    <w:rsid w:val="00090591"/>
    <w:rsid w:val="000931C0"/>
    <w:rsid w:val="0009732C"/>
    <w:rsid w:val="000A01F9"/>
    <w:rsid w:val="000A2E09"/>
    <w:rsid w:val="000A332D"/>
    <w:rsid w:val="000B175B"/>
    <w:rsid w:val="000B3A0F"/>
    <w:rsid w:val="000B6279"/>
    <w:rsid w:val="000D0715"/>
    <w:rsid w:val="000D38EF"/>
    <w:rsid w:val="000D7F0B"/>
    <w:rsid w:val="000E0415"/>
    <w:rsid w:val="000E12AE"/>
    <w:rsid w:val="000F7715"/>
    <w:rsid w:val="00103557"/>
    <w:rsid w:val="001335F1"/>
    <w:rsid w:val="00140B0B"/>
    <w:rsid w:val="00156B99"/>
    <w:rsid w:val="00161CF3"/>
    <w:rsid w:val="00166124"/>
    <w:rsid w:val="001701EB"/>
    <w:rsid w:val="00172A98"/>
    <w:rsid w:val="00184DDA"/>
    <w:rsid w:val="001900CD"/>
    <w:rsid w:val="001A0452"/>
    <w:rsid w:val="001B4B04"/>
    <w:rsid w:val="001B5875"/>
    <w:rsid w:val="001C4B9C"/>
    <w:rsid w:val="001C6663"/>
    <w:rsid w:val="001C7895"/>
    <w:rsid w:val="001D26DF"/>
    <w:rsid w:val="001E6A05"/>
    <w:rsid w:val="001E7C6E"/>
    <w:rsid w:val="001F1599"/>
    <w:rsid w:val="001F19C4"/>
    <w:rsid w:val="001F1F74"/>
    <w:rsid w:val="001F7C6B"/>
    <w:rsid w:val="002043F0"/>
    <w:rsid w:val="00211E0B"/>
    <w:rsid w:val="00232575"/>
    <w:rsid w:val="00235029"/>
    <w:rsid w:val="00236028"/>
    <w:rsid w:val="00245407"/>
    <w:rsid w:val="00247258"/>
    <w:rsid w:val="00257CAC"/>
    <w:rsid w:val="00260B30"/>
    <w:rsid w:val="00262A6E"/>
    <w:rsid w:val="00264441"/>
    <w:rsid w:val="0027237A"/>
    <w:rsid w:val="002776AD"/>
    <w:rsid w:val="002974E9"/>
    <w:rsid w:val="002A08B3"/>
    <w:rsid w:val="002A7F94"/>
    <w:rsid w:val="002B109A"/>
    <w:rsid w:val="002B3CB8"/>
    <w:rsid w:val="002C133B"/>
    <w:rsid w:val="002C6D45"/>
    <w:rsid w:val="002D6E53"/>
    <w:rsid w:val="002E3B74"/>
    <w:rsid w:val="002E480D"/>
    <w:rsid w:val="002F046D"/>
    <w:rsid w:val="002F3023"/>
    <w:rsid w:val="002F483A"/>
    <w:rsid w:val="00301764"/>
    <w:rsid w:val="00303F95"/>
    <w:rsid w:val="003229D8"/>
    <w:rsid w:val="003250A9"/>
    <w:rsid w:val="00336C97"/>
    <w:rsid w:val="003373D6"/>
    <w:rsid w:val="00337F88"/>
    <w:rsid w:val="00341AA3"/>
    <w:rsid w:val="00342432"/>
    <w:rsid w:val="0035223F"/>
    <w:rsid w:val="00352D4B"/>
    <w:rsid w:val="0035638C"/>
    <w:rsid w:val="00357C76"/>
    <w:rsid w:val="00367CC3"/>
    <w:rsid w:val="003A46BB"/>
    <w:rsid w:val="003A4EC7"/>
    <w:rsid w:val="003A6F15"/>
    <w:rsid w:val="003A7295"/>
    <w:rsid w:val="003B1F60"/>
    <w:rsid w:val="003B595B"/>
    <w:rsid w:val="003C2582"/>
    <w:rsid w:val="003C2CC4"/>
    <w:rsid w:val="003D261B"/>
    <w:rsid w:val="003D4B23"/>
    <w:rsid w:val="003D7E94"/>
    <w:rsid w:val="003E278A"/>
    <w:rsid w:val="003F0663"/>
    <w:rsid w:val="00403350"/>
    <w:rsid w:val="00413520"/>
    <w:rsid w:val="004139C4"/>
    <w:rsid w:val="00415C1F"/>
    <w:rsid w:val="0042590B"/>
    <w:rsid w:val="004325CB"/>
    <w:rsid w:val="00440A07"/>
    <w:rsid w:val="00443256"/>
    <w:rsid w:val="00462880"/>
    <w:rsid w:val="00475C1B"/>
    <w:rsid w:val="00476F24"/>
    <w:rsid w:val="004842CF"/>
    <w:rsid w:val="00497BC5"/>
    <w:rsid w:val="004A7C87"/>
    <w:rsid w:val="004C55B0"/>
    <w:rsid w:val="004F2822"/>
    <w:rsid w:val="004F6BA0"/>
    <w:rsid w:val="00503BEA"/>
    <w:rsid w:val="00513005"/>
    <w:rsid w:val="00533616"/>
    <w:rsid w:val="00535ABA"/>
    <w:rsid w:val="005367E9"/>
    <w:rsid w:val="0053768B"/>
    <w:rsid w:val="00541E11"/>
    <w:rsid w:val="005420F2"/>
    <w:rsid w:val="0054285C"/>
    <w:rsid w:val="0054349F"/>
    <w:rsid w:val="00544B93"/>
    <w:rsid w:val="00545418"/>
    <w:rsid w:val="00551DA1"/>
    <w:rsid w:val="005560A8"/>
    <w:rsid w:val="005613C9"/>
    <w:rsid w:val="00563FB9"/>
    <w:rsid w:val="00570F7B"/>
    <w:rsid w:val="005716A4"/>
    <w:rsid w:val="00584173"/>
    <w:rsid w:val="0059056B"/>
    <w:rsid w:val="00595520"/>
    <w:rsid w:val="005A0C69"/>
    <w:rsid w:val="005A44B9"/>
    <w:rsid w:val="005B1BA0"/>
    <w:rsid w:val="005B2468"/>
    <w:rsid w:val="005B3605"/>
    <w:rsid w:val="005B3DB3"/>
    <w:rsid w:val="005C59F1"/>
    <w:rsid w:val="005D15CA"/>
    <w:rsid w:val="005D38E4"/>
    <w:rsid w:val="005D7969"/>
    <w:rsid w:val="005E18C8"/>
    <w:rsid w:val="005E2688"/>
    <w:rsid w:val="005E32A3"/>
    <w:rsid w:val="005F08DF"/>
    <w:rsid w:val="005F3066"/>
    <w:rsid w:val="005F3E61"/>
    <w:rsid w:val="0060043A"/>
    <w:rsid w:val="006010A5"/>
    <w:rsid w:val="006039AC"/>
    <w:rsid w:val="00604DDD"/>
    <w:rsid w:val="006115CC"/>
    <w:rsid w:val="00611FC4"/>
    <w:rsid w:val="00612687"/>
    <w:rsid w:val="0061575C"/>
    <w:rsid w:val="006176FB"/>
    <w:rsid w:val="00630FCB"/>
    <w:rsid w:val="00640B26"/>
    <w:rsid w:val="0064201E"/>
    <w:rsid w:val="006430B2"/>
    <w:rsid w:val="0064317F"/>
    <w:rsid w:val="0065766B"/>
    <w:rsid w:val="00661049"/>
    <w:rsid w:val="006655A0"/>
    <w:rsid w:val="006716F4"/>
    <w:rsid w:val="00672B6C"/>
    <w:rsid w:val="006770B2"/>
    <w:rsid w:val="0068010D"/>
    <w:rsid w:val="00683908"/>
    <w:rsid w:val="00686A48"/>
    <w:rsid w:val="006940E1"/>
    <w:rsid w:val="006A3C72"/>
    <w:rsid w:val="006A60CA"/>
    <w:rsid w:val="006A7392"/>
    <w:rsid w:val="006B03A1"/>
    <w:rsid w:val="006B292B"/>
    <w:rsid w:val="006B67D9"/>
    <w:rsid w:val="006C5535"/>
    <w:rsid w:val="006C6F92"/>
    <w:rsid w:val="006C719B"/>
    <w:rsid w:val="006D0589"/>
    <w:rsid w:val="006E3DE2"/>
    <w:rsid w:val="006E564B"/>
    <w:rsid w:val="006E5DB7"/>
    <w:rsid w:val="006E7154"/>
    <w:rsid w:val="006E7CB8"/>
    <w:rsid w:val="006F52A9"/>
    <w:rsid w:val="007003CD"/>
    <w:rsid w:val="0070701E"/>
    <w:rsid w:val="0070717F"/>
    <w:rsid w:val="007116C4"/>
    <w:rsid w:val="00711BF4"/>
    <w:rsid w:val="00717E47"/>
    <w:rsid w:val="007250F8"/>
    <w:rsid w:val="0072632A"/>
    <w:rsid w:val="00726571"/>
    <w:rsid w:val="00732FE5"/>
    <w:rsid w:val="00734FE2"/>
    <w:rsid w:val="007358E8"/>
    <w:rsid w:val="00736ECE"/>
    <w:rsid w:val="0074533B"/>
    <w:rsid w:val="00755BF3"/>
    <w:rsid w:val="00756253"/>
    <w:rsid w:val="007643BC"/>
    <w:rsid w:val="00771C8A"/>
    <w:rsid w:val="00780C68"/>
    <w:rsid w:val="00790231"/>
    <w:rsid w:val="0079541D"/>
    <w:rsid w:val="007959FE"/>
    <w:rsid w:val="007963E8"/>
    <w:rsid w:val="007A0CF1"/>
    <w:rsid w:val="007A17DC"/>
    <w:rsid w:val="007A478E"/>
    <w:rsid w:val="007B0FBB"/>
    <w:rsid w:val="007B4CA4"/>
    <w:rsid w:val="007B5442"/>
    <w:rsid w:val="007B6BA5"/>
    <w:rsid w:val="007C3390"/>
    <w:rsid w:val="007C42D8"/>
    <w:rsid w:val="007C4F4B"/>
    <w:rsid w:val="007D1B29"/>
    <w:rsid w:val="007D7362"/>
    <w:rsid w:val="007D7FE2"/>
    <w:rsid w:val="007F5CE2"/>
    <w:rsid w:val="007F6611"/>
    <w:rsid w:val="007F7870"/>
    <w:rsid w:val="00800522"/>
    <w:rsid w:val="00801AA9"/>
    <w:rsid w:val="00810BAC"/>
    <w:rsid w:val="00815B97"/>
    <w:rsid w:val="008175E9"/>
    <w:rsid w:val="008242D7"/>
    <w:rsid w:val="0082577B"/>
    <w:rsid w:val="008272DD"/>
    <w:rsid w:val="00866893"/>
    <w:rsid w:val="00866F02"/>
    <w:rsid w:val="00867D18"/>
    <w:rsid w:val="00871F9A"/>
    <w:rsid w:val="00871FD5"/>
    <w:rsid w:val="00874193"/>
    <w:rsid w:val="0088172E"/>
    <w:rsid w:val="00881EFA"/>
    <w:rsid w:val="008836C8"/>
    <w:rsid w:val="008879CB"/>
    <w:rsid w:val="008918D1"/>
    <w:rsid w:val="00897860"/>
    <w:rsid w:val="008979B1"/>
    <w:rsid w:val="008A291D"/>
    <w:rsid w:val="008A6B25"/>
    <w:rsid w:val="008A6C4F"/>
    <w:rsid w:val="008A77AE"/>
    <w:rsid w:val="008B389E"/>
    <w:rsid w:val="008B39D3"/>
    <w:rsid w:val="008C2086"/>
    <w:rsid w:val="008D0317"/>
    <w:rsid w:val="008D045E"/>
    <w:rsid w:val="008D3F25"/>
    <w:rsid w:val="008D4B42"/>
    <w:rsid w:val="008D4D82"/>
    <w:rsid w:val="008D5968"/>
    <w:rsid w:val="008E0E46"/>
    <w:rsid w:val="008E179B"/>
    <w:rsid w:val="008E4034"/>
    <w:rsid w:val="008E7116"/>
    <w:rsid w:val="008E78CD"/>
    <w:rsid w:val="008F143B"/>
    <w:rsid w:val="008F1C30"/>
    <w:rsid w:val="008F3882"/>
    <w:rsid w:val="008F3BD9"/>
    <w:rsid w:val="008F4B7C"/>
    <w:rsid w:val="00907548"/>
    <w:rsid w:val="009134BB"/>
    <w:rsid w:val="009135A6"/>
    <w:rsid w:val="00925359"/>
    <w:rsid w:val="00925373"/>
    <w:rsid w:val="00926E47"/>
    <w:rsid w:val="009351AE"/>
    <w:rsid w:val="00937BE0"/>
    <w:rsid w:val="00941AF2"/>
    <w:rsid w:val="00947162"/>
    <w:rsid w:val="009478A8"/>
    <w:rsid w:val="0095411A"/>
    <w:rsid w:val="009610D0"/>
    <w:rsid w:val="0096375C"/>
    <w:rsid w:val="009662E6"/>
    <w:rsid w:val="00967561"/>
    <w:rsid w:val="0097095E"/>
    <w:rsid w:val="00974BBF"/>
    <w:rsid w:val="009836EE"/>
    <w:rsid w:val="0098592B"/>
    <w:rsid w:val="00985FC4"/>
    <w:rsid w:val="00987789"/>
    <w:rsid w:val="00990766"/>
    <w:rsid w:val="00991261"/>
    <w:rsid w:val="0099533F"/>
    <w:rsid w:val="009964C4"/>
    <w:rsid w:val="009A0C06"/>
    <w:rsid w:val="009A58C5"/>
    <w:rsid w:val="009A7B56"/>
    <w:rsid w:val="009A7B81"/>
    <w:rsid w:val="009D01C0"/>
    <w:rsid w:val="009D404E"/>
    <w:rsid w:val="009D5CDA"/>
    <w:rsid w:val="009D6A08"/>
    <w:rsid w:val="009E0A16"/>
    <w:rsid w:val="009E31E5"/>
    <w:rsid w:val="009E6CB7"/>
    <w:rsid w:val="009E7970"/>
    <w:rsid w:val="009F2EAC"/>
    <w:rsid w:val="009F326F"/>
    <w:rsid w:val="009F57E3"/>
    <w:rsid w:val="00A10F4F"/>
    <w:rsid w:val="00A11067"/>
    <w:rsid w:val="00A120EE"/>
    <w:rsid w:val="00A1608E"/>
    <w:rsid w:val="00A1704A"/>
    <w:rsid w:val="00A20D1D"/>
    <w:rsid w:val="00A22613"/>
    <w:rsid w:val="00A22FBF"/>
    <w:rsid w:val="00A2469F"/>
    <w:rsid w:val="00A275EC"/>
    <w:rsid w:val="00A316D2"/>
    <w:rsid w:val="00A425EB"/>
    <w:rsid w:val="00A646A2"/>
    <w:rsid w:val="00A719AE"/>
    <w:rsid w:val="00A72F22"/>
    <w:rsid w:val="00A733BC"/>
    <w:rsid w:val="00A748A6"/>
    <w:rsid w:val="00A76A69"/>
    <w:rsid w:val="00A774A1"/>
    <w:rsid w:val="00A77540"/>
    <w:rsid w:val="00A80FA4"/>
    <w:rsid w:val="00A879A4"/>
    <w:rsid w:val="00A96F59"/>
    <w:rsid w:val="00A97A98"/>
    <w:rsid w:val="00AA0FF8"/>
    <w:rsid w:val="00AA134B"/>
    <w:rsid w:val="00AC0F2C"/>
    <w:rsid w:val="00AC0FEA"/>
    <w:rsid w:val="00AC502A"/>
    <w:rsid w:val="00AC6F01"/>
    <w:rsid w:val="00AF31A5"/>
    <w:rsid w:val="00AF58C1"/>
    <w:rsid w:val="00AF7485"/>
    <w:rsid w:val="00B01EDD"/>
    <w:rsid w:val="00B04A3F"/>
    <w:rsid w:val="00B06643"/>
    <w:rsid w:val="00B15055"/>
    <w:rsid w:val="00B20551"/>
    <w:rsid w:val="00B23C35"/>
    <w:rsid w:val="00B30179"/>
    <w:rsid w:val="00B33FC7"/>
    <w:rsid w:val="00B3428B"/>
    <w:rsid w:val="00B3735A"/>
    <w:rsid w:val="00B3761E"/>
    <w:rsid w:val="00B37B15"/>
    <w:rsid w:val="00B40B76"/>
    <w:rsid w:val="00B44E24"/>
    <w:rsid w:val="00B45403"/>
    <w:rsid w:val="00B45C02"/>
    <w:rsid w:val="00B56D4F"/>
    <w:rsid w:val="00B60603"/>
    <w:rsid w:val="00B628E7"/>
    <w:rsid w:val="00B65DEB"/>
    <w:rsid w:val="00B66DE7"/>
    <w:rsid w:val="00B70B63"/>
    <w:rsid w:val="00B72A1E"/>
    <w:rsid w:val="00B81E12"/>
    <w:rsid w:val="00B84766"/>
    <w:rsid w:val="00B935DE"/>
    <w:rsid w:val="00B93D12"/>
    <w:rsid w:val="00B945B3"/>
    <w:rsid w:val="00BA339B"/>
    <w:rsid w:val="00BB23CC"/>
    <w:rsid w:val="00BB6CE3"/>
    <w:rsid w:val="00BC129E"/>
    <w:rsid w:val="00BC1E7E"/>
    <w:rsid w:val="00BC562E"/>
    <w:rsid w:val="00BC57B3"/>
    <w:rsid w:val="00BC74E9"/>
    <w:rsid w:val="00BD2423"/>
    <w:rsid w:val="00BD3411"/>
    <w:rsid w:val="00BD3F2E"/>
    <w:rsid w:val="00BD6F27"/>
    <w:rsid w:val="00BE36A9"/>
    <w:rsid w:val="00BE618E"/>
    <w:rsid w:val="00BE7BEC"/>
    <w:rsid w:val="00BE7F47"/>
    <w:rsid w:val="00BF0A5A"/>
    <w:rsid w:val="00BF0CC9"/>
    <w:rsid w:val="00BF0E63"/>
    <w:rsid w:val="00BF12A3"/>
    <w:rsid w:val="00BF16D7"/>
    <w:rsid w:val="00BF2373"/>
    <w:rsid w:val="00BF2D6E"/>
    <w:rsid w:val="00BF76D5"/>
    <w:rsid w:val="00C0294F"/>
    <w:rsid w:val="00C044E2"/>
    <w:rsid w:val="00C048CB"/>
    <w:rsid w:val="00C066F3"/>
    <w:rsid w:val="00C14FB8"/>
    <w:rsid w:val="00C20800"/>
    <w:rsid w:val="00C35008"/>
    <w:rsid w:val="00C408B7"/>
    <w:rsid w:val="00C411EB"/>
    <w:rsid w:val="00C463DD"/>
    <w:rsid w:val="00C51935"/>
    <w:rsid w:val="00C73933"/>
    <w:rsid w:val="00C745C3"/>
    <w:rsid w:val="00C91FEC"/>
    <w:rsid w:val="00C93CCB"/>
    <w:rsid w:val="00C978F5"/>
    <w:rsid w:val="00CA24A4"/>
    <w:rsid w:val="00CA43BF"/>
    <w:rsid w:val="00CB348D"/>
    <w:rsid w:val="00CD1CFB"/>
    <w:rsid w:val="00CD46F5"/>
    <w:rsid w:val="00CD66C7"/>
    <w:rsid w:val="00CE4A8F"/>
    <w:rsid w:val="00CE78F6"/>
    <w:rsid w:val="00CF071D"/>
    <w:rsid w:val="00CF79E5"/>
    <w:rsid w:val="00D0123D"/>
    <w:rsid w:val="00D105DD"/>
    <w:rsid w:val="00D154C8"/>
    <w:rsid w:val="00D15B04"/>
    <w:rsid w:val="00D2031B"/>
    <w:rsid w:val="00D256B0"/>
    <w:rsid w:val="00D25FE2"/>
    <w:rsid w:val="00D368BE"/>
    <w:rsid w:val="00D37159"/>
    <w:rsid w:val="00D37DA9"/>
    <w:rsid w:val="00D406A7"/>
    <w:rsid w:val="00D40765"/>
    <w:rsid w:val="00D418D5"/>
    <w:rsid w:val="00D43252"/>
    <w:rsid w:val="00D44D86"/>
    <w:rsid w:val="00D50B7D"/>
    <w:rsid w:val="00D52012"/>
    <w:rsid w:val="00D52B76"/>
    <w:rsid w:val="00D618F5"/>
    <w:rsid w:val="00D704E5"/>
    <w:rsid w:val="00D72727"/>
    <w:rsid w:val="00D879F5"/>
    <w:rsid w:val="00D978C6"/>
    <w:rsid w:val="00DA0956"/>
    <w:rsid w:val="00DA112D"/>
    <w:rsid w:val="00DA357F"/>
    <w:rsid w:val="00DA3E12"/>
    <w:rsid w:val="00DA74B7"/>
    <w:rsid w:val="00DB558C"/>
    <w:rsid w:val="00DC18AD"/>
    <w:rsid w:val="00DD4A47"/>
    <w:rsid w:val="00DE218C"/>
    <w:rsid w:val="00DE4E9E"/>
    <w:rsid w:val="00DF170E"/>
    <w:rsid w:val="00DF7CAE"/>
    <w:rsid w:val="00E06790"/>
    <w:rsid w:val="00E10AF7"/>
    <w:rsid w:val="00E11301"/>
    <w:rsid w:val="00E3356C"/>
    <w:rsid w:val="00E37FFE"/>
    <w:rsid w:val="00E40211"/>
    <w:rsid w:val="00E423C0"/>
    <w:rsid w:val="00E60E62"/>
    <w:rsid w:val="00E63157"/>
    <w:rsid w:val="00E6414C"/>
    <w:rsid w:val="00E7260F"/>
    <w:rsid w:val="00E7446F"/>
    <w:rsid w:val="00E8702D"/>
    <w:rsid w:val="00E8720B"/>
    <w:rsid w:val="00E905F4"/>
    <w:rsid w:val="00E916A9"/>
    <w:rsid w:val="00E916DE"/>
    <w:rsid w:val="00E925AD"/>
    <w:rsid w:val="00E96630"/>
    <w:rsid w:val="00EA1296"/>
    <w:rsid w:val="00EA7BE3"/>
    <w:rsid w:val="00EB052C"/>
    <w:rsid w:val="00EB2766"/>
    <w:rsid w:val="00EC37A7"/>
    <w:rsid w:val="00ED18DC"/>
    <w:rsid w:val="00ED5F1C"/>
    <w:rsid w:val="00ED6201"/>
    <w:rsid w:val="00ED7A2A"/>
    <w:rsid w:val="00EF1D7F"/>
    <w:rsid w:val="00F0137E"/>
    <w:rsid w:val="00F12936"/>
    <w:rsid w:val="00F21786"/>
    <w:rsid w:val="00F3742B"/>
    <w:rsid w:val="00F37439"/>
    <w:rsid w:val="00F41364"/>
    <w:rsid w:val="00F41FDB"/>
    <w:rsid w:val="00F465CE"/>
    <w:rsid w:val="00F50596"/>
    <w:rsid w:val="00F51A5A"/>
    <w:rsid w:val="00F56D63"/>
    <w:rsid w:val="00F609A9"/>
    <w:rsid w:val="00F76E3D"/>
    <w:rsid w:val="00F80C99"/>
    <w:rsid w:val="00F85675"/>
    <w:rsid w:val="00F867EC"/>
    <w:rsid w:val="00F91B2B"/>
    <w:rsid w:val="00FA34CC"/>
    <w:rsid w:val="00FB0CB4"/>
    <w:rsid w:val="00FB27E9"/>
    <w:rsid w:val="00FC03CD"/>
    <w:rsid w:val="00FC0646"/>
    <w:rsid w:val="00FC4ACF"/>
    <w:rsid w:val="00FC68B7"/>
    <w:rsid w:val="00FC7550"/>
    <w:rsid w:val="00FC76AB"/>
    <w:rsid w:val="00FD423F"/>
    <w:rsid w:val="00FE6985"/>
    <w:rsid w:val="00FF03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F4DC4"/>
  <w15:docId w15:val="{709DE110-4381-496B-9887-D8E15EF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CCB"/>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qFormat/>
    <w:rsid w:val="00FC4ACF"/>
    <w:rPr>
      <w:sz w:val="18"/>
      <w:lang w:val="en-GB"/>
    </w:rPr>
  </w:style>
  <w:style w:type="character" w:customStyle="1" w:styleId="HChGChar">
    <w:name w:val="_ H _Ch_G Char"/>
    <w:link w:val="HChG"/>
    <w:qFormat/>
    <w:rsid w:val="00FC4ACF"/>
    <w:rPr>
      <w:b/>
      <w:sz w:val="28"/>
      <w:lang w:val="en-GB"/>
    </w:rPr>
  </w:style>
  <w:style w:type="character" w:customStyle="1" w:styleId="H1GChar">
    <w:name w:val="_ H_1_G Char"/>
    <w:link w:val="H1G"/>
    <w:rsid w:val="00FC4ACF"/>
    <w:rPr>
      <w:b/>
      <w:sz w:val="24"/>
      <w:lang w:val="en-GB"/>
    </w:rPr>
  </w:style>
  <w:style w:type="character" w:customStyle="1" w:styleId="H23GChar">
    <w:name w:val="_ H_2/3_G Char"/>
    <w:link w:val="H23G"/>
    <w:locked/>
    <w:rsid w:val="00FC4ACF"/>
    <w:rPr>
      <w:b/>
      <w:lang w:val="en-GB"/>
    </w:rPr>
  </w:style>
  <w:style w:type="character" w:styleId="CommentReference">
    <w:name w:val="annotation reference"/>
    <w:basedOn w:val="DefaultParagraphFont"/>
    <w:semiHidden/>
    <w:unhideWhenUsed/>
    <w:rsid w:val="00FC7550"/>
    <w:rPr>
      <w:sz w:val="16"/>
      <w:szCs w:val="16"/>
    </w:rPr>
  </w:style>
  <w:style w:type="paragraph" w:styleId="CommentText">
    <w:name w:val="annotation text"/>
    <w:basedOn w:val="Normal"/>
    <w:link w:val="CommentTextChar"/>
    <w:semiHidden/>
    <w:unhideWhenUsed/>
    <w:rsid w:val="00FC7550"/>
    <w:pPr>
      <w:spacing w:line="240" w:lineRule="auto"/>
    </w:pPr>
  </w:style>
  <w:style w:type="character" w:customStyle="1" w:styleId="CommentTextChar">
    <w:name w:val="Comment Text Char"/>
    <w:basedOn w:val="DefaultParagraphFont"/>
    <w:link w:val="CommentText"/>
    <w:semiHidden/>
    <w:rsid w:val="00FC7550"/>
    <w:rPr>
      <w:lang w:val="en-GB"/>
    </w:rPr>
  </w:style>
  <w:style w:type="paragraph" w:styleId="CommentSubject">
    <w:name w:val="annotation subject"/>
    <w:basedOn w:val="CommentText"/>
    <w:next w:val="CommentText"/>
    <w:link w:val="CommentSubjectChar"/>
    <w:semiHidden/>
    <w:unhideWhenUsed/>
    <w:rsid w:val="00FC7550"/>
    <w:rPr>
      <w:b/>
      <w:bCs/>
    </w:rPr>
  </w:style>
  <w:style w:type="character" w:customStyle="1" w:styleId="CommentSubjectChar">
    <w:name w:val="Comment Subject Char"/>
    <w:basedOn w:val="CommentTextChar"/>
    <w:link w:val="CommentSubject"/>
    <w:semiHidden/>
    <w:rsid w:val="00FC7550"/>
    <w:rPr>
      <w:b/>
      <w:bCs/>
      <w:lang w:val="en-GB"/>
    </w:rPr>
  </w:style>
  <w:style w:type="character" w:customStyle="1" w:styleId="Heading1Char">
    <w:name w:val="Heading 1 Char"/>
    <w:aliases w:val="Table_G Char"/>
    <w:basedOn w:val="DefaultParagraphFont"/>
    <w:link w:val="Heading1"/>
    <w:rsid w:val="00E06790"/>
    <w:rPr>
      <w:lang w:val="en-GB"/>
    </w:rPr>
  </w:style>
  <w:style w:type="character" w:customStyle="1" w:styleId="Heading2Char">
    <w:name w:val="Heading 2 Char"/>
    <w:basedOn w:val="DefaultParagraphFont"/>
    <w:link w:val="Heading2"/>
    <w:rsid w:val="00E06790"/>
    <w:rPr>
      <w:lang w:val="en-GB"/>
    </w:rPr>
  </w:style>
  <w:style w:type="character" w:customStyle="1" w:styleId="Heading3Char">
    <w:name w:val="Heading 3 Char"/>
    <w:basedOn w:val="DefaultParagraphFont"/>
    <w:link w:val="Heading3"/>
    <w:rsid w:val="00E06790"/>
    <w:rPr>
      <w:lang w:val="en-GB"/>
    </w:rPr>
  </w:style>
  <w:style w:type="character" w:customStyle="1" w:styleId="Heading4Char">
    <w:name w:val="Heading 4 Char"/>
    <w:basedOn w:val="DefaultParagraphFont"/>
    <w:link w:val="Heading4"/>
    <w:rsid w:val="00E06790"/>
    <w:rPr>
      <w:lang w:val="en-GB"/>
    </w:rPr>
  </w:style>
  <w:style w:type="character" w:customStyle="1" w:styleId="Heading5Char">
    <w:name w:val="Heading 5 Char"/>
    <w:basedOn w:val="DefaultParagraphFont"/>
    <w:link w:val="Heading5"/>
    <w:rsid w:val="00E06790"/>
    <w:rPr>
      <w:lang w:val="en-GB"/>
    </w:rPr>
  </w:style>
  <w:style w:type="character" w:customStyle="1" w:styleId="Heading6Char">
    <w:name w:val="Heading 6 Char"/>
    <w:basedOn w:val="DefaultParagraphFont"/>
    <w:link w:val="Heading6"/>
    <w:rsid w:val="00E06790"/>
    <w:rPr>
      <w:lang w:val="en-GB"/>
    </w:rPr>
  </w:style>
  <w:style w:type="character" w:customStyle="1" w:styleId="Heading7Char">
    <w:name w:val="Heading 7 Char"/>
    <w:basedOn w:val="DefaultParagraphFont"/>
    <w:link w:val="Heading7"/>
    <w:rsid w:val="00E06790"/>
    <w:rPr>
      <w:lang w:val="en-GB"/>
    </w:rPr>
  </w:style>
  <w:style w:type="character" w:customStyle="1" w:styleId="Heading8Char">
    <w:name w:val="Heading 8 Char"/>
    <w:basedOn w:val="DefaultParagraphFont"/>
    <w:link w:val="Heading8"/>
    <w:rsid w:val="00E06790"/>
    <w:rPr>
      <w:lang w:val="en-GB"/>
    </w:rPr>
  </w:style>
  <w:style w:type="character" w:customStyle="1" w:styleId="Heading9Char">
    <w:name w:val="Heading 9 Char"/>
    <w:basedOn w:val="DefaultParagraphFont"/>
    <w:link w:val="Heading9"/>
    <w:rsid w:val="00E06790"/>
    <w:rPr>
      <w:lang w:val="en-GB"/>
    </w:rPr>
  </w:style>
  <w:style w:type="character" w:customStyle="1" w:styleId="EndnoteTextChar">
    <w:name w:val="Endnote Text Char"/>
    <w:aliases w:val="2_G Char"/>
    <w:basedOn w:val="DefaultParagraphFont"/>
    <w:link w:val="EndnoteText"/>
    <w:rsid w:val="00E06790"/>
    <w:rPr>
      <w:sz w:val="18"/>
      <w:lang w:val="en-GB"/>
    </w:rPr>
  </w:style>
  <w:style w:type="character" w:customStyle="1" w:styleId="FooterChar">
    <w:name w:val="Footer Char"/>
    <w:aliases w:val="3_G Char"/>
    <w:basedOn w:val="DefaultParagraphFont"/>
    <w:link w:val="Footer"/>
    <w:rsid w:val="00E06790"/>
    <w:rPr>
      <w:sz w:val="16"/>
      <w:lang w:val="en-GB"/>
    </w:rPr>
  </w:style>
  <w:style w:type="character" w:customStyle="1" w:styleId="HeaderChar">
    <w:name w:val="Header Char"/>
    <w:aliases w:val="6_G Char"/>
    <w:basedOn w:val="DefaultParagraphFont"/>
    <w:link w:val="Header"/>
    <w:rsid w:val="00E06790"/>
    <w:rPr>
      <w:b/>
      <w:sz w:val="18"/>
      <w:lang w:val="en-GB"/>
    </w:rPr>
  </w:style>
  <w:style w:type="paragraph" w:customStyle="1" w:styleId="ParaNoG">
    <w:name w:val="_ParaNo._G"/>
    <w:basedOn w:val="SingleTxtG"/>
    <w:rsid w:val="00E06790"/>
    <w:pPr>
      <w:tabs>
        <w:tab w:val="num" w:pos="0"/>
      </w:tabs>
      <w:suppressAutoHyphens w:val="0"/>
    </w:pPr>
    <w:rPr>
      <w:rFonts w:eastAsia="MS Mincho"/>
      <w:lang w:eastAsia="ja-JP"/>
    </w:rPr>
  </w:style>
  <w:style w:type="paragraph" w:customStyle="1" w:styleId="Kleurrijkelijst-accent11">
    <w:name w:val="Kleurrijke lijst - accent 11"/>
    <w:basedOn w:val="Normal"/>
    <w:uiPriority w:val="34"/>
    <w:qFormat/>
    <w:rsid w:val="00E06790"/>
    <w:pPr>
      <w:suppressAutoHyphens w:val="0"/>
      <w:spacing w:after="200" w:line="276" w:lineRule="auto"/>
      <w:ind w:left="720"/>
      <w:contextualSpacing/>
    </w:pPr>
    <w:rPr>
      <w:rFonts w:ascii="Calibri" w:eastAsia="Calibri" w:hAnsi="Calibri"/>
      <w:sz w:val="22"/>
      <w:szCs w:val="22"/>
      <w:lang w:val="ro-RO" w:eastAsia="en-US"/>
    </w:rPr>
  </w:style>
  <w:style w:type="paragraph" w:customStyle="1" w:styleId="16">
    <w:name w:val="Заголовок 16"/>
    <w:basedOn w:val="Normal"/>
    <w:uiPriority w:val="99"/>
    <w:rsid w:val="00E06790"/>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lang w:eastAsia="en-US"/>
    </w:rPr>
  </w:style>
  <w:style w:type="table" w:styleId="TableSimple2">
    <w:name w:val="Table Simple 2"/>
    <w:basedOn w:val="TableNormal"/>
    <w:rsid w:val="00E0679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E06790"/>
    <w:pPr>
      <w:suppressAutoHyphens w:val="0"/>
      <w:ind w:left="720"/>
    </w:pPr>
    <w:rPr>
      <w:lang w:eastAsia="en-US"/>
    </w:rPr>
  </w:style>
  <w:style w:type="table" w:customStyle="1" w:styleId="Tabelraster1">
    <w:name w:val="Tabelraster1"/>
    <w:basedOn w:val="TableNormal"/>
    <w:next w:val="TableGrid"/>
    <w:uiPriority w:val="59"/>
    <w:rsid w:val="00E06790"/>
    <w:pPr>
      <w:spacing w:line="240" w:lineRule="atLeas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uiPriority w:val="99"/>
    <w:rsid w:val="00E067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SimSun"/>
      <w:spacing w:val="4"/>
      <w:w w:val="103"/>
      <w:kern w:val="14"/>
      <w:lang w:eastAsia="zh-CN"/>
    </w:rPr>
  </w:style>
  <w:style w:type="paragraph" w:customStyle="1" w:styleId="Default">
    <w:name w:val="Default"/>
    <w:rsid w:val="00E06790"/>
    <w:pPr>
      <w:autoSpaceDE w:val="0"/>
      <w:autoSpaceDN w:val="0"/>
      <w:adjustRightInd w:val="0"/>
      <w:spacing w:line="240" w:lineRule="atLeast"/>
    </w:pPr>
    <w:rPr>
      <w:rFonts w:ascii="Arial" w:eastAsia="MS Mincho" w:hAnsi="Arial" w:cs="Arial"/>
      <w:color w:val="000000"/>
      <w:sz w:val="24"/>
      <w:szCs w:val="24"/>
      <w:lang w:val="en-GB" w:eastAsia="en-GB"/>
    </w:rPr>
  </w:style>
  <w:style w:type="paragraph" w:styleId="E-mailSignature">
    <w:name w:val="E-mail Signature"/>
    <w:basedOn w:val="Normal"/>
    <w:link w:val="E-mailSignatureChar"/>
    <w:rsid w:val="00E06790"/>
    <w:pPr>
      <w:suppressAutoHyphens w:val="0"/>
    </w:pPr>
    <w:rPr>
      <w:lang w:eastAsia="en-US"/>
    </w:rPr>
  </w:style>
  <w:style w:type="character" w:customStyle="1" w:styleId="E-mailSignatureChar">
    <w:name w:val="E-mail Signature Char"/>
    <w:basedOn w:val="DefaultParagraphFont"/>
    <w:link w:val="E-mailSignature"/>
    <w:rsid w:val="00E06790"/>
    <w:rPr>
      <w:lang w:val="en-GB" w:eastAsia="en-US"/>
    </w:rPr>
  </w:style>
  <w:style w:type="table" w:customStyle="1" w:styleId="Tabelraster2">
    <w:name w:val="Tabelraster2"/>
    <w:basedOn w:val="TableNormal"/>
    <w:next w:val="TableGrid"/>
    <w:uiPriority w:val="59"/>
    <w:rsid w:val="00E0679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E06790"/>
    <w:rPr>
      <w:lang w:eastAsia="en-US"/>
    </w:rPr>
  </w:style>
  <w:style w:type="paragraph" w:styleId="NormalWeb">
    <w:name w:val="Normal (Web)"/>
    <w:basedOn w:val="Normal"/>
    <w:uiPriority w:val="99"/>
    <w:unhideWhenUsed/>
    <w:rsid w:val="00E06790"/>
    <w:pPr>
      <w:suppressAutoHyphens w:val="0"/>
      <w:spacing w:before="100" w:beforeAutospacing="1" w:after="100" w:afterAutospacing="1" w:line="240" w:lineRule="auto"/>
    </w:pPr>
    <w:rPr>
      <w:sz w:val="24"/>
      <w:szCs w:val="24"/>
      <w:lang w:eastAsia="en-GB"/>
    </w:rPr>
  </w:style>
  <w:style w:type="character" w:customStyle="1" w:styleId="SingleTxtGCar">
    <w:name w:val="_ Single Txt_G Car"/>
    <w:rsid w:val="008E40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ioChampeau\AppData\Local\Microsoft\Windows\INetCache\Content.MSO\1859BA8C.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Christine Barrio-Champeau</DisplayName>
        <AccountId>49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A6248-2348-43C8-BA2C-8C4A1907F38B}">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7E968EC1-995F-4897-ACDD-F1F2D1DAABAD}">
  <ds:schemaRefs>
    <ds:schemaRef ds:uri="http://schemas.openxmlformats.org/officeDocument/2006/bibliography"/>
  </ds:schemaRefs>
</ds:datastoreItem>
</file>

<file path=customXml/itemProps3.xml><?xml version="1.0" encoding="utf-8"?>
<ds:datastoreItem xmlns:ds="http://schemas.openxmlformats.org/officeDocument/2006/customXml" ds:itemID="{4DBBBB19-2519-4C15-9D4C-F1BC12746ED8}">
  <ds:schemaRefs>
    <ds:schemaRef ds:uri="http://schemas.microsoft.com/sharepoint/v3/contenttype/forms"/>
  </ds:schemaRefs>
</ds:datastoreItem>
</file>

<file path=customXml/itemProps4.xml><?xml version="1.0" encoding="utf-8"?>
<ds:datastoreItem xmlns:ds="http://schemas.openxmlformats.org/officeDocument/2006/customXml" ds:itemID="{2834B51E-E969-4B0C-AFD2-C6CFD3BD3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1859BA8C.dotm</Template>
  <TotalTime>59</TotalTime>
  <Pages>8</Pages>
  <Words>3418</Words>
  <Characters>19483</Characters>
  <Application>Microsoft Office Word</Application>
  <DocSecurity>0</DocSecurity>
  <Lines>162</Lines>
  <Paragraphs>45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ECE/TRANS/WP.15/AC.1/158/Add.1</vt:lpstr>
      <vt:lpstr>ECE/TRANS/WP.15/AC.1/158/Add.1</vt:lpstr>
      <vt:lpstr>ECE/TRANS/WP.15/AC.1/158/Add.1</vt:lpstr>
    </vt:vector>
  </TitlesOfParts>
  <Company>CSD</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ECE/TRANS/WP.15/AC.1/158/Add.1</dc:title>
  <dc:creator>Christine Barrio-Champeau</dc:creator>
  <cp:lastModifiedBy>Christine Barrio-Champeau</cp:lastModifiedBy>
  <cp:revision>5</cp:revision>
  <cp:lastPrinted>2021-03-29T11:46:00Z</cp:lastPrinted>
  <dcterms:created xsi:type="dcterms:W3CDTF">2021-09-29T22:58:00Z</dcterms:created>
  <dcterms:modified xsi:type="dcterms:W3CDTF">2021-09-30T07:25:00Z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11810600</vt:r8>
  </property>
</Properties>
</file>