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14:paraId="23E20FBA" w14:textId="77777777" w:rsidTr="00C505B3">
        <w:trPr>
          <w:cantSplit/>
          <w:trHeight w:hRule="exact" w:val="851"/>
        </w:trPr>
        <w:tc>
          <w:tcPr>
            <w:tcW w:w="1276" w:type="dxa"/>
            <w:shd w:val="clear" w:color="auto" w:fill="auto"/>
            <w:vAlign w:val="bottom"/>
          </w:tcPr>
          <w:p w14:paraId="4FCBC32A" w14:textId="77777777" w:rsidR="00B56E9C" w:rsidRPr="00CD2E74" w:rsidRDefault="00B56E9C" w:rsidP="001171BD">
            <w:pPr>
              <w:spacing w:after="80"/>
            </w:pPr>
          </w:p>
        </w:tc>
        <w:tc>
          <w:tcPr>
            <w:tcW w:w="2268" w:type="dxa"/>
            <w:shd w:val="clear" w:color="auto" w:fill="auto"/>
            <w:vAlign w:val="bottom"/>
          </w:tcPr>
          <w:p w14:paraId="570B0589" w14:textId="77777777" w:rsidR="00B56E9C" w:rsidRPr="00CD2E74" w:rsidRDefault="00B56E9C" w:rsidP="00B11BB4">
            <w:pPr>
              <w:spacing w:after="80" w:line="300" w:lineRule="exact"/>
              <w:rPr>
                <w:b/>
                <w:sz w:val="24"/>
                <w:szCs w:val="24"/>
              </w:rPr>
            </w:pPr>
          </w:p>
        </w:tc>
        <w:tc>
          <w:tcPr>
            <w:tcW w:w="6095" w:type="dxa"/>
            <w:shd w:val="clear" w:color="auto" w:fill="auto"/>
            <w:vAlign w:val="bottom"/>
          </w:tcPr>
          <w:p w14:paraId="5CE04C75" w14:textId="2F0AC916" w:rsidR="00B56E9C" w:rsidRPr="00CD2E74" w:rsidRDefault="00CD57D2" w:rsidP="00921708">
            <w:pPr>
              <w:suppressAutoHyphens w:val="0"/>
              <w:spacing w:after="20"/>
              <w:jc w:val="right"/>
              <w:rPr>
                <w:b/>
                <w:sz w:val="24"/>
                <w:szCs w:val="24"/>
              </w:rPr>
            </w:pPr>
            <w:r w:rsidRPr="00CD2E74">
              <w:rPr>
                <w:b/>
                <w:sz w:val="24"/>
                <w:szCs w:val="24"/>
              </w:rPr>
              <w:t>INF.</w:t>
            </w:r>
            <w:r w:rsidR="0024144E">
              <w:rPr>
                <w:b/>
                <w:sz w:val="24"/>
                <w:szCs w:val="24"/>
              </w:rPr>
              <w:t>47</w:t>
            </w:r>
            <w:r w:rsidR="00AC37D1">
              <w:rPr>
                <w:b/>
                <w:sz w:val="24"/>
                <w:szCs w:val="24"/>
              </w:rPr>
              <w:t>/Rev.1</w:t>
            </w:r>
          </w:p>
        </w:tc>
      </w:tr>
    </w:tbl>
    <w:p w14:paraId="5F901050" w14:textId="77777777" w:rsidR="007E60C9" w:rsidRDefault="007E60C9" w:rsidP="007E60C9">
      <w:pPr>
        <w:spacing w:before="120"/>
        <w:rPr>
          <w:b/>
          <w:sz w:val="28"/>
          <w:szCs w:val="28"/>
        </w:rPr>
      </w:pPr>
      <w:r>
        <w:rPr>
          <w:b/>
          <w:sz w:val="28"/>
          <w:szCs w:val="28"/>
        </w:rPr>
        <w:t>Economic Commission for Europe</w:t>
      </w:r>
    </w:p>
    <w:p w14:paraId="34CEAAE0" w14:textId="77777777" w:rsidR="007E60C9" w:rsidRDefault="007E60C9" w:rsidP="007E60C9">
      <w:pPr>
        <w:spacing w:before="120"/>
        <w:rPr>
          <w:sz w:val="28"/>
          <w:szCs w:val="28"/>
        </w:rPr>
      </w:pPr>
      <w:r>
        <w:rPr>
          <w:sz w:val="28"/>
          <w:szCs w:val="28"/>
        </w:rPr>
        <w:t>Inland Transport Committee</w:t>
      </w:r>
    </w:p>
    <w:p w14:paraId="777E16BC" w14:textId="77777777" w:rsidR="007E60C9" w:rsidRDefault="007E60C9" w:rsidP="007E60C9">
      <w:pPr>
        <w:spacing w:before="120" w:after="120"/>
        <w:rPr>
          <w:b/>
          <w:sz w:val="24"/>
          <w:szCs w:val="24"/>
        </w:rPr>
      </w:pPr>
      <w:r>
        <w:rPr>
          <w:b/>
          <w:sz w:val="24"/>
          <w:szCs w:val="24"/>
        </w:rPr>
        <w:t>Working Party on the Transport of Dangerous Goods</w:t>
      </w:r>
    </w:p>
    <w:p w14:paraId="3B3B0F73" w14:textId="77777777" w:rsidR="007E60C9" w:rsidRDefault="007E60C9" w:rsidP="007E60C9">
      <w:pPr>
        <w:rPr>
          <w:b/>
          <w:bCs/>
        </w:rPr>
      </w:pPr>
      <w:r>
        <w:rPr>
          <w:b/>
          <w:bCs/>
        </w:rPr>
        <w:t>Joint Meeting of the RID Committee of Experts and the</w:t>
      </w:r>
      <w:r>
        <w:rPr>
          <w:b/>
          <w:bCs/>
        </w:rPr>
        <w:br/>
        <w:t>Working Party on the Transport of Dangerous Goods</w:t>
      </w:r>
    </w:p>
    <w:p w14:paraId="63CC9102" w14:textId="1B3C45E6" w:rsidR="007E60C9" w:rsidRDefault="007E60C9" w:rsidP="007E60C9">
      <w:pPr>
        <w:rPr>
          <w:lang w:val="en-US"/>
        </w:rPr>
      </w:pPr>
      <w:r>
        <w:rPr>
          <w:lang w:val="en-US"/>
        </w:rPr>
        <w:t>Geneva, 21 Se</w:t>
      </w:r>
      <w:r w:rsidR="00921708">
        <w:rPr>
          <w:lang w:val="en-US"/>
        </w:rPr>
        <w:t>ptember – 1 October 2021</w:t>
      </w:r>
      <w:r w:rsidR="00921708">
        <w:rPr>
          <w:lang w:val="en-US"/>
        </w:rPr>
        <w:tab/>
      </w:r>
      <w:r w:rsidR="00921708">
        <w:rPr>
          <w:lang w:val="en-US"/>
        </w:rPr>
        <w:tab/>
      </w:r>
      <w:r w:rsidR="00921708">
        <w:rPr>
          <w:lang w:val="en-US"/>
        </w:rPr>
        <w:tab/>
      </w:r>
      <w:r w:rsidR="00921708">
        <w:rPr>
          <w:lang w:val="en-US"/>
        </w:rPr>
        <w:tab/>
      </w:r>
      <w:r w:rsidR="00921708">
        <w:rPr>
          <w:lang w:val="en-US"/>
        </w:rPr>
        <w:tab/>
      </w:r>
      <w:r w:rsidR="00921708">
        <w:rPr>
          <w:lang w:val="en-US"/>
        </w:rPr>
        <w:tab/>
      </w:r>
      <w:r w:rsidR="00921708">
        <w:rPr>
          <w:lang w:val="en-US"/>
        </w:rPr>
        <w:tab/>
      </w:r>
      <w:r w:rsidR="00971174">
        <w:rPr>
          <w:lang w:val="en-US"/>
        </w:rPr>
        <w:t>30</w:t>
      </w:r>
      <w:r>
        <w:rPr>
          <w:lang w:val="en-US"/>
        </w:rPr>
        <w:t xml:space="preserve"> September 2021</w:t>
      </w:r>
    </w:p>
    <w:p w14:paraId="39E3D896" w14:textId="2A747CBD" w:rsidR="007E60C9" w:rsidRPr="000B4DCF" w:rsidRDefault="007E60C9" w:rsidP="007E60C9">
      <w:pPr>
        <w:rPr>
          <w:b/>
          <w:bCs/>
        </w:rPr>
      </w:pPr>
      <w:r w:rsidRPr="000B4DCF">
        <w:rPr>
          <w:b/>
          <w:bCs/>
        </w:rPr>
        <w:t xml:space="preserve">Item </w:t>
      </w:r>
      <w:r w:rsidR="0028500A" w:rsidRPr="000B4DCF">
        <w:rPr>
          <w:b/>
          <w:bCs/>
        </w:rPr>
        <w:t>2</w:t>
      </w:r>
      <w:r w:rsidRPr="000B4DCF">
        <w:rPr>
          <w:b/>
          <w:bCs/>
        </w:rPr>
        <w:t xml:space="preserve"> of the provisional agenda</w:t>
      </w:r>
    </w:p>
    <w:p w14:paraId="51E22D42" w14:textId="6C849DB7" w:rsidR="000B4DCF" w:rsidRPr="000B4DCF" w:rsidRDefault="000B4DCF" w:rsidP="007E60C9">
      <w:pPr>
        <w:rPr>
          <w:b/>
          <w:bCs/>
        </w:rPr>
      </w:pPr>
      <w:r w:rsidRPr="000B4DCF">
        <w:rPr>
          <w:b/>
          <w:bCs/>
        </w:rPr>
        <w:t>Tanks</w:t>
      </w:r>
    </w:p>
    <w:p w14:paraId="714BF773" w14:textId="77777777" w:rsidR="00AE3A8A" w:rsidRDefault="009B1518" w:rsidP="00AE3A8A">
      <w:pPr>
        <w:pStyle w:val="HChG"/>
        <w:rPr>
          <w:lang w:val="en-US" w:eastAsia="fr-FR"/>
        </w:rPr>
      </w:pPr>
      <w:r w:rsidRPr="00CD2E74">
        <w:tab/>
      </w:r>
      <w:r w:rsidRPr="00CD2E74">
        <w:tab/>
      </w:r>
      <w:r w:rsidR="00AE3A8A">
        <w:rPr>
          <w:lang w:val="en-US"/>
        </w:rPr>
        <w:t>Marking of tanks carrying flammable liquefied gases that are fitted with safety valves</w:t>
      </w:r>
    </w:p>
    <w:p w14:paraId="0A60E5C0" w14:textId="447637AE" w:rsidR="00AE3A8A" w:rsidRDefault="00AE3A8A" w:rsidP="00AE3A8A">
      <w:pPr>
        <w:suppressAutoHyphens w:val="0"/>
        <w:spacing w:after="240" w:line="240" w:lineRule="auto"/>
        <w:rPr>
          <w:sz w:val="24"/>
          <w:szCs w:val="24"/>
          <w:lang w:eastAsia="zh-CN"/>
        </w:rPr>
      </w:pPr>
      <w:r>
        <w:rPr>
          <w:lang w:val="en-US"/>
        </w:rPr>
        <w:tab/>
      </w:r>
      <w:r>
        <w:rPr>
          <w:lang w:val="en-US"/>
        </w:rPr>
        <w:tab/>
      </w:r>
      <w:r>
        <w:rPr>
          <w:rStyle w:val="H1GChar"/>
        </w:rPr>
        <w:t xml:space="preserve">Transmitted by Liquid Gas Europe on behalf of </w:t>
      </w:r>
      <w:r w:rsidR="00EF2486">
        <w:rPr>
          <w:rStyle w:val="H1GChar"/>
        </w:rPr>
        <w:br/>
      </w:r>
      <w:r w:rsidR="00EF2486">
        <w:rPr>
          <w:rStyle w:val="H1GChar"/>
        </w:rPr>
        <w:tab/>
      </w:r>
      <w:r w:rsidR="00EF2486">
        <w:rPr>
          <w:rStyle w:val="H1GChar"/>
        </w:rPr>
        <w:tab/>
      </w:r>
      <w:r>
        <w:rPr>
          <w:rStyle w:val="H1GChar"/>
        </w:rPr>
        <w:t>the BLEVE working group</w:t>
      </w:r>
    </w:p>
    <w:p w14:paraId="425AAAAD" w14:textId="56506C7B" w:rsidR="00AE3A8A" w:rsidRPr="002D0482" w:rsidRDefault="002F2F6C" w:rsidP="002F2F6C">
      <w:pPr>
        <w:pStyle w:val="SingleTxtG"/>
      </w:pPr>
      <w:r>
        <w:t>1.</w:t>
      </w:r>
      <w:r>
        <w:tab/>
      </w:r>
      <w:r w:rsidR="00AE3A8A" w:rsidRPr="002D0482">
        <w:t>With the mandatory requirement for the fitting of safety valves in tanks transporting flammable liquified gases being adopted further work has been requested on the marking of tanks fitted with safety valves.</w:t>
      </w:r>
    </w:p>
    <w:p w14:paraId="2B5283F8" w14:textId="5E580478" w:rsidR="00AE3A8A" w:rsidRPr="002D0482" w:rsidRDefault="002F2F6C" w:rsidP="002F2F6C">
      <w:pPr>
        <w:pStyle w:val="SingleTxtG"/>
      </w:pPr>
      <w:r>
        <w:t>2.</w:t>
      </w:r>
      <w:r>
        <w:tab/>
      </w:r>
      <w:r w:rsidR="00AE3A8A" w:rsidRPr="002D0482">
        <w:t xml:space="preserve">To aid emergency services the proposal also includes an identification letter that will be displayed in a placard, this will also require a new paragraph (6.8.3.2.9.6). </w:t>
      </w:r>
    </w:p>
    <w:p w14:paraId="179D81C2" w14:textId="261C1FE8" w:rsidR="00AE3A8A" w:rsidRPr="002D0482" w:rsidRDefault="002F2F6C" w:rsidP="002F2F6C">
      <w:pPr>
        <w:pStyle w:val="SingleTxtG"/>
      </w:pPr>
      <w:r>
        <w:t>3.</w:t>
      </w:r>
      <w:r>
        <w:tab/>
      </w:r>
      <w:r w:rsidR="00AE3A8A" w:rsidRPr="002D0482">
        <w:t xml:space="preserve">Additionally, two new transitional measures will also be required in 1.6.3 and 1.6.4. </w:t>
      </w:r>
    </w:p>
    <w:p w14:paraId="5B9B48D6" w14:textId="74A2408E" w:rsidR="00AE3A8A" w:rsidRDefault="002F2F6C" w:rsidP="002F2F6C">
      <w:pPr>
        <w:pStyle w:val="HChG"/>
        <w:rPr>
          <w:lang w:val="en-US"/>
        </w:rPr>
      </w:pPr>
      <w:r>
        <w:rPr>
          <w:lang w:val="en-US"/>
        </w:rPr>
        <w:tab/>
      </w:r>
      <w:r>
        <w:rPr>
          <w:lang w:val="en-US"/>
        </w:rPr>
        <w:tab/>
      </w:r>
      <w:r w:rsidR="00AE3A8A">
        <w:rPr>
          <w:lang w:val="en-US"/>
        </w:rPr>
        <w:t>Proposal 1:  new 6.8.3.2.9.6</w:t>
      </w:r>
    </w:p>
    <w:p w14:paraId="6F4617B3" w14:textId="77777777" w:rsidR="00AE3A8A" w:rsidRDefault="00AE3A8A" w:rsidP="002F2F6C">
      <w:pPr>
        <w:snapToGrid w:val="0"/>
        <w:spacing w:before="120" w:after="120"/>
        <w:ind w:left="567" w:firstLine="567"/>
        <w:rPr>
          <w:u w:val="single"/>
        </w:rPr>
      </w:pPr>
      <w:r>
        <w:rPr>
          <w:u w:val="single"/>
        </w:rPr>
        <w:t>“6.8.3.2.9.6</w:t>
      </w:r>
      <w:r>
        <w:rPr>
          <w:u w:val="single"/>
        </w:rPr>
        <w:tab/>
        <w:t>Safety valve mark</w:t>
      </w:r>
    </w:p>
    <w:p w14:paraId="28C29518" w14:textId="77777777" w:rsidR="00AE3A8A" w:rsidRDefault="00AE3A8A" w:rsidP="002F2F6C">
      <w:pPr>
        <w:snapToGrid w:val="0"/>
        <w:spacing w:before="120" w:after="120"/>
        <w:ind w:left="2268" w:right="1134" w:hanging="1134"/>
        <w:jc w:val="both"/>
        <w:rPr>
          <w:u w:val="single"/>
        </w:rPr>
      </w:pPr>
      <w:r>
        <w:rPr>
          <w:u w:val="single"/>
        </w:rPr>
        <w:t>6.8.3.2.9.6.1</w:t>
      </w:r>
      <w:r>
        <w:tab/>
      </w:r>
      <w:r>
        <w:rPr>
          <w:u w:val="single"/>
        </w:rPr>
        <w:t>Tanks fitted with safety valves in accordance with 6.8.3.2.9 shall display the mark as set out in 6.8.3.2.9.6.2 to 6.8.3.2.9.6.5.</w:t>
      </w:r>
    </w:p>
    <w:p w14:paraId="4BDE8B9D" w14:textId="77777777" w:rsidR="00AE3A8A" w:rsidRDefault="00AE3A8A" w:rsidP="002F2F6C">
      <w:pPr>
        <w:snapToGrid w:val="0"/>
        <w:spacing w:before="120" w:after="120"/>
        <w:ind w:left="2268" w:right="1134" w:hanging="1134"/>
        <w:jc w:val="both"/>
        <w:rPr>
          <w:u w:val="single"/>
        </w:rPr>
      </w:pPr>
      <w:r>
        <w:rPr>
          <w:u w:val="single"/>
        </w:rPr>
        <w:t>6.8.3.2.9.6.2</w:t>
      </w:r>
      <w:r>
        <w:rPr>
          <w:u w:val="single"/>
        </w:rPr>
        <w:tab/>
        <w:t>The mark shall consist of a white square with dimensions of 250 mm x 250 mm with the letters ‘SV’ 120 mm high in black.</w:t>
      </w:r>
    </w:p>
    <w:p w14:paraId="339EF455" w14:textId="2DF78243" w:rsidR="00AE3A8A" w:rsidRDefault="00AE3A8A" w:rsidP="00AE3A8A">
      <w:pPr>
        <w:spacing w:before="240"/>
        <w:ind w:left="2268" w:right="1134" w:hanging="1134"/>
        <w:jc w:val="center"/>
      </w:pPr>
      <w:r>
        <w:rPr>
          <w:noProof/>
        </w:rPr>
        <w:drawing>
          <wp:inline distT="0" distB="0" distL="0" distR="0" wp14:anchorId="5621FF4C" wp14:editId="7B3EA972">
            <wp:extent cx="1979295" cy="1910080"/>
            <wp:effectExtent l="0" t="0" r="190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295" cy="1910080"/>
                    </a:xfrm>
                    <a:prstGeom prst="rect">
                      <a:avLst/>
                    </a:prstGeom>
                    <a:noFill/>
                    <a:ln>
                      <a:noFill/>
                    </a:ln>
                  </pic:spPr>
                </pic:pic>
              </a:graphicData>
            </a:graphic>
          </wp:inline>
        </w:drawing>
      </w:r>
    </w:p>
    <w:p w14:paraId="741022BD" w14:textId="50FB7577" w:rsidR="00AE3A8A" w:rsidRDefault="00AE3A8A" w:rsidP="00EB764F">
      <w:pPr>
        <w:snapToGrid w:val="0"/>
        <w:spacing w:before="120" w:after="120"/>
        <w:ind w:left="2268" w:right="1134" w:hanging="1134"/>
        <w:jc w:val="both"/>
        <w:rPr>
          <w:u w:val="single"/>
        </w:rPr>
      </w:pPr>
      <w:r>
        <w:rPr>
          <w:u w:val="single"/>
        </w:rPr>
        <w:t>6.8.3.2.9.6.3</w:t>
      </w:r>
      <w:r>
        <w:rPr>
          <w:u w:val="single"/>
        </w:rPr>
        <w:tab/>
        <w:t>The material used shall be weather-resistant and ensure durable marking. The mark shall not become detached from its mount in the event of 15 minutes’ engulfment in fire. It shall remain affixed irrespective of the orientation of the tank.</w:t>
      </w:r>
    </w:p>
    <w:p w14:paraId="2A119FE7" w14:textId="0D42A003" w:rsidR="00EB764F" w:rsidRDefault="00AE3A8A" w:rsidP="00EB764F">
      <w:pPr>
        <w:snapToGrid w:val="0"/>
        <w:spacing w:before="120" w:after="120"/>
        <w:ind w:left="2268" w:right="1134" w:hanging="1134"/>
        <w:jc w:val="both"/>
        <w:rPr>
          <w:u w:val="single"/>
          <w:lang w:eastAsia="fr-FR"/>
        </w:rPr>
      </w:pPr>
      <w:r>
        <w:rPr>
          <w:u w:val="single"/>
          <w:lang w:eastAsia="fr-FR"/>
        </w:rPr>
        <w:t>6.8.3.2.9.6.4</w:t>
      </w:r>
      <w:r>
        <w:rPr>
          <w:u w:val="single"/>
          <w:lang w:eastAsia="fr-FR"/>
        </w:rPr>
        <w:tab/>
      </w:r>
      <w:r>
        <w:rPr>
          <w:u w:val="single"/>
          <w:lang w:eastAsia="fr-FR"/>
        </w:rPr>
        <w:tab/>
        <w:t xml:space="preserve">The letter ‘P’ (letters ‘SV’) shall be indelible and shall remain legible after 15 minutes’ engulfment in fire. </w:t>
      </w:r>
    </w:p>
    <w:p w14:paraId="50013B53" w14:textId="77777777" w:rsidR="00EB764F" w:rsidRDefault="00EB764F">
      <w:pPr>
        <w:suppressAutoHyphens w:val="0"/>
        <w:spacing w:line="240" w:lineRule="auto"/>
        <w:rPr>
          <w:u w:val="single"/>
          <w:lang w:eastAsia="fr-FR"/>
        </w:rPr>
      </w:pPr>
      <w:r>
        <w:rPr>
          <w:u w:val="single"/>
          <w:lang w:eastAsia="fr-FR"/>
        </w:rPr>
        <w:br w:type="page"/>
      </w:r>
    </w:p>
    <w:p w14:paraId="0130227C" w14:textId="77777777" w:rsidR="00AE3A8A" w:rsidRDefault="00AE3A8A" w:rsidP="00AE3A8A">
      <w:pPr>
        <w:pStyle w:val="Default"/>
        <w:spacing w:before="240"/>
        <w:ind w:left="2259" w:right="992" w:hanging="1125"/>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lastRenderedPageBreak/>
        <w:t>(RID:)</w:t>
      </w:r>
    </w:p>
    <w:tbl>
      <w:tblPr>
        <w:tblStyle w:val="Grilledutablea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881"/>
        <w:gridCol w:w="3420"/>
      </w:tblGrid>
      <w:tr w:rsidR="00AE3A8A" w14:paraId="07C0FDB7" w14:textId="77777777" w:rsidTr="00AE3A8A">
        <w:tc>
          <w:tcPr>
            <w:tcW w:w="1993" w:type="dxa"/>
            <w:hideMark/>
          </w:tcPr>
          <w:p w14:paraId="2EA7A00D" w14:textId="77777777" w:rsidR="00AE3A8A" w:rsidRDefault="00AE3A8A">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6.8.3.2.9.6.5</w:t>
            </w:r>
          </w:p>
        </w:tc>
        <w:tc>
          <w:tcPr>
            <w:tcW w:w="3025" w:type="dxa"/>
            <w:tcBorders>
              <w:top w:val="nil"/>
              <w:left w:val="nil"/>
              <w:bottom w:val="nil"/>
              <w:right w:val="single" w:sz="4" w:space="0" w:color="auto"/>
            </w:tcBorders>
          </w:tcPr>
          <w:p w14:paraId="6FB3E49E" w14:textId="77777777" w:rsidR="00AE3A8A" w:rsidRDefault="00AE3A8A">
            <w:pPr>
              <w:pStyle w:val="Default"/>
              <w:ind w:right="992"/>
              <w:rPr>
                <w:rFonts w:ascii="Times New Roman" w:hAnsi="Times New Roman" w:cs="Times New Roman"/>
                <w:color w:val="auto"/>
                <w:sz w:val="20"/>
                <w:szCs w:val="20"/>
                <w:u w:val="single"/>
                <w:lang w:val="en-GB" w:eastAsia="fr-FR"/>
              </w:rPr>
            </w:pPr>
          </w:p>
        </w:tc>
        <w:tc>
          <w:tcPr>
            <w:tcW w:w="3492" w:type="dxa"/>
            <w:tcBorders>
              <w:top w:val="nil"/>
              <w:left w:val="single" w:sz="4" w:space="0" w:color="auto"/>
              <w:bottom w:val="nil"/>
              <w:right w:val="nil"/>
            </w:tcBorders>
            <w:hideMark/>
          </w:tcPr>
          <w:p w14:paraId="63567B31" w14:textId="77777777" w:rsidR="00AE3A8A" w:rsidRDefault="00AE3A8A">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The marks shall be displayed on both sides and both ends of tank-containers.</w:t>
            </w:r>
          </w:p>
        </w:tc>
      </w:tr>
    </w:tbl>
    <w:p w14:paraId="11D21313" w14:textId="77777777" w:rsidR="00AE3A8A" w:rsidRDefault="00AE3A8A" w:rsidP="00AE3A8A">
      <w:pPr>
        <w:pStyle w:val="Default"/>
        <w:spacing w:before="240"/>
        <w:ind w:left="2259" w:right="992" w:hanging="1125"/>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(ADR:)</w:t>
      </w:r>
    </w:p>
    <w:tbl>
      <w:tblPr>
        <w:tblStyle w:val="Grilledutablea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902"/>
        <w:gridCol w:w="3399"/>
      </w:tblGrid>
      <w:tr w:rsidR="00AE3A8A" w14:paraId="5F49C552" w14:textId="77777777" w:rsidTr="00AE3A8A">
        <w:trPr>
          <w:trHeight w:val="1680"/>
        </w:trPr>
        <w:tc>
          <w:tcPr>
            <w:tcW w:w="1993" w:type="dxa"/>
            <w:hideMark/>
          </w:tcPr>
          <w:p w14:paraId="43327F38" w14:textId="77777777" w:rsidR="00AE3A8A" w:rsidRDefault="00AE3A8A">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6.8.3.2.9.6.5</w:t>
            </w:r>
          </w:p>
        </w:tc>
        <w:tc>
          <w:tcPr>
            <w:tcW w:w="2974" w:type="dxa"/>
            <w:tcBorders>
              <w:top w:val="nil"/>
              <w:left w:val="nil"/>
              <w:bottom w:val="nil"/>
              <w:right w:val="single" w:sz="4" w:space="0" w:color="auto"/>
            </w:tcBorders>
            <w:hideMark/>
          </w:tcPr>
          <w:p w14:paraId="03474D7B" w14:textId="77777777" w:rsidR="00AE3A8A" w:rsidRDefault="00AE3A8A">
            <w:pPr>
              <w:pStyle w:val="Default"/>
              <w:ind w:right="992"/>
              <w:jc w:val="center"/>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The marks shall be displayed</w:t>
            </w:r>
          </w:p>
          <w:p w14:paraId="61741BC2" w14:textId="77777777" w:rsidR="00AE3A8A" w:rsidRDefault="00AE3A8A">
            <w:pPr>
              <w:pStyle w:val="Default"/>
              <w:ind w:right="992"/>
              <w:jc w:val="center"/>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on both sides and the rear of fixed tanks and on both sides and both ends of demountable tanks.</w:t>
            </w:r>
          </w:p>
        </w:tc>
        <w:tc>
          <w:tcPr>
            <w:tcW w:w="3543" w:type="dxa"/>
            <w:tcBorders>
              <w:top w:val="nil"/>
              <w:left w:val="single" w:sz="4" w:space="0" w:color="auto"/>
              <w:bottom w:val="nil"/>
              <w:right w:val="nil"/>
            </w:tcBorders>
          </w:tcPr>
          <w:p w14:paraId="3E59C489" w14:textId="77777777" w:rsidR="00AE3A8A" w:rsidRDefault="00AE3A8A">
            <w:pPr>
              <w:pStyle w:val="Default"/>
              <w:ind w:right="992"/>
              <w:jc w:val="center"/>
              <w:rPr>
                <w:rFonts w:ascii="Times New Roman" w:hAnsi="Times New Roman" w:cs="Times New Roman"/>
                <w:color w:val="auto"/>
                <w:sz w:val="20"/>
                <w:szCs w:val="20"/>
                <w:u w:val="single"/>
                <w:lang w:val="en-GB" w:eastAsia="fr-FR"/>
              </w:rPr>
            </w:pPr>
          </w:p>
          <w:p w14:paraId="14D58B32" w14:textId="77777777" w:rsidR="00AE3A8A" w:rsidRDefault="00AE3A8A">
            <w:pPr>
              <w:pStyle w:val="Default"/>
              <w:ind w:right="992"/>
              <w:jc w:val="center"/>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on both sides and both ends of tank-containers.</w:t>
            </w:r>
          </w:p>
        </w:tc>
      </w:tr>
    </w:tbl>
    <w:p w14:paraId="2C23B18F" w14:textId="77777777" w:rsidR="00AE3A8A" w:rsidRDefault="00AE3A8A" w:rsidP="00AE3A8A">
      <w:pPr>
        <w:pStyle w:val="HChG"/>
        <w:ind w:right="850"/>
        <w:rPr>
          <w:lang w:val="en-US" w:eastAsia="fr-FR"/>
        </w:rPr>
      </w:pPr>
      <w:r>
        <w:rPr>
          <w:lang w:val="en-US"/>
        </w:rPr>
        <w:tab/>
      </w:r>
      <w:r>
        <w:rPr>
          <w:lang w:val="en-US"/>
        </w:rPr>
        <w:tab/>
        <w:t xml:space="preserve">Proposal 2: </w:t>
      </w:r>
      <w:r>
        <w:rPr>
          <w:lang w:val="en-US"/>
        </w:rPr>
        <w:tab/>
        <w:t>Transitional measures</w:t>
      </w:r>
    </w:p>
    <w:p w14:paraId="705F7B76" w14:textId="77777777" w:rsidR="00AE3A8A" w:rsidRDefault="00AE3A8A" w:rsidP="00EF2486">
      <w:pPr>
        <w:snapToGrid w:val="0"/>
        <w:spacing w:before="120" w:after="120"/>
        <w:ind w:left="2268" w:right="1134" w:hanging="1134"/>
        <w:jc w:val="both"/>
        <w:rPr>
          <w:bCs/>
          <w:lang w:val="en-US"/>
        </w:rPr>
      </w:pPr>
      <w:r>
        <w:rPr>
          <w:bCs/>
          <w:lang w:val="en-US"/>
        </w:rPr>
        <w:t>(ADR:)</w:t>
      </w:r>
      <w:r>
        <w:rPr>
          <w:bCs/>
          <w:lang w:val="en-US"/>
        </w:rPr>
        <w:tab/>
      </w:r>
    </w:p>
    <w:p w14:paraId="1A1046C5" w14:textId="77777777" w:rsidR="00AE3A8A" w:rsidRDefault="00AE3A8A" w:rsidP="00EF2486">
      <w:pPr>
        <w:snapToGrid w:val="0"/>
        <w:spacing w:before="120" w:after="120"/>
        <w:ind w:left="2268" w:right="1134" w:hanging="1134"/>
        <w:jc w:val="both"/>
        <w:rPr>
          <w:bCs/>
          <w:lang w:val="en-US"/>
        </w:rPr>
      </w:pPr>
      <w:r>
        <w:rPr>
          <w:bCs/>
          <w:lang w:val="en-US"/>
        </w:rPr>
        <w:t>1.6.3</w:t>
      </w:r>
      <w:r>
        <w:rPr>
          <w:bCs/>
          <w:lang w:val="en-US"/>
        </w:rPr>
        <w:tab/>
        <w:t>Insert the following new transitional provisions:</w:t>
      </w:r>
    </w:p>
    <w:p w14:paraId="7D77B26E" w14:textId="77777777" w:rsidR="00AE3A8A" w:rsidRDefault="00AE3A8A" w:rsidP="00EF2486">
      <w:pPr>
        <w:snapToGrid w:val="0"/>
        <w:spacing w:before="120" w:after="120"/>
        <w:ind w:left="2268" w:right="1134" w:hanging="1134"/>
        <w:jc w:val="both"/>
        <w:rPr>
          <w:u w:val="single"/>
        </w:rPr>
      </w:pPr>
      <w:r>
        <w:t>“</w:t>
      </w:r>
      <w:r>
        <w:rPr>
          <w:u w:val="single"/>
        </w:rPr>
        <w:t>1.6.3.xx</w:t>
      </w:r>
      <w:r>
        <w:tab/>
      </w:r>
      <w:r>
        <w:rPr>
          <w:u w:val="single"/>
        </w:rPr>
        <w:t>Fixed tanks (tank-vehicles) and demountable tanks that are already fitted with safety valves meeting the requirements of 6.8.3.2.9 as applicable from the 1</w:t>
      </w:r>
      <w:r>
        <w:rPr>
          <w:u w:val="single"/>
          <w:vertAlign w:val="superscript"/>
        </w:rPr>
        <w:t>st</w:t>
      </w:r>
      <w:r>
        <w:rPr>
          <w:u w:val="single"/>
        </w:rPr>
        <w:t xml:space="preserve"> January 2023 do not need to have the mark in accordance with 6.8.3.2.9.6 before the 31</w:t>
      </w:r>
      <w:r>
        <w:rPr>
          <w:u w:val="single"/>
          <w:vertAlign w:val="superscript"/>
        </w:rPr>
        <w:t>st</w:t>
      </w:r>
      <w:r>
        <w:rPr>
          <w:u w:val="single"/>
        </w:rPr>
        <w:t xml:space="preserve"> December 2024.”</w:t>
      </w:r>
    </w:p>
    <w:p w14:paraId="74050F02" w14:textId="77777777" w:rsidR="00AE3A8A" w:rsidRDefault="00AE3A8A" w:rsidP="00EF2486">
      <w:pPr>
        <w:snapToGrid w:val="0"/>
        <w:spacing w:before="120" w:after="120"/>
        <w:ind w:left="2268" w:right="1134" w:hanging="1134"/>
        <w:jc w:val="both"/>
        <w:rPr>
          <w:u w:val="single"/>
        </w:rPr>
      </w:pPr>
      <w:r>
        <w:rPr>
          <w:u w:val="single"/>
        </w:rPr>
        <w:t>(RID/ADR:)</w:t>
      </w:r>
    </w:p>
    <w:p w14:paraId="011DB30C" w14:textId="77777777" w:rsidR="00AE3A8A" w:rsidRDefault="00AE3A8A" w:rsidP="00EF2486">
      <w:pPr>
        <w:snapToGrid w:val="0"/>
        <w:spacing w:before="120" w:after="120"/>
        <w:ind w:left="2268" w:right="1134" w:hanging="1134"/>
        <w:jc w:val="both"/>
        <w:rPr>
          <w:bCs/>
          <w:lang w:val="en-US"/>
        </w:rPr>
      </w:pPr>
      <w:r>
        <w:t>1.6.4</w:t>
      </w:r>
      <w:r>
        <w:tab/>
      </w:r>
      <w:r>
        <w:rPr>
          <w:bCs/>
          <w:lang w:val="en-US"/>
        </w:rPr>
        <w:t>Insert the following new transitional provision:</w:t>
      </w:r>
    </w:p>
    <w:p w14:paraId="6B6A7573" w14:textId="3D091F1A" w:rsidR="00AE3A8A" w:rsidRDefault="00AE3A8A" w:rsidP="00EF2486">
      <w:pPr>
        <w:snapToGrid w:val="0"/>
        <w:spacing w:before="120" w:after="120"/>
        <w:ind w:left="2268" w:right="1134" w:hanging="1134"/>
        <w:jc w:val="both"/>
        <w:rPr>
          <w:u w:val="single"/>
        </w:rPr>
      </w:pPr>
      <w:r>
        <w:t>“</w:t>
      </w:r>
      <w:r>
        <w:rPr>
          <w:u w:val="single"/>
        </w:rPr>
        <w:t>1.6.4.xx</w:t>
      </w:r>
      <w:r>
        <w:tab/>
      </w:r>
      <w:r>
        <w:rPr>
          <w:u w:val="single"/>
        </w:rPr>
        <w:t>Tank-containers that are already fitted with safety valves meeting the requirements of 6.8.3.2.9 as applicable from the 1</w:t>
      </w:r>
      <w:r>
        <w:rPr>
          <w:u w:val="single"/>
          <w:vertAlign w:val="superscript"/>
        </w:rPr>
        <w:t>st</w:t>
      </w:r>
      <w:r>
        <w:rPr>
          <w:u w:val="single"/>
        </w:rPr>
        <w:t xml:space="preserve"> January 2023 do not need to have the mark in accordance with 6.8.3.2.9.6 before the 31</w:t>
      </w:r>
      <w:r>
        <w:rPr>
          <w:u w:val="single"/>
          <w:vertAlign w:val="superscript"/>
        </w:rPr>
        <w:t>st</w:t>
      </w:r>
      <w:r>
        <w:rPr>
          <w:u w:val="single"/>
        </w:rPr>
        <w:t xml:space="preserve"> December 2024.”</w:t>
      </w:r>
    </w:p>
    <w:p w14:paraId="462D73EB" w14:textId="77777777" w:rsidR="002D446A" w:rsidRDefault="002D446A" w:rsidP="002D446A">
      <w:pPr>
        <w:pStyle w:val="SingleTxtG"/>
        <w:spacing w:before="120" w:after="0"/>
        <w:jc w:val="center"/>
        <w:rPr>
          <w:u w:val="single"/>
        </w:rPr>
      </w:pPr>
      <w:r>
        <w:rPr>
          <w:u w:val="single"/>
        </w:rPr>
        <w:tab/>
      </w:r>
      <w:r>
        <w:rPr>
          <w:u w:val="single"/>
        </w:rPr>
        <w:tab/>
      </w:r>
      <w:r>
        <w:rPr>
          <w:u w:val="single"/>
        </w:rPr>
        <w:tab/>
      </w:r>
      <w:r>
        <w:rPr>
          <w:u w:val="single"/>
        </w:rPr>
        <w:tab/>
      </w:r>
    </w:p>
    <w:p w14:paraId="21FAF1BA" w14:textId="77777777" w:rsidR="00EF2486" w:rsidRDefault="00EF2486" w:rsidP="00EF2486">
      <w:pPr>
        <w:snapToGrid w:val="0"/>
        <w:spacing w:before="120" w:after="120"/>
        <w:ind w:left="2268" w:right="1134" w:hanging="1134"/>
        <w:jc w:val="both"/>
        <w:rPr>
          <w:u w:val="single"/>
        </w:rPr>
      </w:pPr>
    </w:p>
    <w:sectPr w:rsidR="00EF2486" w:rsidSect="003E41BB">
      <w:headerReference w:type="even" r:id="rId12"/>
      <w:headerReference w:type="default" r:id="rId13"/>
      <w:footerReference w:type="even" r:id="rId14"/>
      <w:footerReference w:type="defaul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D949" w14:textId="77777777" w:rsidR="004D5E2E" w:rsidRDefault="004D5E2E"/>
  </w:endnote>
  <w:endnote w:type="continuationSeparator" w:id="0">
    <w:p w14:paraId="2D464DBF" w14:textId="77777777" w:rsidR="004D5E2E" w:rsidRDefault="004D5E2E"/>
  </w:endnote>
  <w:endnote w:type="continuationNotice" w:id="1">
    <w:p w14:paraId="078C8838" w14:textId="77777777" w:rsidR="004D5E2E" w:rsidRDefault="004D5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212B" w14:textId="77777777" w:rsidR="00652CFC" w:rsidRDefault="00891583">
    <w:pPr>
      <w:pStyle w:val="Pieddepage"/>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70359F">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145D" w14:textId="77777777" w:rsidR="00652CFC" w:rsidRPr="00652CFC" w:rsidRDefault="00891583">
    <w:pPr>
      <w:pStyle w:val="Pieddepage"/>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88B1" w14:textId="77777777" w:rsidR="004D5E2E" w:rsidRPr="000B175B" w:rsidRDefault="004D5E2E" w:rsidP="000B175B">
      <w:pPr>
        <w:tabs>
          <w:tab w:val="right" w:pos="2155"/>
        </w:tabs>
        <w:spacing w:after="80"/>
        <w:ind w:left="680"/>
        <w:rPr>
          <w:u w:val="single"/>
        </w:rPr>
      </w:pPr>
      <w:r>
        <w:rPr>
          <w:u w:val="single"/>
        </w:rPr>
        <w:tab/>
      </w:r>
    </w:p>
  </w:footnote>
  <w:footnote w:type="continuationSeparator" w:id="0">
    <w:p w14:paraId="27A39D84" w14:textId="77777777" w:rsidR="004D5E2E" w:rsidRPr="00FC68B7" w:rsidRDefault="004D5E2E" w:rsidP="00FC68B7">
      <w:pPr>
        <w:tabs>
          <w:tab w:val="left" w:pos="2155"/>
        </w:tabs>
        <w:spacing w:after="80"/>
        <w:ind w:left="680"/>
        <w:rPr>
          <w:u w:val="single"/>
        </w:rPr>
      </w:pPr>
      <w:r>
        <w:rPr>
          <w:u w:val="single"/>
        </w:rPr>
        <w:tab/>
      </w:r>
    </w:p>
  </w:footnote>
  <w:footnote w:type="continuationNotice" w:id="1">
    <w:p w14:paraId="57BBC86A" w14:textId="77777777" w:rsidR="004D5E2E" w:rsidRDefault="004D5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4A4" w14:textId="4F70A80D" w:rsidR="00652CFC" w:rsidRPr="00652CFC" w:rsidRDefault="00652CFC">
    <w:pPr>
      <w:pStyle w:val="En-tte"/>
      <w:rPr>
        <w:lang w:val="fr-CH"/>
      </w:rPr>
    </w:pPr>
    <w:r>
      <w:rPr>
        <w:lang w:val="fr-CH"/>
      </w:rPr>
      <w:t>INF</w:t>
    </w:r>
    <w:r w:rsidR="0036435E">
      <w:rPr>
        <w:lang w:val="fr-CH"/>
      </w:rPr>
      <w:t>.</w:t>
    </w:r>
    <w:r w:rsidR="003028C9">
      <w:rPr>
        <w:lang w:val="fr-CH"/>
      </w:rPr>
      <w:t>4</w:t>
    </w:r>
    <w:r w:rsidR="00EE5B88">
      <w:rPr>
        <w:lang w:val="fr-CH"/>
      </w:rPr>
      <w:t>7</w:t>
    </w:r>
    <w:r w:rsidR="00AC37D1">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B2A" w14:textId="77777777" w:rsidR="00652CFC" w:rsidRPr="00652CFC" w:rsidRDefault="00652CFC" w:rsidP="00652CFC">
    <w:pPr>
      <w:pStyle w:val="En-tte"/>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8704F"/>
    <w:multiLevelType w:val="hybridMultilevel"/>
    <w:tmpl w:val="C97C1EE0"/>
    <w:lvl w:ilvl="0" w:tplc="BC3853DE">
      <w:start w:val="1"/>
      <w:numFmt w:val="bullet"/>
      <w:lvlText w:val=""/>
      <w:lvlJc w:val="left"/>
      <w:pPr>
        <w:ind w:left="1440" w:hanging="360"/>
      </w:pPr>
      <w:rPr>
        <w:rFonts w:ascii="Symbol" w:hAnsi="Symbol" w:hint="default"/>
      </w:rPr>
    </w:lvl>
    <w:lvl w:ilvl="1" w:tplc="E0E43FAA">
      <w:start w:val="1"/>
      <w:numFmt w:val="bullet"/>
      <w:lvlText w:val="o"/>
      <w:lvlJc w:val="left"/>
      <w:pPr>
        <w:ind w:left="2160" w:hanging="360"/>
      </w:pPr>
      <w:rPr>
        <w:rFonts w:ascii="Courier New" w:hAnsi="Courier New" w:hint="default"/>
      </w:rPr>
    </w:lvl>
    <w:lvl w:ilvl="2" w:tplc="C42AFB02">
      <w:start w:val="1"/>
      <w:numFmt w:val="bullet"/>
      <w:lvlText w:val=""/>
      <w:lvlJc w:val="left"/>
      <w:pPr>
        <w:ind w:left="2880" w:hanging="360"/>
      </w:pPr>
      <w:rPr>
        <w:rFonts w:ascii="Wingdings" w:hAnsi="Wingdings" w:hint="default"/>
      </w:rPr>
    </w:lvl>
    <w:lvl w:ilvl="3" w:tplc="14C2C730">
      <w:start w:val="1"/>
      <w:numFmt w:val="bullet"/>
      <w:lvlText w:val=""/>
      <w:lvlJc w:val="left"/>
      <w:pPr>
        <w:ind w:left="3600" w:hanging="360"/>
      </w:pPr>
      <w:rPr>
        <w:rFonts w:ascii="Symbol" w:hAnsi="Symbol" w:hint="default"/>
      </w:rPr>
    </w:lvl>
    <w:lvl w:ilvl="4" w:tplc="3A04001E">
      <w:start w:val="1"/>
      <w:numFmt w:val="bullet"/>
      <w:lvlText w:val="o"/>
      <w:lvlJc w:val="left"/>
      <w:pPr>
        <w:ind w:left="4320" w:hanging="360"/>
      </w:pPr>
      <w:rPr>
        <w:rFonts w:ascii="Courier New" w:hAnsi="Courier New" w:hint="default"/>
      </w:rPr>
    </w:lvl>
    <w:lvl w:ilvl="5" w:tplc="CD34C4C2">
      <w:start w:val="1"/>
      <w:numFmt w:val="bullet"/>
      <w:lvlText w:val=""/>
      <w:lvlJc w:val="left"/>
      <w:pPr>
        <w:ind w:left="5040" w:hanging="360"/>
      </w:pPr>
      <w:rPr>
        <w:rFonts w:ascii="Wingdings" w:hAnsi="Wingdings" w:hint="default"/>
      </w:rPr>
    </w:lvl>
    <w:lvl w:ilvl="6" w:tplc="E9B2E2C4">
      <w:start w:val="1"/>
      <w:numFmt w:val="bullet"/>
      <w:lvlText w:val=""/>
      <w:lvlJc w:val="left"/>
      <w:pPr>
        <w:ind w:left="5760" w:hanging="360"/>
      </w:pPr>
      <w:rPr>
        <w:rFonts w:ascii="Symbol" w:hAnsi="Symbol" w:hint="default"/>
      </w:rPr>
    </w:lvl>
    <w:lvl w:ilvl="7" w:tplc="0C72EA98">
      <w:start w:val="1"/>
      <w:numFmt w:val="bullet"/>
      <w:lvlText w:val="o"/>
      <w:lvlJc w:val="left"/>
      <w:pPr>
        <w:ind w:left="6480" w:hanging="360"/>
      </w:pPr>
      <w:rPr>
        <w:rFonts w:ascii="Courier New" w:hAnsi="Courier New" w:hint="default"/>
      </w:rPr>
    </w:lvl>
    <w:lvl w:ilvl="8" w:tplc="4EF22A38">
      <w:start w:val="1"/>
      <w:numFmt w:val="bullet"/>
      <w:lvlText w:val=""/>
      <w:lvlJc w:val="left"/>
      <w:pPr>
        <w:ind w:left="7200" w:hanging="360"/>
      </w:pPr>
      <w:rPr>
        <w:rFonts w:ascii="Wingdings" w:hAnsi="Wingdings" w:hint="default"/>
      </w:rPr>
    </w:lvl>
  </w:abstractNum>
  <w:abstractNum w:abstractNumId="12"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9A51C0"/>
    <w:multiLevelType w:val="hybridMultilevel"/>
    <w:tmpl w:val="ED36B9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817F92"/>
    <w:multiLevelType w:val="hybridMultilevel"/>
    <w:tmpl w:val="C884181E"/>
    <w:lvl w:ilvl="0" w:tplc="91526782">
      <w:start w:val="1"/>
      <w:numFmt w:val="decimal"/>
      <w:lvlText w:val="%1."/>
      <w:lvlJc w:val="left"/>
      <w:pPr>
        <w:ind w:left="720" w:hanging="360"/>
      </w:pPr>
    </w:lvl>
    <w:lvl w:ilvl="1" w:tplc="7D86DCB4">
      <w:start w:val="1"/>
      <w:numFmt w:val="lowerLetter"/>
      <w:lvlText w:val="%2."/>
      <w:lvlJc w:val="left"/>
      <w:pPr>
        <w:ind w:left="1440" w:hanging="360"/>
      </w:pPr>
    </w:lvl>
    <w:lvl w:ilvl="2" w:tplc="8B747D54">
      <w:start w:val="1"/>
      <w:numFmt w:val="lowerRoman"/>
      <w:lvlText w:val="%3."/>
      <w:lvlJc w:val="right"/>
      <w:pPr>
        <w:ind w:left="2160" w:hanging="180"/>
      </w:pPr>
    </w:lvl>
    <w:lvl w:ilvl="3" w:tplc="6B8C7522">
      <w:start w:val="1"/>
      <w:numFmt w:val="decimal"/>
      <w:lvlText w:val="%4."/>
      <w:lvlJc w:val="left"/>
      <w:pPr>
        <w:ind w:left="2880" w:hanging="360"/>
      </w:pPr>
    </w:lvl>
    <w:lvl w:ilvl="4" w:tplc="15BE8166">
      <w:start w:val="1"/>
      <w:numFmt w:val="lowerLetter"/>
      <w:lvlText w:val="%5."/>
      <w:lvlJc w:val="left"/>
      <w:pPr>
        <w:ind w:left="3600" w:hanging="360"/>
      </w:pPr>
    </w:lvl>
    <w:lvl w:ilvl="5" w:tplc="8A264194">
      <w:start w:val="1"/>
      <w:numFmt w:val="lowerRoman"/>
      <w:lvlText w:val="%6."/>
      <w:lvlJc w:val="right"/>
      <w:pPr>
        <w:ind w:left="4320" w:hanging="180"/>
      </w:pPr>
    </w:lvl>
    <w:lvl w:ilvl="6" w:tplc="517ED9C0">
      <w:start w:val="1"/>
      <w:numFmt w:val="decimal"/>
      <w:lvlText w:val="%7."/>
      <w:lvlJc w:val="left"/>
      <w:pPr>
        <w:ind w:left="5040" w:hanging="360"/>
      </w:pPr>
    </w:lvl>
    <w:lvl w:ilvl="7" w:tplc="5B762FEE">
      <w:start w:val="1"/>
      <w:numFmt w:val="lowerLetter"/>
      <w:lvlText w:val="%8."/>
      <w:lvlJc w:val="left"/>
      <w:pPr>
        <w:ind w:left="5760" w:hanging="360"/>
      </w:pPr>
    </w:lvl>
    <w:lvl w:ilvl="8" w:tplc="2F74BE88">
      <w:start w:val="1"/>
      <w:numFmt w:val="lowerRoman"/>
      <w:lvlText w:val="%9."/>
      <w:lvlJc w:val="right"/>
      <w:pPr>
        <w:ind w:left="6480" w:hanging="180"/>
      </w:pPr>
    </w:lvl>
  </w:abstractNum>
  <w:abstractNum w:abstractNumId="19" w15:restartNumberingAfterBreak="0">
    <w:nsid w:val="1F7E6A91"/>
    <w:multiLevelType w:val="hybridMultilevel"/>
    <w:tmpl w:val="ED36B9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4" w15:restartNumberingAfterBreak="0">
    <w:nsid w:val="5751183D"/>
    <w:multiLevelType w:val="hybridMultilevel"/>
    <w:tmpl w:val="715A024C"/>
    <w:lvl w:ilvl="0" w:tplc="C1CE8E58">
      <w:start w:val="1"/>
      <w:numFmt w:val="decimal"/>
      <w:lvlText w:val="%1."/>
      <w:lvlJc w:val="left"/>
      <w:pPr>
        <w:ind w:left="7643" w:hanging="555"/>
      </w:pPr>
      <w:rPr>
        <w:rFonts w:hint="default"/>
      </w:rPr>
    </w:lvl>
    <w:lvl w:ilvl="1" w:tplc="08090019" w:tentative="1">
      <w:start w:val="1"/>
      <w:numFmt w:val="lowerLetter"/>
      <w:lvlText w:val="%2."/>
      <w:lvlJc w:val="left"/>
      <w:pPr>
        <w:ind w:left="8168" w:hanging="360"/>
      </w:pPr>
    </w:lvl>
    <w:lvl w:ilvl="2" w:tplc="0809001B" w:tentative="1">
      <w:start w:val="1"/>
      <w:numFmt w:val="lowerRoman"/>
      <w:lvlText w:val="%3."/>
      <w:lvlJc w:val="right"/>
      <w:pPr>
        <w:ind w:left="8888" w:hanging="180"/>
      </w:pPr>
    </w:lvl>
    <w:lvl w:ilvl="3" w:tplc="0809000F" w:tentative="1">
      <w:start w:val="1"/>
      <w:numFmt w:val="decimal"/>
      <w:lvlText w:val="%4."/>
      <w:lvlJc w:val="left"/>
      <w:pPr>
        <w:ind w:left="9608" w:hanging="360"/>
      </w:pPr>
    </w:lvl>
    <w:lvl w:ilvl="4" w:tplc="08090019" w:tentative="1">
      <w:start w:val="1"/>
      <w:numFmt w:val="lowerLetter"/>
      <w:lvlText w:val="%5."/>
      <w:lvlJc w:val="left"/>
      <w:pPr>
        <w:ind w:left="10328" w:hanging="360"/>
      </w:pPr>
    </w:lvl>
    <w:lvl w:ilvl="5" w:tplc="0809001B" w:tentative="1">
      <w:start w:val="1"/>
      <w:numFmt w:val="lowerRoman"/>
      <w:lvlText w:val="%6."/>
      <w:lvlJc w:val="right"/>
      <w:pPr>
        <w:ind w:left="11048" w:hanging="180"/>
      </w:pPr>
    </w:lvl>
    <w:lvl w:ilvl="6" w:tplc="0809000F" w:tentative="1">
      <w:start w:val="1"/>
      <w:numFmt w:val="decimal"/>
      <w:lvlText w:val="%7."/>
      <w:lvlJc w:val="left"/>
      <w:pPr>
        <w:ind w:left="11768" w:hanging="360"/>
      </w:pPr>
    </w:lvl>
    <w:lvl w:ilvl="7" w:tplc="08090019" w:tentative="1">
      <w:start w:val="1"/>
      <w:numFmt w:val="lowerLetter"/>
      <w:lvlText w:val="%8."/>
      <w:lvlJc w:val="left"/>
      <w:pPr>
        <w:ind w:left="12488" w:hanging="360"/>
      </w:pPr>
    </w:lvl>
    <w:lvl w:ilvl="8" w:tplc="0809001B" w:tentative="1">
      <w:start w:val="1"/>
      <w:numFmt w:val="lowerRoman"/>
      <w:lvlText w:val="%9."/>
      <w:lvlJc w:val="right"/>
      <w:pPr>
        <w:ind w:left="13208"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0"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25"/>
  </w:num>
  <w:num w:numId="15">
    <w:abstractNumId w:val="15"/>
  </w:num>
  <w:num w:numId="16">
    <w:abstractNumId w:val="13"/>
  </w:num>
  <w:num w:numId="17">
    <w:abstractNumId w:val="27"/>
  </w:num>
  <w:num w:numId="18">
    <w:abstractNumId w:val="16"/>
  </w:num>
  <w:num w:numId="19">
    <w:abstractNumId w:val="28"/>
  </w:num>
  <w:num w:numId="20">
    <w:abstractNumId w:val="22"/>
  </w:num>
  <w:num w:numId="21">
    <w:abstractNumId w:val="26"/>
  </w:num>
  <w:num w:numId="22">
    <w:abstractNumId w:val="12"/>
  </w:num>
  <w:num w:numId="23">
    <w:abstractNumId w:val="21"/>
  </w:num>
  <w:num w:numId="24">
    <w:abstractNumId w:val="29"/>
  </w:num>
  <w:num w:numId="25">
    <w:abstractNumId w:val="23"/>
  </w:num>
  <w:num w:numId="26">
    <w:abstractNumId w:val="30"/>
  </w:num>
  <w:num w:numId="27">
    <w:abstractNumId w:val="18"/>
  </w:num>
  <w:num w:numId="28">
    <w:abstractNumId w:val="11"/>
  </w:num>
  <w:num w:numId="29">
    <w:abstractNumId w:val="14"/>
  </w:num>
  <w:num w:numId="30">
    <w:abstractNumId w:val="19"/>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0E06"/>
    <w:rsid w:val="00014DB3"/>
    <w:rsid w:val="00027685"/>
    <w:rsid w:val="00037F90"/>
    <w:rsid w:val="00042707"/>
    <w:rsid w:val="00046B1F"/>
    <w:rsid w:val="00050F6B"/>
    <w:rsid w:val="00051F9B"/>
    <w:rsid w:val="00057E97"/>
    <w:rsid w:val="000671BA"/>
    <w:rsid w:val="00072289"/>
    <w:rsid w:val="00072C8C"/>
    <w:rsid w:val="000733B5"/>
    <w:rsid w:val="00081815"/>
    <w:rsid w:val="000914A5"/>
    <w:rsid w:val="000931C0"/>
    <w:rsid w:val="00095C50"/>
    <w:rsid w:val="00096262"/>
    <w:rsid w:val="00097556"/>
    <w:rsid w:val="000A24D2"/>
    <w:rsid w:val="000A2F07"/>
    <w:rsid w:val="000A3752"/>
    <w:rsid w:val="000A7267"/>
    <w:rsid w:val="000B0595"/>
    <w:rsid w:val="000B175B"/>
    <w:rsid w:val="000B3A0F"/>
    <w:rsid w:val="000B3C7A"/>
    <w:rsid w:val="000B4DCF"/>
    <w:rsid w:val="000B4EF7"/>
    <w:rsid w:val="000B633F"/>
    <w:rsid w:val="000C2C03"/>
    <w:rsid w:val="000C2D2E"/>
    <w:rsid w:val="000C4D51"/>
    <w:rsid w:val="000C7794"/>
    <w:rsid w:val="000C7F79"/>
    <w:rsid w:val="000D0708"/>
    <w:rsid w:val="000E0124"/>
    <w:rsid w:val="000E0415"/>
    <w:rsid w:val="000E2B1D"/>
    <w:rsid w:val="000E2EBA"/>
    <w:rsid w:val="0010391C"/>
    <w:rsid w:val="00104CDA"/>
    <w:rsid w:val="001103AA"/>
    <w:rsid w:val="0011666B"/>
    <w:rsid w:val="001171BD"/>
    <w:rsid w:val="00121E05"/>
    <w:rsid w:val="00125117"/>
    <w:rsid w:val="00127D3C"/>
    <w:rsid w:val="00127FE1"/>
    <w:rsid w:val="00144909"/>
    <w:rsid w:val="00146C20"/>
    <w:rsid w:val="00155068"/>
    <w:rsid w:val="00165F3A"/>
    <w:rsid w:val="001845AD"/>
    <w:rsid w:val="00190532"/>
    <w:rsid w:val="001A395A"/>
    <w:rsid w:val="001A57BD"/>
    <w:rsid w:val="001A6E55"/>
    <w:rsid w:val="001B053F"/>
    <w:rsid w:val="001B13A5"/>
    <w:rsid w:val="001B4B04"/>
    <w:rsid w:val="001B7F54"/>
    <w:rsid w:val="001C6663"/>
    <w:rsid w:val="001C7895"/>
    <w:rsid w:val="001D0239"/>
    <w:rsid w:val="001D0C8C"/>
    <w:rsid w:val="001D1419"/>
    <w:rsid w:val="001D26DF"/>
    <w:rsid w:val="001D3A03"/>
    <w:rsid w:val="001D4759"/>
    <w:rsid w:val="001D7981"/>
    <w:rsid w:val="001E0B9E"/>
    <w:rsid w:val="001E380F"/>
    <w:rsid w:val="001E7B67"/>
    <w:rsid w:val="001F2705"/>
    <w:rsid w:val="001F6E2E"/>
    <w:rsid w:val="001F7435"/>
    <w:rsid w:val="00202DA8"/>
    <w:rsid w:val="00203753"/>
    <w:rsid w:val="002102FF"/>
    <w:rsid w:val="0021114C"/>
    <w:rsid w:val="0021157B"/>
    <w:rsid w:val="00211E0B"/>
    <w:rsid w:val="002336E0"/>
    <w:rsid w:val="00234DE7"/>
    <w:rsid w:val="00237690"/>
    <w:rsid w:val="0024023A"/>
    <w:rsid w:val="0024144E"/>
    <w:rsid w:val="00243217"/>
    <w:rsid w:val="002446AE"/>
    <w:rsid w:val="00247CC2"/>
    <w:rsid w:val="00252290"/>
    <w:rsid w:val="002614B5"/>
    <w:rsid w:val="00264DFD"/>
    <w:rsid w:val="0026532A"/>
    <w:rsid w:val="00267F5F"/>
    <w:rsid w:val="0027208D"/>
    <w:rsid w:val="002736A6"/>
    <w:rsid w:val="00273CC3"/>
    <w:rsid w:val="002815A4"/>
    <w:rsid w:val="0028500A"/>
    <w:rsid w:val="00286B4D"/>
    <w:rsid w:val="00292A77"/>
    <w:rsid w:val="00293582"/>
    <w:rsid w:val="002A3C85"/>
    <w:rsid w:val="002A3D68"/>
    <w:rsid w:val="002A603B"/>
    <w:rsid w:val="002C076B"/>
    <w:rsid w:val="002C1737"/>
    <w:rsid w:val="002C6B57"/>
    <w:rsid w:val="002D0482"/>
    <w:rsid w:val="002D3DAF"/>
    <w:rsid w:val="002D446A"/>
    <w:rsid w:val="002D4643"/>
    <w:rsid w:val="002D4B6C"/>
    <w:rsid w:val="002E38AB"/>
    <w:rsid w:val="002F175C"/>
    <w:rsid w:val="002F2F6C"/>
    <w:rsid w:val="002F41D4"/>
    <w:rsid w:val="003028C9"/>
    <w:rsid w:val="00302E18"/>
    <w:rsid w:val="003050A4"/>
    <w:rsid w:val="0030606F"/>
    <w:rsid w:val="003117F6"/>
    <w:rsid w:val="003229D8"/>
    <w:rsid w:val="003358CF"/>
    <w:rsid w:val="00340169"/>
    <w:rsid w:val="00344BD8"/>
    <w:rsid w:val="00345184"/>
    <w:rsid w:val="0034693C"/>
    <w:rsid w:val="00352709"/>
    <w:rsid w:val="003571EA"/>
    <w:rsid w:val="0036435E"/>
    <w:rsid w:val="0036563C"/>
    <w:rsid w:val="00370C43"/>
    <w:rsid w:val="00371178"/>
    <w:rsid w:val="003A6810"/>
    <w:rsid w:val="003B311A"/>
    <w:rsid w:val="003B36D1"/>
    <w:rsid w:val="003C2177"/>
    <w:rsid w:val="003C2CC4"/>
    <w:rsid w:val="003C7C2C"/>
    <w:rsid w:val="003D2324"/>
    <w:rsid w:val="003D4B23"/>
    <w:rsid w:val="003D60E9"/>
    <w:rsid w:val="003E41BB"/>
    <w:rsid w:val="003F6429"/>
    <w:rsid w:val="00400297"/>
    <w:rsid w:val="00410C89"/>
    <w:rsid w:val="00416FFB"/>
    <w:rsid w:val="00422E03"/>
    <w:rsid w:val="004266AC"/>
    <w:rsid w:val="00426B9B"/>
    <w:rsid w:val="004321F2"/>
    <w:rsid w:val="004325CB"/>
    <w:rsid w:val="004356D2"/>
    <w:rsid w:val="00442A83"/>
    <w:rsid w:val="004460EA"/>
    <w:rsid w:val="00453EF0"/>
    <w:rsid w:val="0045495B"/>
    <w:rsid w:val="00455F93"/>
    <w:rsid w:val="00464C81"/>
    <w:rsid w:val="00480290"/>
    <w:rsid w:val="0048397A"/>
    <w:rsid w:val="00483F1B"/>
    <w:rsid w:val="004861B3"/>
    <w:rsid w:val="00487C8B"/>
    <w:rsid w:val="00495210"/>
    <w:rsid w:val="004A12F2"/>
    <w:rsid w:val="004A28A3"/>
    <w:rsid w:val="004C2461"/>
    <w:rsid w:val="004C408F"/>
    <w:rsid w:val="004C7462"/>
    <w:rsid w:val="004D0066"/>
    <w:rsid w:val="004D4E04"/>
    <w:rsid w:val="004D5426"/>
    <w:rsid w:val="004D5E2E"/>
    <w:rsid w:val="004E0C05"/>
    <w:rsid w:val="004E77B2"/>
    <w:rsid w:val="00503DEB"/>
    <w:rsid w:val="00504B2D"/>
    <w:rsid w:val="00507993"/>
    <w:rsid w:val="00512827"/>
    <w:rsid w:val="00512A1F"/>
    <w:rsid w:val="0052136D"/>
    <w:rsid w:val="00522B58"/>
    <w:rsid w:val="00523CD7"/>
    <w:rsid w:val="00526AB3"/>
    <w:rsid w:val="0052775E"/>
    <w:rsid w:val="005420F2"/>
    <w:rsid w:val="00543B68"/>
    <w:rsid w:val="005463C7"/>
    <w:rsid w:val="00546993"/>
    <w:rsid w:val="005501AB"/>
    <w:rsid w:val="0055218D"/>
    <w:rsid w:val="0055684B"/>
    <w:rsid w:val="005628B6"/>
    <w:rsid w:val="0058164C"/>
    <w:rsid w:val="005835AD"/>
    <w:rsid w:val="005909B3"/>
    <w:rsid w:val="00591137"/>
    <w:rsid w:val="005916BA"/>
    <w:rsid w:val="0059363D"/>
    <w:rsid w:val="005A1A8E"/>
    <w:rsid w:val="005B0833"/>
    <w:rsid w:val="005B0D56"/>
    <w:rsid w:val="005B3DB3"/>
    <w:rsid w:val="005B4E13"/>
    <w:rsid w:val="005C2DE1"/>
    <w:rsid w:val="005C68F0"/>
    <w:rsid w:val="005D2A29"/>
    <w:rsid w:val="005D7FB9"/>
    <w:rsid w:val="005E6A77"/>
    <w:rsid w:val="005F7B75"/>
    <w:rsid w:val="006001EE"/>
    <w:rsid w:val="00605042"/>
    <w:rsid w:val="00611FC4"/>
    <w:rsid w:val="00615757"/>
    <w:rsid w:val="006176FB"/>
    <w:rsid w:val="00626D45"/>
    <w:rsid w:val="00630BAF"/>
    <w:rsid w:val="00634974"/>
    <w:rsid w:val="0063658A"/>
    <w:rsid w:val="00640B26"/>
    <w:rsid w:val="006454EA"/>
    <w:rsid w:val="006477AB"/>
    <w:rsid w:val="00652CFC"/>
    <w:rsid w:val="00652D0A"/>
    <w:rsid w:val="00656145"/>
    <w:rsid w:val="006623D5"/>
    <w:rsid w:val="00662BB6"/>
    <w:rsid w:val="00667F8F"/>
    <w:rsid w:val="006741F1"/>
    <w:rsid w:val="00681F79"/>
    <w:rsid w:val="00684C21"/>
    <w:rsid w:val="0069377E"/>
    <w:rsid w:val="006A2530"/>
    <w:rsid w:val="006B1C12"/>
    <w:rsid w:val="006C3589"/>
    <w:rsid w:val="006D0CBB"/>
    <w:rsid w:val="006D37AF"/>
    <w:rsid w:val="006D51D0"/>
    <w:rsid w:val="006D63B3"/>
    <w:rsid w:val="006D6F48"/>
    <w:rsid w:val="006E564B"/>
    <w:rsid w:val="006E7191"/>
    <w:rsid w:val="00703577"/>
    <w:rsid w:val="0070359F"/>
    <w:rsid w:val="00705894"/>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A7486"/>
    <w:rsid w:val="007B22C2"/>
    <w:rsid w:val="007B6BA5"/>
    <w:rsid w:val="007C2E47"/>
    <w:rsid w:val="007C3390"/>
    <w:rsid w:val="007C4F4B"/>
    <w:rsid w:val="007E01E9"/>
    <w:rsid w:val="007E60C9"/>
    <w:rsid w:val="007E63F3"/>
    <w:rsid w:val="007E7E99"/>
    <w:rsid w:val="007F1F2D"/>
    <w:rsid w:val="007F6611"/>
    <w:rsid w:val="007F7106"/>
    <w:rsid w:val="007F7A86"/>
    <w:rsid w:val="0080271B"/>
    <w:rsid w:val="00807E1D"/>
    <w:rsid w:val="008116D7"/>
    <w:rsid w:val="00811920"/>
    <w:rsid w:val="00815AD0"/>
    <w:rsid w:val="008242D7"/>
    <w:rsid w:val="008257B1"/>
    <w:rsid w:val="00826C3D"/>
    <w:rsid w:val="0083048B"/>
    <w:rsid w:val="00842175"/>
    <w:rsid w:val="008433F2"/>
    <w:rsid w:val="00843767"/>
    <w:rsid w:val="00852678"/>
    <w:rsid w:val="00854501"/>
    <w:rsid w:val="00856952"/>
    <w:rsid w:val="008571B0"/>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8F7AD0"/>
    <w:rsid w:val="009150E8"/>
    <w:rsid w:val="00917AC0"/>
    <w:rsid w:val="00921708"/>
    <w:rsid w:val="009223CA"/>
    <w:rsid w:val="0092392E"/>
    <w:rsid w:val="00925C50"/>
    <w:rsid w:val="009269ED"/>
    <w:rsid w:val="0093211C"/>
    <w:rsid w:val="00933585"/>
    <w:rsid w:val="00940F93"/>
    <w:rsid w:val="0094558F"/>
    <w:rsid w:val="00961690"/>
    <w:rsid w:val="00971174"/>
    <w:rsid w:val="00972BC4"/>
    <w:rsid w:val="009760F3"/>
    <w:rsid w:val="00980305"/>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9F3D89"/>
    <w:rsid w:val="00A00A3F"/>
    <w:rsid w:val="00A01489"/>
    <w:rsid w:val="00A120E8"/>
    <w:rsid w:val="00A3009E"/>
    <w:rsid w:val="00A3026E"/>
    <w:rsid w:val="00A338F1"/>
    <w:rsid w:val="00A37932"/>
    <w:rsid w:val="00A47A60"/>
    <w:rsid w:val="00A67DC2"/>
    <w:rsid w:val="00A72F22"/>
    <w:rsid w:val="00A7360F"/>
    <w:rsid w:val="00A748A6"/>
    <w:rsid w:val="00A769F4"/>
    <w:rsid w:val="00A776B4"/>
    <w:rsid w:val="00A8292C"/>
    <w:rsid w:val="00A94361"/>
    <w:rsid w:val="00AA293C"/>
    <w:rsid w:val="00AA66C0"/>
    <w:rsid w:val="00AC1F89"/>
    <w:rsid w:val="00AC345D"/>
    <w:rsid w:val="00AC37D1"/>
    <w:rsid w:val="00AD44C2"/>
    <w:rsid w:val="00AD48FA"/>
    <w:rsid w:val="00AD4C05"/>
    <w:rsid w:val="00AE3A8A"/>
    <w:rsid w:val="00AE4840"/>
    <w:rsid w:val="00AF7EF2"/>
    <w:rsid w:val="00B07C74"/>
    <w:rsid w:val="00B115C2"/>
    <w:rsid w:val="00B11BB4"/>
    <w:rsid w:val="00B22BC2"/>
    <w:rsid w:val="00B30179"/>
    <w:rsid w:val="00B3207A"/>
    <w:rsid w:val="00B36690"/>
    <w:rsid w:val="00B36C88"/>
    <w:rsid w:val="00B418AB"/>
    <w:rsid w:val="00B421C1"/>
    <w:rsid w:val="00B430AD"/>
    <w:rsid w:val="00B52FD7"/>
    <w:rsid w:val="00B55C71"/>
    <w:rsid w:val="00B56E4A"/>
    <w:rsid w:val="00B56E9C"/>
    <w:rsid w:val="00B61320"/>
    <w:rsid w:val="00B618EC"/>
    <w:rsid w:val="00B61BB6"/>
    <w:rsid w:val="00B64B1F"/>
    <w:rsid w:val="00B6553F"/>
    <w:rsid w:val="00B70F1E"/>
    <w:rsid w:val="00B7236E"/>
    <w:rsid w:val="00B77D05"/>
    <w:rsid w:val="00B81206"/>
    <w:rsid w:val="00B81E12"/>
    <w:rsid w:val="00B8280B"/>
    <w:rsid w:val="00BA2681"/>
    <w:rsid w:val="00BA4044"/>
    <w:rsid w:val="00BA55A7"/>
    <w:rsid w:val="00BB741D"/>
    <w:rsid w:val="00BB7CD1"/>
    <w:rsid w:val="00BB7FE9"/>
    <w:rsid w:val="00BC3FA0"/>
    <w:rsid w:val="00BC74E9"/>
    <w:rsid w:val="00BC7C0D"/>
    <w:rsid w:val="00BD55A0"/>
    <w:rsid w:val="00BD6C9F"/>
    <w:rsid w:val="00BF15A1"/>
    <w:rsid w:val="00BF68A8"/>
    <w:rsid w:val="00C01CD0"/>
    <w:rsid w:val="00C06BD0"/>
    <w:rsid w:val="00C10649"/>
    <w:rsid w:val="00C10FE6"/>
    <w:rsid w:val="00C11A03"/>
    <w:rsid w:val="00C22C0C"/>
    <w:rsid w:val="00C43DF8"/>
    <w:rsid w:val="00C4527F"/>
    <w:rsid w:val="00C463DD"/>
    <w:rsid w:val="00C467C9"/>
    <w:rsid w:val="00C4724C"/>
    <w:rsid w:val="00C50425"/>
    <w:rsid w:val="00C505B3"/>
    <w:rsid w:val="00C629A0"/>
    <w:rsid w:val="00C64629"/>
    <w:rsid w:val="00C71E31"/>
    <w:rsid w:val="00C73056"/>
    <w:rsid w:val="00C745C3"/>
    <w:rsid w:val="00C7629A"/>
    <w:rsid w:val="00C777D5"/>
    <w:rsid w:val="00C87367"/>
    <w:rsid w:val="00C87FD7"/>
    <w:rsid w:val="00CA56B7"/>
    <w:rsid w:val="00CB3E03"/>
    <w:rsid w:val="00CD2E74"/>
    <w:rsid w:val="00CD57D2"/>
    <w:rsid w:val="00CE4A8F"/>
    <w:rsid w:val="00CE4B11"/>
    <w:rsid w:val="00CE69D8"/>
    <w:rsid w:val="00CE7196"/>
    <w:rsid w:val="00D00610"/>
    <w:rsid w:val="00D2031B"/>
    <w:rsid w:val="00D25FE2"/>
    <w:rsid w:val="00D263A7"/>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87F37"/>
    <w:rsid w:val="00D9255F"/>
    <w:rsid w:val="00D95303"/>
    <w:rsid w:val="00D978C6"/>
    <w:rsid w:val="00DA26F1"/>
    <w:rsid w:val="00DA3C1C"/>
    <w:rsid w:val="00DA3FE5"/>
    <w:rsid w:val="00DB6CA5"/>
    <w:rsid w:val="00DC2362"/>
    <w:rsid w:val="00DC2858"/>
    <w:rsid w:val="00DC3407"/>
    <w:rsid w:val="00DC634C"/>
    <w:rsid w:val="00DE048C"/>
    <w:rsid w:val="00E01D68"/>
    <w:rsid w:val="00E046DF"/>
    <w:rsid w:val="00E06FC5"/>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B764F"/>
    <w:rsid w:val="00EC106A"/>
    <w:rsid w:val="00EC32A0"/>
    <w:rsid w:val="00ED0BC6"/>
    <w:rsid w:val="00ED7A2A"/>
    <w:rsid w:val="00EE0102"/>
    <w:rsid w:val="00EE5B88"/>
    <w:rsid w:val="00EE62ED"/>
    <w:rsid w:val="00EE6B3A"/>
    <w:rsid w:val="00EF1D7F"/>
    <w:rsid w:val="00EF2486"/>
    <w:rsid w:val="00EF6DB8"/>
    <w:rsid w:val="00F227A6"/>
    <w:rsid w:val="00F30EB7"/>
    <w:rsid w:val="00F31E5F"/>
    <w:rsid w:val="00F36F0D"/>
    <w:rsid w:val="00F4272A"/>
    <w:rsid w:val="00F4342B"/>
    <w:rsid w:val="00F54642"/>
    <w:rsid w:val="00F555FB"/>
    <w:rsid w:val="00F6100A"/>
    <w:rsid w:val="00F66565"/>
    <w:rsid w:val="00F93781"/>
    <w:rsid w:val="00FA3772"/>
    <w:rsid w:val="00FA79F4"/>
    <w:rsid w:val="00FB0731"/>
    <w:rsid w:val="00FB613B"/>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DE18B"/>
  <w15:docId w15:val="{433AA207-08F0-4F37-B690-C1BC36BC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D6F48"/>
    <w:pPr>
      <w:spacing w:line="240" w:lineRule="auto"/>
      <w:outlineLvl w:val="1"/>
    </w:pPr>
  </w:style>
  <w:style w:type="paragraph" w:styleId="Titre3">
    <w:name w:val="heading 3"/>
    <w:basedOn w:val="Normal"/>
    <w:next w:val="Normal"/>
    <w:qFormat/>
    <w:rsid w:val="006D6F48"/>
    <w:pPr>
      <w:spacing w:line="240" w:lineRule="auto"/>
      <w:outlineLvl w:val="2"/>
    </w:pPr>
  </w:style>
  <w:style w:type="paragraph" w:styleId="Titre4">
    <w:name w:val="heading 4"/>
    <w:basedOn w:val="Normal"/>
    <w:next w:val="Normal"/>
    <w:qFormat/>
    <w:rsid w:val="006D6F48"/>
    <w:pPr>
      <w:spacing w:line="240" w:lineRule="auto"/>
      <w:outlineLvl w:val="3"/>
    </w:pPr>
  </w:style>
  <w:style w:type="paragraph" w:styleId="Titre5">
    <w:name w:val="heading 5"/>
    <w:basedOn w:val="Normal"/>
    <w:next w:val="Normal"/>
    <w:qFormat/>
    <w:rsid w:val="006D6F48"/>
    <w:pPr>
      <w:spacing w:line="240" w:lineRule="auto"/>
      <w:outlineLvl w:val="4"/>
    </w:pPr>
  </w:style>
  <w:style w:type="paragraph" w:styleId="Titre6">
    <w:name w:val="heading 6"/>
    <w:basedOn w:val="Normal"/>
    <w:next w:val="Normal"/>
    <w:qFormat/>
    <w:rsid w:val="006D6F48"/>
    <w:pPr>
      <w:spacing w:line="240" w:lineRule="auto"/>
      <w:outlineLvl w:val="5"/>
    </w:pPr>
  </w:style>
  <w:style w:type="paragraph" w:styleId="Titre7">
    <w:name w:val="heading 7"/>
    <w:basedOn w:val="Normal"/>
    <w:next w:val="Normal"/>
    <w:qFormat/>
    <w:rsid w:val="006D6F48"/>
    <w:pPr>
      <w:spacing w:line="240" w:lineRule="auto"/>
      <w:outlineLvl w:val="6"/>
    </w:pPr>
  </w:style>
  <w:style w:type="paragraph" w:styleId="Titre8">
    <w:name w:val="heading 8"/>
    <w:basedOn w:val="Normal"/>
    <w:next w:val="Normal"/>
    <w:qFormat/>
    <w:rsid w:val="006D6F48"/>
    <w:pPr>
      <w:spacing w:line="240" w:lineRule="auto"/>
      <w:outlineLvl w:val="7"/>
    </w:pPr>
  </w:style>
  <w:style w:type="paragraph" w:styleId="Titre9">
    <w:name w:val="heading 9"/>
    <w:basedOn w:val="Normal"/>
    <w:next w:val="Normal"/>
    <w:qFormat/>
    <w:rsid w:val="006D6F4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D6F48"/>
    <w:rPr>
      <w:rFonts w:cs="Courier New"/>
    </w:rPr>
  </w:style>
  <w:style w:type="paragraph" w:styleId="Corpsdetexte">
    <w:name w:val="Body Text"/>
    <w:basedOn w:val="Normal"/>
    <w:next w:val="Normal"/>
    <w:semiHidden/>
    <w:rsid w:val="006D6F48"/>
  </w:style>
  <w:style w:type="paragraph" w:styleId="Retraitcorpsdetexte">
    <w:name w:val="Body Text Indent"/>
    <w:basedOn w:val="Normal"/>
    <w:semiHidden/>
    <w:rsid w:val="006D6F48"/>
    <w:pPr>
      <w:spacing w:after="120"/>
      <w:ind w:left="283"/>
    </w:pPr>
  </w:style>
  <w:style w:type="paragraph" w:styleId="Normalcentr">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4_GR"/>
    <w:qFormat/>
    <w:rsid w:val="007B6BA5"/>
    <w:rPr>
      <w:rFonts w:ascii="Times New Roman" w:hAnsi="Times New Roman"/>
      <w:sz w:val="18"/>
      <w:vertAlign w:val="superscript"/>
    </w:rPr>
  </w:style>
  <w:style w:type="paragraph" w:styleId="Notedebasdepage">
    <w:name w:val="footnote text"/>
    <w:aliases w:val="5_G,5_GR"/>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D6F48"/>
    <w:rPr>
      <w:sz w:val="6"/>
    </w:rPr>
  </w:style>
  <w:style w:type="paragraph" w:styleId="Commentaire">
    <w:name w:val="annotation text"/>
    <w:basedOn w:val="Normal"/>
    <w:link w:val="CommentaireCar"/>
    <w:semiHidden/>
    <w:rsid w:val="006D6F48"/>
  </w:style>
  <w:style w:type="character" w:styleId="Numrodeligne">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uiPriority w:val="99"/>
    <w:rsid w:val="0024023A"/>
    <w:rPr>
      <w:b/>
      <w:sz w:val="28"/>
      <w:lang w:eastAsia="en-US"/>
    </w:rPr>
  </w:style>
  <w:style w:type="character" w:customStyle="1" w:styleId="NotedebasdepageCar">
    <w:name w:val="Note de bas de page Car"/>
    <w:aliases w:val="5_G Car,5_GR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 w:type="paragraph" w:styleId="Objetducommentaire">
    <w:name w:val="annotation subject"/>
    <w:basedOn w:val="Commentaire"/>
    <w:next w:val="Commentaire"/>
    <w:link w:val="ObjetducommentaireCar"/>
    <w:semiHidden/>
    <w:unhideWhenUsed/>
    <w:rsid w:val="00BA55A7"/>
    <w:pPr>
      <w:spacing w:line="240" w:lineRule="auto"/>
    </w:pPr>
    <w:rPr>
      <w:b/>
      <w:bCs/>
    </w:rPr>
  </w:style>
  <w:style w:type="character" w:customStyle="1" w:styleId="CommentaireCar">
    <w:name w:val="Commentaire Car"/>
    <w:basedOn w:val="Policepardfaut"/>
    <w:link w:val="Commentaire"/>
    <w:semiHidden/>
    <w:rsid w:val="00BA55A7"/>
    <w:rPr>
      <w:lang w:eastAsia="en-US"/>
    </w:rPr>
  </w:style>
  <w:style w:type="character" w:customStyle="1" w:styleId="ObjetducommentaireCar">
    <w:name w:val="Objet du commentaire Car"/>
    <w:basedOn w:val="CommentaireCar"/>
    <w:link w:val="Objetducommentaire"/>
    <w:semiHidden/>
    <w:rsid w:val="00BA55A7"/>
    <w:rPr>
      <w:b/>
      <w:bCs/>
      <w:lang w:eastAsia="en-US"/>
    </w:rPr>
  </w:style>
  <w:style w:type="paragraph" w:styleId="Rvision">
    <w:name w:val="Revision"/>
    <w:hidden/>
    <w:uiPriority w:val="99"/>
    <w:semiHidden/>
    <w:rsid w:val="002446AE"/>
    <w:rPr>
      <w:lang w:eastAsia="en-US"/>
    </w:rPr>
  </w:style>
  <w:style w:type="paragraph" w:customStyle="1" w:styleId="Default">
    <w:name w:val="Default"/>
    <w:rsid w:val="003D2324"/>
    <w:pPr>
      <w:widowControl w:val="0"/>
      <w:autoSpaceDE w:val="0"/>
      <w:autoSpaceDN w:val="0"/>
      <w:adjustRightInd w:val="0"/>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8438">
      <w:bodyDiv w:val="1"/>
      <w:marLeft w:val="0"/>
      <w:marRight w:val="0"/>
      <w:marTop w:val="0"/>
      <w:marBottom w:val="0"/>
      <w:divBdr>
        <w:top w:val="none" w:sz="0" w:space="0" w:color="auto"/>
        <w:left w:val="none" w:sz="0" w:space="0" w:color="auto"/>
        <w:bottom w:val="none" w:sz="0" w:space="0" w:color="auto"/>
        <w:right w:val="none" w:sz="0" w:space="0" w:color="auto"/>
      </w:divBdr>
    </w:div>
    <w:div w:id="294527914">
      <w:bodyDiv w:val="1"/>
      <w:marLeft w:val="0"/>
      <w:marRight w:val="0"/>
      <w:marTop w:val="0"/>
      <w:marBottom w:val="0"/>
      <w:divBdr>
        <w:top w:val="none" w:sz="0" w:space="0" w:color="auto"/>
        <w:left w:val="none" w:sz="0" w:space="0" w:color="auto"/>
        <w:bottom w:val="none" w:sz="0" w:space="0" w:color="auto"/>
        <w:right w:val="none" w:sz="0" w:space="0" w:color="auto"/>
      </w:divBdr>
    </w:div>
    <w:div w:id="1516187614">
      <w:bodyDiv w:val="1"/>
      <w:marLeft w:val="0"/>
      <w:marRight w:val="0"/>
      <w:marTop w:val="0"/>
      <w:marBottom w:val="0"/>
      <w:divBdr>
        <w:top w:val="none" w:sz="0" w:space="0" w:color="auto"/>
        <w:left w:val="none" w:sz="0" w:space="0" w:color="auto"/>
        <w:bottom w:val="none" w:sz="0" w:space="0" w:color="auto"/>
        <w:right w:val="none" w:sz="0" w:space="0" w:color="auto"/>
      </w:divBdr>
    </w:div>
    <w:div w:id="159936155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C4790-4DBE-4DDD-ABB7-059D2725E2BB}">
  <ds:schemaRefs>
    <ds:schemaRef ds:uri="http://schemas.openxmlformats.org/officeDocument/2006/bibliography"/>
  </ds:schemaRefs>
</ds:datastoreItem>
</file>

<file path=customXml/itemProps2.xml><?xml version="1.0" encoding="utf-8"?>
<ds:datastoreItem xmlns:ds="http://schemas.openxmlformats.org/officeDocument/2006/customXml" ds:itemID="{FC51C1F0-42BC-4654-982E-0A6EA541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23CE0-BCBE-4A6B-8AD6-C2F7797AA9ED}">
  <ds:schemaRefs>
    <ds:schemaRef ds:uri="http://schemas.microsoft.com/sharepoint/v3/contenttype/forms"/>
  </ds:schemaRefs>
</ds:datastoreItem>
</file>

<file path=customXml/itemProps4.xml><?xml version="1.0" encoding="utf-8"?>
<ds:datastoreItem xmlns:ds="http://schemas.openxmlformats.org/officeDocument/2006/customXml" ds:itemID="{D987959F-CFF6-4BD4-BC1C-EA1CC9253814}">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399</Words>
  <Characters>2276</Characters>
  <Application>Microsoft Office Word</Application>
  <DocSecurity>0</DocSecurity>
  <Lines>18</Lines>
  <Paragraphs>5</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2670</CharactersWithSpaces>
  <SharedDoc>false</SharedDoc>
  <HLinks>
    <vt:vector size="12" baseType="variant">
      <vt:variant>
        <vt:i4>1376328</vt:i4>
      </vt:variant>
      <vt:variant>
        <vt:i4>3</vt:i4>
      </vt:variant>
      <vt:variant>
        <vt:i4>0</vt:i4>
      </vt:variant>
      <vt:variant>
        <vt:i4>5</vt:i4>
      </vt:variant>
      <vt:variant>
        <vt:lpwstr>https://eur-lex.europa.eu/legal-content/EN/TXT/?uri=CELEX:32020R1182</vt:lpwstr>
      </vt:variant>
      <vt:variant>
        <vt:lpwstr/>
      </vt:variant>
      <vt:variant>
        <vt:i4>1376328</vt:i4>
      </vt:variant>
      <vt:variant>
        <vt:i4>0</vt:i4>
      </vt:variant>
      <vt:variant>
        <vt:i4>0</vt:i4>
      </vt:variant>
      <vt:variant>
        <vt:i4>5</vt:i4>
      </vt:variant>
      <vt:variant>
        <vt:lpwstr>https://eur-lex.europa.eu/legal-content/EN/TXT/?uri=CELEX:32020R1182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Romain Hubert</cp:lastModifiedBy>
  <cp:revision>10</cp:revision>
  <cp:lastPrinted>2021-09-29T12:28:00Z</cp:lastPrinted>
  <dcterms:created xsi:type="dcterms:W3CDTF">2021-09-29T19:07:00Z</dcterms:created>
  <dcterms:modified xsi:type="dcterms:W3CDTF">2021-09-29T22:42:00Z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