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D2E74" w14:paraId="23E20FBA" w14:textId="77777777" w:rsidTr="00C505B3">
        <w:trPr>
          <w:cantSplit/>
          <w:trHeight w:hRule="exact" w:val="851"/>
        </w:trPr>
        <w:tc>
          <w:tcPr>
            <w:tcW w:w="1276" w:type="dxa"/>
            <w:shd w:val="clear" w:color="auto" w:fill="auto"/>
            <w:vAlign w:val="bottom"/>
          </w:tcPr>
          <w:p w14:paraId="4FCBC32A" w14:textId="77777777" w:rsidR="00B56E9C" w:rsidRPr="00CD2E74" w:rsidRDefault="00B56E9C" w:rsidP="00B11BB4">
            <w:pPr>
              <w:spacing w:after="80"/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70B0589" w14:textId="77777777" w:rsidR="00B56E9C" w:rsidRPr="00CD2E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5CE04C75" w14:textId="4C786EDC" w:rsidR="00B56E9C" w:rsidRPr="00CD2E74" w:rsidRDefault="00CD57D2" w:rsidP="00921708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D2E74">
              <w:rPr>
                <w:b/>
                <w:sz w:val="24"/>
                <w:szCs w:val="24"/>
              </w:rPr>
              <w:t>INF.</w:t>
            </w:r>
            <w:r w:rsidR="00B618EC">
              <w:rPr>
                <w:b/>
                <w:sz w:val="24"/>
                <w:szCs w:val="24"/>
              </w:rPr>
              <w:t>46</w:t>
            </w:r>
          </w:p>
        </w:tc>
      </w:tr>
    </w:tbl>
    <w:p w14:paraId="5F901050" w14:textId="77777777" w:rsidR="007E60C9" w:rsidRDefault="007E60C9" w:rsidP="007E60C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4CEAAE0" w14:textId="77777777" w:rsidR="007E60C9" w:rsidRDefault="007E60C9" w:rsidP="007E60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77E16BC" w14:textId="77777777" w:rsidR="007E60C9" w:rsidRDefault="007E60C9" w:rsidP="007E60C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B3B0F73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63CC9102" w14:textId="23631108" w:rsidR="007E60C9" w:rsidRDefault="007E60C9" w:rsidP="007E60C9">
      <w:pPr>
        <w:rPr>
          <w:lang w:val="en-US"/>
        </w:rPr>
      </w:pPr>
      <w:r>
        <w:rPr>
          <w:lang w:val="en-US"/>
        </w:rPr>
        <w:t>Geneva, 21 Se</w:t>
      </w:r>
      <w:r w:rsidR="00921708">
        <w:rPr>
          <w:lang w:val="en-US"/>
        </w:rPr>
        <w:t>ptember – 1 October 2021</w:t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  <w:t>2</w:t>
      </w:r>
      <w:r w:rsidR="000D0708">
        <w:rPr>
          <w:lang w:val="en-US"/>
        </w:rPr>
        <w:t>8</w:t>
      </w:r>
      <w:r>
        <w:rPr>
          <w:lang w:val="en-US"/>
        </w:rPr>
        <w:t xml:space="preserve"> September 2021</w:t>
      </w:r>
    </w:p>
    <w:p w14:paraId="39E3D896" w14:textId="77777777" w:rsidR="007E60C9" w:rsidRDefault="007E60C9" w:rsidP="007E60C9">
      <w:r>
        <w:t>Item 5 (b) of the provisional agenda</w:t>
      </w:r>
    </w:p>
    <w:p w14:paraId="74F8CAAE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Proposals for amendments to RID/ADR/ADN:</w:t>
      </w:r>
      <w:r>
        <w:rPr>
          <w:b/>
          <w:bCs/>
        </w:rPr>
        <w:br/>
        <w:t>new proposals</w:t>
      </w:r>
    </w:p>
    <w:p w14:paraId="07955CCF" w14:textId="76E2667F" w:rsidR="003028C9" w:rsidRDefault="009B1518" w:rsidP="003028C9">
      <w:pPr>
        <w:pStyle w:val="HChG"/>
      </w:pPr>
      <w:r w:rsidRPr="00CD2E74">
        <w:tab/>
      </w:r>
      <w:r w:rsidRPr="00CD2E74">
        <w:tab/>
      </w:r>
      <w:r w:rsidR="003028C9" w:rsidRPr="000B572C">
        <w:t>Proposed amendments to document ECE/TRANS/WP.15/AC.1/2021/37</w:t>
      </w:r>
    </w:p>
    <w:p w14:paraId="66831956" w14:textId="6967FC98" w:rsidR="006454EA" w:rsidRPr="001E380F" w:rsidRDefault="000B3C7A" w:rsidP="00B07C74">
      <w:pPr>
        <w:pStyle w:val="H1G"/>
        <w:rPr>
          <w:szCs w:val="24"/>
        </w:rPr>
      </w:pPr>
      <w:r>
        <w:tab/>
      </w:r>
      <w:r>
        <w:tab/>
      </w:r>
      <w:r w:rsidR="00B07C74">
        <w:t>Transmitted by the</w:t>
      </w:r>
      <w:r w:rsidRPr="001E380F">
        <w:rPr>
          <w:szCs w:val="24"/>
        </w:rPr>
        <w:t xml:space="preserve"> </w:t>
      </w:r>
      <w:r w:rsidR="009150E8" w:rsidRPr="009150E8">
        <w:t>European Council of the Paint, Printing Ink and Artists' Colours Industry</w:t>
      </w:r>
      <w:r w:rsidR="009150E8" w:rsidRPr="009150E8">
        <w:t xml:space="preserve"> </w:t>
      </w:r>
      <w:r w:rsidR="009150E8">
        <w:t>(</w:t>
      </w:r>
      <w:r w:rsidRPr="001E380F">
        <w:rPr>
          <w:szCs w:val="24"/>
        </w:rPr>
        <w:t>CEPE</w:t>
      </w:r>
      <w:r w:rsidR="009150E8">
        <w:rPr>
          <w:szCs w:val="24"/>
        </w:rPr>
        <w:t>)</w:t>
      </w:r>
    </w:p>
    <w:p w14:paraId="577810C4" w14:textId="15857C65" w:rsidR="003028C9" w:rsidRPr="00287EAF" w:rsidRDefault="003028C9" w:rsidP="003028C9">
      <w:pPr>
        <w:pStyle w:val="HChG"/>
      </w:pPr>
      <w:r>
        <w:tab/>
      </w:r>
      <w:r>
        <w:tab/>
      </w:r>
      <w:r w:rsidRPr="00287EAF">
        <w:t>Introduction</w:t>
      </w:r>
    </w:p>
    <w:p w14:paraId="3428072C" w14:textId="00120034" w:rsidR="003028C9" w:rsidRPr="00287EAF" w:rsidRDefault="003028C9" w:rsidP="003028C9">
      <w:pPr>
        <w:pStyle w:val="SingleTxtG"/>
      </w:pPr>
      <w:r>
        <w:t>1.</w:t>
      </w:r>
      <w:r>
        <w:tab/>
      </w:r>
      <w:r w:rsidRPr="00287EAF">
        <w:t>Following the discussion on document ECE/TRANS/WP.15/AC.1/2021/37 in the informal session of the Joint meeting and the proposals for amendments made by the delegates, CEPE was asked to send in an INF document with an amended text.</w:t>
      </w:r>
    </w:p>
    <w:p w14:paraId="7EA7DFE6" w14:textId="1995BE17" w:rsidR="003028C9" w:rsidRPr="00287EAF" w:rsidRDefault="003028C9" w:rsidP="003028C9">
      <w:pPr>
        <w:pStyle w:val="HChG"/>
      </w:pPr>
      <w:r>
        <w:tab/>
      </w:r>
      <w:r>
        <w:tab/>
      </w:r>
      <w:r w:rsidRPr="00287EAF">
        <w:t xml:space="preserve">Proposal </w:t>
      </w:r>
      <w:r>
        <w:t>1</w:t>
      </w:r>
    </w:p>
    <w:p w14:paraId="09456E3F" w14:textId="09EF58A0" w:rsidR="003028C9" w:rsidRPr="00287EAF" w:rsidRDefault="003028C9" w:rsidP="003028C9">
      <w:pPr>
        <w:pStyle w:val="SingleTxtG"/>
      </w:pPr>
      <w:r>
        <w:t>2.</w:t>
      </w:r>
      <w:r>
        <w:tab/>
      </w:r>
      <w:r w:rsidRPr="00287EAF">
        <w:t xml:space="preserve">In Chapter 1.6 of RID/ADR, insert the following new transitional provision: </w:t>
      </w:r>
    </w:p>
    <w:p w14:paraId="47A32BBF" w14:textId="77777777" w:rsidR="003028C9" w:rsidRPr="000B572C" w:rsidRDefault="003028C9" w:rsidP="00234DE7">
      <w:pPr>
        <w:spacing w:before="120" w:after="120"/>
        <w:ind w:left="1134" w:right="1134"/>
        <w:jc w:val="both"/>
      </w:pPr>
      <w:r w:rsidRPr="000B572C">
        <w:t xml:space="preserve">"1.6.1.x </w:t>
      </w:r>
    </w:p>
    <w:p w14:paraId="59D21574" w14:textId="77777777" w:rsidR="003028C9" w:rsidRPr="000B572C" w:rsidRDefault="003028C9" w:rsidP="00234DE7">
      <w:pPr>
        <w:spacing w:before="120" w:after="120"/>
        <w:ind w:left="1134" w:right="1134"/>
        <w:jc w:val="both"/>
      </w:pPr>
      <w:r w:rsidRPr="000B572C">
        <w:rPr>
          <w:strike/>
          <w:color w:val="FF0000"/>
        </w:rPr>
        <w:t>(a)</w:t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Notwithstanding the requirements of RID/ADR applicable as from 1 January 2023,</w:t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adhesives</w:t>
      </w:r>
      <w:r w:rsidRPr="000B572C">
        <w:t xml:space="preserve"> </w:t>
      </w:r>
      <w:r w:rsidRPr="000B572C">
        <w:rPr>
          <w:color w:val="FF0000"/>
        </w:rPr>
        <w:t>Adhesives</w:t>
      </w:r>
      <w:r w:rsidRPr="000B572C">
        <w:t xml:space="preserve">, paint and paint related materials, printing inks and printing ink related materials and resin solutions assigned to UN 3082 environmentally hazardous substance, liquid, n.o.s., PG III </w:t>
      </w:r>
      <w:r w:rsidRPr="000B572C">
        <w:rPr>
          <w:color w:val="FF0000"/>
        </w:rPr>
        <w:t xml:space="preserve">in accordance with </w:t>
      </w:r>
      <w:r>
        <w:rPr>
          <w:color w:val="FF0000"/>
        </w:rPr>
        <w:t xml:space="preserve">2.2.9.1.10.6 as a consequence of </w:t>
      </w:r>
      <w:r w:rsidRPr="000B572C">
        <w:rPr>
          <w:color w:val="FF0000"/>
        </w:rPr>
        <w:t>2.2.9.1.10.5</w:t>
      </w:r>
      <w:r w:rsidRPr="000B572C">
        <w:rPr>
          <w:rStyle w:val="FootnoteReference"/>
          <w:color w:val="FF0000"/>
        </w:rPr>
        <w:footnoteReference w:id="2"/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Regulation (EU) 2020/1182 (fifteenth ATP)</w:t>
      </w:r>
      <w:r w:rsidRPr="000B572C">
        <w:rPr>
          <w:strike/>
          <w:color w:val="FF0000"/>
          <w:vertAlign w:val="superscript"/>
        </w:rPr>
        <w:t>1</w:t>
      </w:r>
      <w:r w:rsidRPr="000B572C">
        <w:rPr>
          <w:color w:val="FF0000"/>
        </w:rPr>
        <w:t xml:space="preserve"> </w:t>
      </w:r>
      <w:r w:rsidRPr="000B572C">
        <w:t xml:space="preserve">containing equal to or more than 0.025 % of the following substances, on their own or in combination; 4,5-dichloro-2-octyl2H-isothiazol-3-one (DCOIT), octhilinone (OIT) and zinc pyrithione (ZnPT), may until 30 June 2025 be carried in </w:t>
      </w:r>
      <w:r w:rsidRPr="000B572C">
        <w:rPr>
          <w:color w:val="FF0000"/>
        </w:rPr>
        <w:t>steel, aluminium</w:t>
      </w:r>
      <w:r w:rsidRPr="000B572C">
        <w:t xml:space="preserve">, </w:t>
      </w:r>
      <w:r w:rsidRPr="000B572C">
        <w:rPr>
          <w:color w:val="FF0000"/>
        </w:rPr>
        <w:t xml:space="preserve">other </w:t>
      </w:r>
      <w:r w:rsidRPr="000B572C">
        <w:t>metal or plastic packaging</w:t>
      </w:r>
      <w:r w:rsidRPr="000B572C">
        <w:rPr>
          <w:color w:val="FF0000"/>
        </w:rPr>
        <w:t>s</w:t>
      </w:r>
      <w:r w:rsidRPr="000B572C">
        <w:t xml:space="preserve">, which </w:t>
      </w:r>
      <w:r w:rsidRPr="000B572C">
        <w:rPr>
          <w:color w:val="FF0000"/>
        </w:rPr>
        <w:t xml:space="preserve">do not </w:t>
      </w:r>
      <w:r w:rsidRPr="000B572C">
        <w:rPr>
          <w:strike/>
          <w:color w:val="FF0000"/>
        </w:rPr>
        <w:t>are not required to</w:t>
      </w:r>
      <w:r w:rsidRPr="000B572C">
        <w:t xml:space="preserve"> meet the requirements of 4.1.1.3 </w:t>
      </w:r>
      <w:r w:rsidRPr="000B572C">
        <w:rPr>
          <w:strike/>
          <w:color w:val="FF0000"/>
        </w:rPr>
        <w:t>and the performance tests in Chapter 6.1</w:t>
      </w:r>
      <w:r w:rsidRPr="000B572C">
        <w:t xml:space="preserve">, when </w:t>
      </w:r>
      <w:r w:rsidRPr="000B572C">
        <w:rPr>
          <w:color w:val="FF0000"/>
        </w:rPr>
        <w:t xml:space="preserve">carried </w:t>
      </w:r>
      <w:r w:rsidRPr="000B572C">
        <w:t xml:space="preserve">in quantities of 30 litres or less per packaging </w:t>
      </w:r>
      <w:r w:rsidRPr="000B572C">
        <w:rPr>
          <w:color w:val="FF0000"/>
        </w:rPr>
        <w:t xml:space="preserve">as follows: </w:t>
      </w:r>
      <w:r w:rsidRPr="000B572C">
        <w:rPr>
          <w:strike/>
          <w:color w:val="FF0000"/>
        </w:rPr>
        <w:t>;</w:t>
      </w:r>
      <w:r w:rsidRPr="000B572C">
        <w:t xml:space="preserve"> </w:t>
      </w:r>
    </w:p>
    <w:p w14:paraId="6B8DDF86" w14:textId="77777777" w:rsidR="003028C9" w:rsidRPr="000B572C" w:rsidRDefault="003028C9" w:rsidP="00234DE7">
      <w:pPr>
        <w:spacing w:before="120" w:after="120"/>
        <w:ind w:left="1134" w:right="1134"/>
        <w:jc w:val="both"/>
        <w:rPr>
          <w:strike/>
          <w:color w:val="FF0000"/>
        </w:rPr>
      </w:pPr>
      <w:r w:rsidRPr="000B572C">
        <w:rPr>
          <w:strike/>
          <w:color w:val="FF0000"/>
        </w:rPr>
        <w:t>(b) The products mentioned in (a), must be carried: -</w:t>
      </w:r>
    </w:p>
    <w:p w14:paraId="3CC51675" w14:textId="03AA0D2C" w:rsidR="003028C9" w:rsidRPr="000B572C" w:rsidRDefault="00234DE7" w:rsidP="00234DE7">
      <w:pPr>
        <w:spacing w:before="120" w:after="120"/>
        <w:ind w:left="1134" w:right="1134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3028C9" w:rsidRPr="000B572C">
        <w:rPr>
          <w:color w:val="FF0000"/>
        </w:rPr>
        <w:t>(a)</w:t>
      </w:r>
      <w:r>
        <w:rPr>
          <w:color w:val="FF0000"/>
        </w:rPr>
        <w:tab/>
      </w:r>
      <w:r w:rsidR="003028C9" w:rsidRPr="001C2291">
        <w:t>In</w:t>
      </w:r>
      <w:r w:rsidR="003028C9" w:rsidRPr="000B572C">
        <w:t xml:space="preserve"> palletized loads, a pallet box or unit load device, e.g. individual packagings placed or stacked and secured by strapping, shrink or stretch-wrapping or other suitable means to a pallet; or – </w:t>
      </w:r>
    </w:p>
    <w:p w14:paraId="6FFB6D3A" w14:textId="6EBBC4E3" w:rsidR="003028C9" w:rsidRPr="000B572C" w:rsidRDefault="00234DE7" w:rsidP="00234DE7">
      <w:pPr>
        <w:spacing w:before="120" w:after="120"/>
        <w:ind w:left="1134" w:right="1134"/>
        <w:jc w:val="both"/>
      </w:pPr>
      <w:r>
        <w:tab/>
      </w:r>
      <w:r>
        <w:tab/>
      </w:r>
      <w:r w:rsidR="003028C9" w:rsidRPr="000B572C">
        <w:t>(b)</w:t>
      </w:r>
      <w:r>
        <w:tab/>
      </w:r>
      <w:r w:rsidR="003028C9" w:rsidRPr="000B572C">
        <w:t>As inner packagings of a combination packagings with a maximum net mass of 40 kg</w:t>
      </w:r>
    </w:p>
    <w:p w14:paraId="1B9A4B66" w14:textId="77777777" w:rsidR="003028C9" w:rsidRDefault="003028C9" w:rsidP="00234DE7">
      <w:pPr>
        <w:spacing w:before="120" w:after="120"/>
        <w:ind w:left="1134" w:right="1134"/>
        <w:jc w:val="both"/>
      </w:pPr>
      <w:r w:rsidRPr="000B572C">
        <w:rPr>
          <w:strike/>
          <w:color w:val="FF0000"/>
        </w:rPr>
        <w:t>(c) GHS/CLP and all other mandatory requirements in RID/ADR must continue to be met</w:t>
      </w:r>
      <w:r w:rsidRPr="000B572C">
        <w:rPr>
          <w:strike/>
        </w:rPr>
        <w:t>.</w:t>
      </w:r>
      <w:r w:rsidRPr="000B572C">
        <w:t>"</w:t>
      </w:r>
    </w:p>
    <w:p w14:paraId="292E7FF0" w14:textId="76B2C7D9" w:rsidR="003028C9" w:rsidRPr="00287EAF" w:rsidRDefault="003028C9" w:rsidP="003028C9">
      <w:pPr>
        <w:pStyle w:val="HChG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 w:rsidRPr="00287EAF">
        <w:rPr>
          <w:bCs/>
          <w:sz w:val="24"/>
          <w:szCs w:val="24"/>
        </w:rPr>
        <w:t xml:space="preserve">Proposal </w:t>
      </w:r>
      <w:r>
        <w:rPr>
          <w:bCs/>
          <w:sz w:val="24"/>
          <w:szCs w:val="24"/>
        </w:rPr>
        <w:t>2</w:t>
      </w:r>
    </w:p>
    <w:p w14:paraId="77EEE5C9" w14:textId="375B4140" w:rsidR="003028C9" w:rsidRPr="00287EAF" w:rsidRDefault="003028C9" w:rsidP="003028C9">
      <w:pPr>
        <w:pStyle w:val="SingleTxtG"/>
      </w:pPr>
      <w:r>
        <w:t>3.</w:t>
      </w:r>
      <w:r>
        <w:tab/>
      </w:r>
      <w:r w:rsidRPr="00287EAF">
        <w:t xml:space="preserve">In Chapter 1.6 of RID/ADR, insert the following new transitional provision: </w:t>
      </w:r>
    </w:p>
    <w:p w14:paraId="22F25ACA" w14:textId="77777777" w:rsidR="003028C9" w:rsidRPr="000B572C" w:rsidRDefault="003028C9" w:rsidP="00234DE7">
      <w:pPr>
        <w:spacing w:before="120" w:after="120"/>
        <w:ind w:left="1134"/>
      </w:pPr>
      <w:r w:rsidRPr="000B572C">
        <w:t xml:space="preserve">"1.6.1.x </w:t>
      </w:r>
    </w:p>
    <w:p w14:paraId="4691BA25" w14:textId="77777777" w:rsidR="003028C9" w:rsidRPr="000B572C" w:rsidRDefault="003028C9" w:rsidP="00234DE7">
      <w:pPr>
        <w:spacing w:before="120" w:after="120"/>
        <w:ind w:left="1134" w:right="1134"/>
        <w:jc w:val="both"/>
      </w:pPr>
      <w:r w:rsidRPr="000B572C">
        <w:rPr>
          <w:strike/>
          <w:color w:val="FF0000"/>
        </w:rPr>
        <w:t>(a)</w:t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Notwithstanding the requirements of RID/ADR applicable as from 1 January 2023,</w:t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adhesives</w:t>
      </w:r>
      <w:r w:rsidRPr="000B572C">
        <w:t xml:space="preserve"> </w:t>
      </w:r>
      <w:r w:rsidRPr="000B572C">
        <w:rPr>
          <w:color w:val="FF0000"/>
        </w:rPr>
        <w:t>Adhesives</w:t>
      </w:r>
      <w:r w:rsidRPr="000B572C">
        <w:t xml:space="preserve">, paint and paint related materials, printing inks and printing ink related materials and resin solutions assigned to UN 3082 environmentally hazardous substance, liquid, n.o.s., PG III </w:t>
      </w:r>
      <w:r w:rsidRPr="000B572C">
        <w:rPr>
          <w:color w:val="FF0000"/>
        </w:rPr>
        <w:t>in accordance with 2.2.9.1.10.5</w:t>
      </w:r>
      <w:r w:rsidRPr="000B572C">
        <w:rPr>
          <w:rStyle w:val="FootnoteReference"/>
          <w:color w:val="FF0000"/>
        </w:rPr>
        <w:footnoteReference w:id="3"/>
      </w:r>
      <w:r w:rsidRPr="000B572C">
        <w:rPr>
          <w:color w:val="FF0000"/>
        </w:rPr>
        <w:t xml:space="preserve"> </w:t>
      </w:r>
      <w:r w:rsidRPr="000B572C">
        <w:rPr>
          <w:strike/>
          <w:color w:val="FF0000"/>
        </w:rPr>
        <w:t>Regulation (EU) 2020/1182 (fifteenth ATP)</w:t>
      </w:r>
      <w:r w:rsidRPr="000B572C">
        <w:rPr>
          <w:strike/>
          <w:color w:val="FF0000"/>
          <w:vertAlign w:val="superscript"/>
        </w:rPr>
        <w:t>1</w:t>
      </w:r>
      <w:r w:rsidRPr="000B572C">
        <w:rPr>
          <w:color w:val="FF0000"/>
        </w:rPr>
        <w:t xml:space="preserve"> </w:t>
      </w:r>
      <w:r w:rsidRPr="000B572C">
        <w:t xml:space="preserve">containing equal to or more than 0.025 % of the following substances, on their own or in combination; 4,5-dichloro-2-octyl2H-isothiazol-3-one (DCOIT), octhilinone (OIT) and zinc pyrithione (ZnPT), may until 30 June 2025 be carried in </w:t>
      </w:r>
      <w:r w:rsidRPr="000B572C">
        <w:rPr>
          <w:color w:val="FF0000"/>
        </w:rPr>
        <w:t>steel, aluminium</w:t>
      </w:r>
      <w:r w:rsidRPr="000B572C">
        <w:t xml:space="preserve">, </w:t>
      </w:r>
      <w:r w:rsidRPr="000B572C">
        <w:rPr>
          <w:color w:val="FF0000"/>
        </w:rPr>
        <w:t xml:space="preserve">other </w:t>
      </w:r>
      <w:r w:rsidRPr="000B572C">
        <w:t>metal or plastic packaging</w:t>
      </w:r>
      <w:r w:rsidRPr="000B572C">
        <w:rPr>
          <w:color w:val="FF0000"/>
        </w:rPr>
        <w:t>s</w:t>
      </w:r>
      <w:r w:rsidRPr="000B572C">
        <w:t xml:space="preserve">, which </w:t>
      </w:r>
      <w:r w:rsidRPr="000B572C">
        <w:rPr>
          <w:color w:val="FF0000"/>
        </w:rPr>
        <w:t xml:space="preserve">do not </w:t>
      </w:r>
      <w:r w:rsidRPr="000B572C">
        <w:rPr>
          <w:strike/>
          <w:color w:val="FF0000"/>
        </w:rPr>
        <w:t>are not required to</w:t>
      </w:r>
      <w:r w:rsidRPr="000B572C">
        <w:t xml:space="preserve"> meet the requirements of 4.1.1.3 </w:t>
      </w:r>
      <w:r w:rsidRPr="000B572C">
        <w:rPr>
          <w:strike/>
          <w:color w:val="FF0000"/>
        </w:rPr>
        <w:t>and the performance tests in Chapter 6.1</w:t>
      </w:r>
      <w:r w:rsidRPr="000B572C">
        <w:t xml:space="preserve">, when </w:t>
      </w:r>
      <w:r w:rsidRPr="000B572C">
        <w:rPr>
          <w:color w:val="FF0000"/>
        </w:rPr>
        <w:t xml:space="preserve">carried </w:t>
      </w:r>
      <w:r w:rsidRPr="000B572C">
        <w:t xml:space="preserve">in quantities of 30 litres or less per packaging </w:t>
      </w:r>
      <w:r w:rsidRPr="000B572C">
        <w:rPr>
          <w:color w:val="FF0000"/>
        </w:rPr>
        <w:t xml:space="preserve">as follows: </w:t>
      </w:r>
      <w:r w:rsidRPr="000B572C">
        <w:rPr>
          <w:strike/>
          <w:color w:val="FF0000"/>
        </w:rPr>
        <w:t>;</w:t>
      </w:r>
      <w:r w:rsidRPr="000B572C">
        <w:t xml:space="preserve"> </w:t>
      </w:r>
    </w:p>
    <w:p w14:paraId="5F9EF136" w14:textId="77777777" w:rsidR="003028C9" w:rsidRPr="000B572C" w:rsidRDefault="003028C9" w:rsidP="00234DE7">
      <w:pPr>
        <w:spacing w:before="120" w:after="120"/>
        <w:ind w:left="1134" w:right="1134"/>
        <w:jc w:val="both"/>
        <w:rPr>
          <w:strike/>
          <w:color w:val="FF0000"/>
        </w:rPr>
      </w:pPr>
      <w:r w:rsidRPr="000B572C">
        <w:rPr>
          <w:strike/>
          <w:color w:val="FF0000"/>
        </w:rPr>
        <w:t>(b) The products mentioned in (a), must be carried: -</w:t>
      </w:r>
    </w:p>
    <w:p w14:paraId="6F98814D" w14:textId="289EB78E" w:rsidR="003028C9" w:rsidRPr="000B572C" w:rsidRDefault="002E38AB" w:rsidP="00234DE7">
      <w:pPr>
        <w:spacing w:before="120" w:after="120"/>
        <w:ind w:left="1134" w:right="1134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3028C9" w:rsidRPr="000B572C">
        <w:rPr>
          <w:color w:val="FF0000"/>
        </w:rPr>
        <w:t>(a)</w:t>
      </w:r>
      <w:r>
        <w:rPr>
          <w:color w:val="FF0000"/>
        </w:rPr>
        <w:tab/>
      </w:r>
      <w:r w:rsidR="003028C9" w:rsidRPr="001C2291">
        <w:t>In</w:t>
      </w:r>
      <w:r w:rsidR="003028C9" w:rsidRPr="000B572C">
        <w:t xml:space="preserve"> palletized loads, a pallet box or unit load device, e.g. individual packagings placed or stacked and secured by strapping, shrink or stretch-wrapping or other suitable means to a pallet; or – </w:t>
      </w:r>
    </w:p>
    <w:p w14:paraId="48A55B43" w14:textId="520E004D" w:rsidR="003028C9" w:rsidRPr="000B572C" w:rsidRDefault="003028C9" w:rsidP="00234DE7">
      <w:pPr>
        <w:spacing w:before="120" w:after="120"/>
        <w:ind w:left="1134" w:right="1134" w:firstLine="567"/>
        <w:jc w:val="both"/>
      </w:pPr>
      <w:r w:rsidRPr="000B572C">
        <w:t>(b)</w:t>
      </w:r>
      <w:r w:rsidR="002E38AB">
        <w:tab/>
      </w:r>
      <w:r w:rsidRPr="000B572C">
        <w:t>As inner packagings of a combination packagings with a maximum net mass of 40 kg</w:t>
      </w:r>
    </w:p>
    <w:p w14:paraId="0AAAEF96" w14:textId="77777777" w:rsidR="003028C9" w:rsidRDefault="003028C9" w:rsidP="00234DE7">
      <w:pPr>
        <w:spacing w:before="120" w:after="120"/>
        <w:ind w:left="1134" w:right="1134"/>
        <w:jc w:val="both"/>
      </w:pPr>
      <w:r w:rsidRPr="000B572C">
        <w:rPr>
          <w:strike/>
          <w:color w:val="FF0000"/>
        </w:rPr>
        <w:t>(c) GHS/CLP and all other mandatory requirements in RID/ADR must continue to be met</w:t>
      </w:r>
      <w:r w:rsidRPr="000B572C">
        <w:rPr>
          <w:strike/>
        </w:rPr>
        <w:t>.</w:t>
      </w:r>
      <w:r w:rsidRPr="000B572C">
        <w:t>"</w:t>
      </w:r>
    </w:p>
    <w:p w14:paraId="4DA4EC60" w14:textId="2892DA6B" w:rsidR="00E06FC5" w:rsidRPr="0080271B" w:rsidRDefault="0080271B" w:rsidP="008027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6FC5" w:rsidRPr="0080271B" w:rsidSect="003E41B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D798" w14:textId="77777777" w:rsidR="00B36C88" w:rsidRDefault="00B36C88"/>
  </w:endnote>
  <w:endnote w:type="continuationSeparator" w:id="0">
    <w:p w14:paraId="314321FB" w14:textId="77777777" w:rsidR="00B36C88" w:rsidRDefault="00B36C88"/>
  </w:endnote>
  <w:endnote w:type="continuationNotice" w:id="1">
    <w:p w14:paraId="53D7561B" w14:textId="77777777" w:rsidR="00B36C88" w:rsidRDefault="00B36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212B" w14:textId="77777777" w:rsidR="00652CFC" w:rsidRDefault="00891583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359F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145D" w14:textId="77777777" w:rsidR="00652CFC" w:rsidRPr="00652CFC" w:rsidRDefault="00891583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972BC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E9BC" w14:textId="77777777" w:rsidR="00B36C88" w:rsidRPr="000B175B" w:rsidRDefault="00B36C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DF02F9" w14:textId="77777777" w:rsidR="00B36C88" w:rsidRPr="00FC68B7" w:rsidRDefault="00B36C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5F1AEC" w14:textId="77777777" w:rsidR="00B36C88" w:rsidRDefault="00B36C88"/>
  </w:footnote>
  <w:footnote w:id="2">
    <w:p w14:paraId="2C53F78B" w14:textId="42925722" w:rsidR="003028C9" w:rsidRPr="00227851" w:rsidRDefault="003028C9" w:rsidP="003028C9">
      <w:pPr>
        <w:pStyle w:val="FootnoteText"/>
        <w:rPr>
          <w:lang w:val="en-US"/>
        </w:rPr>
      </w:pPr>
      <w:r>
        <w:tab/>
      </w:r>
      <w:r>
        <w:tab/>
      </w:r>
      <w:r w:rsidRPr="003028C9">
        <w:rPr>
          <w:rStyle w:val="FootnoteReference"/>
          <w:sz w:val="20"/>
        </w:rPr>
        <w:footnoteRef/>
      </w:r>
      <w:r w:rsidRPr="003028C9">
        <w:rPr>
          <w:sz w:val="20"/>
        </w:rPr>
        <w:t xml:space="preserve"> </w:t>
      </w:r>
      <w:r>
        <w:tab/>
      </w:r>
      <w:r w:rsidRPr="00227851">
        <w:t>Commission Delegated Regulation (EU) 2020/1182</w:t>
      </w:r>
      <w:r w:rsidRPr="00227851">
        <w:rPr>
          <w:color w:val="FF0000"/>
        </w:rPr>
        <w:t xml:space="preserve"> of 19 May 2020 amending, for the purposes of its adaptation to technical and scientific progress, Part 3 of Annex VI to Regulation (EC) No 1272/2008 of the European Parliament and of the Council on classification, labelling and packaging of substances and mixtures </w:t>
      </w:r>
      <w:r w:rsidRPr="00227851">
        <w:t>(fifteenth ATP to CLP</w:t>
      </w:r>
      <w:r w:rsidRPr="00227851">
        <w:rPr>
          <w:color w:val="FF0000"/>
        </w:rPr>
        <w:t>, applicable from 1 March 2022</w:t>
      </w:r>
      <w:r w:rsidRPr="00227851">
        <w:t xml:space="preserve">) </w:t>
      </w:r>
      <w:hyperlink r:id="rId1" w:history="1">
        <w:r w:rsidRPr="00227851">
          <w:rPr>
            <w:rStyle w:val="Hyperlink"/>
          </w:rPr>
          <w:t>EUR-Lex - 32020R1182 - EN - EUR-Lex (europa.eu)</w:t>
        </w:r>
      </w:hyperlink>
      <w:r w:rsidRPr="00227851">
        <w:rPr>
          <w:rStyle w:val="Hyperlink"/>
          <w:lang w:val="en-US"/>
        </w:rPr>
        <w:t xml:space="preserve"> </w:t>
      </w:r>
    </w:p>
  </w:footnote>
  <w:footnote w:id="3">
    <w:p w14:paraId="2C4C5315" w14:textId="550BE9E9" w:rsidR="003028C9" w:rsidRPr="00227851" w:rsidRDefault="00925C50" w:rsidP="003028C9">
      <w:pPr>
        <w:pStyle w:val="FootnoteText"/>
        <w:rPr>
          <w:lang w:val="en-US"/>
        </w:rPr>
      </w:pPr>
      <w:r>
        <w:tab/>
      </w:r>
      <w:r>
        <w:tab/>
      </w:r>
      <w:r w:rsidR="003028C9">
        <w:rPr>
          <w:rStyle w:val="FootnoteReference"/>
        </w:rPr>
        <w:footnoteRef/>
      </w:r>
      <w:r>
        <w:tab/>
      </w:r>
      <w:r w:rsidR="003028C9" w:rsidRPr="00227851">
        <w:t>Commission Delegated Regulation (EU) 2020/1182</w:t>
      </w:r>
      <w:r w:rsidR="003028C9" w:rsidRPr="00227851">
        <w:rPr>
          <w:color w:val="FF0000"/>
        </w:rPr>
        <w:t xml:space="preserve"> of 19 May 2020 amending, for the purposes of its adaptation to technical and scientific progress, Part 3 of Annex VI to Regulation (EC) No 1272/2008 of the European Parliament and of the Council on classification, labelling and packaging of substances and mixtures </w:t>
      </w:r>
      <w:r w:rsidR="003028C9" w:rsidRPr="00227851">
        <w:t>(fifteenth ATP to CLP</w:t>
      </w:r>
      <w:r w:rsidR="003028C9" w:rsidRPr="00227851">
        <w:rPr>
          <w:color w:val="FF0000"/>
        </w:rPr>
        <w:t>, applicable from 1 March 2022</w:t>
      </w:r>
      <w:r w:rsidR="003028C9" w:rsidRPr="00227851">
        <w:t xml:space="preserve">) </w:t>
      </w:r>
      <w:hyperlink r:id="rId2" w:history="1">
        <w:r w:rsidR="003028C9" w:rsidRPr="00227851">
          <w:rPr>
            <w:rStyle w:val="Hyperlink"/>
          </w:rPr>
          <w:t>EUR-Lex - 32020R1182 - EN - EUR-Lex (europa.eu)</w:t>
        </w:r>
      </w:hyperlink>
      <w:r w:rsidR="003028C9" w:rsidRPr="00227851">
        <w:rPr>
          <w:rStyle w:val="Hyperlink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04A4" w14:textId="360D4701"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  <w:r w:rsidR="0036435E">
      <w:rPr>
        <w:lang w:val="fr-CH"/>
      </w:rPr>
      <w:t>.</w:t>
    </w:r>
    <w:r w:rsidR="003028C9">
      <w:rPr>
        <w:lang w:val="fr-CH"/>
      </w:rPr>
      <w:t>4</w:t>
    </w:r>
    <w:r w:rsidR="002A3D68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FB2A" w14:textId="7777777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DC2858">
      <w:rPr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88704F"/>
    <w:multiLevelType w:val="hybridMultilevel"/>
    <w:tmpl w:val="C97C1EE0"/>
    <w:lvl w:ilvl="0" w:tplc="BC3853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E43F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42AFB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C2C7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0400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D34C4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B2E2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72EA9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F22A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9A51C0"/>
    <w:multiLevelType w:val="hybridMultilevel"/>
    <w:tmpl w:val="ED36B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17F92"/>
    <w:multiLevelType w:val="hybridMultilevel"/>
    <w:tmpl w:val="C884181E"/>
    <w:lvl w:ilvl="0" w:tplc="91526782">
      <w:start w:val="1"/>
      <w:numFmt w:val="decimal"/>
      <w:lvlText w:val="%1."/>
      <w:lvlJc w:val="left"/>
      <w:pPr>
        <w:ind w:left="720" w:hanging="360"/>
      </w:pPr>
    </w:lvl>
    <w:lvl w:ilvl="1" w:tplc="7D86DCB4">
      <w:start w:val="1"/>
      <w:numFmt w:val="lowerLetter"/>
      <w:lvlText w:val="%2."/>
      <w:lvlJc w:val="left"/>
      <w:pPr>
        <w:ind w:left="1440" w:hanging="360"/>
      </w:pPr>
    </w:lvl>
    <w:lvl w:ilvl="2" w:tplc="8B747D54">
      <w:start w:val="1"/>
      <w:numFmt w:val="lowerRoman"/>
      <w:lvlText w:val="%3."/>
      <w:lvlJc w:val="right"/>
      <w:pPr>
        <w:ind w:left="2160" w:hanging="180"/>
      </w:pPr>
    </w:lvl>
    <w:lvl w:ilvl="3" w:tplc="6B8C7522">
      <w:start w:val="1"/>
      <w:numFmt w:val="decimal"/>
      <w:lvlText w:val="%4."/>
      <w:lvlJc w:val="left"/>
      <w:pPr>
        <w:ind w:left="2880" w:hanging="360"/>
      </w:pPr>
    </w:lvl>
    <w:lvl w:ilvl="4" w:tplc="15BE8166">
      <w:start w:val="1"/>
      <w:numFmt w:val="lowerLetter"/>
      <w:lvlText w:val="%5."/>
      <w:lvlJc w:val="left"/>
      <w:pPr>
        <w:ind w:left="3600" w:hanging="360"/>
      </w:pPr>
    </w:lvl>
    <w:lvl w:ilvl="5" w:tplc="8A264194">
      <w:start w:val="1"/>
      <w:numFmt w:val="lowerRoman"/>
      <w:lvlText w:val="%6."/>
      <w:lvlJc w:val="right"/>
      <w:pPr>
        <w:ind w:left="4320" w:hanging="180"/>
      </w:pPr>
    </w:lvl>
    <w:lvl w:ilvl="6" w:tplc="517ED9C0">
      <w:start w:val="1"/>
      <w:numFmt w:val="decimal"/>
      <w:lvlText w:val="%7."/>
      <w:lvlJc w:val="left"/>
      <w:pPr>
        <w:ind w:left="5040" w:hanging="360"/>
      </w:pPr>
    </w:lvl>
    <w:lvl w:ilvl="7" w:tplc="5B762FEE">
      <w:start w:val="1"/>
      <w:numFmt w:val="lowerLetter"/>
      <w:lvlText w:val="%8."/>
      <w:lvlJc w:val="left"/>
      <w:pPr>
        <w:ind w:left="5760" w:hanging="360"/>
      </w:pPr>
    </w:lvl>
    <w:lvl w:ilvl="8" w:tplc="2F74BE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E6A91"/>
    <w:multiLevelType w:val="hybridMultilevel"/>
    <w:tmpl w:val="ED36B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9" w15:restartNumberingAfterBreak="0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24"/>
  </w:num>
  <w:num w:numId="15">
    <w:abstractNumId w:val="15"/>
  </w:num>
  <w:num w:numId="16">
    <w:abstractNumId w:val="13"/>
  </w:num>
  <w:num w:numId="17">
    <w:abstractNumId w:val="26"/>
  </w:num>
  <w:num w:numId="18">
    <w:abstractNumId w:val="16"/>
  </w:num>
  <w:num w:numId="19">
    <w:abstractNumId w:val="27"/>
  </w:num>
  <w:num w:numId="20">
    <w:abstractNumId w:val="22"/>
  </w:num>
  <w:num w:numId="21">
    <w:abstractNumId w:val="25"/>
  </w:num>
  <w:num w:numId="22">
    <w:abstractNumId w:val="12"/>
  </w:num>
  <w:num w:numId="23">
    <w:abstractNumId w:val="21"/>
  </w:num>
  <w:num w:numId="24">
    <w:abstractNumId w:val="28"/>
  </w:num>
  <w:num w:numId="25">
    <w:abstractNumId w:val="23"/>
  </w:num>
  <w:num w:numId="26">
    <w:abstractNumId w:val="29"/>
  </w:num>
  <w:num w:numId="27">
    <w:abstractNumId w:val="18"/>
  </w:num>
  <w:num w:numId="28">
    <w:abstractNumId w:val="11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0E06"/>
    <w:rsid w:val="00014DB3"/>
    <w:rsid w:val="00027685"/>
    <w:rsid w:val="00037F90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14A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3C7A"/>
    <w:rsid w:val="000B4EF7"/>
    <w:rsid w:val="000B633F"/>
    <w:rsid w:val="000C2C03"/>
    <w:rsid w:val="000C2D2E"/>
    <w:rsid w:val="000C4D51"/>
    <w:rsid w:val="000C7794"/>
    <w:rsid w:val="000C7F79"/>
    <w:rsid w:val="000D0708"/>
    <w:rsid w:val="000E0124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90532"/>
    <w:rsid w:val="001A395A"/>
    <w:rsid w:val="001A57BD"/>
    <w:rsid w:val="001A6E55"/>
    <w:rsid w:val="001B053F"/>
    <w:rsid w:val="001B13A5"/>
    <w:rsid w:val="001B4B04"/>
    <w:rsid w:val="001B7F5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380F"/>
    <w:rsid w:val="001E7B67"/>
    <w:rsid w:val="001F2705"/>
    <w:rsid w:val="001F7435"/>
    <w:rsid w:val="00202DA8"/>
    <w:rsid w:val="00203753"/>
    <w:rsid w:val="002102FF"/>
    <w:rsid w:val="0021114C"/>
    <w:rsid w:val="0021157B"/>
    <w:rsid w:val="00211E0B"/>
    <w:rsid w:val="002336E0"/>
    <w:rsid w:val="00234DE7"/>
    <w:rsid w:val="00237690"/>
    <w:rsid w:val="0024023A"/>
    <w:rsid w:val="00243217"/>
    <w:rsid w:val="002446AE"/>
    <w:rsid w:val="00247CC2"/>
    <w:rsid w:val="00252290"/>
    <w:rsid w:val="002614B5"/>
    <w:rsid w:val="00264DFD"/>
    <w:rsid w:val="0026532A"/>
    <w:rsid w:val="00267F5F"/>
    <w:rsid w:val="0027208D"/>
    <w:rsid w:val="002736A6"/>
    <w:rsid w:val="00273CC3"/>
    <w:rsid w:val="002815A4"/>
    <w:rsid w:val="00286B4D"/>
    <w:rsid w:val="00292A77"/>
    <w:rsid w:val="00293582"/>
    <w:rsid w:val="002A3C85"/>
    <w:rsid w:val="002A3D68"/>
    <w:rsid w:val="002A603B"/>
    <w:rsid w:val="002C1737"/>
    <w:rsid w:val="002C6B57"/>
    <w:rsid w:val="002D4643"/>
    <w:rsid w:val="002D4B6C"/>
    <w:rsid w:val="002E38AB"/>
    <w:rsid w:val="002F175C"/>
    <w:rsid w:val="002F41D4"/>
    <w:rsid w:val="003028C9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71EA"/>
    <w:rsid w:val="0036435E"/>
    <w:rsid w:val="00370C43"/>
    <w:rsid w:val="00371178"/>
    <w:rsid w:val="003A6810"/>
    <w:rsid w:val="003B311A"/>
    <w:rsid w:val="003B36D1"/>
    <w:rsid w:val="003C2177"/>
    <w:rsid w:val="003C2CC4"/>
    <w:rsid w:val="003C7C2C"/>
    <w:rsid w:val="003D4B23"/>
    <w:rsid w:val="003D60E9"/>
    <w:rsid w:val="003E41BB"/>
    <w:rsid w:val="003F6429"/>
    <w:rsid w:val="00400297"/>
    <w:rsid w:val="00410C89"/>
    <w:rsid w:val="00416FFB"/>
    <w:rsid w:val="00422E03"/>
    <w:rsid w:val="004266AC"/>
    <w:rsid w:val="00426B9B"/>
    <w:rsid w:val="004321F2"/>
    <w:rsid w:val="004325CB"/>
    <w:rsid w:val="004356D2"/>
    <w:rsid w:val="00442A83"/>
    <w:rsid w:val="004460EA"/>
    <w:rsid w:val="00453EF0"/>
    <w:rsid w:val="0045495B"/>
    <w:rsid w:val="00455F93"/>
    <w:rsid w:val="00464C81"/>
    <w:rsid w:val="00480290"/>
    <w:rsid w:val="0048397A"/>
    <w:rsid w:val="00483F1B"/>
    <w:rsid w:val="004861B3"/>
    <w:rsid w:val="00487C8B"/>
    <w:rsid w:val="00495210"/>
    <w:rsid w:val="004A12F2"/>
    <w:rsid w:val="004A28A3"/>
    <w:rsid w:val="004C2461"/>
    <w:rsid w:val="004C408F"/>
    <w:rsid w:val="004C7462"/>
    <w:rsid w:val="004D0066"/>
    <w:rsid w:val="004D4E04"/>
    <w:rsid w:val="004D5426"/>
    <w:rsid w:val="004E0C05"/>
    <w:rsid w:val="004E77B2"/>
    <w:rsid w:val="00503DEB"/>
    <w:rsid w:val="00504B2D"/>
    <w:rsid w:val="00507993"/>
    <w:rsid w:val="00512827"/>
    <w:rsid w:val="00512A1F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5684B"/>
    <w:rsid w:val="005628B6"/>
    <w:rsid w:val="0058164C"/>
    <w:rsid w:val="005835AD"/>
    <w:rsid w:val="005909B3"/>
    <w:rsid w:val="005916BA"/>
    <w:rsid w:val="0059363D"/>
    <w:rsid w:val="005B0833"/>
    <w:rsid w:val="005B0D56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26D45"/>
    <w:rsid w:val="00630BAF"/>
    <w:rsid w:val="00634974"/>
    <w:rsid w:val="0063658A"/>
    <w:rsid w:val="00640B26"/>
    <w:rsid w:val="006454EA"/>
    <w:rsid w:val="006477AB"/>
    <w:rsid w:val="00652CFC"/>
    <w:rsid w:val="00652D0A"/>
    <w:rsid w:val="00656145"/>
    <w:rsid w:val="006623D5"/>
    <w:rsid w:val="00662BB6"/>
    <w:rsid w:val="00667F8F"/>
    <w:rsid w:val="006741F1"/>
    <w:rsid w:val="00681F79"/>
    <w:rsid w:val="00684C21"/>
    <w:rsid w:val="0069377E"/>
    <w:rsid w:val="006A2530"/>
    <w:rsid w:val="006B1C12"/>
    <w:rsid w:val="006C3589"/>
    <w:rsid w:val="006D37AF"/>
    <w:rsid w:val="006D51D0"/>
    <w:rsid w:val="006D63B3"/>
    <w:rsid w:val="006D6F48"/>
    <w:rsid w:val="006E564B"/>
    <w:rsid w:val="006E7191"/>
    <w:rsid w:val="00703577"/>
    <w:rsid w:val="0070359F"/>
    <w:rsid w:val="00705894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A7486"/>
    <w:rsid w:val="007B22C2"/>
    <w:rsid w:val="007B6BA5"/>
    <w:rsid w:val="007C2E47"/>
    <w:rsid w:val="007C3390"/>
    <w:rsid w:val="007C4F4B"/>
    <w:rsid w:val="007E01E9"/>
    <w:rsid w:val="007E60C9"/>
    <w:rsid w:val="007E63F3"/>
    <w:rsid w:val="007E7E99"/>
    <w:rsid w:val="007F1F2D"/>
    <w:rsid w:val="007F6611"/>
    <w:rsid w:val="007F7106"/>
    <w:rsid w:val="007F7A86"/>
    <w:rsid w:val="0080271B"/>
    <w:rsid w:val="00807E1D"/>
    <w:rsid w:val="008116D7"/>
    <w:rsid w:val="00811920"/>
    <w:rsid w:val="00815AD0"/>
    <w:rsid w:val="008242D7"/>
    <w:rsid w:val="008257B1"/>
    <w:rsid w:val="00826C3D"/>
    <w:rsid w:val="0083048B"/>
    <w:rsid w:val="00842175"/>
    <w:rsid w:val="008433F2"/>
    <w:rsid w:val="00843767"/>
    <w:rsid w:val="00854501"/>
    <w:rsid w:val="00856952"/>
    <w:rsid w:val="008571B0"/>
    <w:rsid w:val="00857E47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1583"/>
    <w:rsid w:val="00894B0D"/>
    <w:rsid w:val="008979B1"/>
    <w:rsid w:val="008A6B25"/>
    <w:rsid w:val="008A6C4F"/>
    <w:rsid w:val="008A7B69"/>
    <w:rsid w:val="008B2335"/>
    <w:rsid w:val="008C7DAF"/>
    <w:rsid w:val="008C7F9C"/>
    <w:rsid w:val="008E0678"/>
    <w:rsid w:val="008E0DAA"/>
    <w:rsid w:val="008E187A"/>
    <w:rsid w:val="008E4D3A"/>
    <w:rsid w:val="008E6A1C"/>
    <w:rsid w:val="008F7AD0"/>
    <w:rsid w:val="009150E8"/>
    <w:rsid w:val="00917AC0"/>
    <w:rsid w:val="00921708"/>
    <w:rsid w:val="009223CA"/>
    <w:rsid w:val="0092392E"/>
    <w:rsid w:val="00925C50"/>
    <w:rsid w:val="009269ED"/>
    <w:rsid w:val="0093211C"/>
    <w:rsid w:val="00933585"/>
    <w:rsid w:val="00940F93"/>
    <w:rsid w:val="0094558F"/>
    <w:rsid w:val="00961690"/>
    <w:rsid w:val="00972BC4"/>
    <w:rsid w:val="009760F3"/>
    <w:rsid w:val="00980305"/>
    <w:rsid w:val="0098203C"/>
    <w:rsid w:val="0098722E"/>
    <w:rsid w:val="00987FAD"/>
    <w:rsid w:val="009A0E8D"/>
    <w:rsid w:val="009A460C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9F3D89"/>
    <w:rsid w:val="00A00A3F"/>
    <w:rsid w:val="00A01489"/>
    <w:rsid w:val="00A120E8"/>
    <w:rsid w:val="00A3009E"/>
    <w:rsid w:val="00A3026E"/>
    <w:rsid w:val="00A338F1"/>
    <w:rsid w:val="00A37932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C1F89"/>
    <w:rsid w:val="00AC345D"/>
    <w:rsid w:val="00AD44C2"/>
    <w:rsid w:val="00AD48FA"/>
    <w:rsid w:val="00AD4C05"/>
    <w:rsid w:val="00AE4840"/>
    <w:rsid w:val="00AF7EF2"/>
    <w:rsid w:val="00B07C74"/>
    <w:rsid w:val="00B11BB4"/>
    <w:rsid w:val="00B22BC2"/>
    <w:rsid w:val="00B30179"/>
    <w:rsid w:val="00B3207A"/>
    <w:rsid w:val="00B36690"/>
    <w:rsid w:val="00B36C88"/>
    <w:rsid w:val="00B418AB"/>
    <w:rsid w:val="00B421C1"/>
    <w:rsid w:val="00B430AD"/>
    <w:rsid w:val="00B52FD7"/>
    <w:rsid w:val="00B55C71"/>
    <w:rsid w:val="00B56E4A"/>
    <w:rsid w:val="00B56E9C"/>
    <w:rsid w:val="00B61320"/>
    <w:rsid w:val="00B618EC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A4044"/>
    <w:rsid w:val="00BA55A7"/>
    <w:rsid w:val="00BB741D"/>
    <w:rsid w:val="00BB7CD1"/>
    <w:rsid w:val="00BB7FE9"/>
    <w:rsid w:val="00BC3FA0"/>
    <w:rsid w:val="00BC74E9"/>
    <w:rsid w:val="00BC7C0D"/>
    <w:rsid w:val="00BD55A0"/>
    <w:rsid w:val="00BD6C9F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505B3"/>
    <w:rsid w:val="00C629A0"/>
    <w:rsid w:val="00C64629"/>
    <w:rsid w:val="00C73056"/>
    <w:rsid w:val="00C745C3"/>
    <w:rsid w:val="00C7629A"/>
    <w:rsid w:val="00C777D5"/>
    <w:rsid w:val="00C87367"/>
    <w:rsid w:val="00C87FD7"/>
    <w:rsid w:val="00CA56B7"/>
    <w:rsid w:val="00CB3E03"/>
    <w:rsid w:val="00CD2E74"/>
    <w:rsid w:val="00CD57D2"/>
    <w:rsid w:val="00CE4A8F"/>
    <w:rsid w:val="00CE4B11"/>
    <w:rsid w:val="00CE69D8"/>
    <w:rsid w:val="00CE7196"/>
    <w:rsid w:val="00D00610"/>
    <w:rsid w:val="00D2031B"/>
    <w:rsid w:val="00D25FE2"/>
    <w:rsid w:val="00D263A7"/>
    <w:rsid w:val="00D41103"/>
    <w:rsid w:val="00D43252"/>
    <w:rsid w:val="00D467F3"/>
    <w:rsid w:val="00D473CD"/>
    <w:rsid w:val="00D47EEA"/>
    <w:rsid w:val="00D54567"/>
    <w:rsid w:val="00D550D4"/>
    <w:rsid w:val="00D61EEC"/>
    <w:rsid w:val="00D65303"/>
    <w:rsid w:val="00D729FB"/>
    <w:rsid w:val="00D773DF"/>
    <w:rsid w:val="00D77995"/>
    <w:rsid w:val="00D80773"/>
    <w:rsid w:val="00D87235"/>
    <w:rsid w:val="00D876F8"/>
    <w:rsid w:val="00D87F37"/>
    <w:rsid w:val="00D9255F"/>
    <w:rsid w:val="00D95303"/>
    <w:rsid w:val="00D978C6"/>
    <w:rsid w:val="00DA26F1"/>
    <w:rsid w:val="00DA3C1C"/>
    <w:rsid w:val="00DA3FE5"/>
    <w:rsid w:val="00DB6CA5"/>
    <w:rsid w:val="00DC2362"/>
    <w:rsid w:val="00DC2858"/>
    <w:rsid w:val="00DC634C"/>
    <w:rsid w:val="00DE048C"/>
    <w:rsid w:val="00E01D68"/>
    <w:rsid w:val="00E046DF"/>
    <w:rsid w:val="00E06FC5"/>
    <w:rsid w:val="00E12674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4BCC"/>
    <w:rsid w:val="00EB72D9"/>
    <w:rsid w:val="00EC106A"/>
    <w:rsid w:val="00EC32A0"/>
    <w:rsid w:val="00ED0BC6"/>
    <w:rsid w:val="00ED7A2A"/>
    <w:rsid w:val="00EE0102"/>
    <w:rsid w:val="00EE62ED"/>
    <w:rsid w:val="00EE6B3A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93781"/>
    <w:rsid w:val="00FA3772"/>
    <w:rsid w:val="00FA79F4"/>
    <w:rsid w:val="00FB0731"/>
    <w:rsid w:val="00FB613B"/>
    <w:rsid w:val="00FC398D"/>
    <w:rsid w:val="00FC3C87"/>
    <w:rsid w:val="00FC68B7"/>
    <w:rsid w:val="00FD0251"/>
    <w:rsid w:val="00FD49F1"/>
    <w:rsid w:val="00FE0135"/>
    <w:rsid w:val="00FE106A"/>
    <w:rsid w:val="00FE3ACA"/>
    <w:rsid w:val="00FE55C5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DDE18B"/>
  <w15:docId w15:val="{520CA968-F574-4DF3-830A-ABA3D3B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D6F4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D6F4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D6F4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D6F4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D6F4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D6F4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D6F4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D6F4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D6F4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D6F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D6F4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D6F4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D6F48"/>
    <w:rPr>
      <w:rFonts w:cs="Courier New"/>
    </w:rPr>
  </w:style>
  <w:style w:type="paragraph" w:styleId="BodyText">
    <w:name w:val="Body Text"/>
    <w:basedOn w:val="Normal"/>
    <w:next w:val="Normal"/>
    <w:semiHidden/>
    <w:rsid w:val="006D6F48"/>
  </w:style>
  <w:style w:type="paragraph" w:styleId="BodyTextIndent">
    <w:name w:val="Body Text Indent"/>
    <w:basedOn w:val="Normal"/>
    <w:semiHidden/>
    <w:rsid w:val="006D6F48"/>
    <w:pPr>
      <w:spacing w:after="120"/>
      <w:ind w:left="283"/>
    </w:pPr>
  </w:style>
  <w:style w:type="paragraph" w:styleId="BlockText">
    <w:name w:val="Block Text"/>
    <w:basedOn w:val="Normal"/>
    <w:rsid w:val="006D6F4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D6F48"/>
    <w:rPr>
      <w:sz w:val="6"/>
    </w:rPr>
  </w:style>
  <w:style w:type="paragraph" w:styleId="CommentText">
    <w:name w:val="annotation text"/>
    <w:basedOn w:val="Normal"/>
    <w:link w:val="CommentTextChar"/>
    <w:semiHidden/>
    <w:rsid w:val="006D6F48"/>
  </w:style>
  <w:style w:type="character" w:styleId="LineNumber">
    <w:name w:val="line number"/>
    <w:semiHidden/>
    <w:rsid w:val="006D6F4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D6F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:32020R1182" TargetMode="External"/><Relationship Id="rId1" Type="http://schemas.openxmlformats.org/officeDocument/2006/relationships/hyperlink" Target="https://eur-lex.europa.eu/legal-content/EN/TXT/?uri=CELEX:32020R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23CE0-BCBE-4A6B-8AD6-C2F7797AA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C4790-4DBE-4DDD-ABB7-059D2725E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7959F-CFF6-4BD4-BC1C-EA1CC9253814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51C1F0-42BC-4654-982E-0A6EA541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14</cp:revision>
  <cp:lastPrinted>2017-09-13T08:27:00Z</cp:lastPrinted>
  <dcterms:created xsi:type="dcterms:W3CDTF">2021-09-28T08:01:00Z</dcterms:created>
  <dcterms:modified xsi:type="dcterms:W3CDTF">2021-09-28T08:38:00Z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