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14:paraId="23E20FBA" w14:textId="77777777" w:rsidTr="00B11BB4">
        <w:trPr>
          <w:cantSplit/>
          <w:trHeight w:hRule="exact" w:val="851"/>
        </w:trPr>
        <w:tc>
          <w:tcPr>
            <w:tcW w:w="1276" w:type="dxa"/>
            <w:tcBorders>
              <w:bottom w:val="single" w:sz="4" w:space="0" w:color="auto"/>
            </w:tcBorders>
            <w:shd w:val="clear" w:color="auto" w:fill="auto"/>
            <w:vAlign w:val="bottom"/>
          </w:tcPr>
          <w:p w14:paraId="4FCBC32A" w14:textId="77777777" w:rsidR="00B56E9C" w:rsidRPr="00CD2E74" w:rsidRDefault="00B56E9C" w:rsidP="00B11BB4">
            <w:pPr>
              <w:spacing w:after="80"/>
            </w:pPr>
          </w:p>
        </w:tc>
        <w:tc>
          <w:tcPr>
            <w:tcW w:w="2268" w:type="dxa"/>
            <w:tcBorders>
              <w:bottom w:val="single" w:sz="4" w:space="0" w:color="auto"/>
            </w:tcBorders>
            <w:shd w:val="clear" w:color="auto" w:fill="auto"/>
            <w:vAlign w:val="bottom"/>
          </w:tcPr>
          <w:p w14:paraId="570B0589" w14:textId="77777777" w:rsidR="00B56E9C" w:rsidRPr="00CD2E7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5CE04C75" w14:textId="36B95CEB" w:rsidR="00B56E9C" w:rsidRPr="00CD2E74" w:rsidRDefault="00CD57D2" w:rsidP="00010C41">
            <w:pPr>
              <w:suppressAutoHyphens w:val="0"/>
              <w:spacing w:after="20"/>
              <w:jc w:val="right"/>
              <w:rPr>
                <w:b/>
                <w:sz w:val="24"/>
                <w:szCs w:val="24"/>
              </w:rPr>
            </w:pPr>
            <w:r w:rsidRPr="00CD2E74">
              <w:rPr>
                <w:b/>
                <w:sz w:val="24"/>
                <w:szCs w:val="24"/>
              </w:rPr>
              <w:t>INF.</w:t>
            </w:r>
            <w:r w:rsidR="00320F46">
              <w:rPr>
                <w:b/>
                <w:sz w:val="24"/>
                <w:szCs w:val="24"/>
              </w:rPr>
              <w:t>44</w:t>
            </w:r>
          </w:p>
        </w:tc>
      </w:tr>
    </w:tbl>
    <w:p w14:paraId="5F901050" w14:textId="77777777" w:rsidR="007E60C9" w:rsidRDefault="007E60C9" w:rsidP="007E60C9">
      <w:pPr>
        <w:spacing w:before="120"/>
        <w:rPr>
          <w:b/>
          <w:sz w:val="28"/>
          <w:szCs w:val="28"/>
        </w:rPr>
      </w:pPr>
      <w:r>
        <w:rPr>
          <w:b/>
          <w:sz w:val="28"/>
          <w:szCs w:val="28"/>
        </w:rPr>
        <w:t>Economic Commission for Europe</w:t>
      </w:r>
    </w:p>
    <w:p w14:paraId="34CEAAE0" w14:textId="77777777" w:rsidR="007E60C9" w:rsidRDefault="007E60C9" w:rsidP="007E60C9">
      <w:pPr>
        <w:spacing w:before="120"/>
        <w:rPr>
          <w:sz w:val="28"/>
          <w:szCs w:val="28"/>
        </w:rPr>
      </w:pPr>
      <w:r>
        <w:rPr>
          <w:sz w:val="28"/>
          <w:szCs w:val="28"/>
        </w:rPr>
        <w:t>Inland Transport Committee</w:t>
      </w:r>
    </w:p>
    <w:p w14:paraId="777E16BC" w14:textId="77777777" w:rsidR="007E60C9" w:rsidRDefault="007E60C9" w:rsidP="007E60C9">
      <w:pPr>
        <w:spacing w:before="120" w:after="120"/>
        <w:rPr>
          <w:b/>
          <w:sz w:val="24"/>
          <w:szCs w:val="24"/>
        </w:rPr>
      </w:pPr>
      <w:r>
        <w:rPr>
          <w:b/>
          <w:sz w:val="24"/>
          <w:szCs w:val="24"/>
        </w:rPr>
        <w:t>Working Party on the Transport of Dangerous Goods</w:t>
      </w:r>
    </w:p>
    <w:p w14:paraId="3B3B0F73" w14:textId="77777777" w:rsidR="007E60C9" w:rsidRDefault="007E60C9" w:rsidP="007E60C9">
      <w:pPr>
        <w:rPr>
          <w:b/>
          <w:bCs/>
        </w:rPr>
      </w:pPr>
      <w:r>
        <w:rPr>
          <w:b/>
          <w:bCs/>
        </w:rPr>
        <w:t>Joint Meeting of the RID Committee of Experts and the</w:t>
      </w:r>
      <w:r>
        <w:rPr>
          <w:b/>
          <w:bCs/>
        </w:rPr>
        <w:br/>
        <w:t>Working Party on the Transport of Dangerous Goods</w:t>
      </w:r>
    </w:p>
    <w:p w14:paraId="63CC9102" w14:textId="61D0519A" w:rsidR="007E60C9" w:rsidRDefault="007E60C9" w:rsidP="007E60C9">
      <w:pPr>
        <w:rPr>
          <w:lang w:val="en-US"/>
        </w:rPr>
      </w:pPr>
      <w:r>
        <w:rPr>
          <w:lang w:val="en-US"/>
        </w:rPr>
        <w:t>Geneva, 21 September – 1 October 2021</w:t>
      </w:r>
      <w:r>
        <w:rPr>
          <w:lang w:val="en-US"/>
        </w:rPr>
        <w:tab/>
      </w:r>
      <w:r>
        <w:rPr>
          <w:lang w:val="en-US"/>
        </w:rPr>
        <w:tab/>
      </w:r>
      <w:r>
        <w:rPr>
          <w:lang w:val="en-US"/>
        </w:rPr>
        <w:tab/>
      </w:r>
      <w:r>
        <w:rPr>
          <w:lang w:val="en-US"/>
        </w:rPr>
        <w:tab/>
      </w:r>
      <w:r>
        <w:rPr>
          <w:lang w:val="en-US"/>
        </w:rPr>
        <w:tab/>
      </w:r>
      <w:r>
        <w:rPr>
          <w:lang w:val="en-US"/>
        </w:rPr>
        <w:tab/>
      </w:r>
      <w:r>
        <w:rPr>
          <w:lang w:val="en-US"/>
        </w:rPr>
        <w:tab/>
      </w:r>
      <w:r w:rsidR="00010C41">
        <w:rPr>
          <w:lang w:val="en-US"/>
        </w:rPr>
        <w:t>2</w:t>
      </w:r>
      <w:r w:rsidR="00D80ECB">
        <w:rPr>
          <w:lang w:val="en-US"/>
        </w:rPr>
        <w:t>4</w:t>
      </w:r>
      <w:r w:rsidR="00010C41">
        <w:rPr>
          <w:lang w:val="en-US"/>
        </w:rPr>
        <w:t xml:space="preserve"> </w:t>
      </w:r>
      <w:r>
        <w:rPr>
          <w:lang w:val="en-US"/>
        </w:rPr>
        <w:t>September 2021</w:t>
      </w:r>
    </w:p>
    <w:p w14:paraId="39E3D896" w14:textId="7E1B09D1" w:rsidR="007E60C9" w:rsidRDefault="007E60C9" w:rsidP="007E60C9">
      <w:r>
        <w:t>Item 5 (</w:t>
      </w:r>
      <w:r w:rsidR="00797B92">
        <w:t>a</w:t>
      </w:r>
      <w:r>
        <w:t>) of the provisional agenda</w:t>
      </w:r>
    </w:p>
    <w:p w14:paraId="74F8CAAE" w14:textId="33E5D45D" w:rsidR="007E60C9" w:rsidRDefault="007E60C9" w:rsidP="007E60C9">
      <w:pPr>
        <w:rPr>
          <w:b/>
          <w:bCs/>
        </w:rPr>
      </w:pPr>
      <w:r w:rsidRPr="00D80ECB">
        <w:rPr>
          <w:b/>
          <w:bCs/>
        </w:rPr>
        <w:t>Proposals for amendments to RID/ADR/ADN:</w:t>
      </w:r>
      <w:r w:rsidRPr="00D80ECB">
        <w:rPr>
          <w:b/>
          <w:bCs/>
        </w:rPr>
        <w:br/>
      </w:r>
      <w:r w:rsidR="00797B92" w:rsidRPr="00D80ECB">
        <w:rPr>
          <w:b/>
          <w:bCs/>
        </w:rPr>
        <w:t>pending issues</w:t>
      </w:r>
    </w:p>
    <w:p w14:paraId="076871A6" w14:textId="34EA62EE" w:rsidR="00797B92" w:rsidRDefault="009B1518" w:rsidP="00FD49F1">
      <w:pPr>
        <w:pStyle w:val="HChG"/>
      </w:pPr>
      <w:r w:rsidRPr="00CD2E74">
        <w:tab/>
      </w:r>
      <w:r w:rsidRPr="00CD2E74">
        <w:tab/>
      </w:r>
      <w:r w:rsidR="00F24737">
        <w:t>Supplement</w:t>
      </w:r>
      <w:r w:rsidR="00797B92">
        <w:t xml:space="preserve"> </w:t>
      </w:r>
      <w:r w:rsidR="00F24737">
        <w:t>to</w:t>
      </w:r>
      <w:r w:rsidR="00797B92">
        <w:t xml:space="preserve"> </w:t>
      </w:r>
      <w:r w:rsidR="00D80ECB" w:rsidRPr="00D80ECB">
        <w:t>ECE/TRANS/WP.15/AC.1/2021/40</w:t>
      </w:r>
      <w:r w:rsidR="00797B92">
        <w:t>: c</w:t>
      </w:r>
      <w:r w:rsidR="00B930D4">
        <w:t>ontainers for c</w:t>
      </w:r>
      <w:r w:rsidR="00797B92">
        <w:t>arriage in bulk</w:t>
      </w:r>
    </w:p>
    <w:p w14:paraId="1DCC78CA" w14:textId="65854CB0" w:rsidR="00DC2858" w:rsidRPr="00F24737" w:rsidRDefault="00B930D4" w:rsidP="003F0907">
      <w:pPr>
        <w:pStyle w:val="HChG"/>
        <w:rPr>
          <w:sz w:val="24"/>
        </w:rPr>
      </w:pPr>
      <w:r w:rsidRPr="00F24737">
        <w:rPr>
          <w:i/>
          <w:sz w:val="22"/>
        </w:rPr>
        <w:tab/>
      </w:r>
      <w:r w:rsidR="00E01D68" w:rsidRPr="00F24737">
        <w:rPr>
          <w:sz w:val="24"/>
        </w:rPr>
        <w:tab/>
      </w:r>
      <w:r w:rsidR="00E01D68" w:rsidRPr="00F24737">
        <w:rPr>
          <w:sz w:val="24"/>
        </w:rPr>
        <w:tab/>
      </w:r>
      <w:r w:rsidR="00010C41" w:rsidRPr="00F24737">
        <w:rPr>
          <w:sz w:val="24"/>
        </w:rPr>
        <w:t>Transmitted by the Government of Switzerland</w:t>
      </w:r>
    </w:p>
    <w:p w14:paraId="26358D82" w14:textId="409ACD16" w:rsidR="00D601E2" w:rsidRDefault="00D80ECB" w:rsidP="00B930D4">
      <w:pPr>
        <w:pStyle w:val="SingleTxtG"/>
      </w:pPr>
      <w:r>
        <w:tab/>
        <w:t>1.</w:t>
      </w:r>
      <w:r>
        <w:tab/>
      </w:r>
      <w:r w:rsidR="00B930D4">
        <w:t>In</w:t>
      </w:r>
      <w:r>
        <w:t xml:space="preserve"> document </w:t>
      </w:r>
      <w:r w:rsidRPr="00D80ECB">
        <w:t>ECE/TRANS/WP.15/AC.1/2021/40</w:t>
      </w:r>
      <w:r>
        <w:t xml:space="preserve">, Switzerland proposed to </w:t>
      </w:r>
      <w:r w:rsidR="00D601E2">
        <w:t>amend the</w:t>
      </w:r>
      <w:r w:rsidR="00B930D4">
        <w:t xml:space="preserve"> note to 5.3.2.1.5 RID/ADR/ADN adopted by the Joint Meeting</w:t>
      </w:r>
      <w:r w:rsidR="00D601E2">
        <w:t xml:space="preserve"> in autumn 2020 (</w:t>
      </w:r>
      <w:r w:rsidR="00D601E2" w:rsidRPr="00D601E2">
        <w:t>see annex II to the r</w:t>
      </w:r>
      <w:r w:rsidR="00D601E2">
        <w:t>eport ECE/TRANS/WP.15/AC.1/158)</w:t>
      </w:r>
      <w:r w:rsidR="005154B6">
        <w:t xml:space="preserve">. </w:t>
      </w:r>
      <w:r w:rsidR="00D601E2">
        <w:t xml:space="preserve">The Joint meeting agreed </w:t>
      </w:r>
      <w:r w:rsidR="005154B6">
        <w:t xml:space="preserve">in principle </w:t>
      </w:r>
      <w:r w:rsidR="00D601E2">
        <w:t xml:space="preserve">with the </w:t>
      </w:r>
      <w:r w:rsidR="005154B6">
        <w:t>proposal</w:t>
      </w:r>
      <w:r w:rsidR="00D601E2">
        <w:t xml:space="preserve"> </w:t>
      </w:r>
      <w:r w:rsidR="005154B6">
        <w:t xml:space="preserve">to </w:t>
      </w:r>
      <w:r w:rsidR="005154B6" w:rsidRPr="000E5251">
        <w:t>use the</w:t>
      </w:r>
      <w:r w:rsidRPr="000E5251">
        <w:t xml:space="preserve"> generic</w:t>
      </w:r>
      <w:r w:rsidR="00B930D4" w:rsidRPr="000E5251">
        <w:t xml:space="preserve"> term "containers for carriage in bulk" in the note </w:t>
      </w:r>
      <w:r w:rsidR="009F4C70">
        <w:t>based on the assumption that</w:t>
      </w:r>
      <w:r w:rsidR="000E5251">
        <w:t xml:space="preserve"> this </w:t>
      </w:r>
      <w:r w:rsidR="005154B6" w:rsidRPr="000E5251">
        <w:t>include</w:t>
      </w:r>
      <w:r w:rsidR="00C9708A">
        <w:t>s</w:t>
      </w:r>
      <w:r w:rsidR="00D601E2" w:rsidRPr="000E5251">
        <w:t xml:space="preserve"> </w:t>
      </w:r>
      <w:r w:rsidR="00F24737" w:rsidRPr="000E5251">
        <w:t xml:space="preserve">both bulk </w:t>
      </w:r>
      <w:r w:rsidR="00D601E2" w:rsidRPr="000E5251">
        <w:t xml:space="preserve">containers according to Chapter 6.11 (BK codes) </w:t>
      </w:r>
      <w:r w:rsidR="00F24737" w:rsidRPr="000E5251">
        <w:t>and</w:t>
      </w:r>
      <w:r w:rsidR="00D601E2" w:rsidRPr="000E5251">
        <w:t xml:space="preserve"> containers </w:t>
      </w:r>
      <w:r w:rsidR="000E5251" w:rsidRPr="000E5251">
        <w:t>that are not necessary bulk containers</w:t>
      </w:r>
      <w:r w:rsidR="0000477C">
        <w:t>,</w:t>
      </w:r>
      <w:r w:rsidR="000E5251" w:rsidRPr="000E5251">
        <w:t xml:space="preserve"> but conform to the VC codes and the additional provisions AP.</w:t>
      </w:r>
    </w:p>
    <w:p w14:paraId="25571DA6" w14:textId="2811B649" w:rsidR="005154B6" w:rsidRDefault="00D601E2" w:rsidP="00B930D4">
      <w:pPr>
        <w:pStyle w:val="SingleTxtG"/>
        <w:rPr>
          <w:rFonts w:ascii="TimesNewRomanPSMT" w:hAnsi="TimesNewRomanPSMT" w:cs="TimesNewRomanPSMT"/>
          <w:lang w:val="en-US" w:eastAsia="en-GB"/>
        </w:rPr>
      </w:pPr>
      <w:r>
        <w:t>2.</w:t>
      </w:r>
      <w:r w:rsidR="005154B6">
        <w:tab/>
        <w:t>The Swiss delegate</w:t>
      </w:r>
      <w:r>
        <w:t xml:space="preserve"> also mentioned that </w:t>
      </w:r>
      <w:r w:rsidR="005154B6">
        <w:rPr>
          <w:rFonts w:ascii="TimesNewRomanPSMT" w:hAnsi="TimesNewRomanPSMT" w:cs="TimesNewRomanPSMT"/>
          <w:lang w:val="en-US" w:eastAsia="en-GB"/>
        </w:rPr>
        <w:t xml:space="preserve">few </w:t>
      </w:r>
      <w:r w:rsidR="00F24737">
        <w:rPr>
          <w:rFonts w:ascii="TimesNewRomanPSMT" w:hAnsi="TimesNewRomanPSMT" w:cs="TimesNewRomanPSMT"/>
          <w:lang w:val="en-US" w:eastAsia="en-GB"/>
        </w:rPr>
        <w:t>terms "</w:t>
      </w:r>
      <w:r w:rsidR="00F24737" w:rsidRPr="00D601E2">
        <w:rPr>
          <w:rFonts w:ascii="TimesNewRomanPSMT" w:hAnsi="TimesNewRomanPSMT" w:cs="TimesNewRomanPSMT"/>
          <w:lang w:val="en-US" w:eastAsia="en-GB"/>
        </w:rPr>
        <w:t>bulk containers</w:t>
      </w:r>
      <w:r w:rsidR="00F24737">
        <w:rPr>
          <w:rFonts w:ascii="TimesNewRomanPSMT" w:hAnsi="TimesNewRomanPSMT" w:cs="TimesNewRomanPSMT"/>
          <w:lang w:val="en-US" w:eastAsia="en-GB"/>
        </w:rPr>
        <w:t>"</w:t>
      </w:r>
      <w:r w:rsidR="00F24737" w:rsidRPr="00D601E2">
        <w:rPr>
          <w:rFonts w:ascii="TimesNewRomanPSMT" w:hAnsi="TimesNewRomanPSMT" w:cs="TimesNewRomanPSMT"/>
          <w:lang w:val="en-US" w:eastAsia="en-GB"/>
        </w:rPr>
        <w:t xml:space="preserve"> </w:t>
      </w:r>
      <w:r w:rsidR="005154B6">
        <w:t xml:space="preserve">in the </w:t>
      </w:r>
      <w:r w:rsidR="005154B6" w:rsidRPr="00D601E2">
        <w:rPr>
          <w:rFonts w:ascii="TimesNewRomanPSMT" w:hAnsi="TimesNewRomanPSMT" w:cs="TimesNewRomanPSMT"/>
          <w:lang w:val="en-US" w:eastAsia="en-GB"/>
        </w:rPr>
        <w:t xml:space="preserve">French version of RID/ADR/ADN </w:t>
      </w:r>
      <w:r w:rsidR="00F24737">
        <w:rPr>
          <w:rFonts w:ascii="TimesNewRomanPSMT" w:hAnsi="TimesNewRomanPSMT" w:cs="TimesNewRomanPSMT"/>
          <w:lang w:val="en-US" w:eastAsia="en-GB"/>
        </w:rPr>
        <w:t>should</w:t>
      </w:r>
      <w:r w:rsidR="005154B6">
        <w:rPr>
          <w:rFonts w:ascii="TimesNewRomanPSMT" w:hAnsi="TimesNewRomanPSMT" w:cs="TimesNewRomanPSMT"/>
          <w:lang w:val="en-US" w:eastAsia="en-GB"/>
        </w:rPr>
        <w:t xml:space="preserve"> be replaced by</w:t>
      </w:r>
      <w:r w:rsidR="0000477C">
        <w:rPr>
          <w:rFonts w:ascii="TimesNewRomanPSMT" w:hAnsi="TimesNewRomanPSMT" w:cs="TimesNewRomanPSMT"/>
          <w:lang w:val="en-US" w:eastAsia="en-GB"/>
        </w:rPr>
        <w:t xml:space="preserve"> "</w:t>
      </w:r>
      <w:r w:rsidR="005154B6">
        <w:rPr>
          <w:rFonts w:ascii="TimesNewRomanPSMT" w:hAnsi="TimesNewRomanPSMT" w:cs="TimesNewRomanPSMT"/>
          <w:lang w:val="en-US" w:eastAsia="en-GB"/>
        </w:rPr>
        <w:t>containers for carriage in bulk"</w:t>
      </w:r>
      <w:r w:rsidR="005154B6" w:rsidRPr="00D601E2">
        <w:rPr>
          <w:rFonts w:ascii="TimesNewRomanPSMT" w:hAnsi="TimesNewRomanPSMT" w:cs="TimesNewRomanPSMT"/>
          <w:lang w:val="en-US" w:eastAsia="en-GB"/>
        </w:rPr>
        <w:t xml:space="preserve">. </w:t>
      </w:r>
      <w:r w:rsidR="009F4C70">
        <w:rPr>
          <w:rFonts w:ascii="TimesNewRomanPSMT" w:hAnsi="TimesNewRomanPSMT" w:cs="TimesNewRomanPSMT"/>
          <w:lang w:val="en-US" w:eastAsia="en-GB"/>
        </w:rPr>
        <w:t>T</w:t>
      </w:r>
      <w:r w:rsidR="005154B6">
        <w:rPr>
          <w:rFonts w:ascii="TimesNewRomanPSMT" w:hAnsi="TimesNewRomanPSMT" w:cs="TimesNewRomanPSMT"/>
          <w:lang w:val="en-US" w:eastAsia="en-GB"/>
        </w:rPr>
        <w:t xml:space="preserve">hese </w:t>
      </w:r>
      <w:r w:rsidR="00F24737">
        <w:rPr>
          <w:rFonts w:ascii="TimesNewRomanPSMT" w:hAnsi="TimesNewRomanPSMT" w:cs="TimesNewRomanPSMT"/>
          <w:lang w:val="en-US" w:eastAsia="en-GB"/>
        </w:rPr>
        <w:t xml:space="preserve">amendments </w:t>
      </w:r>
      <w:r w:rsidR="005154B6">
        <w:rPr>
          <w:rFonts w:ascii="TimesNewRomanPSMT" w:hAnsi="TimesNewRomanPSMT" w:cs="TimesNewRomanPSMT"/>
          <w:lang w:val="en-US" w:eastAsia="en-GB"/>
        </w:rPr>
        <w:t xml:space="preserve">were editorial </w:t>
      </w:r>
      <w:r w:rsidR="0000477C">
        <w:rPr>
          <w:rFonts w:ascii="TimesNewRomanPSMT" w:hAnsi="TimesNewRomanPSMT" w:cs="TimesNewRomanPSMT"/>
          <w:lang w:val="en-US" w:eastAsia="en-GB"/>
        </w:rPr>
        <w:t>and aimed at</w:t>
      </w:r>
      <w:r w:rsidR="005154B6">
        <w:rPr>
          <w:rFonts w:ascii="TimesNewRomanPSMT" w:hAnsi="TimesNewRomanPSMT" w:cs="TimesNewRomanPSMT"/>
          <w:lang w:val="en-US" w:eastAsia="en-GB"/>
        </w:rPr>
        <w:t xml:space="preserve"> align</w:t>
      </w:r>
      <w:r w:rsidR="0000477C">
        <w:rPr>
          <w:rFonts w:ascii="TimesNewRomanPSMT" w:hAnsi="TimesNewRomanPSMT" w:cs="TimesNewRomanPSMT"/>
          <w:lang w:val="en-US" w:eastAsia="en-GB"/>
        </w:rPr>
        <w:t>ing</w:t>
      </w:r>
      <w:r w:rsidR="005154B6">
        <w:rPr>
          <w:rFonts w:ascii="TimesNewRomanPSMT" w:hAnsi="TimesNewRomanPSMT" w:cs="TimesNewRomanPSMT"/>
          <w:lang w:val="en-US" w:eastAsia="en-GB"/>
        </w:rPr>
        <w:t xml:space="preserve"> the French version </w:t>
      </w:r>
      <w:r w:rsidR="0000477C">
        <w:rPr>
          <w:rFonts w:ascii="TimesNewRomanPSMT" w:hAnsi="TimesNewRomanPSMT" w:cs="TimesNewRomanPSMT"/>
          <w:lang w:val="en-US" w:eastAsia="en-GB"/>
        </w:rPr>
        <w:t>on</w:t>
      </w:r>
      <w:r w:rsidR="005154B6">
        <w:rPr>
          <w:rFonts w:ascii="TimesNewRomanPSMT" w:hAnsi="TimesNewRomanPSMT" w:cs="TimesNewRomanPSMT"/>
          <w:lang w:val="en-US" w:eastAsia="en-GB"/>
        </w:rPr>
        <w:t xml:space="preserve"> the English and German versions. </w:t>
      </w:r>
    </w:p>
    <w:p w14:paraId="2E7DEC0A" w14:textId="532D8B1D" w:rsidR="005154B6" w:rsidRDefault="005154B6" w:rsidP="00B930D4">
      <w:pPr>
        <w:pStyle w:val="SingleTxtG"/>
      </w:pPr>
      <w:r>
        <w:t>3.</w:t>
      </w:r>
      <w:r>
        <w:tab/>
        <w:t>During the discussions on document 2021/40 by the Joint Meeting, some delegations expressed the concern that Chapter 7.3 "</w:t>
      </w:r>
      <w:r w:rsidR="00F24737">
        <w:t>Provisions concerning c</w:t>
      </w:r>
      <w:r>
        <w:t xml:space="preserve">arriage in bulk" may </w:t>
      </w:r>
      <w:r w:rsidR="0000477C">
        <w:t xml:space="preserve">contains inconsistencies either </w:t>
      </w:r>
      <w:r w:rsidR="00F24737">
        <w:t xml:space="preserve">in the use of the terminology </w:t>
      </w:r>
      <w:r w:rsidR="0000477C">
        <w:t xml:space="preserve">or in the </w:t>
      </w:r>
      <w:r w:rsidR="000F53AB">
        <w:t xml:space="preserve">description of its </w:t>
      </w:r>
      <w:r w:rsidR="0000477C">
        <w:t xml:space="preserve">scope. The Joint Meeting </w:t>
      </w:r>
      <w:r>
        <w:t xml:space="preserve">invited the delegate of Switzerland to </w:t>
      </w:r>
      <w:r w:rsidR="00F24737">
        <w:t>look into it</w:t>
      </w:r>
      <w:r>
        <w:t xml:space="preserve"> </w:t>
      </w:r>
      <w:r w:rsidR="00F24737">
        <w:t>and spot</w:t>
      </w:r>
      <w:r>
        <w:t xml:space="preserve"> any </w:t>
      </w:r>
      <w:r w:rsidR="00F24737">
        <w:t xml:space="preserve">necessary clarifications or </w:t>
      </w:r>
      <w:r>
        <w:t>amendments.</w:t>
      </w:r>
    </w:p>
    <w:p w14:paraId="5696003D" w14:textId="4E81EB43" w:rsidR="00F24737" w:rsidRPr="00F24737" w:rsidRDefault="00CD0CA1" w:rsidP="00F24737">
      <w:pPr>
        <w:pStyle w:val="HChG"/>
      </w:pPr>
      <w:r>
        <w:tab/>
      </w:r>
      <w:r>
        <w:tab/>
      </w:r>
      <w:r w:rsidR="00F24737" w:rsidRPr="00F24737">
        <w:t>Definition of "carriage in bulk" and "container for carriage in bulk"</w:t>
      </w:r>
    </w:p>
    <w:p w14:paraId="151C53A1" w14:textId="76AAB876" w:rsidR="00F24737" w:rsidRPr="00FA78C2" w:rsidRDefault="00F24737" w:rsidP="00F24737">
      <w:pPr>
        <w:pStyle w:val="SingleTxtG"/>
      </w:pPr>
      <w:r w:rsidRPr="00FA78C2">
        <w:t>4.</w:t>
      </w:r>
      <w:r w:rsidRPr="00FA78C2">
        <w:tab/>
        <w:t>According to 1.2.1 RID/ADR:</w:t>
      </w:r>
    </w:p>
    <w:p w14:paraId="52A1B324" w14:textId="77777777" w:rsidR="009F4C70" w:rsidRDefault="009F4C70" w:rsidP="0000477C">
      <w:pPr>
        <w:pStyle w:val="SingleTxtG"/>
        <w:rPr>
          <w:szCs w:val="22"/>
        </w:rPr>
      </w:pPr>
      <w:r w:rsidRPr="00417E17">
        <w:rPr>
          <w:b/>
          <w:szCs w:val="22"/>
        </w:rPr>
        <w:t>Carriage in bulk</w:t>
      </w:r>
      <w:r>
        <w:rPr>
          <w:szCs w:val="22"/>
        </w:rPr>
        <w:t>:</w:t>
      </w:r>
      <w:r w:rsidRPr="00F24737">
        <w:rPr>
          <w:szCs w:val="22"/>
        </w:rPr>
        <w:t xml:space="preserve"> means the carriage of unpackaged solids or articles </w:t>
      </w:r>
      <w:r w:rsidRPr="00F24737">
        <w:rPr>
          <w:color w:val="FF0000"/>
          <w:szCs w:val="22"/>
        </w:rPr>
        <w:t>in wagons/vehicles, containers or bulk containers</w:t>
      </w:r>
      <w:r w:rsidRPr="00F24737">
        <w:rPr>
          <w:szCs w:val="22"/>
        </w:rPr>
        <w:t>. The term does not apply to packaged goods nor to substances carried in tanks;</w:t>
      </w:r>
    </w:p>
    <w:p w14:paraId="0E7382CD" w14:textId="6D7C3F9F" w:rsidR="0000477C" w:rsidRDefault="0000477C" w:rsidP="0000477C">
      <w:pPr>
        <w:pStyle w:val="SingleTxtG"/>
        <w:rPr>
          <w:szCs w:val="22"/>
          <w:lang w:val="de-CH"/>
        </w:rPr>
      </w:pPr>
      <w:r w:rsidRPr="0000477C">
        <w:rPr>
          <w:b/>
          <w:szCs w:val="22"/>
          <w:lang w:val="de-CH"/>
        </w:rPr>
        <w:t>Beförderung in loser Schüttung</w:t>
      </w:r>
      <w:r w:rsidRPr="00F24737">
        <w:rPr>
          <w:szCs w:val="22"/>
          <w:lang w:val="de-CH"/>
        </w:rPr>
        <w:t xml:space="preserve">: Beförderung von unverpackten festen Stoffen oder Gegenständen </w:t>
      </w:r>
      <w:r w:rsidRPr="00F24737">
        <w:rPr>
          <w:color w:val="FF0000"/>
          <w:szCs w:val="22"/>
          <w:lang w:val="de-CH"/>
        </w:rPr>
        <w:t>in</w:t>
      </w:r>
      <w:r w:rsidR="00417E17">
        <w:rPr>
          <w:color w:val="FF0000"/>
          <w:szCs w:val="22"/>
          <w:lang w:val="de-CH"/>
        </w:rPr>
        <w:t xml:space="preserve"> </w:t>
      </w:r>
      <w:r w:rsidRPr="00F24737">
        <w:rPr>
          <w:color w:val="FF0000"/>
          <w:szCs w:val="22"/>
          <w:lang w:val="de-CH"/>
        </w:rPr>
        <w:t>Wagen/Fahrzeugen, Containern oder Schüttgut-Containern</w:t>
      </w:r>
      <w:r w:rsidRPr="00F24737">
        <w:rPr>
          <w:szCs w:val="22"/>
          <w:lang w:val="de-CH"/>
        </w:rPr>
        <w:t>; dieser Begriff gilt weder für Güter, die als Versandstücke, noch für Stoffe, die in Tanks befördert werden.</w:t>
      </w:r>
    </w:p>
    <w:p w14:paraId="43BD0421" w14:textId="46870EAA" w:rsidR="0000477C" w:rsidRDefault="00417E17" w:rsidP="0000477C">
      <w:pPr>
        <w:pStyle w:val="SingleTxtG"/>
        <w:rPr>
          <w:szCs w:val="22"/>
          <w:lang w:val="fr-CH"/>
        </w:rPr>
      </w:pPr>
      <w:r>
        <w:rPr>
          <w:b/>
          <w:szCs w:val="22"/>
          <w:lang w:val="fr-CH"/>
        </w:rPr>
        <w:t>Transport en vrac :</w:t>
      </w:r>
      <w:r w:rsidR="0000477C" w:rsidRPr="00F24737">
        <w:rPr>
          <w:szCs w:val="22"/>
          <w:lang w:val="fr-CH"/>
        </w:rPr>
        <w:t xml:space="preserve"> le transport de matière solides ou d'objets non emballés </w:t>
      </w:r>
      <w:r w:rsidR="0000477C" w:rsidRPr="00F24737">
        <w:rPr>
          <w:color w:val="FF0000"/>
          <w:szCs w:val="22"/>
          <w:lang w:val="fr-CH"/>
        </w:rPr>
        <w:t>dans des wagons/véhicules, conteneurs ou conteneurs pour vrac</w:t>
      </w:r>
      <w:r w:rsidR="0000477C" w:rsidRPr="00F24737">
        <w:rPr>
          <w:szCs w:val="22"/>
          <w:lang w:val="fr-CH"/>
        </w:rPr>
        <w:t>. Ce terme ne s'applique ni aux marchandises qui sont transportées comme colis, ni aux matières qui sont transportées en citernes ;</w:t>
      </w:r>
    </w:p>
    <w:p w14:paraId="4355DCAE" w14:textId="3AFE6C96" w:rsidR="000456B6" w:rsidRDefault="00417E17" w:rsidP="00B930D4">
      <w:pPr>
        <w:pStyle w:val="SingleTxtG"/>
      </w:pPr>
      <w:r>
        <w:t>5.</w:t>
      </w:r>
      <w:r>
        <w:tab/>
      </w:r>
      <w:r w:rsidR="00F24737" w:rsidRPr="00F24737">
        <w:t>There is no definition</w:t>
      </w:r>
      <w:r w:rsidR="00F24737">
        <w:t xml:space="preserve"> </w:t>
      </w:r>
      <w:r w:rsidR="009F4C70">
        <w:t>of</w:t>
      </w:r>
      <w:r w:rsidR="00F24737">
        <w:t xml:space="preserve"> "container for carriage in bulk"</w:t>
      </w:r>
      <w:r w:rsidR="00F24737" w:rsidRPr="00F24737">
        <w:t xml:space="preserve"> but the definition of "carriage in bulk" makes it clear, that such a container can be either a "container</w:t>
      </w:r>
      <w:r w:rsidR="000E5251">
        <w:t>"</w:t>
      </w:r>
      <w:r w:rsidR="00F24737" w:rsidRPr="00F24737">
        <w:t xml:space="preserve"> or a </w:t>
      </w:r>
      <w:r w:rsidR="000E5251">
        <w:t>"</w:t>
      </w:r>
      <w:r w:rsidR="00F24737" w:rsidRPr="00F24737">
        <w:t xml:space="preserve">bulk container". </w:t>
      </w:r>
      <w:r w:rsidR="009F4C70">
        <w:t>A quick look at some provisions in RID/ADR</w:t>
      </w:r>
      <w:r w:rsidR="00C9708A">
        <w:t>/ADR</w:t>
      </w:r>
      <w:r w:rsidR="009F4C70">
        <w:t xml:space="preserve"> such as the definition of "Filler" shows that </w:t>
      </w:r>
      <w:r w:rsidR="00F24737" w:rsidRPr="00F24737">
        <w:t xml:space="preserve">"container for carriage in bulk" </w:t>
      </w:r>
      <w:r w:rsidR="009F4C70">
        <w:t>has</w:t>
      </w:r>
      <w:r w:rsidR="00F24737" w:rsidRPr="00F24737">
        <w:t xml:space="preserve"> to be understood as a generic term</w:t>
      </w:r>
      <w:r>
        <w:t xml:space="preserve"> including both </w:t>
      </w:r>
      <w:r w:rsidRPr="00417E17">
        <w:lastRenderedPageBreak/>
        <w:t xml:space="preserve">bulk containers (BK codes) and containers </w:t>
      </w:r>
      <w:r>
        <w:t xml:space="preserve">conforming </w:t>
      </w:r>
      <w:r w:rsidRPr="00417E17">
        <w:t>to VC cod</w:t>
      </w:r>
      <w:r w:rsidR="009F4C70">
        <w:t>es and additional provisions AP:</w:t>
      </w:r>
    </w:p>
    <w:p w14:paraId="5A1F4842" w14:textId="77777777" w:rsidR="00B00CC8" w:rsidRDefault="00B00CC8" w:rsidP="009F4C70">
      <w:pPr>
        <w:pStyle w:val="SingleTxtG"/>
      </w:pPr>
      <w:r w:rsidRPr="00B00CC8">
        <w:t xml:space="preserve">"Filler" means any enterprise which fills dangerous goods into a tank (tank-wagon, wagon with demountable tank, portable tank or tank-container) </w:t>
      </w:r>
      <w:r w:rsidRPr="00B00CC8">
        <w:rPr>
          <w:color w:val="FF0000"/>
        </w:rPr>
        <w:t>and/or into a wagon, large container or small container for carriage in bulk</w:t>
      </w:r>
      <w:r w:rsidRPr="00B00CC8">
        <w:t>, or into a battery-wagon or MEGC;</w:t>
      </w:r>
    </w:p>
    <w:p w14:paraId="7CE91841" w14:textId="48E68118" w:rsidR="000E5251" w:rsidRDefault="00B00CC8" w:rsidP="009F4C70">
      <w:pPr>
        <w:pStyle w:val="SingleTxtG"/>
      </w:pPr>
      <w:r>
        <w:t>6.</w:t>
      </w:r>
      <w:r>
        <w:tab/>
      </w:r>
      <w:r w:rsidR="000E5251">
        <w:t>Switzerland</w:t>
      </w:r>
      <w:r w:rsidR="00662F6C">
        <w:t xml:space="preserve"> thu</w:t>
      </w:r>
      <w:r>
        <w:t>s</w:t>
      </w:r>
      <w:r w:rsidR="000E5251">
        <w:t xml:space="preserve"> </w:t>
      </w:r>
      <w:r>
        <w:t>believes</w:t>
      </w:r>
      <w:r w:rsidR="000E5251">
        <w:t xml:space="preserve"> the proposal made in document 2021/40</w:t>
      </w:r>
      <w:r>
        <w:t xml:space="preserve"> is correct.</w:t>
      </w:r>
    </w:p>
    <w:p w14:paraId="2215D018" w14:textId="4ADA6C7F" w:rsidR="000456B6" w:rsidRDefault="000E5251" w:rsidP="000E5251">
      <w:pPr>
        <w:pStyle w:val="HChG"/>
      </w:pPr>
      <w:r>
        <w:tab/>
      </w:r>
      <w:r>
        <w:tab/>
      </w:r>
      <w:r w:rsidR="00F24737">
        <w:t>Provisions in Chapter 7.3</w:t>
      </w:r>
      <w:r w:rsidR="00343C84">
        <w:t xml:space="preserve"> RID/ADR</w:t>
      </w:r>
    </w:p>
    <w:p w14:paraId="5FBEAB47" w14:textId="3F8826DF" w:rsidR="00417E17" w:rsidRDefault="00B00CC8" w:rsidP="00B930D4">
      <w:pPr>
        <w:pStyle w:val="SingleTxtG"/>
      </w:pPr>
      <w:r>
        <w:t>7</w:t>
      </w:r>
      <w:r w:rsidR="008018D8">
        <w:t>.</w:t>
      </w:r>
      <w:r w:rsidR="008018D8">
        <w:tab/>
      </w:r>
      <w:r w:rsidR="00417E17">
        <w:t xml:space="preserve">The delegate of Switzerland has not found any inconsistency in the terminology used, nor any </w:t>
      </w:r>
      <w:r w:rsidR="008018D8">
        <w:t>unclear statement</w:t>
      </w:r>
      <w:r w:rsidR="00417E17">
        <w:t xml:space="preserve"> </w:t>
      </w:r>
      <w:r w:rsidR="00662F6C">
        <w:t>on</w:t>
      </w:r>
      <w:r w:rsidR="00417E17">
        <w:t xml:space="preserve"> the scope</w:t>
      </w:r>
      <w:r w:rsidR="00417E17" w:rsidRPr="00417E17">
        <w:t xml:space="preserve"> </w:t>
      </w:r>
      <w:r w:rsidR="00417E17">
        <w:t xml:space="preserve">of this chapter. Section 7.3.1 contains general provisions </w:t>
      </w:r>
      <w:r w:rsidR="008018D8">
        <w:t>applicable</w:t>
      </w:r>
      <w:r w:rsidR="00417E17">
        <w:t xml:space="preserve"> to </w:t>
      </w:r>
      <w:r w:rsidR="00417E17" w:rsidRPr="00435A7C">
        <w:rPr>
          <w:color w:val="FF0000"/>
        </w:rPr>
        <w:t>bulk containers, containers and wagons/vehicles</w:t>
      </w:r>
      <w:r w:rsidR="00417E17">
        <w:t xml:space="preserve">. </w:t>
      </w:r>
      <w:r w:rsidR="008018D8">
        <w:t xml:space="preserve">Section 7.3.2 applies exclusively to </w:t>
      </w:r>
      <w:r w:rsidR="008018D8" w:rsidRPr="00435A7C">
        <w:rPr>
          <w:color w:val="FF0000"/>
        </w:rPr>
        <w:t xml:space="preserve">bulk containers </w:t>
      </w:r>
      <w:r w:rsidR="008018D8">
        <w:t xml:space="preserve">conforming to Chapter 6.11. Section 7.3 applies to </w:t>
      </w:r>
      <w:r w:rsidR="008018D8" w:rsidRPr="00435A7C">
        <w:rPr>
          <w:color w:val="FF0000"/>
        </w:rPr>
        <w:t xml:space="preserve">containers </w:t>
      </w:r>
      <w:r w:rsidR="008018D8">
        <w:t xml:space="preserve">that are not in conformity with Chapter 6.11 (but may be) </w:t>
      </w:r>
      <w:r w:rsidR="008018D8" w:rsidRPr="00435A7C">
        <w:rPr>
          <w:color w:val="FF0000"/>
        </w:rPr>
        <w:t>and wagons/vehicles</w:t>
      </w:r>
      <w:r w:rsidR="008018D8">
        <w:t xml:space="preserve">. The note in 7.3.3.1 clearly indicated that BK1 and BK2 bulk containers may be used </w:t>
      </w:r>
      <w:r>
        <w:t xml:space="preserve">in case </w:t>
      </w:r>
      <w:r w:rsidR="008018D8">
        <w:t>a VC1 and VC2 code is shown in Table A of Chapter 3.2.</w:t>
      </w:r>
    </w:p>
    <w:p w14:paraId="5D5604A3" w14:textId="4AA87467" w:rsidR="00662F6C" w:rsidRDefault="00B00CC8" w:rsidP="00B930D4">
      <w:pPr>
        <w:pStyle w:val="SingleTxtG"/>
      </w:pPr>
      <w:r>
        <w:t>8</w:t>
      </w:r>
      <w:r w:rsidR="008018D8">
        <w:t>.</w:t>
      </w:r>
      <w:r w:rsidR="008018D8">
        <w:tab/>
        <w:t xml:space="preserve">Chapter 7.3 </w:t>
      </w:r>
      <w:r>
        <w:t xml:space="preserve">RID/ADR </w:t>
      </w:r>
      <w:r w:rsidR="00343C84">
        <w:t>repeat</w:t>
      </w:r>
      <w:r w:rsidR="001C2CBA">
        <w:t>s</w:t>
      </w:r>
      <w:r w:rsidR="00343C84">
        <w:t xml:space="preserve"> the expression "</w:t>
      </w:r>
      <w:r w:rsidR="001C2CBA" w:rsidRPr="00435A7C">
        <w:rPr>
          <w:color w:val="FF0000"/>
        </w:rPr>
        <w:t>bulk container, container</w:t>
      </w:r>
      <w:r w:rsidR="00343C84" w:rsidRPr="00435A7C">
        <w:rPr>
          <w:color w:val="FF0000"/>
        </w:rPr>
        <w:t xml:space="preserve"> </w:t>
      </w:r>
      <w:r w:rsidR="001C2CBA" w:rsidRPr="00435A7C">
        <w:rPr>
          <w:color w:val="FF0000"/>
        </w:rPr>
        <w:t>or wagon/</w:t>
      </w:r>
      <w:r w:rsidRPr="00435A7C">
        <w:rPr>
          <w:color w:val="FF0000"/>
        </w:rPr>
        <w:t>vehicle</w:t>
      </w:r>
      <w:r>
        <w:t>" a great number of times, based on the</w:t>
      </w:r>
      <w:r w:rsidR="00662F6C">
        <w:t xml:space="preserve"> </w:t>
      </w:r>
      <w:r>
        <w:t xml:space="preserve">wording </w:t>
      </w:r>
      <w:r w:rsidR="00435A7C">
        <w:t>in</w:t>
      </w:r>
      <w:r>
        <w:t xml:space="preserve"> the definition "carriage in bulk".</w:t>
      </w:r>
      <w:r w:rsidR="00662F6C">
        <w:t xml:space="preserve"> </w:t>
      </w:r>
      <w:r w:rsidR="001C2CBA">
        <w:t xml:space="preserve">This is understandable as </w:t>
      </w:r>
      <w:r w:rsidR="00662F6C">
        <w:t>the chapter</w:t>
      </w:r>
      <w:r w:rsidR="001C2CBA">
        <w:t xml:space="preserve"> defines the requirement for </w:t>
      </w:r>
      <w:r w:rsidR="00662F6C">
        <w:t>those types of transport units. In our view there are no problem with this formulation and no need for change (otherwise we would also need to put into question the definition "carriage in bulk").</w:t>
      </w:r>
    </w:p>
    <w:p w14:paraId="556E4990" w14:textId="5204B692" w:rsidR="008018D8" w:rsidRDefault="005438AF" w:rsidP="005438AF">
      <w:pPr>
        <w:pStyle w:val="HChG"/>
      </w:pPr>
      <w:r>
        <w:tab/>
      </w:r>
      <w:r>
        <w:tab/>
      </w:r>
      <w:r w:rsidR="00B5526D">
        <w:t>Proposals for amend</w:t>
      </w:r>
      <w:r w:rsidR="00C9708A">
        <w:t>ments to the</w:t>
      </w:r>
      <w:r>
        <w:t xml:space="preserve"> French versi</w:t>
      </w:r>
      <w:r w:rsidR="00771EEE">
        <w:t xml:space="preserve">on </w:t>
      </w:r>
      <w:r w:rsidR="00C9708A">
        <w:t>of RID/ADR/ADN</w:t>
      </w:r>
    </w:p>
    <w:p w14:paraId="4A7BD0EB" w14:textId="7AC278C5" w:rsidR="005438AF" w:rsidRPr="00B5526D" w:rsidRDefault="00771EEE" w:rsidP="003D60E9">
      <w:pPr>
        <w:pStyle w:val="SingleTxtG"/>
        <w:sectPr w:rsidR="005438AF" w:rsidRPr="00B5526D" w:rsidSect="00360D2C">
          <w:headerReference w:type="even" r:id="rId11"/>
          <w:headerReference w:type="default" r:id="rId12"/>
          <w:footerReference w:type="even" r:id="rId13"/>
          <w:footerReference w:type="default" r:id="rId14"/>
          <w:headerReference w:type="first" r:id="rId15"/>
          <w:type w:val="continuous"/>
          <w:pgSz w:w="11907" w:h="16840" w:code="9"/>
          <w:pgMar w:top="1418" w:right="1134" w:bottom="1134" w:left="1134" w:header="851" w:footer="567" w:gutter="0"/>
          <w:cols w:space="720"/>
          <w:titlePg/>
        </w:sectPr>
      </w:pPr>
      <w:r>
        <w:t>9.</w:t>
      </w:r>
      <w:r>
        <w:tab/>
        <w:t>The following table lists the provisions where the French</w:t>
      </w:r>
      <w:r w:rsidR="00060AE2">
        <w:t xml:space="preserve"> version needs be amended in order to be aligned </w:t>
      </w:r>
      <w:r w:rsidR="00060AE2" w:rsidRPr="00060AE2">
        <w:t>on the English and German versions</w:t>
      </w:r>
      <w:r w:rsidR="001022B8">
        <w:t>.</w:t>
      </w:r>
      <w:r w:rsidR="00060AE2">
        <w:t xml:space="preserve"> Proposals for amendments are shown in bold and underlined text. </w:t>
      </w:r>
    </w:p>
    <w:p w14:paraId="05D54BC0" w14:textId="389DE325" w:rsidR="005438AF" w:rsidRPr="00FC4C11" w:rsidRDefault="005438AF" w:rsidP="005438AF">
      <w:pPr>
        <w:suppressAutoHyphens w:val="0"/>
        <w:spacing w:after="200" w:line="276" w:lineRule="auto"/>
        <w:rPr>
          <w:lang w:val="en-US"/>
        </w:rPr>
      </w:pPr>
    </w:p>
    <w:tbl>
      <w:tblPr>
        <w:tblStyle w:val="TableGrid"/>
        <w:tblW w:w="13467" w:type="dxa"/>
        <w:tblInd w:w="-572" w:type="dxa"/>
        <w:tblCellMar>
          <w:top w:w="57" w:type="dxa"/>
          <w:left w:w="57" w:type="dxa"/>
          <w:bottom w:w="57" w:type="dxa"/>
          <w:right w:w="57" w:type="dxa"/>
        </w:tblCellMar>
        <w:tblLook w:val="04A0" w:firstRow="1" w:lastRow="0" w:firstColumn="1" w:lastColumn="0" w:noHBand="0" w:noVBand="1"/>
      </w:tblPr>
      <w:tblGrid>
        <w:gridCol w:w="4489"/>
        <w:gridCol w:w="4489"/>
        <w:gridCol w:w="4489"/>
      </w:tblGrid>
      <w:tr w:rsidR="00DF6B95" w:rsidRPr="00717F56" w14:paraId="17A1C7A1" w14:textId="77777777" w:rsidTr="001B55A9">
        <w:trPr>
          <w:tblHeader/>
        </w:trPr>
        <w:tc>
          <w:tcPr>
            <w:tcW w:w="4489" w:type="dxa"/>
          </w:tcPr>
          <w:p w14:paraId="203A74B3" w14:textId="5564F0A4" w:rsidR="00DF6B95" w:rsidRPr="005C52D1" w:rsidRDefault="00DF6B95" w:rsidP="00EF3F12">
            <w:pPr>
              <w:pStyle w:val="HChG"/>
              <w:keepNext w:val="0"/>
              <w:keepLines w:val="0"/>
              <w:tabs>
                <w:tab w:val="clear" w:pos="851"/>
              </w:tabs>
              <w:spacing w:before="0" w:after="0" w:line="260" w:lineRule="exact"/>
              <w:ind w:left="0" w:right="29" w:firstLine="0"/>
              <w:jc w:val="center"/>
              <w:rPr>
                <w:sz w:val="20"/>
              </w:rPr>
            </w:pPr>
            <w:r w:rsidRPr="005C52D1">
              <w:rPr>
                <w:sz w:val="20"/>
              </w:rPr>
              <w:t>EN</w:t>
            </w:r>
          </w:p>
        </w:tc>
        <w:tc>
          <w:tcPr>
            <w:tcW w:w="4489" w:type="dxa"/>
            <w:shd w:val="clear" w:color="auto" w:fill="auto"/>
          </w:tcPr>
          <w:p w14:paraId="62C7CB08" w14:textId="5283AAC0" w:rsidR="00DF6B95" w:rsidRPr="005C52D1" w:rsidRDefault="00DF6B95" w:rsidP="00EF3F12">
            <w:pPr>
              <w:pStyle w:val="HChG"/>
              <w:keepNext w:val="0"/>
              <w:keepLines w:val="0"/>
              <w:tabs>
                <w:tab w:val="clear" w:pos="851"/>
              </w:tabs>
              <w:spacing w:before="0" w:after="0" w:line="260" w:lineRule="exact"/>
              <w:ind w:left="0" w:right="93" w:firstLine="0"/>
              <w:jc w:val="center"/>
              <w:rPr>
                <w:sz w:val="20"/>
              </w:rPr>
            </w:pPr>
            <w:r w:rsidRPr="005C52D1">
              <w:rPr>
                <w:sz w:val="20"/>
              </w:rPr>
              <w:t>DE</w:t>
            </w:r>
          </w:p>
        </w:tc>
        <w:tc>
          <w:tcPr>
            <w:tcW w:w="4489" w:type="dxa"/>
            <w:shd w:val="clear" w:color="auto" w:fill="auto"/>
          </w:tcPr>
          <w:p w14:paraId="25C4DA49" w14:textId="77777777" w:rsidR="00DF6B95" w:rsidRPr="005C52D1" w:rsidRDefault="00DF6B95" w:rsidP="0003130D">
            <w:pPr>
              <w:spacing w:line="260" w:lineRule="exact"/>
              <w:jc w:val="center"/>
              <w:rPr>
                <w:b/>
                <w:lang w:val="fr-FR"/>
              </w:rPr>
            </w:pPr>
            <w:r w:rsidRPr="005C52D1">
              <w:rPr>
                <w:b/>
                <w:lang w:val="fr-FR"/>
              </w:rPr>
              <w:t>FR</w:t>
            </w:r>
          </w:p>
        </w:tc>
      </w:tr>
      <w:tr w:rsidR="00DF6B95" w:rsidRPr="00717F56" w14:paraId="693BB437" w14:textId="77777777" w:rsidTr="00DF6B95">
        <w:tc>
          <w:tcPr>
            <w:tcW w:w="13467" w:type="dxa"/>
            <w:gridSpan w:val="3"/>
            <w:shd w:val="clear" w:color="auto" w:fill="F2F2F2" w:themeFill="background1" w:themeFillShade="F2"/>
          </w:tcPr>
          <w:p w14:paraId="5884218D" w14:textId="4AFF98EB" w:rsidR="00DF6B95" w:rsidRPr="005C52D1" w:rsidRDefault="00DF6B95" w:rsidP="00EF3F12">
            <w:pPr>
              <w:spacing w:line="260" w:lineRule="exact"/>
              <w:ind w:right="29"/>
              <w:jc w:val="center"/>
              <w:rPr>
                <w:b/>
              </w:rPr>
            </w:pPr>
            <w:r w:rsidRPr="005C52D1">
              <w:rPr>
                <w:b/>
              </w:rPr>
              <w:t>1.2.1 RID</w:t>
            </w:r>
          </w:p>
        </w:tc>
      </w:tr>
      <w:tr w:rsidR="00DF6B95" w:rsidRPr="005C52D1" w14:paraId="27853453" w14:textId="77777777" w:rsidTr="00DF6B95">
        <w:tc>
          <w:tcPr>
            <w:tcW w:w="4489" w:type="dxa"/>
          </w:tcPr>
          <w:p w14:paraId="2DD84312" w14:textId="38D989F3" w:rsidR="00DF6B95" w:rsidRPr="005C52D1" w:rsidRDefault="00DF6B95" w:rsidP="00EF3F12">
            <w:pPr>
              <w:spacing w:line="260" w:lineRule="exact"/>
              <w:ind w:right="29"/>
            </w:pPr>
            <w:r w:rsidRPr="005C52D1">
              <w:t>"Filler" means any enterprise which fills dangerous goods into a tank (tank-wagon, wagon with demountable tank, portable tank or tank-container) and/</w:t>
            </w:r>
            <w:r w:rsidRPr="005C52D1">
              <w:rPr>
                <w:shd w:val="clear" w:color="auto" w:fill="F2DBDB" w:themeFill="accent2" w:themeFillTint="33"/>
              </w:rPr>
              <w:t>or into a wagon, large container or small container for carriage in bulk,</w:t>
            </w:r>
            <w:r w:rsidRPr="005C52D1">
              <w:rPr>
                <w:shd w:val="clear" w:color="auto" w:fill="EEECE1" w:themeFill="background2"/>
              </w:rPr>
              <w:t xml:space="preserve"> </w:t>
            </w:r>
            <w:r w:rsidRPr="005C52D1">
              <w:t>or into a battery-wagon or MEGC;</w:t>
            </w:r>
          </w:p>
        </w:tc>
        <w:tc>
          <w:tcPr>
            <w:tcW w:w="4489" w:type="dxa"/>
            <w:shd w:val="clear" w:color="auto" w:fill="auto"/>
          </w:tcPr>
          <w:p w14:paraId="327D8CAE" w14:textId="6007FF41" w:rsidR="00DF6B95" w:rsidRPr="005C52D1" w:rsidRDefault="00DF6B95" w:rsidP="0003130D">
            <w:pPr>
              <w:spacing w:line="260" w:lineRule="exact"/>
              <w:rPr>
                <w:lang w:val="de-CH"/>
              </w:rPr>
            </w:pPr>
            <w:proofErr w:type="spellStart"/>
            <w:r w:rsidRPr="005C52D1">
              <w:rPr>
                <w:lang w:val="de-CH"/>
              </w:rPr>
              <w:t>Befüller</w:t>
            </w:r>
            <w:proofErr w:type="spellEnd"/>
            <w:r w:rsidRPr="005C52D1">
              <w:rPr>
                <w:lang w:val="de-CH"/>
              </w:rPr>
              <w:t>: Das Unternehmen, das die gefährlichen Güter in einen Tank (Kesselwagen, Wagen mit abnehmbaren Tanks, ortsbeweglicher Tank oder Tankcontainer), in einen Batteriewagen oder MEGC und/</w:t>
            </w:r>
            <w:r w:rsidRPr="005C52D1">
              <w:rPr>
                <w:shd w:val="clear" w:color="auto" w:fill="F2DBDB" w:themeFill="accent2" w:themeFillTint="33"/>
                <w:lang w:val="de-CH"/>
              </w:rPr>
              <w:t>oder in einen Wagen, Großcontainer oder Kleincontainer für Güter in loser Schüttung</w:t>
            </w:r>
            <w:r w:rsidRPr="005C52D1">
              <w:rPr>
                <w:lang w:val="de-CH"/>
              </w:rPr>
              <w:t xml:space="preserve"> einfüllt.</w:t>
            </w:r>
          </w:p>
        </w:tc>
        <w:tc>
          <w:tcPr>
            <w:tcW w:w="4489" w:type="dxa"/>
            <w:shd w:val="clear" w:color="auto" w:fill="auto"/>
          </w:tcPr>
          <w:p w14:paraId="158ABBDE" w14:textId="77777777" w:rsidR="00DF6B95" w:rsidRPr="005C52D1" w:rsidRDefault="00DF6B95" w:rsidP="0003130D">
            <w:pPr>
              <w:spacing w:line="260" w:lineRule="exact"/>
              <w:rPr>
                <w:lang w:val="fr-CH"/>
              </w:rPr>
            </w:pPr>
            <w:r w:rsidRPr="005C52D1">
              <w:rPr>
                <w:lang w:val="fr-CH"/>
              </w:rPr>
              <w:t xml:space="preserve">« Remplisseur »,  l'entreprise qui remplit de marchandises dangereuses une citerne (wagon-citerne, wagon avec citernes amovibles, citerne mobile, conteneur-citerne), un wagon-batterie, un CGEM </w:t>
            </w:r>
            <w:r w:rsidRPr="005C52D1">
              <w:rPr>
                <w:shd w:val="clear" w:color="auto" w:fill="F2DBDB" w:themeFill="accent2" w:themeFillTint="33"/>
                <w:lang w:val="fr-CH"/>
              </w:rPr>
              <w:t xml:space="preserve">ou un wagon, grand conteneur ou petit conteneur pour </w:t>
            </w:r>
            <w:r w:rsidRPr="005C52D1">
              <w:rPr>
                <w:b/>
                <w:u w:val="single"/>
                <w:shd w:val="clear" w:color="auto" w:fill="F2DBDB" w:themeFill="accent2" w:themeFillTint="33"/>
                <w:lang w:val="fr-CH"/>
              </w:rPr>
              <w:t>le transport en</w:t>
            </w:r>
            <w:r w:rsidRPr="005C52D1">
              <w:rPr>
                <w:shd w:val="clear" w:color="auto" w:fill="F2DBDB" w:themeFill="accent2" w:themeFillTint="33"/>
                <w:lang w:val="fr-CH"/>
              </w:rPr>
              <w:t xml:space="preserve"> vrac ;</w:t>
            </w:r>
          </w:p>
        </w:tc>
      </w:tr>
      <w:tr w:rsidR="00DF6B95" w:rsidRPr="00DC22DD" w14:paraId="5F129C5E" w14:textId="77777777" w:rsidTr="00DF6B95">
        <w:tc>
          <w:tcPr>
            <w:tcW w:w="13467" w:type="dxa"/>
            <w:gridSpan w:val="3"/>
            <w:shd w:val="clear" w:color="auto" w:fill="F2F2F2" w:themeFill="background1" w:themeFillShade="F2"/>
          </w:tcPr>
          <w:p w14:paraId="61EFA760" w14:textId="69B43DBF" w:rsidR="00DF6B95" w:rsidRPr="005C52D1" w:rsidRDefault="00DF6B95" w:rsidP="00EF3F12">
            <w:pPr>
              <w:spacing w:line="260" w:lineRule="exact"/>
              <w:ind w:right="29"/>
              <w:jc w:val="center"/>
              <w:rPr>
                <w:b/>
              </w:rPr>
            </w:pPr>
            <w:r w:rsidRPr="005C52D1">
              <w:rPr>
                <w:b/>
              </w:rPr>
              <w:t>1.2.1 ADR</w:t>
            </w:r>
          </w:p>
        </w:tc>
      </w:tr>
      <w:tr w:rsidR="00DF6B95" w:rsidRPr="005C52D1" w14:paraId="4C9D312F" w14:textId="77777777" w:rsidTr="00DF6B95">
        <w:tc>
          <w:tcPr>
            <w:tcW w:w="4489" w:type="dxa"/>
          </w:tcPr>
          <w:p w14:paraId="702172D5" w14:textId="670E8AC2" w:rsidR="00DF6B95" w:rsidRPr="005C52D1" w:rsidRDefault="00DF6B95" w:rsidP="00EF3F12">
            <w:pPr>
              <w:spacing w:line="260" w:lineRule="exact"/>
              <w:ind w:right="29"/>
            </w:pPr>
            <w:r w:rsidRPr="005C52D1">
              <w:t>"Filler" means any enterprise which fills dangerous goods into a tank (tank-vehicle, demountable tank, portable tank or tank-container) and/</w:t>
            </w:r>
            <w:r w:rsidRPr="005C52D1">
              <w:rPr>
                <w:shd w:val="clear" w:color="auto" w:fill="F2DBDB" w:themeFill="accent2" w:themeFillTint="33"/>
              </w:rPr>
              <w:t>or into a vehicle, large container or small container for carriage in bulk,</w:t>
            </w:r>
            <w:r w:rsidRPr="005C52D1">
              <w:t xml:space="preserve"> or into a battery-vehicle or MEGC;</w:t>
            </w:r>
          </w:p>
        </w:tc>
        <w:tc>
          <w:tcPr>
            <w:tcW w:w="4489" w:type="dxa"/>
            <w:shd w:val="clear" w:color="auto" w:fill="auto"/>
          </w:tcPr>
          <w:p w14:paraId="6805A281" w14:textId="41F5072F" w:rsidR="00DF6B95" w:rsidRPr="005C52D1" w:rsidRDefault="00DF6B95" w:rsidP="0003130D">
            <w:pPr>
              <w:spacing w:line="260" w:lineRule="exact"/>
              <w:rPr>
                <w:lang w:val="de-CH"/>
              </w:rPr>
            </w:pPr>
            <w:proofErr w:type="spellStart"/>
            <w:r w:rsidRPr="005C52D1">
              <w:rPr>
                <w:lang w:val="de-CH"/>
              </w:rPr>
              <w:t>Befüller</w:t>
            </w:r>
            <w:proofErr w:type="spellEnd"/>
            <w:r w:rsidRPr="005C52D1">
              <w:rPr>
                <w:lang w:val="de-CH"/>
              </w:rPr>
              <w:t>: Das Unternehmen, das die gefährlichen Güter in einen Tank (Tankfahrzeug, Aufsetztank, ortsbeweglicher Tank oder Tankcontainer), in ein Batterie-Fahrzeug oder MEGC und/</w:t>
            </w:r>
            <w:r w:rsidRPr="005C52D1">
              <w:rPr>
                <w:shd w:val="clear" w:color="auto" w:fill="F2DBDB" w:themeFill="accent2" w:themeFillTint="33"/>
                <w:lang w:val="de-CH"/>
              </w:rPr>
              <w:t>oder in ein Fahrzeug, Grosscontainer oder Kleincontainer für Güter in loser Schüttung einfüllt.</w:t>
            </w:r>
          </w:p>
        </w:tc>
        <w:tc>
          <w:tcPr>
            <w:tcW w:w="4489" w:type="dxa"/>
            <w:shd w:val="clear" w:color="auto" w:fill="auto"/>
          </w:tcPr>
          <w:p w14:paraId="3B381F55" w14:textId="77777777" w:rsidR="00DF6B95" w:rsidRPr="005C52D1" w:rsidRDefault="00DF6B95" w:rsidP="0003130D">
            <w:pPr>
              <w:spacing w:line="260" w:lineRule="exact"/>
              <w:rPr>
                <w:lang w:val="fr-CH"/>
              </w:rPr>
            </w:pPr>
            <w:r w:rsidRPr="005C52D1">
              <w:rPr>
                <w:lang w:val="fr-CH"/>
              </w:rPr>
              <w:t xml:space="preserve">« Remplisseur », l'entreprise qui remplit de marchandises dangereuses une citerne (véhicule-citerne, citerne démontable, citerne mobile, conteneur-citerne), un véhicule-batterie, un CGEM </w:t>
            </w:r>
            <w:r w:rsidRPr="005C52D1">
              <w:rPr>
                <w:shd w:val="clear" w:color="auto" w:fill="F2DBDB" w:themeFill="accent2" w:themeFillTint="33"/>
                <w:lang w:val="fr-CH"/>
              </w:rPr>
              <w:t xml:space="preserve">ou un véhicule, grand conteneur ou petit conteneur pour </w:t>
            </w:r>
            <w:r w:rsidRPr="005C52D1">
              <w:rPr>
                <w:b/>
                <w:u w:val="single"/>
                <w:shd w:val="clear" w:color="auto" w:fill="F2DBDB" w:themeFill="accent2" w:themeFillTint="33"/>
                <w:lang w:val="fr-CH"/>
              </w:rPr>
              <w:t>le transport en</w:t>
            </w:r>
            <w:r w:rsidRPr="005C52D1">
              <w:rPr>
                <w:b/>
                <w:shd w:val="clear" w:color="auto" w:fill="F2DBDB" w:themeFill="accent2" w:themeFillTint="33"/>
                <w:lang w:val="fr-CH"/>
              </w:rPr>
              <w:t xml:space="preserve"> </w:t>
            </w:r>
            <w:r w:rsidRPr="005C52D1">
              <w:rPr>
                <w:shd w:val="clear" w:color="auto" w:fill="F2DBDB" w:themeFill="accent2" w:themeFillTint="33"/>
                <w:lang w:val="fr-CH"/>
              </w:rPr>
              <w:t>vrac ;</w:t>
            </w:r>
          </w:p>
        </w:tc>
      </w:tr>
      <w:tr w:rsidR="00703F4E" w:rsidRPr="00717F56" w14:paraId="7FA257EC" w14:textId="77777777" w:rsidTr="00DF6B95">
        <w:tc>
          <w:tcPr>
            <w:tcW w:w="13467" w:type="dxa"/>
            <w:gridSpan w:val="3"/>
            <w:shd w:val="clear" w:color="auto" w:fill="F2F2F2" w:themeFill="background1" w:themeFillShade="F2"/>
          </w:tcPr>
          <w:p w14:paraId="54E21090" w14:textId="7DFA92F7" w:rsidR="00703F4E" w:rsidRPr="005C52D1" w:rsidRDefault="00453C6F" w:rsidP="00703F4E">
            <w:pPr>
              <w:spacing w:line="260" w:lineRule="exact"/>
              <w:ind w:right="29"/>
              <w:jc w:val="center"/>
              <w:rPr>
                <w:b/>
              </w:rPr>
            </w:pPr>
            <w:r w:rsidRPr="005C52D1">
              <w:rPr>
                <w:b/>
              </w:rPr>
              <w:t>1.2.1 ADN</w:t>
            </w:r>
          </w:p>
        </w:tc>
      </w:tr>
      <w:tr w:rsidR="00703F4E" w:rsidRPr="005C52D1" w14:paraId="6EF40431" w14:textId="77777777" w:rsidTr="00605616">
        <w:tc>
          <w:tcPr>
            <w:tcW w:w="4489" w:type="dxa"/>
          </w:tcPr>
          <w:p w14:paraId="2398B4E5" w14:textId="77777777" w:rsidR="00703F4E" w:rsidRPr="005C52D1" w:rsidRDefault="004676F7" w:rsidP="00FA78C2">
            <w:pPr>
              <w:spacing w:line="260" w:lineRule="exact"/>
              <w:ind w:right="29"/>
              <w:rPr>
                <w:lang w:val="fr-CH"/>
              </w:rPr>
            </w:pPr>
            <w:r w:rsidRPr="005C52D1">
              <w:rPr>
                <w:lang w:val="fr-CH"/>
              </w:rPr>
              <w:t xml:space="preserve">"Filler" </w:t>
            </w:r>
            <w:proofErr w:type="spellStart"/>
            <w:r w:rsidRPr="005C52D1">
              <w:rPr>
                <w:lang w:val="fr-CH"/>
              </w:rPr>
              <w:t>means</w:t>
            </w:r>
            <w:proofErr w:type="spellEnd"/>
            <w:r w:rsidRPr="005C52D1">
              <w:rPr>
                <w:lang w:val="fr-CH"/>
              </w:rPr>
              <w:t xml:space="preserve"> </w:t>
            </w:r>
            <w:proofErr w:type="spellStart"/>
            <w:r w:rsidRPr="005C52D1">
              <w:rPr>
                <w:lang w:val="fr-CH"/>
              </w:rPr>
              <w:t>any</w:t>
            </w:r>
            <w:proofErr w:type="spellEnd"/>
            <w:r w:rsidRPr="005C52D1">
              <w:rPr>
                <w:lang w:val="fr-CH"/>
              </w:rPr>
              <w:t xml:space="preserve"> </w:t>
            </w:r>
            <w:proofErr w:type="spellStart"/>
            <w:r w:rsidRPr="005C52D1">
              <w:rPr>
                <w:lang w:val="fr-CH"/>
              </w:rPr>
              <w:t>enterprise</w:t>
            </w:r>
            <w:proofErr w:type="spellEnd"/>
            <w:r w:rsidRPr="005C52D1">
              <w:rPr>
                <w:lang w:val="fr-CH"/>
              </w:rPr>
              <w:t xml:space="preserve"> (...) </w:t>
            </w:r>
          </w:p>
          <w:p w14:paraId="54EF2A42" w14:textId="25D7B83C" w:rsidR="004676F7" w:rsidRPr="005C52D1" w:rsidRDefault="004676F7" w:rsidP="004676F7">
            <w:pPr>
              <w:spacing w:line="260" w:lineRule="exact"/>
              <w:ind w:right="29"/>
            </w:pPr>
            <w:r w:rsidRPr="005C52D1">
              <w:t xml:space="preserve">(c) which fills dangerous goods </w:t>
            </w:r>
            <w:r w:rsidRPr="005C52D1">
              <w:rPr>
                <w:shd w:val="clear" w:color="auto" w:fill="F2DBDB" w:themeFill="accent2" w:themeFillTint="33"/>
              </w:rPr>
              <w:t xml:space="preserve">into a vessel, a vehicle, a wagon, a large </w:t>
            </w:r>
            <w:proofErr w:type="gramStart"/>
            <w:r w:rsidRPr="005C52D1">
              <w:rPr>
                <w:shd w:val="clear" w:color="auto" w:fill="F2DBDB" w:themeFill="accent2" w:themeFillTint="33"/>
              </w:rPr>
              <w:t>container</w:t>
            </w:r>
            <w:proofErr w:type="gramEnd"/>
            <w:r w:rsidRPr="005C52D1">
              <w:rPr>
                <w:shd w:val="clear" w:color="auto" w:fill="F2DBDB" w:themeFill="accent2" w:themeFillTint="33"/>
              </w:rPr>
              <w:t xml:space="preserve"> or small container for carriage in bulk.</w:t>
            </w:r>
          </w:p>
        </w:tc>
        <w:tc>
          <w:tcPr>
            <w:tcW w:w="4489" w:type="dxa"/>
            <w:shd w:val="clear" w:color="auto" w:fill="auto"/>
          </w:tcPr>
          <w:p w14:paraId="361D3D9D" w14:textId="13EE8638" w:rsidR="00703F4E" w:rsidRPr="005C52D1" w:rsidRDefault="004676F7" w:rsidP="00703F4E">
            <w:pPr>
              <w:spacing w:line="260" w:lineRule="exact"/>
              <w:rPr>
                <w:lang w:val="de-CH"/>
              </w:rPr>
            </w:pPr>
            <w:proofErr w:type="spellStart"/>
            <w:r w:rsidRPr="005C52D1">
              <w:rPr>
                <w:lang w:val="de-CH"/>
              </w:rPr>
              <w:t>Befüller</w:t>
            </w:r>
            <w:proofErr w:type="spellEnd"/>
            <w:r w:rsidRPr="005C52D1">
              <w:rPr>
                <w:lang w:val="de-CH"/>
              </w:rPr>
              <w:t>: Das Unternehmen, das die gefährlichen Güter (...)</w:t>
            </w:r>
          </w:p>
          <w:p w14:paraId="763510E5" w14:textId="7ADE1A58" w:rsidR="004676F7" w:rsidRPr="005C52D1" w:rsidRDefault="004676F7" w:rsidP="00703F4E">
            <w:pPr>
              <w:spacing w:line="260" w:lineRule="exact"/>
              <w:rPr>
                <w:lang w:val="de-CH"/>
              </w:rPr>
            </w:pPr>
            <w:r w:rsidRPr="005C52D1">
              <w:rPr>
                <w:lang w:val="de-CH"/>
              </w:rPr>
              <w:t xml:space="preserve">(c) </w:t>
            </w:r>
            <w:r w:rsidRPr="005C52D1">
              <w:rPr>
                <w:shd w:val="clear" w:color="auto" w:fill="F2DBDB" w:themeFill="accent2" w:themeFillTint="33"/>
                <w:lang w:val="de-CH"/>
              </w:rPr>
              <w:t>in Loser Schüttung in ein Schiff, Fahrzeug, Wagen, Grosscontainer oder Kleincontainer erfüllt.</w:t>
            </w:r>
          </w:p>
        </w:tc>
        <w:tc>
          <w:tcPr>
            <w:tcW w:w="4489" w:type="dxa"/>
            <w:shd w:val="clear" w:color="auto" w:fill="auto"/>
          </w:tcPr>
          <w:p w14:paraId="2370A772" w14:textId="486E9900" w:rsidR="006660A1" w:rsidRPr="005C52D1" w:rsidRDefault="006660A1" w:rsidP="00703F4E">
            <w:pPr>
              <w:spacing w:line="260" w:lineRule="exact"/>
              <w:rPr>
                <w:lang w:val="fr-CH"/>
              </w:rPr>
            </w:pPr>
            <w:r w:rsidRPr="005C52D1">
              <w:rPr>
                <w:lang w:val="fr-CH"/>
              </w:rPr>
              <w:t>« Remplisseur », l'entreprise (...)</w:t>
            </w:r>
          </w:p>
          <w:p w14:paraId="6CD6291C" w14:textId="6799BEA4" w:rsidR="00703F4E" w:rsidRPr="005C52D1" w:rsidRDefault="004C6994" w:rsidP="00703F4E">
            <w:pPr>
              <w:spacing w:line="260" w:lineRule="exact"/>
              <w:rPr>
                <w:lang w:val="fr-CH"/>
              </w:rPr>
            </w:pPr>
            <w:r w:rsidRPr="005C52D1">
              <w:rPr>
                <w:lang w:val="fr-CH"/>
              </w:rPr>
              <w:t xml:space="preserve">c) qui remplit les marchandises dangereuses dans </w:t>
            </w:r>
            <w:r w:rsidRPr="005C52D1">
              <w:rPr>
                <w:shd w:val="clear" w:color="auto" w:fill="F2DBDB" w:themeFill="accent2" w:themeFillTint="33"/>
                <w:lang w:val="fr-CH"/>
              </w:rPr>
              <w:t xml:space="preserve">un </w:t>
            </w:r>
            <w:r w:rsidR="006660A1" w:rsidRPr="005C52D1">
              <w:rPr>
                <w:shd w:val="clear" w:color="auto" w:fill="F2DBDB" w:themeFill="accent2" w:themeFillTint="33"/>
                <w:lang w:val="fr-CH"/>
              </w:rPr>
              <w:t>bateau</w:t>
            </w:r>
            <w:r w:rsidRPr="005C52D1">
              <w:rPr>
                <w:shd w:val="clear" w:color="auto" w:fill="F2DBDB" w:themeFill="accent2" w:themeFillTint="33"/>
                <w:lang w:val="fr-CH"/>
              </w:rPr>
              <w:t xml:space="preserve">, un véhicule, un wagon, un grand conteneur ou petit conteneur pour </w:t>
            </w:r>
            <w:r w:rsidR="004676F7" w:rsidRPr="005C52D1">
              <w:rPr>
                <w:b/>
                <w:u w:val="single"/>
                <w:shd w:val="clear" w:color="auto" w:fill="F2DBDB" w:themeFill="accent2" w:themeFillTint="33"/>
                <w:lang w:val="fr-CH"/>
              </w:rPr>
              <w:t>le transport en</w:t>
            </w:r>
            <w:r w:rsidR="004676F7" w:rsidRPr="005C52D1">
              <w:rPr>
                <w:shd w:val="clear" w:color="auto" w:fill="F2DBDB" w:themeFill="accent2" w:themeFillTint="33"/>
                <w:lang w:val="fr-CH"/>
              </w:rPr>
              <w:t xml:space="preserve"> </w:t>
            </w:r>
            <w:r w:rsidRPr="005C52D1">
              <w:rPr>
                <w:shd w:val="clear" w:color="auto" w:fill="F2DBDB" w:themeFill="accent2" w:themeFillTint="33"/>
                <w:lang w:val="fr-CH"/>
              </w:rPr>
              <w:t>vr</w:t>
            </w:r>
            <w:r w:rsidR="004676F7" w:rsidRPr="005C52D1">
              <w:rPr>
                <w:shd w:val="clear" w:color="auto" w:fill="F2DBDB" w:themeFill="accent2" w:themeFillTint="33"/>
                <w:lang w:val="fr-CH"/>
              </w:rPr>
              <w:t>ac</w:t>
            </w:r>
            <w:r w:rsidR="004676F7" w:rsidRPr="005C52D1">
              <w:rPr>
                <w:lang w:val="fr-CH"/>
              </w:rPr>
              <w:t>.</w:t>
            </w:r>
          </w:p>
        </w:tc>
      </w:tr>
      <w:tr w:rsidR="00655BF4" w:rsidRPr="006660A1" w14:paraId="2C129D02" w14:textId="77777777" w:rsidTr="00B6661C">
        <w:tc>
          <w:tcPr>
            <w:tcW w:w="13467" w:type="dxa"/>
            <w:gridSpan w:val="3"/>
            <w:shd w:val="clear" w:color="auto" w:fill="F2F2F2" w:themeFill="background1" w:themeFillShade="F2"/>
          </w:tcPr>
          <w:p w14:paraId="58D2DA6E" w14:textId="77777777" w:rsidR="00655BF4" w:rsidRPr="005C52D1" w:rsidRDefault="00655BF4" w:rsidP="00DD4FF1">
            <w:pPr>
              <w:spacing w:line="260" w:lineRule="exact"/>
              <w:ind w:right="29"/>
              <w:jc w:val="center"/>
              <w:rPr>
                <w:b/>
                <w:lang w:val="fr-CH"/>
              </w:rPr>
            </w:pPr>
            <w:r w:rsidRPr="005C52D1">
              <w:rPr>
                <w:b/>
                <w:lang w:val="fr-CH"/>
              </w:rPr>
              <w:t>1.4.3.3 (h) ADR (Filler)</w:t>
            </w:r>
          </w:p>
        </w:tc>
      </w:tr>
      <w:tr w:rsidR="00655BF4" w:rsidRPr="005C52D1" w14:paraId="7C06BD7C" w14:textId="77777777" w:rsidTr="00DD4FF1">
        <w:tc>
          <w:tcPr>
            <w:tcW w:w="4489" w:type="dxa"/>
          </w:tcPr>
          <w:p w14:paraId="611E108B" w14:textId="77777777" w:rsidR="00655BF4" w:rsidRPr="005C52D1" w:rsidRDefault="00655BF4" w:rsidP="00DD4FF1">
            <w:pPr>
              <w:spacing w:line="260" w:lineRule="exact"/>
              <w:ind w:right="29"/>
              <w:rPr>
                <w:lang w:val="en-US"/>
              </w:rPr>
            </w:pPr>
            <w:r w:rsidRPr="005C52D1">
              <w:t xml:space="preserve">He shall, in preparing the dangerous goods for carriage, ensure that the placards, marks, orange-coloured plates and labels are affixed on the tanks, on the vehicles </w:t>
            </w:r>
            <w:r w:rsidRPr="005C52D1">
              <w:rPr>
                <w:shd w:val="clear" w:color="auto" w:fill="F2DBDB" w:themeFill="accent2" w:themeFillTint="33"/>
              </w:rPr>
              <w:t>and on the containers for carriage in bulk</w:t>
            </w:r>
            <w:r w:rsidRPr="005C52D1">
              <w:t xml:space="preserve"> in accordance with Chapter 5.3;</w:t>
            </w:r>
          </w:p>
        </w:tc>
        <w:tc>
          <w:tcPr>
            <w:tcW w:w="4489" w:type="dxa"/>
            <w:shd w:val="clear" w:color="auto" w:fill="auto"/>
          </w:tcPr>
          <w:p w14:paraId="596D94E3" w14:textId="77777777" w:rsidR="00655BF4" w:rsidRPr="005C52D1" w:rsidRDefault="00655BF4" w:rsidP="00DD4FF1">
            <w:pPr>
              <w:spacing w:line="260" w:lineRule="exact"/>
              <w:rPr>
                <w:lang w:val="de-CH"/>
              </w:rPr>
            </w:pPr>
            <w:r w:rsidRPr="005C52D1">
              <w:rPr>
                <w:lang w:val="de-CH"/>
              </w:rPr>
              <w:t>hat, wenn er die gefährlichen Güter zur Beförderung vorbereitet, dafür zu sorgen, dass die Grosszettel (</w:t>
            </w:r>
            <w:proofErr w:type="spellStart"/>
            <w:r w:rsidRPr="005C52D1">
              <w:rPr>
                <w:lang w:val="de-CH"/>
              </w:rPr>
              <w:t>Placards</w:t>
            </w:r>
            <w:proofErr w:type="spellEnd"/>
            <w:r w:rsidRPr="005C52D1">
              <w:rPr>
                <w:lang w:val="de-CH"/>
              </w:rPr>
              <w:t xml:space="preserve">), Kennzeichen, orangefarbenen Tafeln und Gefahrzettel gemäss Kapitel 5.3 an den Tanks, </w:t>
            </w:r>
            <w:r w:rsidRPr="005C52D1">
              <w:rPr>
                <w:shd w:val="clear" w:color="auto" w:fill="F2DBDB" w:themeFill="accent2" w:themeFillTint="33"/>
                <w:lang w:val="de-CH"/>
              </w:rPr>
              <w:t xml:space="preserve">an den Fahrzeugen und an den Containern für die Beförderung in loser Schüttung </w:t>
            </w:r>
            <w:r w:rsidRPr="005C52D1">
              <w:rPr>
                <w:lang w:val="de-CH"/>
              </w:rPr>
              <w:t>angebracht sind;</w:t>
            </w:r>
          </w:p>
        </w:tc>
        <w:tc>
          <w:tcPr>
            <w:tcW w:w="4489" w:type="dxa"/>
            <w:shd w:val="clear" w:color="auto" w:fill="auto"/>
          </w:tcPr>
          <w:p w14:paraId="5BF5B3FC" w14:textId="77777777" w:rsidR="00655BF4" w:rsidRPr="005C52D1" w:rsidRDefault="00655BF4" w:rsidP="00DD4FF1">
            <w:pPr>
              <w:spacing w:line="260" w:lineRule="exact"/>
              <w:rPr>
                <w:lang w:val="fr-CH"/>
              </w:rPr>
            </w:pPr>
            <w:r w:rsidRPr="005C52D1">
              <w:rPr>
                <w:lang w:val="fr-CH"/>
              </w:rPr>
              <w:t xml:space="preserve">Il doit, lorsqu'il prépare les marchandises dangereuses aux fins de transport, veiller à ce que les plaques-étiquettes, marques, panneaux orange et étiquettes soient apposés conformément au chapitre 5.3 sur les citernes, </w:t>
            </w:r>
            <w:r w:rsidRPr="005C52D1">
              <w:rPr>
                <w:shd w:val="clear" w:color="auto" w:fill="F2DBDB" w:themeFill="accent2" w:themeFillTint="33"/>
                <w:lang w:val="fr-CH"/>
              </w:rPr>
              <w:t xml:space="preserve">sur les véhicules et sur les conteneurs pour </w:t>
            </w:r>
            <w:r w:rsidRPr="005C52D1">
              <w:rPr>
                <w:b/>
                <w:u w:val="single"/>
                <w:shd w:val="clear" w:color="auto" w:fill="F2DBDB" w:themeFill="accent2" w:themeFillTint="33"/>
                <w:lang w:val="fr-CH"/>
              </w:rPr>
              <w:t xml:space="preserve">le transport en </w:t>
            </w:r>
            <w:r w:rsidRPr="005C52D1">
              <w:rPr>
                <w:shd w:val="clear" w:color="auto" w:fill="F2DBDB" w:themeFill="accent2" w:themeFillTint="33"/>
                <w:lang w:val="fr-CH"/>
              </w:rPr>
              <w:t>vrac;</w:t>
            </w:r>
          </w:p>
        </w:tc>
      </w:tr>
      <w:tr w:rsidR="00AD4BFB" w:rsidRPr="00717F56" w14:paraId="2AF02554" w14:textId="77777777" w:rsidTr="00DD4FF1">
        <w:tc>
          <w:tcPr>
            <w:tcW w:w="13467" w:type="dxa"/>
            <w:gridSpan w:val="3"/>
            <w:shd w:val="clear" w:color="auto" w:fill="F2F2F2" w:themeFill="background1" w:themeFillShade="F2"/>
          </w:tcPr>
          <w:p w14:paraId="3E5DAE2F" w14:textId="77777777" w:rsidR="00AD4BFB" w:rsidRPr="005C52D1" w:rsidRDefault="00AD4BFB" w:rsidP="005C52D1">
            <w:pPr>
              <w:keepNext/>
              <w:keepLines/>
              <w:spacing w:line="260" w:lineRule="exact"/>
              <w:ind w:right="29"/>
              <w:jc w:val="center"/>
              <w:rPr>
                <w:b/>
              </w:rPr>
            </w:pPr>
            <w:r w:rsidRPr="005C52D1">
              <w:rPr>
                <w:b/>
              </w:rPr>
              <w:lastRenderedPageBreak/>
              <w:t>5.1.3 RID</w:t>
            </w:r>
          </w:p>
        </w:tc>
      </w:tr>
      <w:tr w:rsidR="00AD4BFB" w:rsidRPr="005C52D1" w14:paraId="6C7BC6BD" w14:textId="77777777" w:rsidTr="00DD4FF1">
        <w:tc>
          <w:tcPr>
            <w:tcW w:w="4489" w:type="dxa"/>
          </w:tcPr>
          <w:p w14:paraId="59D4E2B4" w14:textId="77777777" w:rsidR="00AD4BFB" w:rsidRPr="005C52D1" w:rsidRDefault="00AD4BFB" w:rsidP="005C52D1">
            <w:pPr>
              <w:keepNext/>
              <w:keepLines/>
              <w:spacing w:line="260" w:lineRule="exact"/>
              <w:ind w:right="29"/>
              <w:rPr>
                <w:shd w:val="clear" w:color="auto" w:fill="F2DBDB" w:themeFill="accent2" w:themeFillTint="33"/>
                <w:lang w:val="en-US"/>
              </w:rPr>
            </w:pPr>
            <w:r w:rsidRPr="005C52D1">
              <w:rPr>
                <w:lang w:val="en-US"/>
              </w:rPr>
              <w:t>5.1.3 Empty uncleaned packagings (including IBCs and large packagings), tanks</w:t>
            </w:r>
            <w:r w:rsidRPr="005C52D1">
              <w:rPr>
                <w:shd w:val="clear" w:color="auto" w:fill="F2DBDB" w:themeFill="accent2" w:themeFillTint="33"/>
                <w:lang w:val="en-US"/>
              </w:rPr>
              <w:t>, wagons and containers for carriage in bulk</w:t>
            </w:r>
          </w:p>
          <w:p w14:paraId="33321E5B" w14:textId="77777777" w:rsidR="00AD4BFB" w:rsidRPr="005C52D1" w:rsidRDefault="00AD4BFB" w:rsidP="005C52D1">
            <w:pPr>
              <w:keepNext/>
              <w:keepLines/>
              <w:spacing w:line="260" w:lineRule="exact"/>
              <w:ind w:right="29"/>
              <w:rPr>
                <w:lang w:val="en-US"/>
              </w:rPr>
            </w:pPr>
            <w:r w:rsidRPr="005C52D1">
              <w:rPr>
                <w:lang w:val="en-US"/>
              </w:rPr>
              <w:t xml:space="preserve">5.1.3.1 Empty uncleaned packagings (including IBCs and large packagings), tanks (including tank-wagons, battery-wagons, demountable tanks, portable tanks, tank-containers, MEGCs), </w:t>
            </w:r>
            <w:r w:rsidRPr="005C52D1">
              <w:rPr>
                <w:shd w:val="clear" w:color="auto" w:fill="F2DBDB" w:themeFill="accent2" w:themeFillTint="33"/>
                <w:lang w:val="en-US"/>
              </w:rPr>
              <w:t>wagons and containers for carriage in bulk</w:t>
            </w:r>
            <w:r w:rsidRPr="005C52D1">
              <w:rPr>
                <w:lang w:val="en-US"/>
              </w:rPr>
              <w:t xml:space="preserve"> having contained dangerous goods of the different classes other than Class 7, shall be marked and labelled as if they were full.</w:t>
            </w:r>
          </w:p>
        </w:tc>
        <w:tc>
          <w:tcPr>
            <w:tcW w:w="4489" w:type="dxa"/>
            <w:shd w:val="clear" w:color="auto" w:fill="auto"/>
          </w:tcPr>
          <w:p w14:paraId="24C35E07" w14:textId="77777777" w:rsidR="00AD4BFB" w:rsidRPr="005C52D1" w:rsidRDefault="00AD4BFB" w:rsidP="005C52D1">
            <w:pPr>
              <w:keepNext/>
              <w:keepLines/>
              <w:spacing w:line="260" w:lineRule="exact"/>
              <w:rPr>
                <w:lang w:val="de-CH"/>
              </w:rPr>
            </w:pPr>
            <w:r w:rsidRPr="005C52D1">
              <w:rPr>
                <w:lang w:val="de-CH"/>
              </w:rPr>
              <w:t xml:space="preserve">5.1.3 Ungereinigte leere Verpackungen (einschließlich Großpackmittel (IBC) und Großverpackungen), Tanks, </w:t>
            </w:r>
            <w:r w:rsidRPr="005C52D1">
              <w:rPr>
                <w:shd w:val="clear" w:color="auto" w:fill="F2DBDB" w:themeFill="accent2" w:themeFillTint="33"/>
                <w:lang w:val="de-CH"/>
              </w:rPr>
              <w:t>Wagen und Container für Güter in loser Schüttung</w:t>
            </w:r>
          </w:p>
          <w:p w14:paraId="3AFA1E91" w14:textId="77777777" w:rsidR="00AD4BFB" w:rsidRPr="005C52D1" w:rsidRDefault="00AD4BFB" w:rsidP="005C52D1">
            <w:pPr>
              <w:keepNext/>
              <w:keepLines/>
              <w:spacing w:line="260" w:lineRule="exact"/>
              <w:rPr>
                <w:lang w:val="de-CH"/>
              </w:rPr>
            </w:pPr>
            <w:r w:rsidRPr="005C52D1">
              <w:rPr>
                <w:lang w:val="de-CH"/>
              </w:rPr>
              <w:t xml:space="preserve">5.1.3.1 Ungereinigte, nicht entgaste oder nicht entgiftete leere Verpackungen (einschließlich Großpackmittel (IBC) und Großverpackungen), Tanks (einschließlich Kesselwagen, Batteriewagen, abnehmbare Tanks, ortsbewegliche Tanks, Tankcontainer und MEGC) sowie </w:t>
            </w:r>
            <w:r w:rsidRPr="005C52D1">
              <w:rPr>
                <w:shd w:val="clear" w:color="auto" w:fill="F2DBDB" w:themeFill="accent2" w:themeFillTint="33"/>
                <w:lang w:val="de-CH"/>
              </w:rPr>
              <w:t>Wagen und Container für Güter in loser Schüttung</w:t>
            </w:r>
            <w:r w:rsidRPr="005C52D1">
              <w:rPr>
                <w:lang w:val="de-CH"/>
              </w:rPr>
              <w:t>, die gefährliche Güter der einzelnen Klassen mit Ausnahme der Klasse 7 enthalten haben, müssen mit den gleichen Kennzeichen und Gefahrzetteln oder Großzetteln (</w:t>
            </w:r>
            <w:proofErr w:type="spellStart"/>
            <w:r w:rsidRPr="005C52D1">
              <w:rPr>
                <w:lang w:val="de-CH"/>
              </w:rPr>
              <w:t>Placards</w:t>
            </w:r>
            <w:proofErr w:type="spellEnd"/>
            <w:r w:rsidRPr="005C52D1">
              <w:rPr>
                <w:lang w:val="de-CH"/>
              </w:rPr>
              <w:t>) versehen sein wie in gefülltem Zustand.</w:t>
            </w:r>
          </w:p>
        </w:tc>
        <w:tc>
          <w:tcPr>
            <w:tcW w:w="4489" w:type="dxa"/>
            <w:shd w:val="clear" w:color="auto" w:fill="auto"/>
          </w:tcPr>
          <w:p w14:paraId="28737CEA" w14:textId="77777777" w:rsidR="00AD4BFB" w:rsidRPr="005C52D1" w:rsidRDefault="00AD4BFB" w:rsidP="005C52D1">
            <w:pPr>
              <w:keepNext/>
              <w:keepLines/>
              <w:spacing w:line="260" w:lineRule="exact"/>
              <w:rPr>
                <w:lang w:val="fr-CH"/>
              </w:rPr>
            </w:pPr>
            <w:r w:rsidRPr="005C52D1">
              <w:rPr>
                <w:lang w:val="fr-CH"/>
              </w:rPr>
              <w:t xml:space="preserve">5.1.3 Emballages (y compris les GRV et les grands emballages), citernes, </w:t>
            </w:r>
            <w:r w:rsidRPr="005C52D1">
              <w:rPr>
                <w:shd w:val="clear" w:color="auto" w:fill="F2DBDB" w:themeFill="accent2" w:themeFillTint="33"/>
                <w:lang w:val="fr-CH"/>
              </w:rPr>
              <w:t xml:space="preserve">wagons </w:t>
            </w:r>
            <w:r w:rsidRPr="005C52D1">
              <w:rPr>
                <w:b/>
                <w:dstrike/>
                <w:shd w:val="clear" w:color="auto" w:fill="F2DBDB" w:themeFill="accent2" w:themeFillTint="33"/>
                <w:lang w:val="fr-CH"/>
              </w:rPr>
              <w:t>pour vrac</w:t>
            </w:r>
            <w:r w:rsidRPr="005C52D1">
              <w:rPr>
                <w:shd w:val="clear" w:color="auto" w:fill="F2DBDB" w:themeFill="accent2" w:themeFillTint="33"/>
                <w:lang w:val="fr-CH"/>
              </w:rPr>
              <w:t xml:space="preserve"> et conteneurs pour </w:t>
            </w:r>
            <w:r w:rsidRPr="005C52D1">
              <w:rPr>
                <w:b/>
                <w:u w:val="single"/>
                <w:shd w:val="clear" w:color="auto" w:fill="F2DBDB" w:themeFill="accent2" w:themeFillTint="33"/>
                <w:lang w:val="fr-CH"/>
              </w:rPr>
              <w:t>le transport en</w:t>
            </w:r>
            <w:r w:rsidRPr="005C52D1">
              <w:rPr>
                <w:shd w:val="clear" w:color="auto" w:fill="F2DBDB" w:themeFill="accent2" w:themeFillTint="33"/>
                <w:lang w:val="fr-CH"/>
              </w:rPr>
              <w:t xml:space="preserve"> vrac,</w:t>
            </w:r>
            <w:r w:rsidRPr="005C52D1">
              <w:rPr>
                <w:lang w:val="fr-CH"/>
              </w:rPr>
              <w:t xml:space="preserve"> vides, non nettoyés</w:t>
            </w:r>
          </w:p>
          <w:p w14:paraId="1F3C6F05" w14:textId="77777777" w:rsidR="00AD4BFB" w:rsidRPr="005C52D1" w:rsidRDefault="00AD4BFB" w:rsidP="005C52D1">
            <w:pPr>
              <w:keepNext/>
              <w:keepLines/>
              <w:spacing w:line="260" w:lineRule="exact"/>
              <w:rPr>
                <w:lang w:val="fr-CH"/>
              </w:rPr>
            </w:pPr>
            <w:r w:rsidRPr="005C52D1">
              <w:rPr>
                <w:lang w:val="fr-CH"/>
              </w:rPr>
              <w:t xml:space="preserve">5.1.3.1 Les emballages (y compris les GRV et les grands emballages), les citernes (y compris les wagons-citernes, wagons-batterie, citernes amovibles, citernes mobiles, conteneurs-citernes, CGEM), </w:t>
            </w:r>
            <w:r w:rsidRPr="005C52D1">
              <w:rPr>
                <w:shd w:val="clear" w:color="auto" w:fill="F2DBDB" w:themeFill="accent2" w:themeFillTint="33"/>
                <w:lang w:val="fr-CH"/>
              </w:rPr>
              <w:t xml:space="preserve">les wagons et les conteneurs pour </w:t>
            </w:r>
            <w:r w:rsidRPr="005C52D1">
              <w:rPr>
                <w:b/>
                <w:u w:val="single"/>
                <w:shd w:val="clear" w:color="auto" w:fill="F2DBDB" w:themeFill="accent2" w:themeFillTint="33"/>
                <w:lang w:val="fr-CH"/>
              </w:rPr>
              <w:t xml:space="preserve">le transport en </w:t>
            </w:r>
            <w:r w:rsidRPr="005C52D1">
              <w:rPr>
                <w:shd w:val="clear" w:color="auto" w:fill="F2DBDB" w:themeFill="accent2" w:themeFillTint="33"/>
                <w:lang w:val="fr-CH"/>
              </w:rPr>
              <w:t>vrac,</w:t>
            </w:r>
            <w:r w:rsidRPr="005C52D1">
              <w:rPr>
                <w:lang w:val="fr-CH"/>
              </w:rPr>
              <w:t xml:space="preserve"> vides non nettoyés, non dégazés ou non décontaminés, ayant contenu des marchandises dangereuses de différentes classes autres que la classe 7, doivent être marqués et étiquetés ou placardés (plaques-étiquettes) comme s'ils étaient pleins.</w:t>
            </w:r>
          </w:p>
        </w:tc>
      </w:tr>
    </w:tbl>
    <w:p w14:paraId="01594B56" w14:textId="77777777" w:rsidR="005C52D1" w:rsidRDefault="005C52D1"/>
    <w:tbl>
      <w:tblPr>
        <w:tblStyle w:val="TableGrid"/>
        <w:tblW w:w="13467" w:type="dxa"/>
        <w:tblInd w:w="-572" w:type="dxa"/>
        <w:tblCellMar>
          <w:top w:w="57" w:type="dxa"/>
          <w:left w:w="57" w:type="dxa"/>
          <w:bottom w:w="57" w:type="dxa"/>
          <w:right w:w="57" w:type="dxa"/>
        </w:tblCellMar>
        <w:tblLook w:val="04A0" w:firstRow="1" w:lastRow="0" w:firstColumn="1" w:lastColumn="0" w:noHBand="0" w:noVBand="1"/>
      </w:tblPr>
      <w:tblGrid>
        <w:gridCol w:w="4489"/>
        <w:gridCol w:w="4489"/>
        <w:gridCol w:w="4489"/>
      </w:tblGrid>
      <w:tr w:rsidR="00703F4E" w:rsidRPr="00717F56" w14:paraId="681D3453" w14:textId="77777777" w:rsidTr="00DF6B95">
        <w:tc>
          <w:tcPr>
            <w:tcW w:w="13467" w:type="dxa"/>
            <w:gridSpan w:val="3"/>
            <w:shd w:val="clear" w:color="auto" w:fill="F2F2F2" w:themeFill="background1" w:themeFillShade="F2"/>
          </w:tcPr>
          <w:p w14:paraId="3374240B" w14:textId="6630F147" w:rsidR="00703F4E" w:rsidRPr="005C52D1" w:rsidRDefault="000F38CB" w:rsidP="005C52D1">
            <w:pPr>
              <w:keepNext/>
              <w:keepLines/>
              <w:spacing w:line="260" w:lineRule="exact"/>
              <w:ind w:right="29"/>
              <w:jc w:val="center"/>
              <w:rPr>
                <w:b/>
              </w:rPr>
            </w:pPr>
            <w:r w:rsidRPr="005C52D1">
              <w:rPr>
                <w:b/>
              </w:rPr>
              <w:lastRenderedPageBreak/>
              <w:t>5.1.3</w:t>
            </w:r>
            <w:r w:rsidR="005169EC" w:rsidRPr="005C52D1">
              <w:rPr>
                <w:b/>
              </w:rPr>
              <w:t xml:space="preserve"> </w:t>
            </w:r>
            <w:r w:rsidR="00703F4E" w:rsidRPr="005C52D1">
              <w:rPr>
                <w:b/>
              </w:rPr>
              <w:t>ADR</w:t>
            </w:r>
          </w:p>
        </w:tc>
      </w:tr>
      <w:tr w:rsidR="00703F4E" w:rsidRPr="005C52D1" w14:paraId="1099E14D" w14:textId="77777777" w:rsidTr="00DF6B95">
        <w:tc>
          <w:tcPr>
            <w:tcW w:w="4489" w:type="dxa"/>
          </w:tcPr>
          <w:p w14:paraId="76EC1195" w14:textId="77777777" w:rsidR="000F38CB" w:rsidRPr="005C52D1" w:rsidRDefault="000F38CB" w:rsidP="00574D0B">
            <w:pPr>
              <w:spacing w:line="260" w:lineRule="exact"/>
              <w:ind w:right="29"/>
            </w:pPr>
            <w:r w:rsidRPr="005C52D1">
              <w:t>5.1.3</w:t>
            </w:r>
            <w:r w:rsidRPr="005C52D1">
              <w:tab/>
              <w:t xml:space="preserve">Empty uncleaned packagings (including IBCs and large </w:t>
            </w:r>
            <w:proofErr w:type="spellStart"/>
            <w:r w:rsidRPr="005C52D1">
              <w:t>packagings</w:t>
            </w:r>
            <w:proofErr w:type="spellEnd"/>
            <w:r w:rsidRPr="005C52D1">
              <w:t xml:space="preserve">), tanks, MEMUs, </w:t>
            </w:r>
            <w:r w:rsidRPr="005C52D1">
              <w:rPr>
                <w:shd w:val="clear" w:color="auto" w:fill="F2DBDB" w:themeFill="accent2" w:themeFillTint="33"/>
              </w:rPr>
              <w:t>vehicles and containers for carriage in bulk</w:t>
            </w:r>
          </w:p>
          <w:p w14:paraId="38A1CD29" w14:textId="0449BCD2" w:rsidR="00703F4E" w:rsidRPr="005C52D1" w:rsidRDefault="000F38CB" w:rsidP="00574D0B">
            <w:pPr>
              <w:spacing w:line="260" w:lineRule="exact"/>
              <w:ind w:right="29"/>
            </w:pPr>
            <w:r w:rsidRPr="005C52D1">
              <w:t xml:space="preserve">5.1.3.1  </w:t>
            </w:r>
            <w:r w:rsidR="00703F4E" w:rsidRPr="005C52D1">
              <w:t xml:space="preserve">Empty uncleaned packagings (including IBCs and large packagings), tanks (including tank-vehicles, battery-vehicles, demountable tanks, portable tanks, tank-containers, MEGCs), MEMUs, </w:t>
            </w:r>
            <w:r w:rsidR="00703F4E" w:rsidRPr="005C52D1">
              <w:rPr>
                <w:shd w:val="clear" w:color="auto" w:fill="F2DBDB" w:themeFill="accent2" w:themeFillTint="33"/>
              </w:rPr>
              <w:t>vehicles and containers for carriage in bulk</w:t>
            </w:r>
            <w:r w:rsidR="00703F4E" w:rsidRPr="005C52D1">
              <w:t xml:space="preserve"> having contained dangerous goods of the different classes other than Class 7, shall be marked and labelled as if they were full.</w:t>
            </w:r>
          </w:p>
        </w:tc>
        <w:tc>
          <w:tcPr>
            <w:tcW w:w="4489" w:type="dxa"/>
            <w:shd w:val="clear" w:color="auto" w:fill="auto"/>
          </w:tcPr>
          <w:p w14:paraId="4D9BCE5B" w14:textId="02E9527B" w:rsidR="000F38CB" w:rsidRPr="005C52D1" w:rsidRDefault="000F38CB" w:rsidP="005C52D1">
            <w:pPr>
              <w:keepNext/>
              <w:keepLines/>
              <w:spacing w:line="260" w:lineRule="exact"/>
              <w:rPr>
                <w:lang w:val="de-CH"/>
              </w:rPr>
            </w:pPr>
            <w:r w:rsidRPr="005C52D1">
              <w:rPr>
                <w:lang w:val="de-CH"/>
              </w:rPr>
              <w:t xml:space="preserve">5.1.3 Ungereinigte leere Verpackungen (einschliesslich Grosspackmittel (IBC) und Grossverpackungen), Tanks, MEMU, </w:t>
            </w:r>
            <w:r w:rsidRPr="005C52D1">
              <w:rPr>
                <w:shd w:val="clear" w:color="auto" w:fill="F2DBDB" w:themeFill="accent2" w:themeFillTint="33"/>
                <w:lang w:val="de-CH"/>
              </w:rPr>
              <w:t>Fahrzeuge und Container für Güter in loser Schüttung</w:t>
            </w:r>
          </w:p>
          <w:p w14:paraId="245D0F4F" w14:textId="6CAB71C8" w:rsidR="00453C6F" w:rsidRPr="005C52D1" w:rsidRDefault="000F38CB" w:rsidP="005C52D1">
            <w:pPr>
              <w:keepNext/>
              <w:keepLines/>
              <w:spacing w:line="260" w:lineRule="exact"/>
              <w:rPr>
                <w:lang w:val="de-CH"/>
              </w:rPr>
            </w:pPr>
            <w:proofErr w:type="gramStart"/>
            <w:r w:rsidRPr="005C52D1">
              <w:rPr>
                <w:lang w:val="de-CH"/>
              </w:rPr>
              <w:t xml:space="preserve">5.1.3.1  </w:t>
            </w:r>
            <w:r w:rsidR="00453C6F" w:rsidRPr="005C52D1">
              <w:rPr>
                <w:lang w:val="de-CH"/>
              </w:rPr>
              <w:t>Ungereinigte</w:t>
            </w:r>
            <w:proofErr w:type="gramEnd"/>
            <w:r w:rsidR="00453C6F" w:rsidRPr="005C52D1">
              <w:rPr>
                <w:lang w:val="de-CH"/>
              </w:rPr>
              <w:t xml:space="preserve"> leere Verpackungen (einschliesslich Grosspackmittel (IBC) und Grossverpackungen), Tanks</w:t>
            </w:r>
          </w:p>
          <w:p w14:paraId="21210199" w14:textId="77777777" w:rsidR="00453C6F" w:rsidRPr="005C52D1" w:rsidRDefault="00453C6F" w:rsidP="005C52D1">
            <w:pPr>
              <w:keepNext/>
              <w:keepLines/>
              <w:spacing w:line="260" w:lineRule="exact"/>
              <w:rPr>
                <w:lang w:val="de-CH"/>
              </w:rPr>
            </w:pPr>
            <w:r w:rsidRPr="005C52D1">
              <w:rPr>
                <w:lang w:val="de-CH"/>
              </w:rPr>
              <w:t xml:space="preserve">(einschliesslich Tankfahrzeuge, Batterie-Fahrzeuge, Aufsetztanks, ortsbewegliche Tanks, Tankcontainer, MEGC und MEMU) sowie </w:t>
            </w:r>
            <w:r w:rsidRPr="005C52D1">
              <w:rPr>
                <w:shd w:val="clear" w:color="auto" w:fill="F2DBDB" w:themeFill="accent2" w:themeFillTint="33"/>
                <w:lang w:val="de-CH"/>
              </w:rPr>
              <w:t>Fahrzeuge und Container für Güter in loser Schüttung,</w:t>
            </w:r>
            <w:r w:rsidRPr="005C52D1">
              <w:rPr>
                <w:lang w:val="de-CH"/>
              </w:rPr>
              <w:t xml:space="preserve"> die gefährliche Güter der einzelnen Klassen mit Ausnahme der Klasse 7 enthalten haben, müssen mit den gleichen Kennzeichen</w:t>
            </w:r>
          </w:p>
          <w:p w14:paraId="70E3AC56" w14:textId="0A471165" w:rsidR="00703F4E" w:rsidRPr="005C52D1" w:rsidRDefault="00453C6F" w:rsidP="005C52D1">
            <w:pPr>
              <w:keepNext/>
              <w:keepLines/>
              <w:spacing w:line="260" w:lineRule="exact"/>
              <w:rPr>
                <w:lang w:val="de-CH"/>
              </w:rPr>
            </w:pPr>
            <w:r w:rsidRPr="005C52D1">
              <w:rPr>
                <w:lang w:val="de-CH"/>
              </w:rPr>
              <w:t>und Gefahrzetteln oder Grosszetteln (</w:t>
            </w:r>
            <w:proofErr w:type="spellStart"/>
            <w:r w:rsidRPr="005C52D1">
              <w:rPr>
                <w:lang w:val="de-CH"/>
              </w:rPr>
              <w:t>Placards</w:t>
            </w:r>
            <w:proofErr w:type="spellEnd"/>
            <w:r w:rsidRPr="005C52D1">
              <w:rPr>
                <w:lang w:val="de-CH"/>
              </w:rPr>
              <w:t>) versehen sein wie in gefülltem Zustand.</w:t>
            </w:r>
          </w:p>
        </w:tc>
        <w:tc>
          <w:tcPr>
            <w:tcW w:w="4489" w:type="dxa"/>
            <w:shd w:val="clear" w:color="auto" w:fill="auto"/>
          </w:tcPr>
          <w:p w14:paraId="4D3E469C" w14:textId="6E096D2C" w:rsidR="000F38CB" w:rsidRPr="005C52D1" w:rsidRDefault="000F38CB" w:rsidP="001F1281">
            <w:pPr>
              <w:spacing w:line="260" w:lineRule="exact"/>
              <w:rPr>
                <w:lang w:val="fr-CH"/>
              </w:rPr>
            </w:pPr>
            <w:r w:rsidRPr="005C52D1">
              <w:rPr>
                <w:lang w:val="fr-CH"/>
              </w:rPr>
              <w:t>5.1.3</w:t>
            </w:r>
            <w:r w:rsidRPr="005C52D1">
              <w:rPr>
                <w:lang w:val="fr-CH"/>
              </w:rPr>
              <w:tab/>
              <w:t xml:space="preserve">Emballages (y compris les GRV et les grands emballages), citernes, MEMU, </w:t>
            </w:r>
            <w:r w:rsidRPr="005C52D1">
              <w:rPr>
                <w:shd w:val="clear" w:color="auto" w:fill="F2DBDB" w:themeFill="accent2" w:themeFillTint="33"/>
                <w:lang w:val="fr-CH"/>
              </w:rPr>
              <w:t xml:space="preserve">véhicules </w:t>
            </w:r>
            <w:r w:rsidRPr="005C52D1">
              <w:rPr>
                <w:b/>
                <w:dstrike/>
                <w:shd w:val="clear" w:color="auto" w:fill="F2DBDB" w:themeFill="accent2" w:themeFillTint="33"/>
                <w:lang w:val="fr-CH"/>
              </w:rPr>
              <w:t>pour vrac</w:t>
            </w:r>
            <w:r w:rsidRPr="005C52D1">
              <w:rPr>
                <w:shd w:val="clear" w:color="auto" w:fill="F2DBDB" w:themeFill="accent2" w:themeFillTint="33"/>
                <w:lang w:val="fr-CH"/>
              </w:rPr>
              <w:t xml:space="preserve"> et conteneurs pour </w:t>
            </w:r>
            <w:r w:rsidRPr="005C52D1">
              <w:rPr>
                <w:b/>
                <w:u w:val="single"/>
                <w:shd w:val="clear" w:color="auto" w:fill="F2DBDB" w:themeFill="accent2" w:themeFillTint="33"/>
                <w:lang w:val="fr-CH"/>
              </w:rPr>
              <w:t>le transport en</w:t>
            </w:r>
            <w:r w:rsidRPr="005C52D1">
              <w:rPr>
                <w:shd w:val="clear" w:color="auto" w:fill="F2DBDB" w:themeFill="accent2" w:themeFillTint="33"/>
                <w:lang w:val="fr-CH"/>
              </w:rPr>
              <w:t xml:space="preserve"> vrac,</w:t>
            </w:r>
            <w:r w:rsidRPr="005C52D1">
              <w:rPr>
                <w:lang w:val="fr-CH"/>
              </w:rPr>
              <w:t xml:space="preserve"> vides, non nettoyés </w:t>
            </w:r>
          </w:p>
          <w:p w14:paraId="69576211" w14:textId="10545E87" w:rsidR="00703F4E" w:rsidRPr="005C52D1" w:rsidRDefault="000F38CB" w:rsidP="001F1281">
            <w:pPr>
              <w:spacing w:line="260" w:lineRule="exact"/>
              <w:rPr>
                <w:lang w:val="fr-CH"/>
              </w:rPr>
            </w:pPr>
            <w:r w:rsidRPr="005C52D1">
              <w:rPr>
                <w:lang w:val="fr-CH"/>
              </w:rPr>
              <w:t xml:space="preserve">5.1.3.1  </w:t>
            </w:r>
            <w:r w:rsidR="00453C6F" w:rsidRPr="005C52D1">
              <w:rPr>
                <w:lang w:val="fr-CH"/>
              </w:rPr>
              <w:t xml:space="preserve">Les emballages (y compris les GRV et les grands emballages), les citernes (y compris les véhicules-citernes, </w:t>
            </w:r>
            <w:proofErr w:type="spellStart"/>
            <w:r w:rsidR="00453C6F" w:rsidRPr="005C52D1">
              <w:rPr>
                <w:lang w:val="fr-CH"/>
              </w:rPr>
              <w:t>véhicules­batteries</w:t>
            </w:r>
            <w:proofErr w:type="spellEnd"/>
            <w:r w:rsidR="00453C6F" w:rsidRPr="005C52D1">
              <w:rPr>
                <w:lang w:val="fr-CH"/>
              </w:rPr>
              <w:t xml:space="preserve">, citernes démontables, citernes mobiles, </w:t>
            </w:r>
            <w:proofErr w:type="spellStart"/>
            <w:r w:rsidR="00453C6F" w:rsidRPr="005C52D1">
              <w:rPr>
                <w:lang w:val="fr-CH"/>
              </w:rPr>
              <w:t>conteneurs­citernes</w:t>
            </w:r>
            <w:proofErr w:type="spellEnd"/>
            <w:r w:rsidR="00453C6F" w:rsidRPr="005C52D1">
              <w:rPr>
                <w:lang w:val="fr-CH"/>
              </w:rPr>
              <w:t xml:space="preserve">, CGEM), les MEMU, </w:t>
            </w:r>
            <w:r w:rsidR="00453C6F" w:rsidRPr="005C52D1">
              <w:rPr>
                <w:shd w:val="clear" w:color="auto" w:fill="F2DBDB" w:themeFill="accent2" w:themeFillTint="33"/>
                <w:lang w:val="fr-CH"/>
              </w:rPr>
              <w:t xml:space="preserve">les véhicules et les conteneurs pour </w:t>
            </w:r>
            <w:r w:rsidR="00453C6F" w:rsidRPr="005C52D1">
              <w:rPr>
                <w:b/>
                <w:u w:val="single"/>
                <w:shd w:val="clear" w:color="auto" w:fill="F2DBDB" w:themeFill="accent2" w:themeFillTint="33"/>
                <w:lang w:val="fr-CH"/>
              </w:rPr>
              <w:t>le transport en</w:t>
            </w:r>
            <w:r w:rsidR="00453C6F" w:rsidRPr="005C52D1">
              <w:rPr>
                <w:shd w:val="clear" w:color="auto" w:fill="F2DBDB" w:themeFill="accent2" w:themeFillTint="33"/>
                <w:lang w:val="fr-CH"/>
              </w:rPr>
              <w:t xml:space="preserve"> vrac</w:t>
            </w:r>
            <w:r w:rsidR="00453C6F" w:rsidRPr="005C52D1">
              <w:rPr>
                <w:lang w:val="fr-CH"/>
              </w:rPr>
              <w:t>, vides, non nettoyés, ayant contenu des marchandises dangereuses de différentes classes autres que la classe 7, doivent être marqués et étiquetés comme s'ils étaient pleins</w:t>
            </w:r>
          </w:p>
        </w:tc>
      </w:tr>
      <w:tr w:rsidR="00AD4BFB" w:rsidRPr="00717F56" w14:paraId="246E2BDD" w14:textId="77777777" w:rsidTr="00DD4FF1">
        <w:tc>
          <w:tcPr>
            <w:tcW w:w="13467" w:type="dxa"/>
            <w:gridSpan w:val="3"/>
            <w:shd w:val="clear" w:color="auto" w:fill="F2F2F2" w:themeFill="background1" w:themeFillShade="F2"/>
          </w:tcPr>
          <w:p w14:paraId="076763D9" w14:textId="3BAA4B35" w:rsidR="00AD4BFB" w:rsidRPr="005C52D1" w:rsidRDefault="00AD4BFB" w:rsidP="00AD4BFB">
            <w:pPr>
              <w:spacing w:line="260" w:lineRule="exact"/>
              <w:ind w:right="29"/>
              <w:jc w:val="center"/>
              <w:rPr>
                <w:b/>
              </w:rPr>
            </w:pPr>
            <w:r w:rsidRPr="005C52D1">
              <w:rPr>
                <w:b/>
              </w:rPr>
              <w:t>5.1.3 ADN</w:t>
            </w:r>
          </w:p>
        </w:tc>
      </w:tr>
      <w:tr w:rsidR="00AD4BFB" w:rsidRPr="00AD4BFB" w14:paraId="2F42DBA7" w14:textId="77777777" w:rsidTr="00D06232">
        <w:tc>
          <w:tcPr>
            <w:tcW w:w="4489" w:type="dxa"/>
          </w:tcPr>
          <w:p w14:paraId="3BB076D1" w14:textId="3B343EA1" w:rsidR="00AD4BFB" w:rsidRPr="005C52D1" w:rsidRDefault="00AD4BFB" w:rsidP="00DD4FF1">
            <w:pPr>
              <w:spacing w:line="260" w:lineRule="exact"/>
              <w:ind w:right="29"/>
            </w:pPr>
          </w:p>
        </w:tc>
        <w:tc>
          <w:tcPr>
            <w:tcW w:w="4489" w:type="dxa"/>
            <w:shd w:val="clear" w:color="auto" w:fill="auto"/>
          </w:tcPr>
          <w:p w14:paraId="7206E268" w14:textId="67B8E4F3" w:rsidR="00AD4BFB" w:rsidRPr="005C52D1" w:rsidRDefault="00AD4BFB" w:rsidP="00DD4FF1">
            <w:pPr>
              <w:spacing w:line="260" w:lineRule="exact"/>
              <w:rPr>
                <w:lang w:val="de-CH"/>
              </w:rPr>
            </w:pPr>
          </w:p>
        </w:tc>
        <w:tc>
          <w:tcPr>
            <w:tcW w:w="4489" w:type="dxa"/>
            <w:shd w:val="clear" w:color="auto" w:fill="F2DBDB" w:themeFill="accent2" w:themeFillTint="33"/>
          </w:tcPr>
          <w:p w14:paraId="3D137A2D" w14:textId="7DCF7C78" w:rsidR="00AD4BFB" w:rsidRPr="005C52D1" w:rsidRDefault="00AD4BFB" w:rsidP="00D06232">
            <w:pPr>
              <w:spacing w:line="260" w:lineRule="exact"/>
            </w:pPr>
            <w:r w:rsidRPr="005C52D1">
              <w:rPr>
                <w:b/>
              </w:rPr>
              <w:t>Same amendment as in 5.1.3</w:t>
            </w:r>
            <w:r w:rsidR="00D06232" w:rsidRPr="005C52D1">
              <w:rPr>
                <w:b/>
              </w:rPr>
              <w:t xml:space="preserve"> RID/</w:t>
            </w:r>
            <w:r w:rsidRPr="005C52D1">
              <w:rPr>
                <w:b/>
              </w:rPr>
              <w:t>ADR</w:t>
            </w:r>
            <w:r w:rsidR="00D06232" w:rsidRPr="005C52D1">
              <w:rPr>
                <w:b/>
              </w:rPr>
              <w:t xml:space="preserve"> </w:t>
            </w:r>
            <w:r w:rsidRPr="005C52D1">
              <w:rPr>
                <w:b/>
              </w:rPr>
              <w:t xml:space="preserve">should be </w:t>
            </w:r>
            <w:r w:rsidR="00D06232" w:rsidRPr="005C52D1">
              <w:rPr>
                <w:b/>
              </w:rPr>
              <w:t>made</w:t>
            </w:r>
          </w:p>
        </w:tc>
      </w:tr>
      <w:tr w:rsidR="00D06232" w:rsidRPr="00717F56" w14:paraId="38AFC0EC" w14:textId="77777777" w:rsidTr="00DD4FF1">
        <w:tc>
          <w:tcPr>
            <w:tcW w:w="13467" w:type="dxa"/>
            <w:gridSpan w:val="3"/>
            <w:shd w:val="clear" w:color="auto" w:fill="F2F2F2" w:themeFill="background1" w:themeFillShade="F2"/>
          </w:tcPr>
          <w:p w14:paraId="75221C97" w14:textId="733F3EB7" w:rsidR="00D06232" w:rsidRPr="005C52D1" w:rsidRDefault="00D06232" w:rsidP="00D06232">
            <w:pPr>
              <w:spacing w:line="260" w:lineRule="exact"/>
              <w:ind w:right="29"/>
              <w:jc w:val="center"/>
              <w:rPr>
                <w:b/>
              </w:rPr>
            </w:pPr>
            <w:r w:rsidRPr="005C52D1">
              <w:rPr>
                <w:b/>
              </w:rPr>
              <w:t>5.3.2.1.4 ADN</w:t>
            </w:r>
          </w:p>
        </w:tc>
      </w:tr>
      <w:tr w:rsidR="00D06232" w:rsidRPr="005C52D1" w14:paraId="08422E13" w14:textId="77777777" w:rsidTr="00DD4FF1">
        <w:tc>
          <w:tcPr>
            <w:tcW w:w="4489" w:type="dxa"/>
          </w:tcPr>
          <w:p w14:paraId="35905332" w14:textId="638F8B5A" w:rsidR="00D06232" w:rsidRPr="005C52D1" w:rsidRDefault="00211C08" w:rsidP="00DD4FF1">
            <w:pPr>
              <w:spacing w:line="260" w:lineRule="exact"/>
              <w:ind w:right="29"/>
              <w:rPr>
                <w:lang w:val="en-US"/>
              </w:rPr>
            </w:pPr>
            <w:r w:rsidRPr="005C52D1">
              <w:rPr>
                <w:lang w:val="en-US"/>
              </w:rPr>
              <w:t xml:space="preserve">(...) The provisions of this paragraph are also applicable </w:t>
            </w:r>
            <w:r w:rsidRPr="005C52D1">
              <w:rPr>
                <w:shd w:val="clear" w:color="auto" w:fill="F2DBDB" w:themeFill="accent2" w:themeFillTint="33"/>
                <w:lang w:val="en-US"/>
              </w:rPr>
              <w:t>to wagons for carriage in bulk</w:t>
            </w:r>
            <w:r w:rsidRPr="005C52D1">
              <w:rPr>
                <w:lang w:val="en-US"/>
              </w:rPr>
              <w:t xml:space="preserve"> and (...)</w:t>
            </w:r>
          </w:p>
          <w:p w14:paraId="7CD4727D" w14:textId="0A4CC09E" w:rsidR="00D06232" w:rsidRPr="005C52D1" w:rsidRDefault="00D06232" w:rsidP="00211C08">
            <w:pPr>
              <w:spacing w:line="260" w:lineRule="exact"/>
              <w:ind w:right="29"/>
              <w:rPr>
                <w:lang w:val="en-US"/>
              </w:rPr>
            </w:pPr>
          </w:p>
        </w:tc>
        <w:tc>
          <w:tcPr>
            <w:tcW w:w="4489" w:type="dxa"/>
            <w:shd w:val="clear" w:color="auto" w:fill="auto"/>
          </w:tcPr>
          <w:p w14:paraId="0AAD0D20" w14:textId="44ECF583" w:rsidR="00211C08" w:rsidRPr="005C52D1" w:rsidRDefault="00D06232" w:rsidP="00211C08">
            <w:pPr>
              <w:spacing w:line="260" w:lineRule="exact"/>
              <w:rPr>
                <w:lang w:val="de-CH"/>
              </w:rPr>
            </w:pPr>
            <w:r w:rsidRPr="005C52D1">
              <w:rPr>
                <w:lang w:val="de-CH"/>
              </w:rPr>
              <w:t xml:space="preserve">(...) Die Vorschriften dieses </w:t>
            </w:r>
            <w:r w:rsidR="00211C08" w:rsidRPr="005C52D1">
              <w:rPr>
                <w:lang w:val="de-CH"/>
              </w:rPr>
              <w:t xml:space="preserve">Absatzes gelten auch </w:t>
            </w:r>
            <w:r w:rsidR="00211C08" w:rsidRPr="005C52D1">
              <w:rPr>
                <w:shd w:val="clear" w:color="auto" w:fill="F2DBDB" w:themeFill="accent2" w:themeFillTint="33"/>
                <w:lang w:val="de-CH"/>
              </w:rPr>
              <w:t>für Wagen für die Beförderung in loser Schüttung</w:t>
            </w:r>
            <w:r w:rsidR="00211C08" w:rsidRPr="005C52D1">
              <w:rPr>
                <w:lang w:val="de-CH"/>
              </w:rPr>
              <w:t xml:space="preserve"> und (...) </w:t>
            </w:r>
          </w:p>
          <w:p w14:paraId="601196E0" w14:textId="57EB95B3" w:rsidR="00D06232" w:rsidRPr="005C52D1" w:rsidRDefault="00D06232" w:rsidP="00DD4FF1">
            <w:pPr>
              <w:spacing w:line="260" w:lineRule="exact"/>
              <w:rPr>
                <w:lang w:val="de-CH"/>
              </w:rPr>
            </w:pPr>
          </w:p>
        </w:tc>
        <w:tc>
          <w:tcPr>
            <w:tcW w:w="4489" w:type="dxa"/>
            <w:shd w:val="clear" w:color="auto" w:fill="auto"/>
          </w:tcPr>
          <w:p w14:paraId="1CC520E9" w14:textId="416E4CD3" w:rsidR="00211C08" w:rsidRPr="005C52D1" w:rsidRDefault="00211C08" w:rsidP="00211C08">
            <w:pPr>
              <w:spacing w:line="260" w:lineRule="exact"/>
              <w:rPr>
                <w:lang w:val="fr-CH"/>
              </w:rPr>
            </w:pPr>
            <w:r w:rsidRPr="005C52D1">
              <w:rPr>
                <w:lang w:val="fr-CH"/>
              </w:rPr>
              <w:t xml:space="preserve">(...) Les dispositions du présent paragraphe sont également applicables </w:t>
            </w:r>
            <w:r w:rsidRPr="005C52D1">
              <w:rPr>
                <w:shd w:val="clear" w:color="auto" w:fill="F2DBDB" w:themeFill="accent2" w:themeFillTint="33"/>
                <w:lang w:val="fr-CH"/>
              </w:rPr>
              <w:t>aux wagon</w:t>
            </w:r>
            <w:r w:rsidR="001B55A9" w:rsidRPr="005C52D1">
              <w:rPr>
                <w:shd w:val="clear" w:color="auto" w:fill="F2DBDB" w:themeFill="accent2" w:themeFillTint="33"/>
                <w:lang w:val="fr-CH"/>
              </w:rPr>
              <w:t>s</w:t>
            </w:r>
            <w:r w:rsidRPr="005C52D1">
              <w:rPr>
                <w:shd w:val="clear" w:color="auto" w:fill="F2DBDB" w:themeFill="accent2" w:themeFillTint="33"/>
                <w:lang w:val="fr-CH"/>
              </w:rPr>
              <w:t xml:space="preserve"> pour </w:t>
            </w:r>
            <w:r w:rsidRPr="005C52D1">
              <w:rPr>
                <w:b/>
                <w:u w:val="single"/>
                <w:shd w:val="clear" w:color="auto" w:fill="F2DBDB" w:themeFill="accent2" w:themeFillTint="33"/>
                <w:lang w:val="fr-CH"/>
              </w:rPr>
              <w:t xml:space="preserve">le transport en </w:t>
            </w:r>
            <w:r w:rsidRPr="005C52D1">
              <w:rPr>
                <w:shd w:val="clear" w:color="auto" w:fill="F2DBDB" w:themeFill="accent2" w:themeFillTint="33"/>
                <w:lang w:val="fr-CH"/>
              </w:rPr>
              <w:t>vrac</w:t>
            </w:r>
            <w:r w:rsidRPr="005C52D1">
              <w:rPr>
                <w:lang w:val="fr-CH"/>
              </w:rPr>
              <w:t xml:space="preserve"> et aux (...) pour le</w:t>
            </w:r>
          </w:p>
          <w:p w14:paraId="0C071F23" w14:textId="46892516" w:rsidR="00D06232" w:rsidRPr="005C52D1" w:rsidRDefault="00D06232" w:rsidP="00DD4FF1">
            <w:pPr>
              <w:spacing w:line="260" w:lineRule="exact"/>
              <w:rPr>
                <w:lang w:val="fr-CH"/>
              </w:rPr>
            </w:pPr>
          </w:p>
        </w:tc>
      </w:tr>
      <w:tr w:rsidR="00D06232" w:rsidRPr="00D06232" w14:paraId="17BBF1AC" w14:textId="77777777" w:rsidTr="00DD4FF1">
        <w:tc>
          <w:tcPr>
            <w:tcW w:w="13467" w:type="dxa"/>
            <w:gridSpan w:val="3"/>
            <w:shd w:val="clear" w:color="auto" w:fill="F2F2F2" w:themeFill="background1" w:themeFillShade="F2"/>
          </w:tcPr>
          <w:p w14:paraId="1A2EFD66" w14:textId="365B6A37" w:rsidR="00D06232" w:rsidRPr="005C52D1" w:rsidRDefault="00D06232" w:rsidP="00B5526D">
            <w:pPr>
              <w:keepNext/>
              <w:keepLines/>
              <w:spacing w:line="260" w:lineRule="exact"/>
              <w:ind w:right="29"/>
              <w:jc w:val="center"/>
              <w:rPr>
                <w:b/>
                <w:lang w:val="fr-CH"/>
              </w:rPr>
            </w:pPr>
            <w:r w:rsidRPr="005C52D1">
              <w:rPr>
                <w:b/>
                <w:lang w:val="fr-CH"/>
              </w:rPr>
              <w:lastRenderedPageBreak/>
              <w:t>5.3.2.1.7 RID</w:t>
            </w:r>
          </w:p>
        </w:tc>
      </w:tr>
      <w:tr w:rsidR="00D06232" w:rsidRPr="005C52D1" w14:paraId="292C8DDB" w14:textId="77777777" w:rsidTr="00DD4FF1">
        <w:tc>
          <w:tcPr>
            <w:tcW w:w="4489" w:type="dxa"/>
          </w:tcPr>
          <w:p w14:paraId="4988DF26" w14:textId="77777777" w:rsidR="00D06232" w:rsidRPr="005C52D1" w:rsidRDefault="00D06232" w:rsidP="00DD4FF1">
            <w:pPr>
              <w:spacing w:line="260" w:lineRule="exact"/>
              <w:ind w:right="29"/>
              <w:rPr>
                <w:lang w:val="en-US"/>
              </w:rPr>
            </w:pPr>
            <w:r w:rsidRPr="005C52D1">
              <w:rPr>
                <w:lang w:val="en-US"/>
              </w:rPr>
              <w:t>5.3.2.1.7 The requirements of 5.3.2.1.1 to 5.3.2.1.5 are also applicable to empty</w:t>
            </w:r>
          </w:p>
          <w:p w14:paraId="22E57E3D" w14:textId="77777777" w:rsidR="00D06232" w:rsidRPr="005C52D1" w:rsidRDefault="00D06232" w:rsidP="00DD4FF1">
            <w:pPr>
              <w:spacing w:line="260" w:lineRule="exact"/>
              <w:ind w:right="29"/>
              <w:rPr>
                <w:lang w:val="en-US"/>
              </w:rPr>
            </w:pPr>
            <w:r w:rsidRPr="005C52D1">
              <w:rPr>
                <w:lang w:val="en-US"/>
              </w:rPr>
              <w:t>– tank-wagons,</w:t>
            </w:r>
          </w:p>
          <w:p w14:paraId="59289DEF" w14:textId="77777777" w:rsidR="00D06232" w:rsidRPr="005C52D1" w:rsidRDefault="00D06232" w:rsidP="00DD4FF1">
            <w:pPr>
              <w:spacing w:line="260" w:lineRule="exact"/>
              <w:ind w:right="29"/>
              <w:rPr>
                <w:lang w:val="en-US"/>
              </w:rPr>
            </w:pPr>
            <w:r w:rsidRPr="005C52D1">
              <w:rPr>
                <w:lang w:val="en-US"/>
              </w:rPr>
              <w:t>– battery-wagons,</w:t>
            </w:r>
          </w:p>
          <w:p w14:paraId="063FC760" w14:textId="77777777" w:rsidR="00D06232" w:rsidRPr="005C52D1" w:rsidRDefault="00D06232" w:rsidP="00DD4FF1">
            <w:pPr>
              <w:spacing w:line="260" w:lineRule="exact"/>
              <w:ind w:right="29"/>
              <w:rPr>
                <w:lang w:val="en-US"/>
              </w:rPr>
            </w:pPr>
            <w:r w:rsidRPr="005C52D1">
              <w:rPr>
                <w:lang w:val="en-US"/>
              </w:rPr>
              <w:t>– wagons with demountable tanks,</w:t>
            </w:r>
          </w:p>
          <w:p w14:paraId="57D0506A" w14:textId="77777777" w:rsidR="00D06232" w:rsidRPr="005C52D1" w:rsidRDefault="00D06232" w:rsidP="00DD4FF1">
            <w:pPr>
              <w:spacing w:line="260" w:lineRule="exact"/>
              <w:ind w:right="29"/>
              <w:rPr>
                <w:lang w:val="en-US"/>
              </w:rPr>
            </w:pPr>
            <w:r w:rsidRPr="005C52D1">
              <w:rPr>
                <w:lang w:val="en-US"/>
              </w:rPr>
              <w:t>– tank-containers,</w:t>
            </w:r>
          </w:p>
          <w:p w14:paraId="6DA9E898" w14:textId="77777777" w:rsidR="00D06232" w:rsidRPr="005C52D1" w:rsidRDefault="00D06232" w:rsidP="00DD4FF1">
            <w:pPr>
              <w:spacing w:line="260" w:lineRule="exact"/>
              <w:ind w:right="29"/>
              <w:rPr>
                <w:lang w:val="en-US"/>
              </w:rPr>
            </w:pPr>
            <w:r w:rsidRPr="005C52D1">
              <w:rPr>
                <w:lang w:val="en-US"/>
              </w:rPr>
              <w:t>– portable tanks and</w:t>
            </w:r>
          </w:p>
          <w:p w14:paraId="2A4CF340" w14:textId="77777777" w:rsidR="00D06232" w:rsidRPr="005C52D1" w:rsidRDefault="00D06232" w:rsidP="00DD4FF1">
            <w:pPr>
              <w:spacing w:line="260" w:lineRule="exact"/>
              <w:ind w:right="29"/>
              <w:rPr>
                <w:lang w:val="en-US"/>
              </w:rPr>
            </w:pPr>
            <w:r w:rsidRPr="005C52D1">
              <w:rPr>
                <w:lang w:val="en-US"/>
              </w:rPr>
              <w:t>– MEGCs,</w:t>
            </w:r>
          </w:p>
          <w:p w14:paraId="651CA49B" w14:textId="77777777" w:rsidR="00D06232" w:rsidRPr="005C52D1" w:rsidRDefault="00D06232" w:rsidP="00DD4FF1">
            <w:pPr>
              <w:spacing w:line="260" w:lineRule="exact"/>
              <w:ind w:right="29"/>
              <w:rPr>
                <w:lang w:val="en-US"/>
              </w:rPr>
            </w:pPr>
            <w:r w:rsidRPr="005C52D1">
              <w:rPr>
                <w:lang w:val="en-US"/>
              </w:rPr>
              <w:t>uncleaned, not degassed or not decontaminated,</w:t>
            </w:r>
          </w:p>
          <w:p w14:paraId="16E3BDA8" w14:textId="77777777" w:rsidR="00D06232" w:rsidRPr="005C52D1" w:rsidRDefault="00D06232" w:rsidP="00DD4FF1">
            <w:pPr>
              <w:spacing w:line="260" w:lineRule="exact"/>
              <w:ind w:right="29"/>
              <w:rPr>
                <w:lang w:val="en-US"/>
              </w:rPr>
            </w:pPr>
            <w:r w:rsidRPr="005C52D1">
              <w:rPr>
                <w:lang w:val="en-US"/>
              </w:rPr>
              <w:t xml:space="preserve">as well as to </w:t>
            </w:r>
            <w:r w:rsidRPr="005C52D1">
              <w:rPr>
                <w:shd w:val="clear" w:color="auto" w:fill="F2DBDB" w:themeFill="accent2" w:themeFillTint="33"/>
                <w:lang w:val="en-US"/>
              </w:rPr>
              <w:t xml:space="preserve">empty wagons, large </w:t>
            </w:r>
            <w:proofErr w:type="gramStart"/>
            <w:r w:rsidRPr="005C52D1">
              <w:rPr>
                <w:shd w:val="clear" w:color="auto" w:fill="F2DBDB" w:themeFill="accent2" w:themeFillTint="33"/>
                <w:lang w:val="en-US"/>
              </w:rPr>
              <w:t>containers</w:t>
            </w:r>
            <w:proofErr w:type="gramEnd"/>
            <w:r w:rsidRPr="005C52D1">
              <w:rPr>
                <w:shd w:val="clear" w:color="auto" w:fill="F2DBDB" w:themeFill="accent2" w:themeFillTint="33"/>
                <w:lang w:val="en-US"/>
              </w:rPr>
              <w:t xml:space="preserve"> and small containers for carriage in bulk</w:t>
            </w:r>
            <w:r w:rsidRPr="005C52D1">
              <w:rPr>
                <w:lang w:val="en-US"/>
              </w:rPr>
              <w:t>, uncleaned or not decontaminated.</w:t>
            </w:r>
          </w:p>
        </w:tc>
        <w:tc>
          <w:tcPr>
            <w:tcW w:w="4489" w:type="dxa"/>
            <w:shd w:val="clear" w:color="auto" w:fill="auto"/>
          </w:tcPr>
          <w:p w14:paraId="39EF865C" w14:textId="77777777" w:rsidR="00D06232" w:rsidRPr="005C52D1" w:rsidRDefault="00D06232" w:rsidP="00B5526D">
            <w:pPr>
              <w:keepNext/>
              <w:keepLines/>
              <w:spacing w:line="260" w:lineRule="exact"/>
              <w:rPr>
                <w:lang w:val="de-CH"/>
              </w:rPr>
            </w:pPr>
            <w:r w:rsidRPr="005C52D1">
              <w:rPr>
                <w:lang w:val="de-CH"/>
              </w:rPr>
              <w:t>5.3.2.1.7 Die Vorschriften der Absätze 5.3.2.1.1 bis 5.3.2.1.5 gelten auch für ungereinigte, nicht entgaste oder nicht entgiftete leere</w:t>
            </w:r>
          </w:p>
          <w:p w14:paraId="35025755" w14:textId="77777777" w:rsidR="00D06232" w:rsidRPr="005C52D1" w:rsidRDefault="00D06232" w:rsidP="00B5526D">
            <w:pPr>
              <w:keepNext/>
              <w:keepLines/>
              <w:spacing w:line="260" w:lineRule="exact"/>
              <w:rPr>
                <w:lang w:val="de-CH"/>
              </w:rPr>
            </w:pPr>
            <w:r w:rsidRPr="005C52D1">
              <w:rPr>
                <w:lang w:val="de-CH"/>
              </w:rPr>
              <w:t>– Kesselwagen,</w:t>
            </w:r>
          </w:p>
          <w:p w14:paraId="35DD1E8A" w14:textId="77777777" w:rsidR="00D06232" w:rsidRPr="005C52D1" w:rsidRDefault="00D06232" w:rsidP="00B5526D">
            <w:pPr>
              <w:keepNext/>
              <w:keepLines/>
              <w:spacing w:line="260" w:lineRule="exact"/>
              <w:rPr>
                <w:lang w:val="de-CH"/>
              </w:rPr>
            </w:pPr>
            <w:r w:rsidRPr="005C52D1">
              <w:rPr>
                <w:lang w:val="de-CH"/>
              </w:rPr>
              <w:t>– Batteriewagen,</w:t>
            </w:r>
          </w:p>
          <w:p w14:paraId="7EE9529F" w14:textId="77777777" w:rsidR="00D06232" w:rsidRPr="005C52D1" w:rsidRDefault="00D06232" w:rsidP="00B5526D">
            <w:pPr>
              <w:keepNext/>
              <w:keepLines/>
              <w:spacing w:line="260" w:lineRule="exact"/>
              <w:rPr>
                <w:lang w:val="de-CH"/>
              </w:rPr>
            </w:pPr>
            <w:r w:rsidRPr="005C52D1">
              <w:rPr>
                <w:lang w:val="de-CH"/>
              </w:rPr>
              <w:t>– Wagen mit abnehmbaren Tanks,</w:t>
            </w:r>
          </w:p>
          <w:p w14:paraId="58138A55" w14:textId="77777777" w:rsidR="00D06232" w:rsidRPr="005C52D1" w:rsidRDefault="00D06232" w:rsidP="00B5526D">
            <w:pPr>
              <w:keepNext/>
              <w:keepLines/>
              <w:spacing w:line="260" w:lineRule="exact"/>
              <w:rPr>
                <w:lang w:val="de-CH"/>
              </w:rPr>
            </w:pPr>
            <w:r w:rsidRPr="005C52D1">
              <w:rPr>
                <w:lang w:val="de-CH"/>
              </w:rPr>
              <w:t>– Tankcontainer,</w:t>
            </w:r>
          </w:p>
          <w:p w14:paraId="00AEC05D" w14:textId="77777777" w:rsidR="00D06232" w:rsidRPr="005C52D1" w:rsidRDefault="00D06232" w:rsidP="00B5526D">
            <w:pPr>
              <w:keepNext/>
              <w:keepLines/>
              <w:spacing w:line="260" w:lineRule="exact"/>
              <w:rPr>
                <w:lang w:val="de-CH"/>
              </w:rPr>
            </w:pPr>
            <w:r w:rsidRPr="005C52D1">
              <w:rPr>
                <w:lang w:val="de-CH"/>
              </w:rPr>
              <w:t>– ortsbewegliche Tanks und</w:t>
            </w:r>
          </w:p>
          <w:p w14:paraId="4B166F53" w14:textId="77777777" w:rsidR="00D06232" w:rsidRPr="005C52D1" w:rsidRDefault="00D06232" w:rsidP="00B5526D">
            <w:pPr>
              <w:keepNext/>
              <w:keepLines/>
              <w:spacing w:line="260" w:lineRule="exact"/>
              <w:rPr>
                <w:lang w:val="de-CH"/>
              </w:rPr>
            </w:pPr>
            <w:r w:rsidRPr="005C52D1">
              <w:rPr>
                <w:lang w:val="de-CH"/>
              </w:rPr>
              <w:t>– MEGC</w:t>
            </w:r>
          </w:p>
          <w:p w14:paraId="36B99E31" w14:textId="77777777" w:rsidR="00D06232" w:rsidRPr="005C52D1" w:rsidRDefault="00D06232" w:rsidP="00B5526D">
            <w:pPr>
              <w:keepNext/>
              <w:keepLines/>
              <w:spacing w:line="260" w:lineRule="exact"/>
              <w:rPr>
                <w:lang w:val="de-CH"/>
              </w:rPr>
            </w:pPr>
            <w:r w:rsidRPr="005C52D1">
              <w:rPr>
                <w:lang w:val="de-CH"/>
              </w:rPr>
              <w:t xml:space="preserve">sowie für ungereinigte oder nicht entgiftete </w:t>
            </w:r>
            <w:r w:rsidRPr="005C52D1">
              <w:rPr>
                <w:shd w:val="clear" w:color="auto" w:fill="F2DBDB" w:themeFill="accent2" w:themeFillTint="33"/>
                <w:lang w:val="de-CH"/>
              </w:rPr>
              <w:t>leere Wagen, Großcontainer und Kleincontainer für Güter in loser Schüttung</w:t>
            </w:r>
            <w:r w:rsidRPr="005C52D1">
              <w:rPr>
                <w:lang w:val="de-CH"/>
              </w:rPr>
              <w:t>.</w:t>
            </w:r>
          </w:p>
        </w:tc>
        <w:tc>
          <w:tcPr>
            <w:tcW w:w="4489" w:type="dxa"/>
            <w:shd w:val="clear" w:color="auto" w:fill="auto"/>
          </w:tcPr>
          <w:p w14:paraId="09F69758" w14:textId="77777777" w:rsidR="00D06232" w:rsidRPr="005C52D1" w:rsidRDefault="00D06232" w:rsidP="00DD4FF1">
            <w:pPr>
              <w:spacing w:line="260" w:lineRule="exact"/>
              <w:rPr>
                <w:lang w:val="fr-CH"/>
              </w:rPr>
            </w:pPr>
            <w:r w:rsidRPr="005C52D1">
              <w:rPr>
                <w:lang w:val="fr-CH"/>
              </w:rPr>
              <w:t>5.3.2.1.7 Les prescriptions des 5.3.2.1.1 à 5.3.2.1.5 sont également applicables aux</w:t>
            </w:r>
          </w:p>
          <w:p w14:paraId="5418C0C4" w14:textId="77777777" w:rsidR="00D06232" w:rsidRPr="005C52D1" w:rsidRDefault="00D06232" w:rsidP="00DD4FF1">
            <w:pPr>
              <w:spacing w:line="260" w:lineRule="exact"/>
              <w:rPr>
                <w:lang w:val="fr-CH"/>
              </w:rPr>
            </w:pPr>
            <w:r w:rsidRPr="005C52D1">
              <w:rPr>
                <w:lang w:val="fr-CH"/>
              </w:rPr>
              <w:t>– wagons-citernes,</w:t>
            </w:r>
          </w:p>
          <w:p w14:paraId="54A80913" w14:textId="77777777" w:rsidR="00D06232" w:rsidRPr="005C52D1" w:rsidRDefault="00D06232" w:rsidP="00DD4FF1">
            <w:pPr>
              <w:spacing w:line="260" w:lineRule="exact"/>
              <w:rPr>
                <w:lang w:val="fr-CH"/>
              </w:rPr>
            </w:pPr>
            <w:r w:rsidRPr="005C52D1">
              <w:rPr>
                <w:lang w:val="fr-CH"/>
              </w:rPr>
              <w:t>– wagons-batteries,</w:t>
            </w:r>
          </w:p>
          <w:p w14:paraId="4D7110FE" w14:textId="77777777" w:rsidR="00D06232" w:rsidRPr="005C52D1" w:rsidRDefault="00D06232" w:rsidP="00DD4FF1">
            <w:pPr>
              <w:spacing w:line="260" w:lineRule="exact"/>
              <w:rPr>
                <w:lang w:val="fr-CH"/>
              </w:rPr>
            </w:pPr>
            <w:r w:rsidRPr="005C52D1">
              <w:rPr>
                <w:lang w:val="fr-CH"/>
              </w:rPr>
              <w:t>– wagons avec citernes amovibles,</w:t>
            </w:r>
          </w:p>
          <w:p w14:paraId="05A5BA1E" w14:textId="77777777" w:rsidR="00D06232" w:rsidRPr="005C52D1" w:rsidRDefault="00D06232" w:rsidP="00DD4FF1">
            <w:pPr>
              <w:spacing w:line="260" w:lineRule="exact"/>
              <w:rPr>
                <w:lang w:val="fr-CH"/>
              </w:rPr>
            </w:pPr>
            <w:r w:rsidRPr="005C52D1">
              <w:rPr>
                <w:lang w:val="fr-CH"/>
              </w:rPr>
              <w:t>– conteneurs-citernes,</w:t>
            </w:r>
          </w:p>
          <w:p w14:paraId="41E1BC35" w14:textId="77777777" w:rsidR="00D06232" w:rsidRPr="005C52D1" w:rsidRDefault="00D06232" w:rsidP="00DD4FF1">
            <w:pPr>
              <w:spacing w:line="260" w:lineRule="exact"/>
              <w:rPr>
                <w:lang w:val="fr-CH"/>
              </w:rPr>
            </w:pPr>
            <w:r w:rsidRPr="005C52D1">
              <w:rPr>
                <w:lang w:val="fr-CH"/>
              </w:rPr>
              <w:t>– citernes mobiles et</w:t>
            </w:r>
          </w:p>
          <w:p w14:paraId="0BFE16A6" w14:textId="77777777" w:rsidR="00D06232" w:rsidRPr="005C52D1" w:rsidRDefault="00D06232" w:rsidP="00DD4FF1">
            <w:pPr>
              <w:spacing w:line="260" w:lineRule="exact"/>
              <w:rPr>
                <w:lang w:val="fr-CH"/>
              </w:rPr>
            </w:pPr>
            <w:r w:rsidRPr="005C52D1">
              <w:rPr>
                <w:lang w:val="fr-CH"/>
              </w:rPr>
              <w:t>– CGEM,</w:t>
            </w:r>
          </w:p>
          <w:p w14:paraId="2DB7862B" w14:textId="77777777" w:rsidR="00D06232" w:rsidRPr="005C52D1" w:rsidRDefault="00D06232" w:rsidP="00DD4FF1">
            <w:pPr>
              <w:spacing w:line="260" w:lineRule="exact"/>
              <w:rPr>
                <w:lang w:val="fr-CH"/>
              </w:rPr>
            </w:pPr>
            <w:proofErr w:type="gramStart"/>
            <w:r w:rsidRPr="005C52D1">
              <w:rPr>
                <w:lang w:val="fr-CH"/>
              </w:rPr>
              <w:t>vides</w:t>
            </w:r>
            <w:proofErr w:type="gramEnd"/>
            <w:r w:rsidRPr="005C52D1">
              <w:rPr>
                <w:lang w:val="fr-CH"/>
              </w:rPr>
              <w:t>, non nettoyés, non dégazés ou non décontaminés,</w:t>
            </w:r>
          </w:p>
          <w:p w14:paraId="74A2EB5F" w14:textId="77777777" w:rsidR="00D06232" w:rsidRPr="005C52D1" w:rsidRDefault="00D06232" w:rsidP="00DD4FF1">
            <w:pPr>
              <w:spacing w:line="260" w:lineRule="exact"/>
              <w:rPr>
                <w:lang w:val="fr-CH"/>
              </w:rPr>
            </w:pPr>
            <w:r w:rsidRPr="005C52D1">
              <w:rPr>
                <w:lang w:val="fr-CH"/>
              </w:rPr>
              <w:t xml:space="preserve">ainsi </w:t>
            </w:r>
            <w:r w:rsidRPr="005C52D1">
              <w:rPr>
                <w:shd w:val="clear" w:color="auto" w:fill="F2DBDB" w:themeFill="accent2" w:themeFillTint="33"/>
                <w:lang w:val="fr-CH"/>
              </w:rPr>
              <w:t xml:space="preserve">qu’aux wagons </w:t>
            </w:r>
            <w:r w:rsidRPr="005C52D1">
              <w:rPr>
                <w:b/>
                <w:dstrike/>
                <w:shd w:val="clear" w:color="auto" w:fill="F2DBDB" w:themeFill="accent2" w:themeFillTint="33"/>
                <w:lang w:val="fr-CH"/>
              </w:rPr>
              <w:t>pour vrac</w:t>
            </w:r>
            <w:r w:rsidRPr="005C52D1">
              <w:rPr>
                <w:shd w:val="clear" w:color="auto" w:fill="F2DBDB" w:themeFill="accent2" w:themeFillTint="33"/>
                <w:lang w:val="fr-CH"/>
              </w:rPr>
              <w:t xml:space="preserve">, grands conteneurs </w:t>
            </w:r>
            <w:r w:rsidRPr="005C52D1">
              <w:rPr>
                <w:b/>
                <w:dstrike/>
                <w:shd w:val="clear" w:color="auto" w:fill="F2DBDB" w:themeFill="accent2" w:themeFillTint="33"/>
                <w:lang w:val="fr-CH"/>
              </w:rPr>
              <w:t>pour vrac</w:t>
            </w:r>
            <w:r w:rsidRPr="005C52D1">
              <w:rPr>
                <w:shd w:val="clear" w:color="auto" w:fill="F2DBDB" w:themeFill="accent2" w:themeFillTint="33"/>
                <w:lang w:val="fr-CH"/>
              </w:rPr>
              <w:t xml:space="preserve"> et petits conteneurs pour </w:t>
            </w:r>
            <w:r w:rsidRPr="005C52D1">
              <w:rPr>
                <w:b/>
                <w:u w:val="single"/>
                <w:shd w:val="clear" w:color="auto" w:fill="F2DBDB" w:themeFill="accent2" w:themeFillTint="33"/>
                <w:lang w:val="fr-CH"/>
              </w:rPr>
              <w:t>le transport en</w:t>
            </w:r>
            <w:r w:rsidRPr="005C52D1">
              <w:rPr>
                <w:shd w:val="clear" w:color="auto" w:fill="F2DBDB" w:themeFill="accent2" w:themeFillTint="33"/>
                <w:lang w:val="fr-CH"/>
              </w:rPr>
              <w:t xml:space="preserve"> vrac</w:t>
            </w:r>
            <w:r w:rsidRPr="005C52D1">
              <w:rPr>
                <w:lang w:val="fr-CH"/>
              </w:rPr>
              <w:t>, vides, non nettoyés ou non décontaminés.</w:t>
            </w:r>
          </w:p>
        </w:tc>
      </w:tr>
      <w:tr w:rsidR="005169EC" w:rsidRPr="00717F56" w14:paraId="2A1CCF81" w14:textId="77777777" w:rsidTr="00DD4FF1">
        <w:tc>
          <w:tcPr>
            <w:tcW w:w="13467" w:type="dxa"/>
            <w:gridSpan w:val="3"/>
            <w:shd w:val="clear" w:color="auto" w:fill="F2F2F2" w:themeFill="background1" w:themeFillShade="F2"/>
          </w:tcPr>
          <w:p w14:paraId="576A7524" w14:textId="32B22A28" w:rsidR="005169EC" w:rsidRPr="005C52D1" w:rsidRDefault="00D06232" w:rsidP="00DD4FF1">
            <w:pPr>
              <w:spacing w:line="260" w:lineRule="exact"/>
              <w:ind w:right="29"/>
              <w:jc w:val="center"/>
              <w:rPr>
                <w:b/>
              </w:rPr>
            </w:pPr>
            <w:r w:rsidRPr="005C52D1">
              <w:rPr>
                <w:b/>
              </w:rPr>
              <w:t xml:space="preserve">5.3.2.1.7 </w:t>
            </w:r>
            <w:r w:rsidR="005169EC" w:rsidRPr="005C52D1">
              <w:rPr>
                <w:b/>
              </w:rPr>
              <w:t>ADR</w:t>
            </w:r>
          </w:p>
        </w:tc>
      </w:tr>
      <w:tr w:rsidR="00703F4E" w:rsidRPr="005C52D1" w14:paraId="092F84F3" w14:textId="77777777" w:rsidTr="00DF6B95">
        <w:tc>
          <w:tcPr>
            <w:tcW w:w="4489" w:type="dxa"/>
          </w:tcPr>
          <w:p w14:paraId="4280F093" w14:textId="610E0FE8" w:rsidR="00703F4E" w:rsidRPr="005C52D1" w:rsidRDefault="00703F4E" w:rsidP="00703F4E">
            <w:pPr>
              <w:spacing w:line="260" w:lineRule="exact"/>
              <w:ind w:right="29"/>
              <w:rPr>
                <w:lang w:val="en-US"/>
              </w:rPr>
            </w:pPr>
            <w:r w:rsidRPr="005C52D1">
              <w:t>5.3.2.1.7</w:t>
            </w:r>
            <w:r w:rsidRPr="005C52D1">
              <w:tab/>
              <w:t xml:space="preserve">The requirements of 5.3.2.1.1 to 5.3.2.1.5 are also applicable to empty fixed or demountable tanks, battery-vehicles, tank-containers, portable tanks and MEGCs, uncleaned, not degassed or not decontaminated, MEMUs, uncleaned as well as to </w:t>
            </w:r>
            <w:r w:rsidRPr="005C52D1">
              <w:rPr>
                <w:shd w:val="clear" w:color="auto" w:fill="F2DBDB" w:themeFill="accent2" w:themeFillTint="33"/>
              </w:rPr>
              <w:t>empty vehicles and containers for carriage in bulk</w:t>
            </w:r>
            <w:r w:rsidRPr="005C52D1">
              <w:t>, uncleaned or not decontaminated.</w:t>
            </w:r>
          </w:p>
        </w:tc>
        <w:tc>
          <w:tcPr>
            <w:tcW w:w="4489" w:type="dxa"/>
            <w:shd w:val="clear" w:color="auto" w:fill="auto"/>
          </w:tcPr>
          <w:p w14:paraId="4BE1265A" w14:textId="74DC720D" w:rsidR="00574D0B" w:rsidRPr="005C52D1" w:rsidRDefault="00574D0B" w:rsidP="00574D0B">
            <w:pPr>
              <w:spacing w:line="260" w:lineRule="exact"/>
              <w:rPr>
                <w:lang w:val="de-CH"/>
              </w:rPr>
            </w:pPr>
            <w:r w:rsidRPr="005C52D1">
              <w:rPr>
                <w:lang w:val="de-CH"/>
              </w:rPr>
              <w:t>5.3.2.1.7 Die Vorschriften der Absätze 5.3.2.1.1 bis 5.3.2.1.5 gelten auch für ungereinigte, nicht entgaste oder nicht</w:t>
            </w:r>
            <w:r w:rsidR="001B55A9" w:rsidRPr="005C52D1">
              <w:rPr>
                <w:lang w:val="de-CH"/>
              </w:rPr>
              <w:t xml:space="preserve"> </w:t>
            </w:r>
            <w:r w:rsidRPr="005C52D1">
              <w:rPr>
                <w:lang w:val="de-CH"/>
              </w:rPr>
              <w:t>entgiftete leere</w:t>
            </w:r>
          </w:p>
          <w:p w14:paraId="17892510" w14:textId="77777777" w:rsidR="00574D0B" w:rsidRPr="005C52D1" w:rsidRDefault="00574D0B" w:rsidP="00574D0B">
            <w:pPr>
              <w:spacing w:line="260" w:lineRule="exact"/>
              <w:rPr>
                <w:lang w:val="de-CH"/>
              </w:rPr>
            </w:pPr>
            <w:r w:rsidRPr="005C52D1">
              <w:rPr>
                <w:lang w:val="de-CH"/>
              </w:rPr>
              <w:t>– festverbundene Tanks,</w:t>
            </w:r>
          </w:p>
          <w:p w14:paraId="035F8C8A" w14:textId="77777777" w:rsidR="00574D0B" w:rsidRPr="005C52D1" w:rsidRDefault="00574D0B" w:rsidP="00574D0B">
            <w:pPr>
              <w:spacing w:line="260" w:lineRule="exact"/>
              <w:rPr>
                <w:lang w:val="de-CH"/>
              </w:rPr>
            </w:pPr>
            <w:r w:rsidRPr="005C52D1">
              <w:rPr>
                <w:lang w:val="de-CH"/>
              </w:rPr>
              <w:t>– Aufsetztanks,</w:t>
            </w:r>
          </w:p>
          <w:p w14:paraId="039F46AE" w14:textId="77777777" w:rsidR="00574D0B" w:rsidRPr="005C52D1" w:rsidRDefault="00574D0B" w:rsidP="00574D0B">
            <w:pPr>
              <w:spacing w:line="260" w:lineRule="exact"/>
              <w:rPr>
                <w:lang w:val="de-CH"/>
              </w:rPr>
            </w:pPr>
            <w:r w:rsidRPr="005C52D1">
              <w:rPr>
                <w:lang w:val="de-CH"/>
              </w:rPr>
              <w:t>– Batterie-Fahrzeuge,</w:t>
            </w:r>
          </w:p>
          <w:p w14:paraId="10672BB3" w14:textId="77777777" w:rsidR="00574D0B" w:rsidRPr="005C52D1" w:rsidRDefault="00574D0B" w:rsidP="00574D0B">
            <w:pPr>
              <w:spacing w:line="260" w:lineRule="exact"/>
              <w:rPr>
                <w:lang w:val="de-CH"/>
              </w:rPr>
            </w:pPr>
            <w:r w:rsidRPr="005C52D1">
              <w:rPr>
                <w:lang w:val="de-CH"/>
              </w:rPr>
              <w:t>– Tankcontainer,</w:t>
            </w:r>
          </w:p>
          <w:p w14:paraId="61042520" w14:textId="77777777" w:rsidR="00574D0B" w:rsidRPr="005C52D1" w:rsidRDefault="00574D0B" w:rsidP="00574D0B">
            <w:pPr>
              <w:spacing w:line="260" w:lineRule="exact"/>
              <w:rPr>
                <w:lang w:val="de-CH"/>
              </w:rPr>
            </w:pPr>
            <w:r w:rsidRPr="005C52D1">
              <w:rPr>
                <w:lang w:val="de-CH"/>
              </w:rPr>
              <w:t>– ortsbewegliche Tanks,</w:t>
            </w:r>
          </w:p>
          <w:p w14:paraId="7711382E" w14:textId="77777777" w:rsidR="00574D0B" w:rsidRPr="005C52D1" w:rsidRDefault="00574D0B" w:rsidP="00574D0B">
            <w:pPr>
              <w:spacing w:line="260" w:lineRule="exact"/>
              <w:rPr>
                <w:lang w:val="de-CH"/>
              </w:rPr>
            </w:pPr>
            <w:r w:rsidRPr="005C52D1">
              <w:rPr>
                <w:lang w:val="de-CH"/>
              </w:rPr>
              <w:t>– MEGC und</w:t>
            </w:r>
          </w:p>
          <w:p w14:paraId="6AA52AB4" w14:textId="77777777" w:rsidR="00574D0B" w:rsidRPr="005C52D1" w:rsidRDefault="00574D0B" w:rsidP="00574D0B">
            <w:pPr>
              <w:spacing w:line="260" w:lineRule="exact"/>
              <w:rPr>
                <w:lang w:val="de-CH"/>
              </w:rPr>
            </w:pPr>
            <w:r w:rsidRPr="005C52D1">
              <w:rPr>
                <w:lang w:val="de-CH"/>
              </w:rPr>
              <w:t>– MEMU</w:t>
            </w:r>
          </w:p>
          <w:p w14:paraId="4DFABFE4" w14:textId="5D642E1B" w:rsidR="00703F4E" w:rsidRPr="005C52D1" w:rsidRDefault="00574D0B" w:rsidP="00574D0B">
            <w:pPr>
              <w:spacing w:line="260" w:lineRule="exact"/>
              <w:rPr>
                <w:lang w:val="de-CH"/>
              </w:rPr>
            </w:pPr>
            <w:r w:rsidRPr="005C52D1">
              <w:rPr>
                <w:lang w:val="de-CH"/>
              </w:rPr>
              <w:t xml:space="preserve">sowie für ungereinigte oder nicht entgiftete leere </w:t>
            </w:r>
            <w:r w:rsidRPr="005C52D1">
              <w:rPr>
                <w:shd w:val="clear" w:color="auto" w:fill="F2DBDB" w:themeFill="accent2" w:themeFillTint="33"/>
                <w:lang w:val="de-CH"/>
              </w:rPr>
              <w:t>Fahrzeuge und Container für Güter in loser Schüttung.</w:t>
            </w:r>
          </w:p>
        </w:tc>
        <w:tc>
          <w:tcPr>
            <w:tcW w:w="4489" w:type="dxa"/>
            <w:shd w:val="clear" w:color="auto" w:fill="auto"/>
          </w:tcPr>
          <w:p w14:paraId="27A05F94" w14:textId="0AD05453" w:rsidR="00703F4E" w:rsidRPr="005C52D1" w:rsidRDefault="00574D0B" w:rsidP="00703F4E">
            <w:pPr>
              <w:spacing w:line="260" w:lineRule="exact"/>
              <w:rPr>
                <w:lang w:val="fr-CH"/>
              </w:rPr>
            </w:pPr>
            <w:r w:rsidRPr="005C52D1">
              <w:rPr>
                <w:lang w:val="fr-CH"/>
              </w:rPr>
              <w:t xml:space="preserve">5.3.2.1.7 </w:t>
            </w:r>
            <w:r w:rsidR="00453C6F" w:rsidRPr="005C52D1">
              <w:rPr>
                <w:lang w:val="fr-CH"/>
              </w:rPr>
              <w:t xml:space="preserve">Les prescriptions des 5.3.2.1.1 à 5.3.2.1.5 sont également applicables aux citernes fixes ou démontables, aux véhicules-batteries et aux conteneurs citernes, citernes mobiles, CGEM, vides, non nettoyés, non dégazés ou non décontaminés, aux MEMU non nettoyées </w:t>
            </w:r>
            <w:r w:rsidR="00453C6F" w:rsidRPr="005C52D1">
              <w:rPr>
                <w:shd w:val="clear" w:color="auto" w:fill="F2DBDB" w:themeFill="accent2" w:themeFillTint="33"/>
                <w:lang w:val="fr-CH"/>
              </w:rPr>
              <w:t>ainsi qu'aux véhicules et conteneurs pour</w:t>
            </w:r>
            <w:r w:rsidRPr="005C52D1">
              <w:rPr>
                <w:shd w:val="clear" w:color="auto" w:fill="F2DBDB" w:themeFill="accent2" w:themeFillTint="33"/>
                <w:lang w:val="fr-CH"/>
              </w:rPr>
              <w:t xml:space="preserve"> </w:t>
            </w:r>
            <w:r w:rsidRPr="005C52D1">
              <w:rPr>
                <w:b/>
                <w:u w:val="single"/>
                <w:shd w:val="clear" w:color="auto" w:fill="F2DBDB" w:themeFill="accent2" w:themeFillTint="33"/>
                <w:lang w:val="fr-CH"/>
              </w:rPr>
              <w:t>le transport en</w:t>
            </w:r>
            <w:r w:rsidR="00453C6F" w:rsidRPr="005C52D1">
              <w:rPr>
                <w:shd w:val="clear" w:color="auto" w:fill="F2DBDB" w:themeFill="accent2" w:themeFillTint="33"/>
                <w:lang w:val="fr-CH"/>
              </w:rPr>
              <w:t xml:space="preserve"> vrac</w:t>
            </w:r>
            <w:r w:rsidR="00453C6F" w:rsidRPr="005C52D1">
              <w:rPr>
                <w:lang w:val="fr-CH"/>
              </w:rPr>
              <w:t>, vides, non nettoyés ou non décontaminés.</w:t>
            </w:r>
          </w:p>
        </w:tc>
      </w:tr>
      <w:tr w:rsidR="00D06232" w:rsidRPr="00717F56" w14:paraId="0398CE88" w14:textId="77777777" w:rsidTr="00DD4FF1">
        <w:tc>
          <w:tcPr>
            <w:tcW w:w="13467" w:type="dxa"/>
            <w:gridSpan w:val="3"/>
            <w:shd w:val="clear" w:color="auto" w:fill="F2F2F2" w:themeFill="background1" w:themeFillShade="F2"/>
          </w:tcPr>
          <w:p w14:paraId="0B3ECF06" w14:textId="73B8B217" w:rsidR="00D06232" w:rsidRPr="005C52D1" w:rsidRDefault="00D06232" w:rsidP="00D06232">
            <w:pPr>
              <w:spacing w:line="260" w:lineRule="exact"/>
              <w:ind w:right="29"/>
              <w:jc w:val="center"/>
              <w:rPr>
                <w:b/>
              </w:rPr>
            </w:pPr>
            <w:r w:rsidRPr="005C52D1">
              <w:rPr>
                <w:b/>
              </w:rPr>
              <w:t>5.3.2.1.7 ADN</w:t>
            </w:r>
          </w:p>
        </w:tc>
      </w:tr>
      <w:tr w:rsidR="00D06232" w:rsidRPr="00D06232" w14:paraId="4F204227" w14:textId="77777777" w:rsidTr="00D06232">
        <w:tc>
          <w:tcPr>
            <w:tcW w:w="4489" w:type="dxa"/>
          </w:tcPr>
          <w:p w14:paraId="1D347263" w14:textId="77777777" w:rsidR="00D06232" w:rsidRPr="005C52D1" w:rsidRDefault="00D06232" w:rsidP="00DD4FF1">
            <w:pPr>
              <w:spacing w:line="260" w:lineRule="exact"/>
              <w:ind w:right="29"/>
            </w:pPr>
          </w:p>
        </w:tc>
        <w:tc>
          <w:tcPr>
            <w:tcW w:w="4489" w:type="dxa"/>
            <w:shd w:val="clear" w:color="auto" w:fill="auto"/>
          </w:tcPr>
          <w:p w14:paraId="001511E7" w14:textId="77777777" w:rsidR="00D06232" w:rsidRPr="005C52D1" w:rsidRDefault="00D06232" w:rsidP="00DD4FF1">
            <w:pPr>
              <w:spacing w:line="260" w:lineRule="exact"/>
              <w:rPr>
                <w:lang w:val="de-CH"/>
              </w:rPr>
            </w:pPr>
          </w:p>
        </w:tc>
        <w:tc>
          <w:tcPr>
            <w:tcW w:w="4489" w:type="dxa"/>
            <w:shd w:val="clear" w:color="auto" w:fill="F2DBDB" w:themeFill="accent2" w:themeFillTint="33"/>
          </w:tcPr>
          <w:p w14:paraId="435C8327" w14:textId="7D327266" w:rsidR="00D06232" w:rsidRPr="005C52D1" w:rsidRDefault="00D06232" w:rsidP="00DD4FF1">
            <w:pPr>
              <w:spacing w:line="260" w:lineRule="exact"/>
              <w:rPr>
                <w:b/>
              </w:rPr>
            </w:pPr>
            <w:r w:rsidRPr="005C52D1">
              <w:rPr>
                <w:b/>
              </w:rPr>
              <w:t>Same amendment as in 5.3.2.1.7 RID/ADR should be made</w:t>
            </w:r>
          </w:p>
        </w:tc>
      </w:tr>
      <w:tr w:rsidR="00D06232" w:rsidRPr="00717F56" w14:paraId="47AF0F31" w14:textId="77777777" w:rsidTr="00DD4FF1">
        <w:tc>
          <w:tcPr>
            <w:tcW w:w="13467" w:type="dxa"/>
            <w:gridSpan w:val="3"/>
            <w:shd w:val="clear" w:color="auto" w:fill="F2F2F2" w:themeFill="background1" w:themeFillShade="F2"/>
          </w:tcPr>
          <w:p w14:paraId="49150D61" w14:textId="77777777" w:rsidR="00D06232" w:rsidRPr="005C52D1" w:rsidRDefault="00D06232" w:rsidP="005C52D1">
            <w:pPr>
              <w:keepNext/>
              <w:keepLines/>
              <w:spacing w:line="260" w:lineRule="exact"/>
              <w:ind w:right="29"/>
              <w:jc w:val="center"/>
              <w:rPr>
                <w:b/>
              </w:rPr>
            </w:pPr>
            <w:r w:rsidRPr="005C52D1">
              <w:rPr>
                <w:b/>
              </w:rPr>
              <w:lastRenderedPageBreak/>
              <w:t>Chapter 5.3 RID</w:t>
            </w:r>
          </w:p>
        </w:tc>
      </w:tr>
      <w:tr w:rsidR="00703F4E" w:rsidRPr="00717F56" w14:paraId="66D965AD" w14:textId="77777777" w:rsidTr="00DF6B95">
        <w:tc>
          <w:tcPr>
            <w:tcW w:w="4489" w:type="dxa"/>
          </w:tcPr>
          <w:p w14:paraId="39F0C9B2" w14:textId="202438A2" w:rsidR="00703F4E" w:rsidRPr="005C52D1" w:rsidRDefault="005169EC" w:rsidP="005169EC">
            <w:pPr>
              <w:spacing w:line="260" w:lineRule="exact"/>
            </w:pPr>
            <w:r w:rsidRPr="005C52D1">
              <w:t xml:space="preserve">5.3.2.1.1 </w:t>
            </w:r>
            <w:r w:rsidR="00703F4E" w:rsidRPr="005C52D1">
              <w:t>A rectangular, orange-coloured plate conforming to 5.3.2.2.1, and so as to be clearly visible, shall be affixed on each side of a</w:t>
            </w:r>
          </w:p>
          <w:p w14:paraId="65768881" w14:textId="77777777" w:rsidR="00703F4E" w:rsidRPr="005C52D1" w:rsidRDefault="00703F4E" w:rsidP="005169EC">
            <w:pPr>
              <w:spacing w:line="260" w:lineRule="exact"/>
            </w:pPr>
            <w:r w:rsidRPr="005C52D1">
              <w:t>– (...),</w:t>
            </w:r>
          </w:p>
          <w:p w14:paraId="0F5FAAB6" w14:textId="77777777" w:rsidR="00703F4E" w:rsidRPr="005C52D1" w:rsidRDefault="00703F4E" w:rsidP="005169EC">
            <w:pPr>
              <w:spacing w:line="260" w:lineRule="exact"/>
            </w:pPr>
            <w:r w:rsidRPr="005C52D1">
              <w:t xml:space="preserve">– </w:t>
            </w:r>
            <w:r w:rsidRPr="005C52D1">
              <w:rPr>
                <w:shd w:val="clear" w:color="auto" w:fill="F2DBDB" w:themeFill="accent2" w:themeFillTint="33"/>
              </w:rPr>
              <w:t>wagon for carriage in bulk,</w:t>
            </w:r>
          </w:p>
          <w:p w14:paraId="6424C688" w14:textId="77777777" w:rsidR="00703F4E" w:rsidRPr="005C52D1" w:rsidRDefault="00703F4E" w:rsidP="005169EC">
            <w:pPr>
              <w:spacing w:line="260" w:lineRule="exact"/>
            </w:pPr>
            <w:r w:rsidRPr="005C52D1">
              <w:t xml:space="preserve">– </w:t>
            </w:r>
            <w:r w:rsidRPr="005C52D1">
              <w:rPr>
                <w:shd w:val="clear" w:color="auto" w:fill="F2DBDB" w:themeFill="accent2" w:themeFillTint="33"/>
              </w:rPr>
              <w:t>small or large container for carriage in bulk,</w:t>
            </w:r>
          </w:p>
          <w:p w14:paraId="71E13502" w14:textId="77777777" w:rsidR="00703F4E" w:rsidRPr="005C52D1" w:rsidRDefault="00703F4E" w:rsidP="005169EC">
            <w:pPr>
              <w:spacing w:line="260" w:lineRule="exact"/>
            </w:pPr>
            <w:r w:rsidRPr="005C52D1">
              <w:t>– wagons and containers carrying packaged radioactive material with a single UN number required to be carried under exclusive use and no other dangerous goods,</w:t>
            </w:r>
          </w:p>
          <w:p w14:paraId="2E7DA171" w14:textId="67BB7341" w:rsidR="00703F4E" w:rsidRPr="005C52D1" w:rsidRDefault="00703F4E" w:rsidP="005169EC">
            <w:pPr>
              <w:spacing w:line="260" w:lineRule="exact"/>
              <w:ind w:right="29"/>
              <w:rPr>
                <w:lang w:val="de-CH"/>
              </w:rPr>
            </w:pPr>
            <w:r w:rsidRPr="005C52D1">
              <w:t>(...)</w:t>
            </w:r>
          </w:p>
        </w:tc>
        <w:tc>
          <w:tcPr>
            <w:tcW w:w="4489" w:type="dxa"/>
            <w:shd w:val="clear" w:color="auto" w:fill="auto"/>
          </w:tcPr>
          <w:p w14:paraId="727E0F32" w14:textId="416DDB2A" w:rsidR="00703F4E" w:rsidRPr="005C52D1" w:rsidRDefault="00703F4E" w:rsidP="005C52D1">
            <w:pPr>
              <w:keepNext/>
              <w:keepLines/>
              <w:spacing w:line="260" w:lineRule="exact"/>
              <w:rPr>
                <w:lang w:val="de-CH"/>
              </w:rPr>
            </w:pPr>
            <w:r w:rsidRPr="005C52D1">
              <w:rPr>
                <w:lang w:val="de-CH"/>
              </w:rPr>
              <w:t xml:space="preserve">5.3.2.1.1 Bei der Beförderung von Gütern, für die in Kapitel 3.2 Tabelle A Spalte 20 eine Nummer zur Kennzeichnung der Gefahr angegeben ist, muss an jeder Längsseite </w:t>
            </w:r>
          </w:p>
          <w:p w14:paraId="6919D737" w14:textId="77777777" w:rsidR="00703F4E" w:rsidRPr="005C52D1" w:rsidRDefault="00703F4E" w:rsidP="005C52D1">
            <w:pPr>
              <w:keepNext/>
              <w:keepLines/>
              <w:spacing w:line="260" w:lineRule="exact"/>
              <w:rPr>
                <w:lang w:val="de-CH"/>
              </w:rPr>
            </w:pPr>
            <w:r w:rsidRPr="005C52D1">
              <w:rPr>
                <w:lang w:val="de-CH"/>
              </w:rPr>
              <w:t xml:space="preserve">– (...) </w:t>
            </w:r>
          </w:p>
          <w:p w14:paraId="1F62421B" w14:textId="77777777" w:rsidR="00703F4E" w:rsidRPr="005C52D1" w:rsidRDefault="00703F4E" w:rsidP="005C52D1">
            <w:pPr>
              <w:keepNext/>
              <w:keepLines/>
              <w:spacing w:line="260" w:lineRule="exact"/>
              <w:rPr>
                <w:lang w:val="de-CH"/>
              </w:rPr>
            </w:pPr>
            <w:r w:rsidRPr="005C52D1">
              <w:rPr>
                <w:lang w:val="de-CH"/>
              </w:rPr>
              <w:t xml:space="preserve">– </w:t>
            </w:r>
            <w:r w:rsidRPr="005C52D1">
              <w:rPr>
                <w:shd w:val="clear" w:color="auto" w:fill="F2DBDB" w:themeFill="accent2" w:themeFillTint="33"/>
                <w:lang w:val="de-CH"/>
              </w:rPr>
              <w:t>eines Wagens für Güter in loser Schüttung,</w:t>
            </w:r>
            <w:r w:rsidRPr="005C52D1">
              <w:rPr>
                <w:lang w:val="de-CH"/>
              </w:rPr>
              <w:t xml:space="preserve"> </w:t>
            </w:r>
          </w:p>
          <w:p w14:paraId="178ED995" w14:textId="77777777" w:rsidR="00703F4E" w:rsidRPr="005C52D1" w:rsidRDefault="00703F4E" w:rsidP="005C52D1">
            <w:pPr>
              <w:keepNext/>
              <w:keepLines/>
              <w:spacing w:line="260" w:lineRule="exact"/>
              <w:rPr>
                <w:lang w:val="de-CH"/>
              </w:rPr>
            </w:pPr>
            <w:r w:rsidRPr="005C52D1">
              <w:rPr>
                <w:lang w:val="de-CH"/>
              </w:rPr>
              <w:t xml:space="preserve">– </w:t>
            </w:r>
            <w:r w:rsidRPr="005C52D1">
              <w:rPr>
                <w:shd w:val="clear" w:color="auto" w:fill="F2DBDB" w:themeFill="accent2" w:themeFillTint="33"/>
                <w:lang w:val="de-CH"/>
              </w:rPr>
              <w:t>eines Klein- oder Grosscontainers für Güter in loser Schüttung,</w:t>
            </w:r>
            <w:r w:rsidRPr="005C52D1">
              <w:rPr>
                <w:lang w:val="de-CH"/>
              </w:rPr>
              <w:t xml:space="preserve"> </w:t>
            </w:r>
          </w:p>
          <w:p w14:paraId="5E3DDF73" w14:textId="77777777" w:rsidR="00703F4E" w:rsidRPr="005C52D1" w:rsidRDefault="00703F4E" w:rsidP="005C52D1">
            <w:pPr>
              <w:keepNext/>
              <w:keepLines/>
              <w:spacing w:line="260" w:lineRule="exact"/>
              <w:rPr>
                <w:lang w:val="de-CH"/>
              </w:rPr>
            </w:pPr>
            <w:r w:rsidRPr="005C52D1">
              <w:rPr>
                <w:lang w:val="de-CH"/>
              </w:rPr>
              <w:t>– eines Wagens oder eines Containers, in dem unter ausschliesslicher Verwendung zu befördernde verpackte radioaktive Stoffe mit einer einzigen UN-Nummer und keine anderen gefährlichen Güter befördert werden,</w:t>
            </w:r>
          </w:p>
          <w:p w14:paraId="06B23312" w14:textId="77777777" w:rsidR="00703F4E" w:rsidRPr="005C52D1" w:rsidRDefault="00703F4E" w:rsidP="005C52D1">
            <w:pPr>
              <w:keepNext/>
              <w:keepLines/>
              <w:spacing w:line="260" w:lineRule="exact"/>
              <w:rPr>
                <w:lang w:val="de-CH"/>
              </w:rPr>
            </w:pPr>
            <w:r w:rsidRPr="005C52D1">
              <w:rPr>
                <w:lang w:val="de-CH"/>
              </w:rPr>
              <w:t>(...)</w:t>
            </w:r>
          </w:p>
        </w:tc>
        <w:tc>
          <w:tcPr>
            <w:tcW w:w="4489" w:type="dxa"/>
            <w:shd w:val="clear" w:color="auto" w:fill="auto"/>
          </w:tcPr>
          <w:p w14:paraId="7D5DE96A" w14:textId="77777777" w:rsidR="00703F4E" w:rsidRPr="005C52D1" w:rsidRDefault="00703F4E" w:rsidP="00703F4E">
            <w:pPr>
              <w:spacing w:line="260" w:lineRule="exact"/>
              <w:rPr>
                <w:lang w:val="fr-CH"/>
              </w:rPr>
            </w:pPr>
            <w:r w:rsidRPr="005C52D1">
              <w:rPr>
                <w:lang w:val="fr-CH"/>
              </w:rPr>
              <w:t>5.3.2.1.1 On apposera, lors du transport de marchandises pour lesquelles dans la colonne (20) du Tableau A du chapitre 3.2 est indiqué un numéro d’identification de danger, de chaque côté latéral</w:t>
            </w:r>
          </w:p>
          <w:p w14:paraId="16D08A56" w14:textId="77777777" w:rsidR="00703F4E" w:rsidRPr="005C52D1" w:rsidRDefault="00703F4E" w:rsidP="00703F4E">
            <w:pPr>
              <w:spacing w:line="260" w:lineRule="exact"/>
              <w:rPr>
                <w:lang w:val="fr-CH"/>
              </w:rPr>
            </w:pPr>
            <w:r w:rsidRPr="005C52D1">
              <w:rPr>
                <w:lang w:val="fr-CH"/>
              </w:rPr>
              <w:t>– (...),</w:t>
            </w:r>
          </w:p>
          <w:p w14:paraId="5957BE69" w14:textId="1F22849B" w:rsidR="00703F4E" w:rsidRPr="005C52D1" w:rsidRDefault="00703F4E" w:rsidP="005169EC">
            <w:pPr>
              <w:spacing w:line="260" w:lineRule="exact"/>
              <w:rPr>
                <w:lang w:val="fr-CH"/>
              </w:rPr>
            </w:pPr>
            <w:r w:rsidRPr="005C52D1">
              <w:rPr>
                <w:lang w:val="fr-CH"/>
              </w:rPr>
              <w:t xml:space="preserve">– </w:t>
            </w:r>
            <w:r w:rsidRPr="005C52D1">
              <w:rPr>
                <w:shd w:val="clear" w:color="auto" w:fill="F2DBDB" w:themeFill="accent2" w:themeFillTint="33"/>
                <w:lang w:val="fr-CH"/>
              </w:rPr>
              <w:t xml:space="preserve">des wagons pour </w:t>
            </w:r>
            <w:r w:rsidR="005169EC" w:rsidRPr="005C52D1">
              <w:rPr>
                <w:b/>
                <w:u w:val="single"/>
                <w:shd w:val="clear" w:color="auto" w:fill="F2DBDB" w:themeFill="accent2" w:themeFillTint="33"/>
                <w:lang w:val="fr-CH"/>
              </w:rPr>
              <w:t>le transport en</w:t>
            </w:r>
            <w:r w:rsidR="005169EC" w:rsidRPr="005C52D1">
              <w:rPr>
                <w:shd w:val="clear" w:color="auto" w:fill="F2DBDB" w:themeFill="accent2" w:themeFillTint="33"/>
                <w:lang w:val="fr-CH"/>
              </w:rPr>
              <w:t xml:space="preserve"> </w:t>
            </w:r>
            <w:r w:rsidRPr="005C52D1">
              <w:rPr>
                <w:shd w:val="clear" w:color="auto" w:fill="F2DBDB" w:themeFill="accent2" w:themeFillTint="33"/>
                <w:lang w:val="fr-CH"/>
              </w:rPr>
              <w:t>vrac,</w:t>
            </w:r>
          </w:p>
          <w:p w14:paraId="1630B2B1" w14:textId="77777777" w:rsidR="00703F4E" w:rsidRPr="005C52D1" w:rsidRDefault="00703F4E" w:rsidP="005169EC">
            <w:pPr>
              <w:spacing w:line="260" w:lineRule="exact"/>
              <w:rPr>
                <w:lang w:val="fr-CH"/>
              </w:rPr>
            </w:pPr>
            <w:r w:rsidRPr="005C52D1">
              <w:rPr>
                <w:lang w:val="fr-CH"/>
              </w:rPr>
              <w:t xml:space="preserve">– </w:t>
            </w:r>
            <w:r w:rsidRPr="005C52D1">
              <w:rPr>
                <w:shd w:val="clear" w:color="auto" w:fill="F2DBDB" w:themeFill="accent2" w:themeFillTint="33"/>
                <w:lang w:val="fr-CH"/>
              </w:rPr>
              <w:t xml:space="preserve">des grands et petits conteneurs pour </w:t>
            </w:r>
            <w:r w:rsidRPr="005C52D1">
              <w:rPr>
                <w:b/>
                <w:u w:val="single"/>
                <w:shd w:val="clear" w:color="auto" w:fill="F2DBDB" w:themeFill="accent2" w:themeFillTint="33"/>
                <w:lang w:val="fr-CH"/>
              </w:rPr>
              <w:t xml:space="preserve">le transport en </w:t>
            </w:r>
            <w:r w:rsidRPr="005C52D1">
              <w:rPr>
                <w:shd w:val="clear" w:color="auto" w:fill="F2DBDB" w:themeFill="accent2" w:themeFillTint="33"/>
                <w:lang w:val="fr-CH"/>
              </w:rPr>
              <w:t>vrac,</w:t>
            </w:r>
          </w:p>
          <w:p w14:paraId="6543DD08" w14:textId="77777777" w:rsidR="00703F4E" w:rsidRPr="005C52D1" w:rsidRDefault="00703F4E" w:rsidP="005169EC">
            <w:pPr>
              <w:spacing w:line="260" w:lineRule="exact"/>
              <w:rPr>
                <w:lang w:val="fr-CH"/>
              </w:rPr>
            </w:pPr>
            <w:r w:rsidRPr="005C52D1">
              <w:rPr>
                <w:lang w:val="fr-CH"/>
              </w:rPr>
              <w:t xml:space="preserve">– wagons et conteneurs transportant des matières radioactives emballées portant un seul numéro ONU destinées à être transportées </w:t>
            </w:r>
            <w:proofErr w:type="spellStart"/>
            <w:r w:rsidRPr="005C52D1">
              <w:rPr>
                <w:lang w:val="fr-CH"/>
              </w:rPr>
              <w:t>sous utilisation</w:t>
            </w:r>
            <w:proofErr w:type="spellEnd"/>
            <w:r w:rsidRPr="005C52D1">
              <w:rPr>
                <w:lang w:val="fr-CH"/>
              </w:rPr>
              <w:t xml:space="preserve"> exclusive en l’absence d’autres marchandises dangereuses,</w:t>
            </w:r>
          </w:p>
          <w:p w14:paraId="7783669A" w14:textId="77777777" w:rsidR="00703F4E" w:rsidRPr="005C52D1" w:rsidRDefault="00703F4E" w:rsidP="00703F4E">
            <w:pPr>
              <w:spacing w:line="260" w:lineRule="exact"/>
            </w:pPr>
            <w:r w:rsidRPr="005C52D1">
              <w:t>(...)</w:t>
            </w:r>
          </w:p>
        </w:tc>
      </w:tr>
    </w:tbl>
    <w:p w14:paraId="5B94B2CB" w14:textId="0B82B327" w:rsidR="005169EC" w:rsidRDefault="005169EC"/>
    <w:p w14:paraId="445E2963" w14:textId="0D52B98E" w:rsidR="005438AF" w:rsidRPr="005438AF" w:rsidRDefault="005438AF" w:rsidP="005438AF">
      <w:pPr>
        <w:spacing w:before="120"/>
        <w:rPr>
          <w:rFonts w:asciiTheme="minorHAnsi" w:hAnsiTheme="minorHAnsi" w:cstheme="minorHAnsi"/>
          <w:sz w:val="22"/>
          <w:szCs w:val="22"/>
          <w:lang w:val="fr-CH"/>
        </w:rPr>
      </w:pPr>
    </w:p>
    <w:p w14:paraId="26431C23" w14:textId="04F57FFB" w:rsidR="00634974" w:rsidRPr="005438AF" w:rsidRDefault="00DC2858" w:rsidP="00634974">
      <w:pPr>
        <w:pStyle w:val="SingleTxtG"/>
        <w:spacing w:before="240" w:after="0"/>
        <w:jc w:val="center"/>
        <w:rPr>
          <w:u w:val="single"/>
          <w:lang w:val="fr-CH"/>
        </w:rPr>
      </w:pPr>
      <w:r w:rsidRPr="005438AF">
        <w:rPr>
          <w:u w:val="single"/>
          <w:lang w:val="fr-CH"/>
        </w:rPr>
        <w:tab/>
      </w:r>
      <w:r w:rsidRPr="005438AF">
        <w:rPr>
          <w:u w:val="single"/>
          <w:lang w:val="fr-CH"/>
        </w:rPr>
        <w:tab/>
      </w:r>
      <w:r w:rsidRPr="005438AF">
        <w:rPr>
          <w:u w:val="single"/>
          <w:lang w:val="fr-CH"/>
        </w:rPr>
        <w:tab/>
      </w:r>
    </w:p>
    <w:sectPr w:rsidR="00634974" w:rsidRPr="005438AF" w:rsidSect="00F323D1">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34" w:right="1701" w:bottom="1134" w:left="2268" w:header="1134" w:footer="9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CD798" w14:textId="77777777" w:rsidR="00B36C88" w:rsidRDefault="00B36C88"/>
  </w:endnote>
  <w:endnote w:type="continuationSeparator" w:id="0">
    <w:p w14:paraId="314321FB" w14:textId="77777777" w:rsidR="00B36C88" w:rsidRDefault="00B36C88"/>
  </w:endnote>
  <w:endnote w:type="continuationNotice" w:id="1">
    <w:p w14:paraId="53D7561B" w14:textId="77777777" w:rsidR="00B36C88" w:rsidRDefault="00B3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212B" w14:textId="32DE5C19" w:rsidR="00652CFC" w:rsidRDefault="00891583">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5C52D1">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145D" w14:textId="3B2011CC" w:rsidR="00652CFC" w:rsidRPr="00652CFC" w:rsidRDefault="00891583">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5C52D1">
      <w:rPr>
        <w:b/>
        <w:noProof/>
        <w:sz w:val="18"/>
        <w:szCs w:val="18"/>
      </w:rPr>
      <w:t>7</w:t>
    </w:r>
    <w:r w:rsidRPr="00652CFC">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1AF1" w14:textId="77777777" w:rsidR="00F323D1" w:rsidRDefault="00F323D1">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Pr>
        <w:b/>
        <w:noProof/>
        <w:sz w:val="18"/>
        <w:szCs w:val="18"/>
      </w:rPr>
      <w:t>2</w:t>
    </w:r>
    <w:r w:rsidRPr="00652CFC">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16F" w14:textId="77777777" w:rsidR="00F323D1" w:rsidRPr="00652CFC" w:rsidRDefault="00F323D1">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Pr>
        <w:b/>
        <w:noProof/>
        <w:sz w:val="18"/>
        <w:szCs w:val="18"/>
      </w:rPr>
      <w:t>7</w:t>
    </w:r>
    <w:r w:rsidRPr="00652CFC">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CD3B" w14:textId="77777777" w:rsidR="00360D2C" w:rsidRDefault="0036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E9BC" w14:textId="77777777" w:rsidR="00B36C88" w:rsidRPr="000B175B" w:rsidRDefault="00B36C88" w:rsidP="000B175B">
      <w:pPr>
        <w:tabs>
          <w:tab w:val="right" w:pos="2155"/>
        </w:tabs>
        <w:spacing w:after="80"/>
        <w:ind w:left="680"/>
        <w:rPr>
          <w:u w:val="single"/>
        </w:rPr>
      </w:pPr>
      <w:r>
        <w:rPr>
          <w:u w:val="single"/>
        </w:rPr>
        <w:tab/>
      </w:r>
    </w:p>
  </w:footnote>
  <w:footnote w:type="continuationSeparator" w:id="0">
    <w:p w14:paraId="3EDF02F9" w14:textId="77777777" w:rsidR="00B36C88" w:rsidRPr="00FC68B7" w:rsidRDefault="00B36C88" w:rsidP="00FC68B7">
      <w:pPr>
        <w:tabs>
          <w:tab w:val="left" w:pos="2155"/>
        </w:tabs>
        <w:spacing w:after="80"/>
        <w:ind w:left="680"/>
        <w:rPr>
          <w:u w:val="single"/>
        </w:rPr>
      </w:pPr>
      <w:r>
        <w:rPr>
          <w:u w:val="single"/>
        </w:rPr>
        <w:tab/>
      </w:r>
    </w:p>
  </w:footnote>
  <w:footnote w:type="continuationNotice" w:id="1">
    <w:p w14:paraId="6F5F1AEC" w14:textId="77777777" w:rsidR="00B36C88" w:rsidRDefault="00B36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4A4" w14:textId="31C83FCF" w:rsidR="00652CFC" w:rsidRPr="00652CFC" w:rsidRDefault="00652CFC">
    <w:pPr>
      <w:pStyle w:val="Header"/>
      <w:rPr>
        <w:lang w:val="fr-CH"/>
      </w:rPr>
    </w:pPr>
    <w:r>
      <w:rPr>
        <w:lang w:val="fr-CH"/>
      </w:rPr>
      <w:t>INF</w:t>
    </w:r>
    <w:r w:rsidR="00F323D1">
      <w:rPr>
        <w:lang w:val="fr-CH"/>
      </w:rPr>
      <w:t>.</w:t>
    </w:r>
    <w:r w:rsidR="00320F46">
      <w:rPr>
        <w:lang w:val="fr-CH"/>
      </w:rP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B2A" w14:textId="09C25786" w:rsidR="00652CFC" w:rsidRPr="00652CFC" w:rsidRDefault="00652CFC" w:rsidP="00652CFC">
    <w:pPr>
      <w:pStyle w:val="Header"/>
      <w:pBdr>
        <w:bottom w:val="single" w:sz="4" w:space="1" w:color="auto"/>
      </w:pBdr>
      <w:jc w:val="right"/>
      <w:rPr>
        <w:lang w:val="fr-CH"/>
      </w:rPr>
    </w:pPr>
    <w:r>
      <w:rPr>
        <w:lang w:val="fr-CH"/>
      </w:rPr>
      <w:t>INF.</w:t>
    </w:r>
    <w:r w:rsidR="00F323D1">
      <w:rPr>
        <w:lang w:val="fr-CH"/>
      </w:rPr>
      <w:t>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2D23" w14:textId="77777777" w:rsidR="00F323D1" w:rsidRPr="00360D2C" w:rsidRDefault="00F323D1" w:rsidP="00360D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904F" w14:textId="77777777" w:rsidR="00360D2C" w:rsidRPr="00652CFC" w:rsidRDefault="00360D2C">
    <w:pPr>
      <w:pStyle w:val="Header"/>
      <w:rPr>
        <w:lang w:val="fr-CH"/>
      </w:rPr>
    </w:pPr>
    <w:r>
      <w:rPr>
        <w:lang w:val="fr-CH"/>
      </w:rPr>
      <w:t>INF.44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8B2A" w14:textId="77777777" w:rsidR="00F323D1" w:rsidRPr="00652CFC" w:rsidRDefault="00F323D1" w:rsidP="00652CFC">
    <w:pPr>
      <w:pStyle w:val="Header"/>
      <w:pBdr>
        <w:bottom w:val="single" w:sz="4" w:space="1" w:color="auto"/>
      </w:pBdr>
      <w:jc w:val="right"/>
      <w:rPr>
        <w:lang w:val="fr-CH"/>
      </w:rPr>
    </w:pPr>
    <w:r>
      <w:rPr>
        <w:lang w:val="fr-CH"/>
      </w:rPr>
      <w:t>INF.44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40CA" w14:textId="77777777" w:rsidR="00360D2C" w:rsidRDefault="00360D2C" w:rsidP="00F323D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568A9"/>
    <w:multiLevelType w:val="hybridMultilevel"/>
    <w:tmpl w:val="DAAC785C"/>
    <w:lvl w:ilvl="0" w:tplc="0807000B">
      <w:start w:val="1"/>
      <w:numFmt w:val="bullet"/>
      <w:lvlText w:val=""/>
      <w:lvlJc w:val="left"/>
      <w:pPr>
        <w:ind w:left="1854" w:hanging="360"/>
      </w:pPr>
      <w:rPr>
        <w:rFonts w:ascii="Wingdings" w:hAnsi="Wingdings"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8"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1" w15:restartNumberingAfterBreak="0">
    <w:nsid w:val="55A72A2A"/>
    <w:multiLevelType w:val="hybridMultilevel"/>
    <w:tmpl w:val="939C2E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2"/>
  </w:num>
  <w:num w:numId="15">
    <w:abstractNumId w:val="13"/>
  </w:num>
  <w:num w:numId="16">
    <w:abstractNumId w:val="12"/>
  </w:num>
  <w:num w:numId="17">
    <w:abstractNumId w:val="24"/>
  </w:num>
  <w:num w:numId="18">
    <w:abstractNumId w:val="14"/>
  </w:num>
  <w:num w:numId="19">
    <w:abstractNumId w:val="25"/>
  </w:num>
  <w:num w:numId="20">
    <w:abstractNumId w:val="19"/>
  </w:num>
  <w:num w:numId="21">
    <w:abstractNumId w:val="23"/>
  </w:num>
  <w:num w:numId="22">
    <w:abstractNumId w:val="11"/>
  </w:num>
  <w:num w:numId="23">
    <w:abstractNumId w:val="18"/>
  </w:num>
  <w:num w:numId="24">
    <w:abstractNumId w:val="26"/>
  </w:num>
  <w:num w:numId="25">
    <w:abstractNumId w:val="20"/>
  </w:num>
  <w:num w:numId="26">
    <w:abstractNumId w:val="27"/>
  </w:num>
  <w:num w:numId="27">
    <w:abstractNumId w:val="21"/>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0"/>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77C"/>
    <w:rsid w:val="00010C41"/>
    <w:rsid w:val="00010E06"/>
    <w:rsid w:val="00014DB3"/>
    <w:rsid w:val="00037F90"/>
    <w:rsid w:val="000456B6"/>
    <w:rsid w:val="00046B1F"/>
    <w:rsid w:val="00050F6B"/>
    <w:rsid w:val="00051F9B"/>
    <w:rsid w:val="00057E97"/>
    <w:rsid w:val="00060AE2"/>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124"/>
    <w:rsid w:val="000E0415"/>
    <w:rsid w:val="000E2B1D"/>
    <w:rsid w:val="000E2EBA"/>
    <w:rsid w:val="000E5251"/>
    <w:rsid w:val="000F1B29"/>
    <w:rsid w:val="000F38CB"/>
    <w:rsid w:val="000F53AB"/>
    <w:rsid w:val="001022B8"/>
    <w:rsid w:val="0010391C"/>
    <w:rsid w:val="00104CDA"/>
    <w:rsid w:val="001103A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B55A9"/>
    <w:rsid w:val="001C2CBA"/>
    <w:rsid w:val="001C6663"/>
    <w:rsid w:val="001C7895"/>
    <w:rsid w:val="001D0239"/>
    <w:rsid w:val="001D0C8C"/>
    <w:rsid w:val="001D1419"/>
    <w:rsid w:val="001D26DF"/>
    <w:rsid w:val="001D3A03"/>
    <w:rsid w:val="001D4759"/>
    <w:rsid w:val="001D7981"/>
    <w:rsid w:val="001E0B9E"/>
    <w:rsid w:val="001E7B67"/>
    <w:rsid w:val="001F1281"/>
    <w:rsid w:val="001F2705"/>
    <w:rsid w:val="001F7435"/>
    <w:rsid w:val="00202DA8"/>
    <w:rsid w:val="00203753"/>
    <w:rsid w:val="002102FF"/>
    <w:rsid w:val="0021114C"/>
    <w:rsid w:val="0021157B"/>
    <w:rsid w:val="00211C08"/>
    <w:rsid w:val="00211E0B"/>
    <w:rsid w:val="002336E0"/>
    <w:rsid w:val="00237690"/>
    <w:rsid w:val="0024023A"/>
    <w:rsid w:val="00243217"/>
    <w:rsid w:val="002446AE"/>
    <w:rsid w:val="00247CC2"/>
    <w:rsid w:val="00252290"/>
    <w:rsid w:val="002614B5"/>
    <w:rsid w:val="0026532A"/>
    <w:rsid w:val="00267A88"/>
    <w:rsid w:val="00267F5F"/>
    <w:rsid w:val="002736A6"/>
    <w:rsid w:val="002815A4"/>
    <w:rsid w:val="00286B4D"/>
    <w:rsid w:val="00292A77"/>
    <w:rsid w:val="00293582"/>
    <w:rsid w:val="002A3C85"/>
    <w:rsid w:val="002A603B"/>
    <w:rsid w:val="002C1737"/>
    <w:rsid w:val="002C6B57"/>
    <w:rsid w:val="002D4643"/>
    <w:rsid w:val="002D4B6C"/>
    <w:rsid w:val="002F175C"/>
    <w:rsid w:val="002F41D4"/>
    <w:rsid w:val="00302E18"/>
    <w:rsid w:val="003050A4"/>
    <w:rsid w:val="0030606F"/>
    <w:rsid w:val="003117F6"/>
    <w:rsid w:val="00320F46"/>
    <w:rsid w:val="003229D8"/>
    <w:rsid w:val="003358CF"/>
    <w:rsid w:val="00340169"/>
    <w:rsid w:val="00343C84"/>
    <w:rsid w:val="00344BD8"/>
    <w:rsid w:val="00345184"/>
    <w:rsid w:val="0034693C"/>
    <w:rsid w:val="00352709"/>
    <w:rsid w:val="003571EA"/>
    <w:rsid w:val="00360D2C"/>
    <w:rsid w:val="0036435E"/>
    <w:rsid w:val="00370C43"/>
    <w:rsid w:val="00371178"/>
    <w:rsid w:val="003A6810"/>
    <w:rsid w:val="003B311A"/>
    <w:rsid w:val="003B36D1"/>
    <w:rsid w:val="003C2CC4"/>
    <w:rsid w:val="003C7C2C"/>
    <w:rsid w:val="003D4B23"/>
    <w:rsid w:val="003D60E9"/>
    <w:rsid w:val="003F0907"/>
    <w:rsid w:val="003F6429"/>
    <w:rsid w:val="00400297"/>
    <w:rsid w:val="00410C89"/>
    <w:rsid w:val="00417E17"/>
    <w:rsid w:val="00422E03"/>
    <w:rsid w:val="004266AC"/>
    <w:rsid w:val="00426B9B"/>
    <w:rsid w:val="004321F2"/>
    <w:rsid w:val="004325CB"/>
    <w:rsid w:val="004356D2"/>
    <w:rsid w:val="00435A7C"/>
    <w:rsid w:val="00442A83"/>
    <w:rsid w:val="004460EA"/>
    <w:rsid w:val="00453C6F"/>
    <w:rsid w:val="00453EF0"/>
    <w:rsid w:val="0045495B"/>
    <w:rsid w:val="00455F93"/>
    <w:rsid w:val="00464C81"/>
    <w:rsid w:val="004656EE"/>
    <w:rsid w:val="004676F7"/>
    <w:rsid w:val="00480290"/>
    <w:rsid w:val="0048397A"/>
    <w:rsid w:val="00483F1B"/>
    <w:rsid w:val="004861B3"/>
    <w:rsid w:val="00495210"/>
    <w:rsid w:val="004A12F2"/>
    <w:rsid w:val="004A28A3"/>
    <w:rsid w:val="004C2461"/>
    <w:rsid w:val="004C408F"/>
    <w:rsid w:val="004C6994"/>
    <w:rsid w:val="004C7462"/>
    <w:rsid w:val="004D4E04"/>
    <w:rsid w:val="004D5426"/>
    <w:rsid w:val="004E0C05"/>
    <w:rsid w:val="004E77B2"/>
    <w:rsid w:val="00503DEB"/>
    <w:rsid w:val="00504B2D"/>
    <w:rsid w:val="00507993"/>
    <w:rsid w:val="00512A1F"/>
    <w:rsid w:val="005154B6"/>
    <w:rsid w:val="005169EC"/>
    <w:rsid w:val="0052136D"/>
    <w:rsid w:val="00522B58"/>
    <w:rsid w:val="00523CD7"/>
    <w:rsid w:val="00526AB3"/>
    <w:rsid w:val="0052775E"/>
    <w:rsid w:val="005420F2"/>
    <w:rsid w:val="005438AF"/>
    <w:rsid w:val="00543B68"/>
    <w:rsid w:val="005463C7"/>
    <w:rsid w:val="00546993"/>
    <w:rsid w:val="005501AB"/>
    <w:rsid w:val="005628B6"/>
    <w:rsid w:val="00574D0B"/>
    <w:rsid w:val="0058164C"/>
    <w:rsid w:val="005835AD"/>
    <w:rsid w:val="005909B3"/>
    <w:rsid w:val="005916BA"/>
    <w:rsid w:val="0059363D"/>
    <w:rsid w:val="005B0833"/>
    <w:rsid w:val="005B0D56"/>
    <w:rsid w:val="005B3DB3"/>
    <w:rsid w:val="005B4E13"/>
    <w:rsid w:val="005C2DE1"/>
    <w:rsid w:val="005C52D1"/>
    <w:rsid w:val="005C68F0"/>
    <w:rsid w:val="005D2A29"/>
    <w:rsid w:val="005D7FB9"/>
    <w:rsid w:val="005E6A77"/>
    <w:rsid w:val="005F7B75"/>
    <w:rsid w:val="006001EE"/>
    <w:rsid w:val="00605042"/>
    <w:rsid w:val="00611FC4"/>
    <w:rsid w:val="00615757"/>
    <w:rsid w:val="006176FB"/>
    <w:rsid w:val="00630BAF"/>
    <w:rsid w:val="00634974"/>
    <w:rsid w:val="006353BF"/>
    <w:rsid w:val="0063658A"/>
    <w:rsid w:val="00640B26"/>
    <w:rsid w:val="006421EE"/>
    <w:rsid w:val="006477AB"/>
    <w:rsid w:val="00652CFC"/>
    <w:rsid w:val="00652D0A"/>
    <w:rsid w:val="00655BF4"/>
    <w:rsid w:val="00656145"/>
    <w:rsid w:val="006623D5"/>
    <w:rsid w:val="00662BB6"/>
    <w:rsid w:val="00662F6C"/>
    <w:rsid w:val="006660A1"/>
    <w:rsid w:val="00667F8F"/>
    <w:rsid w:val="006741F1"/>
    <w:rsid w:val="00684C21"/>
    <w:rsid w:val="0069377E"/>
    <w:rsid w:val="006A2530"/>
    <w:rsid w:val="006B1C12"/>
    <w:rsid w:val="006C3589"/>
    <w:rsid w:val="006D37AF"/>
    <w:rsid w:val="006D51D0"/>
    <w:rsid w:val="006D63B3"/>
    <w:rsid w:val="006D6F48"/>
    <w:rsid w:val="006E564B"/>
    <w:rsid w:val="006E7191"/>
    <w:rsid w:val="00703577"/>
    <w:rsid w:val="00703F4E"/>
    <w:rsid w:val="00705894"/>
    <w:rsid w:val="00712398"/>
    <w:rsid w:val="0072632A"/>
    <w:rsid w:val="007327D5"/>
    <w:rsid w:val="007351B4"/>
    <w:rsid w:val="007417F8"/>
    <w:rsid w:val="00760A73"/>
    <w:rsid w:val="007611CF"/>
    <w:rsid w:val="00761787"/>
    <w:rsid w:val="007629C8"/>
    <w:rsid w:val="00764668"/>
    <w:rsid w:val="0077047D"/>
    <w:rsid w:val="00771EEE"/>
    <w:rsid w:val="007724D8"/>
    <w:rsid w:val="00776430"/>
    <w:rsid w:val="00783A95"/>
    <w:rsid w:val="00797575"/>
    <w:rsid w:val="00797B92"/>
    <w:rsid w:val="007A0948"/>
    <w:rsid w:val="007A27A9"/>
    <w:rsid w:val="007A7486"/>
    <w:rsid w:val="007B22C2"/>
    <w:rsid w:val="007B6BA5"/>
    <w:rsid w:val="007C2E47"/>
    <w:rsid w:val="007C3390"/>
    <w:rsid w:val="007C4F4B"/>
    <w:rsid w:val="007E01E9"/>
    <w:rsid w:val="007E60C9"/>
    <w:rsid w:val="007E63F3"/>
    <w:rsid w:val="007E7E99"/>
    <w:rsid w:val="007F1F2D"/>
    <w:rsid w:val="007F6611"/>
    <w:rsid w:val="007F7106"/>
    <w:rsid w:val="007F7A86"/>
    <w:rsid w:val="008018D8"/>
    <w:rsid w:val="00807E1D"/>
    <w:rsid w:val="008116D7"/>
    <w:rsid w:val="00811920"/>
    <w:rsid w:val="00815AD0"/>
    <w:rsid w:val="008242D7"/>
    <w:rsid w:val="008257B1"/>
    <w:rsid w:val="00826C3D"/>
    <w:rsid w:val="008433F2"/>
    <w:rsid w:val="00843767"/>
    <w:rsid w:val="00854501"/>
    <w:rsid w:val="00856952"/>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D"/>
    <w:rsid w:val="00933585"/>
    <w:rsid w:val="00940F93"/>
    <w:rsid w:val="0094558F"/>
    <w:rsid w:val="00961690"/>
    <w:rsid w:val="00972BC4"/>
    <w:rsid w:val="009760F3"/>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9E5A2C"/>
    <w:rsid w:val="009F4C70"/>
    <w:rsid w:val="00A00A3F"/>
    <w:rsid w:val="00A01489"/>
    <w:rsid w:val="00A120E8"/>
    <w:rsid w:val="00A21613"/>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D44C2"/>
    <w:rsid w:val="00AD48FA"/>
    <w:rsid w:val="00AD4BFB"/>
    <w:rsid w:val="00AE4840"/>
    <w:rsid w:val="00AF7EF2"/>
    <w:rsid w:val="00B00CC8"/>
    <w:rsid w:val="00B11BB4"/>
    <w:rsid w:val="00B22BC2"/>
    <w:rsid w:val="00B30179"/>
    <w:rsid w:val="00B3207A"/>
    <w:rsid w:val="00B36690"/>
    <w:rsid w:val="00B36C88"/>
    <w:rsid w:val="00B421C1"/>
    <w:rsid w:val="00B52FD7"/>
    <w:rsid w:val="00B5526D"/>
    <w:rsid w:val="00B55C71"/>
    <w:rsid w:val="00B56E4A"/>
    <w:rsid w:val="00B56E9C"/>
    <w:rsid w:val="00B61320"/>
    <w:rsid w:val="00B61BB6"/>
    <w:rsid w:val="00B64B1F"/>
    <w:rsid w:val="00B6553F"/>
    <w:rsid w:val="00B6661C"/>
    <w:rsid w:val="00B70F1E"/>
    <w:rsid w:val="00B7236E"/>
    <w:rsid w:val="00B77D05"/>
    <w:rsid w:val="00B81206"/>
    <w:rsid w:val="00B81E12"/>
    <w:rsid w:val="00B8280B"/>
    <w:rsid w:val="00B930D4"/>
    <w:rsid w:val="00BA2681"/>
    <w:rsid w:val="00BA4044"/>
    <w:rsid w:val="00BA55A7"/>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2064"/>
    <w:rsid w:val="00C43DF8"/>
    <w:rsid w:val="00C4527F"/>
    <w:rsid w:val="00C463DD"/>
    <w:rsid w:val="00C467C9"/>
    <w:rsid w:val="00C4724C"/>
    <w:rsid w:val="00C50425"/>
    <w:rsid w:val="00C629A0"/>
    <w:rsid w:val="00C64629"/>
    <w:rsid w:val="00C73056"/>
    <w:rsid w:val="00C745C3"/>
    <w:rsid w:val="00C7629A"/>
    <w:rsid w:val="00C777D5"/>
    <w:rsid w:val="00C8308F"/>
    <w:rsid w:val="00C87367"/>
    <w:rsid w:val="00C87FD7"/>
    <w:rsid w:val="00C9708A"/>
    <w:rsid w:val="00CA56B7"/>
    <w:rsid w:val="00CB3E03"/>
    <w:rsid w:val="00CD0CA1"/>
    <w:rsid w:val="00CD2E74"/>
    <w:rsid w:val="00CD57D2"/>
    <w:rsid w:val="00CE4A8F"/>
    <w:rsid w:val="00CE4B11"/>
    <w:rsid w:val="00CE69D8"/>
    <w:rsid w:val="00D00610"/>
    <w:rsid w:val="00D06232"/>
    <w:rsid w:val="00D2031B"/>
    <w:rsid w:val="00D25FE2"/>
    <w:rsid w:val="00D263A7"/>
    <w:rsid w:val="00D41103"/>
    <w:rsid w:val="00D43252"/>
    <w:rsid w:val="00D467F3"/>
    <w:rsid w:val="00D473CD"/>
    <w:rsid w:val="00D47EEA"/>
    <w:rsid w:val="00D54567"/>
    <w:rsid w:val="00D550D4"/>
    <w:rsid w:val="00D601E2"/>
    <w:rsid w:val="00D61EEC"/>
    <w:rsid w:val="00D65303"/>
    <w:rsid w:val="00D729FB"/>
    <w:rsid w:val="00D747A6"/>
    <w:rsid w:val="00D773DF"/>
    <w:rsid w:val="00D77995"/>
    <w:rsid w:val="00D80773"/>
    <w:rsid w:val="00D80ECB"/>
    <w:rsid w:val="00D87235"/>
    <w:rsid w:val="00D876F8"/>
    <w:rsid w:val="00D9255F"/>
    <w:rsid w:val="00D95303"/>
    <w:rsid w:val="00D978C6"/>
    <w:rsid w:val="00DA3C1C"/>
    <w:rsid w:val="00DB6CA5"/>
    <w:rsid w:val="00DC2362"/>
    <w:rsid w:val="00DC2858"/>
    <w:rsid w:val="00DC634C"/>
    <w:rsid w:val="00DF6B95"/>
    <w:rsid w:val="00E01D68"/>
    <w:rsid w:val="00E046DF"/>
    <w:rsid w:val="00E12674"/>
    <w:rsid w:val="00E15557"/>
    <w:rsid w:val="00E27346"/>
    <w:rsid w:val="00E665A8"/>
    <w:rsid w:val="00E71BC8"/>
    <w:rsid w:val="00E7260F"/>
    <w:rsid w:val="00E73F5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7A2A"/>
    <w:rsid w:val="00EE0102"/>
    <w:rsid w:val="00EE62ED"/>
    <w:rsid w:val="00EE6B3A"/>
    <w:rsid w:val="00EF1D7F"/>
    <w:rsid w:val="00EF3F12"/>
    <w:rsid w:val="00EF6DB8"/>
    <w:rsid w:val="00F227A6"/>
    <w:rsid w:val="00F24737"/>
    <w:rsid w:val="00F30EB7"/>
    <w:rsid w:val="00F31E5F"/>
    <w:rsid w:val="00F323D1"/>
    <w:rsid w:val="00F36F0D"/>
    <w:rsid w:val="00F42147"/>
    <w:rsid w:val="00F4272A"/>
    <w:rsid w:val="00F4342B"/>
    <w:rsid w:val="00F54642"/>
    <w:rsid w:val="00F555FB"/>
    <w:rsid w:val="00F6100A"/>
    <w:rsid w:val="00F66565"/>
    <w:rsid w:val="00F93781"/>
    <w:rsid w:val="00FA3772"/>
    <w:rsid w:val="00FA78C2"/>
    <w:rsid w:val="00FA79F4"/>
    <w:rsid w:val="00FB613B"/>
    <w:rsid w:val="00FB6649"/>
    <w:rsid w:val="00FB7065"/>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DDE18B"/>
  <w15:docId w15:val="{520CA968-F574-4DF3-830A-ABA3D3BB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F4E"/>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D6F48"/>
    <w:pPr>
      <w:spacing w:line="240" w:lineRule="auto"/>
      <w:outlineLvl w:val="1"/>
    </w:pPr>
  </w:style>
  <w:style w:type="paragraph" w:styleId="Heading3">
    <w:name w:val="heading 3"/>
    <w:basedOn w:val="Normal"/>
    <w:next w:val="Normal"/>
    <w:qFormat/>
    <w:rsid w:val="006D6F48"/>
    <w:pPr>
      <w:spacing w:line="240" w:lineRule="auto"/>
      <w:outlineLvl w:val="2"/>
    </w:pPr>
  </w:style>
  <w:style w:type="paragraph" w:styleId="Heading4">
    <w:name w:val="heading 4"/>
    <w:basedOn w:val="Normal"/>
    <w:next w:val="Normal"/>
    <w:qFormat/>
    <w:rsid w:val="006D6F48"/>
    <w:pPr>
      <w:spacing w:line="240" w:lineRule="auto"/>
      <w:outlineLvl w:val="3"/>
    </w:pPr>
  </w:style>
  <w:style w:type="paragraph" w:styleId="Heading5">
    <w:name w:val="heading 5"/>
    <w:basedOn w:val="Normal"/>
    <w:next w:val="Normal"/>
    <w:qFormat/>
    <w:rsid w:val="006D6F48"/>
    <w:pPr>
      <w:spacing w:line="240" w:lineRule="auto"/>
      <w:outlineLvl w:val="4"/>
    </w:pPr>
  </w:style>
  <w:style w:type="paragraph" w:styleId="Heading6">
    <w:name w:val="heading 6"/>
    <w:basedOn w:val="Normal"/>
    <w:next w:val="Normal"/>
    <w:qFormat/>
    <w:rsid w:val="006D6F48"/>
    <w:pPr>
      <w:spacing w:line="240" w:lineRule="auto"/>
      <w:outlineLvl w:val="5"/>
    </w:pPr>
  </w:style>
  <w:style w:type="paragraph" w:styleId="Heading7">
    <w:name w:val="heading 7"/>
    <w:basedOn w:val="Normal"/>
    <w:next w:val="Normal"/>
    <w:qFormat/>
    <w:rsid w:val="006D6F48"/>
    <w:pPr>
      <w:spacing w:line="240" w:lineRule="auto"/>
      <w:outlineLvl w:val="6"/>
    </w:pPr>
  </w:style>
  <w:style w:type="paragraph" w:styleId="Heading8">
    <w:name w:val="heading 8"/>
    <w:basedOn w:val="Normal"/>
    <w:next w:val="Normal"/>
    <w:qFormat/>
    <w:rsid w:val="006D6F48"/>
    <w:pPr>
      <w:spacing w:line="240" w:lineRule="auto"/>
      <w:outlineLvl w:val="7"/>
    </w:pPr>
  </w:style>
  <w:style w:type="paragraph" w:styleId="Heading9">
    <w:name w:val="heading 9"/>
    <w:basedOn w:val="Normal"/>
    <w:next w:val="Normal"/>
    <w:qFormat/>
    <w:rsid w:val="006D6F4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D6F48"/>
    <w:rPr>
      <w:rFonts w:cs="Courier New"/>
    </w:rPr>
  </w:style>
  <w:style w:type="paragraph" w:styleId="BodyText">
    <w:name w:val="Body Text"/>
    <w:basedOn w:val="Normal"/>
    <w:next w:val="Normal"/>
    <w:semiHidden/>
    <w:rsid w:val="006D6F48"/>
  </w:style>
  <w:style w:type="paragraph" w:styleId="BodyTextIndent">
    <w:name w:val="Body Text Indent"/>
    <w:basedOn w:val="Normal"/>
    <w:semiHidden/>
    <w:rsid w:val="006D6F48"/>
    <w:pPr>
      <w:spacing w:after="120"/>
      <w:ind w:left="283"/>
    </w:pPr>
  </w:style>
  <w:style w:type="paragraph" w:styleId="BlockText">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D6F48"/>
    <w:rPr>
      <w:sz w:val="6"/>
    </w:rPr>
  </w:style>
  <w:style w:type="paragraph" w:styleId="CommentText">
    <w:name w:val="annotation text"/>
    <w:basedOn w:val="Normal"/>
    <w:link w:val="CommentTextChar"/>
    <w:semiHidden/>
    <w:rsid w:val="006D6F48"/>
  </w:style>
  <w:style w:type="character" w:styleId="LineNumber">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BA55A7"/>
    <w:pPr>
      <w:spacing w:line="240" w:lineRule="auto"/>
    </w:pPr>
    <w:rPr>
      <w:b/>
      <w:bCs/>
    </w:rPr>
  </w:style>
  <w:style w:type="character" w:customStyle="1" w:styleId="CommentTextChar">
    <w:name w:val="Comment Text Char"/>
    <w:basedOn w:val="DefaultParagraphFont"/>
    <w:link w:val="CommentText"/>
    <w:semiHidden/>
    <w:rsid w:val="00BA55A7"/>
    <w:rPr>
      <w:lang w:eastAsia="en-US"/>
    </w:rPr>
  </w:style>
  <w:style w:type="character" w:customStyle="1" w:styleId="CommentSubjectChar">
    <w:name w:val="Comment Subject Char"/>
    <w:basedOn w:val="CommentTextChar"/>
    <w:link w:val="CommentSubject"/>
    <w:semiHidden/>
    <w:rsid w:val="00BA55A7"/>
    <w:rPr>
      <w:b/>
      <w:bCs/>
      <w:lang w:eastAsia="en-US"/>
    </w:rPr>
  </w:style>
  <w:style w:type="paragraph" w:styleId="Revision">
    <w:name w:val="Revision"/>
    <w:hidden/>
    <w:uiPriority w:val="99"/>
    <w:semiHidden/>
    <w:rsid w:val="002446AE"/>
    <w:rPr>
      <w:lang w:eastAsia="en-US"/>
    </w:rPr>
  </w:style>
  <w:style w:type="paragraph" w:customStyle="1" w:styleId="Default">
    <w:name w:val="Default"/>
    <w:rsid w:val="00267A88"/>
    <w:pPr>
      <w:autoSpaceDE w:val="0"/>
      <w:autoSpaceDN w:val="0"/>
      <w:adjustRightInd w:val="0"/>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69568">
      <w:bodyDiv w:val="1"/>
      <w:marLeft w:val="0"/>
      <w:marRight w:val="0"/>
      <w:marTop w:val="0"/>
      <w:marBottom w:val="0"/>
      <w:divBdr>
        <w:top w:val="none" w:sz="0" w:space="0" w:color="auto"/>
        <w:left w:val="none" w:sz="0" w:space="0" w:color="auto"/>
        <w:bottom w:val="none" w:sz="0" w:space="0" w:color="auto"/>
        <w:right w:val="none" w:sz="0" w:space="0" w:color="auto"/>
      </w:divBdr>
    </w:div>
    <w:div w:id="159936155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19082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762F5-3242-43F4-8553-CBBB3C7FAED1}">
  <ds:schemaRefs>
    <ds:schemaRef ds:uri="http://schemas.openxmlformats.org/officeDocument/2006/bibliography"/>
  </ds:schemaRefs>
</ds:datastoreItem>
</file>

<file path=customXml/itemProps2.xml><?xml version="1.0" encoding="utf-8"?>
<ds:datastoreItem xmlns:ds="http://schemas.openxmlformats.org/officeDocument/2006/customXml" ds:itemID="{FC51C1F0-42BC-4654-982E-0A6EA541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959F-CFF6-4BD4-BC1C-EA1CC9253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23CE0-BCBE-4A6B-8AD6-C2F7797AA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2308</Words>
  <Characters>13156</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2017-09-13T08:27:00Z</cp:lastPrinted>
  <dcterms:created xsi:type="dcterms:W3CDTF">2021-09-27T06:58:00Z</dcterms:created>
  <dcterms:modified xsi:type="dcterms:W3CDTF">2021-09-27T07:04:00Z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