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3346" w14:textId="77777777" w:rsidR="00215A1B" w:rsidRPr="008256D7" w:rsidRDefault="00215A1B" w:rsidP="00F5390C">
      <w:pPr>
        <w:spacing w:before="120" w:after="0" w:line="240" w:lineRule="atLeast"/>
        <w:rPr>
          <w:b/>
          <w:sz w:val="28"/>
          <w:szCs w:val="28"/>
        </w:rPr>
      </w:pPr>
      <w:r w:rsidRPr="008256D7">
        <w:rPr>
          <w:b/>
          <w:sz w:val="28"/>
          <w:szCs w:val="28"/>
        </w:rPr>
        <w:t>Economic Commission for Europe</w:t>
      </w:r>
    </w:p>
    <w:p w14:paraId="2FE6D5E1" w14:textId="6A8A5D05" w:rsidR="00215A1B" w:rsidRDefault="00215A1B" w:rsidP="00F5390C">
      <w:pPr>
        <w:spacing w:before="120" w:after="0" w:line="240" w:lineRule="atLeast"/>
        <w:rPr>
          <w:sz w:val="28"/>
          <w:szCs w:val="28"/>
        </w:rPr>
      </w:pPr>
      <w:r w:rsidRPr="008256D7">
        <w:rPr>
          <w:sz w:val="28"/>
          <w:szCs w:val="28"/>
        </w:rPr>
        <w:t>Inland Transport Committee</w:t>
      </w:r>
    </w:p>
    <w:p w14:paraId="591F8173" w14:textId="0EA1633E" w:rsidR="007900F5" w:rsidRPr="007900F5" w:rsidRDefault="007900F5" w:rsidP="007900F5">
      <w:pPr>
        <w:tabs>
          <w:tab w:val="left" w:pos="7655"/>
        </w:tabs>
        <w:spacing w:before="120" w:after="0" w:line="240" w:lineRule="atLeast"/>
        <w:rPr>
          <w:b/>
          <w:sz w:val="22"/>
          <w:szCs w:val="28"/>
        </w:rPr>
      </w:pPr>
      <w:r>
        <w:rPr>
          <w:b/>
          <w:sz w:val="22"/>
          <w:szCs w:val="28"/>
        </w:rPr>
        <w:t>Working Party on the Transport of Dangerous Goods</w:t>
      </w:r>
      <w:r w:rsidRPr="007900F5">
        <w:rPr>
          <w:b/>
          <w:szCs w:val="24"/>
        </w:rPr>
        <w:t xml:space="preserve"> </w:t>
      </w:r>
      <w:r>
        <w:rPr>
          <w:b/>
          <w:szCs w:val="24"/>
        </w:rPr>
        <w:tab/>
      </w:r>
      <w:r w:rsidR="003679BC">
        <w:rPr>
          <w:b/>
          <w:szCs w:val="24"/>
        </w:rPr>
        <w:t>8</w:t>
      </w:r>
      <w:r>
        <w:rPr>
          <w:b/>
        </w:rPr>
        <w:t xml:space="preserve"> September</w:t>
      </w:r>
      <w:r w:rsidRPr="008256D7">
        <w:rPr>
          <w:b/>
        </w:rPr>
        <w:t xml:space="preserve"> 20</w:t>
      </w:r>
      <w:r>
        <w:rPr>
          <w:b/>
        </w:rPr>
        <w:t>20</w:t>
      </w:r>
    </w:p>
    <w:p w14:paraId="45A7DD39" w14:textId="5BDB50FE" w:rsidR="00215A1B" w:rsidRPr="008256D7" w:rsidRDefault="007900F5" w:rsidP="001C3A25">
      <w:pPr>
        <w:tabs>
          <w:tab w:val="left" w:pos="7938"/>
        </w:tabs>
        <w:spacing w:before="120" w:after="0" w:line="240" w:lineRule="atLeast"/>
        <w:rPr>
          <w:b/>
          <w:szCs w:val="24"/>
        </w:rPr>
      </w:pPr>
      <w:r w:rsidRPr="007900F5">
        <w:rPr>
          <w:b/>
          <w:sz w:val="22"/>
          <w:szCs w:val="24"/>
        </w:rPr>
        <w:t xml:space="preserve">Joint Meeting of the RID Committee of Experts and the </w:t>
      </w:r>
      <w:r w:rsidRPr="007900F5">
        <w:rPr>
          <w:b/>
          <w:sz w:val="22"/>
          <w:szCs w:val="24"/>
        </w:rPr>
        <w:br/>
      </w:r>
      <w:r w:rsidR="00215A1B" w:rsidRPr="007900F5">
        <w:rPr>
          <w:b/>
          <w:sz w:val="22"/>
          <w:szCs w:val="24"/>
        </w:rPr>
        <w:t>Working Party on the Transport of Dangerous Goods</w:t>
      </w:r>
    </w:p>
    <w:p w14:paraId="20D1643D" w14:textId="33AB7953" w:rsidR="006643C6" w:rsidRPr="00592CC7" w:rsidRDefault="0069755E" w:rsidP="00592CC7">
      <w:r>
        <w:t>Geneva, 21</w:t>
      </w:r>
      <w:r w:rsidR="007900F5">
        <w:t xml:space="preserve"> September 202</w:t>
      </w:r>
      <w:r>
        <w:t>1–1 October 2021</w:t>
      </w:r>
      <w:r w:rsidR="00215A1B" w:rsidRPr="008256D7">
        <w:br/>
        <w:t xml:space="preserve">Item </w:t>
      </w:r>
      <w:r w:rsidR="007900F5">
        <w:t>3</w:t>
      </w:r>
      <w:r w:rsidR="00215A1B" w:rsidRPr="008256D7">
        <w:t xml:space="preserve"> of the provisional agenda</w:t>
      </w:r>
      <w:r w:rsidR="00215A1B" w:rsidRPr="008256D7">
        <w:br/>
      </w:r>
      <w:r w:rsidR="007900F5">
        <w:rPr>
          <w:b/>
        </w:rPr>
        <w:t>Standards</w:t>
      </w:r>
    </w:p>
    <w:p w14:paraId="11F9865F" w14:textId="7249ADB8" w:rsidR="00193421" w:rsidRPr="00BF3825" w:rsidRDefault="002574B9" w:rsidP="00CC2CB9">
      <w:pPr>
        <w:pStyle w:val="HChG"/>
      </w:pPr>
      <w:r w:rsidRPr="008256D7">
        <w:tab/>
      </w:r>
      <w:r w:rsidRPr="008256D7">
        <w:tab/>
      </w:r>
      <w:r w:rsidR="00193421" w:rsidRPr="00BF3825">
        <w:t>Report of the Standards Working Group</w:t>
      </w:r>
      <w:r w:rsidR="00CC2CB9">
        <w:t xml:space="preserve"> </w:t>
      </w:r>
      <w:r w:rsidR="00193421" w:rsidRPr="00BF3825">
        <w:t>(</w:t>
      </w:r>
      <w:r w:rsidR="0099702C">
        <w:t>3</w:t>
      </w:r>
      <w:r w:rsidR="0069755E">
        <w:t>3</w:t>
      </w:r>
      <w:r w:rsidR="0069755E" w:rsidRPr="0069755E">
        <w:rPr>
          <w:vertAlign w:val="superscript"/>
        </w:rPr>
        <w:t>rd</w:t>
      </w:r>
      <w:r w:rsidR="0069755E">
        <w:t xml:space="preserve"> </w:t>
      </w:r>
      <w:r w:rsidR="00193421" w:rsidRPr="00BF3825">
        <w:t xml:space="preserve">meeting) </w:t>
      </w:r>
    </w:p>
    <w:p w14:paraId="42CC3EE4" w14:textId="691B440B" w:rsidR="00193421" w:rsidRPr="00E33565" w:rsidRDefault="00193421" w:rsidP="00193421">
      <w:pPr>
        <w:pStyle w:val="SingleTxtG"/>
      </w:pPr>
      <w:r>
        <w:t>1.</w:t>
      </w:r>
      <w:r>
        <w:tab/>
      </w:r>
      <w:r w:rsidR="0069755E">
        <w:t>The Working Group on Standards held a virtual meeting on 2</w:t>
      </w:r>
      <w:r w:rsidR="0069755E" w:rsidRPr="0069755E">
        <w:rPr>
          <w:vertAlign w:val="superscript"/>
        </w:rPr>
        <w:t>nd</w:t>
      </w:r>
      <w:r w:rsidR="0069755E">
        <w:t xml:space="preserve"> September 2021 when it reviewed the standards listed in do</w:t>
      </w:r>
      <w:r w:rsidRPr="00E33565">
        <w:t>cument ECE/TRANS/WP.15/AC.1/20</w:t>
      </w:r>
      <w:r w:rsidR="0099702C">
        <w:t>2</w:t>
      </w:r>
      <w:r w:rsidR="0069755E">
        <w:t>1</w:t>
      </w:r>
      <w:r w:rsidRPr="00E33565">
        <w:t>/</w:t>
      </w:r>
      <w:r w:rsidR="0069755E">
        <w:t>38</w:t>
      </w:r>
      <w:r w:rsidR="00590478">
        <w:t>. It also discussed a revised version of the draft proposals to improve the text introducing the standards tables in 6.2.4, 6.8</w:t>
      </w:r>
      <w:r w:rsidR="0090465B">
        <w:t>.</w:t>
      </w:r>
      <w:r w:rsidR="00590478">
        <w:t xml:space="preserve">2.6 and 6.8.3.6 and </w:t>
      </w:r>
      <w:r w:rsidR="00ED0C27">
        <w:t xml:space="preserve">document </w:t>
      </w:r>
      <w:r w:rsidR="00504FF8">
        <w:t>ECE/TRANS/WP.15/AC.1/</w:t>
      </w:r>
      <w:r w:rsidR="00590478">
        <w:t>2021/41 from France.</w:t>
      </w:r>
    </w:p>
    <w:p w14:paraId="7576C276" w14:textId="27505C18" w:rsidR="00193421" w:rsidRPr="00193421" w:rsidRDefault="00193421" w:rsidP="00193421">
      <w:pPr>
        <w:pStyle w:val="SingleTxtG"/>
        <w:rPr>
          <w:b/>
          <w:bCs/>
        </w:rPr>
      </w:pPr>
      <w:r w:rsidRPr="00193421">
        <w:rPr>
          <w:b/>
          <w:bCs/>
        </w:rPr>
        <w:tab/>
      </w:r>
      <w:r w:rsidR="00504FF8">
        <w:rPr>
          <w:b/>
          <w:bCs/>
        </w:rPr>
        <w:t>2.</w:t>
      </w:r>
      <w:r w:rsidRPr="00193421">
        <w:rPr>
          <w:b/>
          <w:bCs/>
        </w:rPr>
        <w:tab/>
        <w:t>Results</w:t>
      </w:r>
    </w:p>
    <w:p w14:paraId="680F197B" w14:textId="5495AAE6" w:rsidR="00193421" w:rsidRDefault="00504FF8" w:rsidP="00193421">
      <w:pPr>
        <w:pStyle w:val="SingleTxtG"/>
      </w:pPr>
      <w:r>
        <w:t>2</w:t>
      </w:r>
      <w:r w:rsidR="00193421" w:rsidRPr="00E33565">
        <w:t>.1</w:t>
      </w:r>
      <w:r w:rsidR="00D42FE3">
        <w:t>.</w:t>
      </w:r>
      <w:r w:rsidR="00193421" w:rsidRPr="00E33565">
        <w:tab/>
      </w:r>
      <w:r w:rsidR="00D72689">
        <w:t xml:space="preserve">The proposals </w:t>
      </w:r>
      <w:r>
        <w:t xml:space="preserve">in part 3 of this report </w:t>
      </w:r>
      <w:r w:rsidR="00D72689">
        <w:t xml:space="preserve">are made </w:t>
      </w:r>
      <w:proofErr w:type="gramStart"/>
      <w:r w:rsidR="00D72689">
        <w:t>on the basis of</w:t>
      </w:r>
      <w:proofErr w:type="gramEnd"/>
      <w:r w:rsidR="00D72689">
        <w:t xml:space="preserve"> </w:t>
      </w:r>
      <w:r w:rsidR="00D72689" w:rsidRPr="006F6363">
        <w:t>INF.</w:t>
      </w:r>
      <w:r w:rsidR="003679BC">
        <w:t>12</w:t>
      </w:r>
      <w:r w:rsidR="00B77001">
        <w:t>.</w:t>
      </w:r>
    </w:p>
    <w:p w14:paraId="2048EC9F" w14:textId="4284F2A8" w:rsidR="00193421" w:rsidRDefault="00504FF8" w:rsidP="00E11BB2">
      <w:pPr>
        <w:pStyle w:val="SingleTxtG"/>
      </w:pPr>
      <w:r>
        <w:t>2</w:t>
      </w:r>
      <w:r w:rsidR="00193421">
        <w:t>.2</w:t>
      </w:r>
      <w:r w:rsidR="00D42FE3">
        <w:t>.</w:t>
      </w:r>
      <w:r w:rsidR="00193421">
        <w:tab/>
      </w:r>
      <w:r w:rsidR="00B77001">
        <w:t xml:space="preserve">One </w:t>
      </w:r>
      <w:r w:rsidR="00A521B8">
        <w:t xml:space="preserve">standard </w:t>
      </w:r>
      <w:r w:rsidR="00B77001">
        <w:t>new</w:t>
      </w:r>
      <w:r w:rsidR="00A521B8">
        <w:t xml:space="preserve"> to RID/ADR</w:t>
      </w:r>
      <w:r w:rsidR="00B77001">
        <w:t xml:space="preserve"> and </w:t>
      </w:r>
      <w:r w:rsidR="0009259A">
        <w:t>six</w:t>
      </w:r>
      <w:r w:rsidR="00B77001">
        <w:t xml:space="preserve"> re</w:t>
      </w:r>
      <w:r w:rsidR="00414277">
        <w:t>placement</w:t>
      </w:r>
      <w:r w:rsidR="00B77001">
        <w:t xml:space="preserve"> standards are proposed</w:t>
      </w:r>
      <w:r w:rsidR="00955410">
        <w:t xml:space="preserve"> for referencing</w:t>
      </w:r>
      <w:r w:rsidR="00B77001">
        <w:t>.</w:t>
      </w:r>
    </w:p>
    <w:p w14:paraId="176C1D4E" w14:textId="6C0EE20B" w:rsidR="0094444F" w:rsidRPr="00556C04" w:rsidRDefault="00504FF8" w:rsidP="00193421">
      <w:pPr>
        <w:pStyle w:val="SingleTxtG"/>
      </w:pPr>
      <w:r>
        <w:t>2</w:t>
      </w:r>
      <w:r w:rsidR="0094444F">
        <w:t>.</w:t>
      </w:r>
      <w:r w:rsidR="00E11BB2">
        <w:t>3</w:t>
      </w:r>
      <w:r w:rsidR="00D42FE3">
        <w:t>.</w:t>
      </w:r>
      <w:r w:rsidR="0094444F">
        <w:tab/>
      </w:r>
      <w:r w:rsidR="0009259A">
        <w:t xml:space="preserve">The Working Group agreed with the draft amendments for the text preceding the standards tables and asked that these proposals be sent to the Joint Meeting although they could not be </w:t>
      </w:r>
      <w:r w:rsidR="00414277">
        <w:t xml:space="preserve">submitted as </w:t>
      </w:r>
      <w:r w:rsidR="0009259A">
        <w:t>an official paper at this meeting</w:t>
      </w:r>
      <w:r w:rsidR="00E11BB2">
        <w:t>.</w:t>
      </w:r>
      <w:r w:rsidR="003679BC">
        <w:t xml:space="preserve"> The proposed text changes can be found in INF.13.</w:t>
      </w:r>
    </w:p>
    <w:p w14:paraId="419EBF4A" w14:textId="247AF599" w:rsidR="00913504" w:rsidRDefault="00504FF8" w:rsidP="00614D10">
      <w:pPr>
        <w:pStyle w:val="SingleTxtG"/>
      </w:pPr>
      <w:r>
        <w:t>2</w:t>
      </w:r>
      <w:r w:rsidR="00045C95" w:rsidRPr="00ED7C8C">
        <w:t>.</w:t>
      </w:r>
      <w:r w:rsidR="00E11BB2">
        <w:t>4</w:t>
      </w:r>
      <w:r w:rsidR="00D42FE3">
        <w:t>.</w:t>
      </w:r>
      <w:r w:rsidR="00045C95" w:rsidRPr="00ED7C8C">
        <w:tab/>
      </w:r>
      <w:r>
        <w:t xml:space="preserve">The Working Group was pleased to learn that </w:t>
      </w:r>
      <w:r w:rsidR="00ED0C27">
        <w:t xml:space="preserve">document </w:t>
      </w:r>
      <w:r w:rsidR="00A92F96">
        <w:t>ECE/TRANS/WP.15/AC.1/2021</w:t>
      </w:r>
      <w:r w:rsidR="007A4384">
        <w:t>/</w:t>
      </w:r>
      <w:r>
        <w:t>41 (France)</w:t>
      </w:r>
      <w:r w:rsidR="007A4384">
        <w:t xml:space="preserve"> </w:t>
      </w:r>
      <w:r>
        <w:t>had already been brought to the attention of the Chair of ISO/TC52/SC3, this being the committee responsible for ISO 11118:2015 +A1:2020. Furthermore, th</w:t>
      </w:r>
      <w:r w:rsidR="00ED0C27">
        <w:t>is</w:t>
      </w:r>
      <w:r>
        <w:t xml:space="preserve"> </w:t>
      </w:r>
      <w:r w:rsidR="00ED0C27">
        <w:t>document</w:t>
      </w:r>
      <w:r>
        <w:t xml:space="preserve"> had been added to the agenda of the plenary meeting </w:t>
      </w:r>
      <w:r w:rsidR="00A521B8">
        <w:t xml:space="preserve">of this committee to be held </w:t>
      </w:r>
      <w:r w:rsidR="00C86B1A">
        <w:t>in October.</w:t>
      </w:r>
      <w:r w:rsidR="00414277">
        <w:t xml:space="preserve"> It is hoped to establish a dialogue between the French originators of these comment</w:t>
      </w:r>
      <w:r w:rsidR="00ED0C27">
        <w:t>s</w:t>
      </w:r>
      <w:r w:rsidR="00414277">
        <w:t xml:space="preserve"> and the experts of ISO/TC58/SC3.</w:t>
      </w:r>
    </w:p>
    <w:p w14:paraId="0943DDFA" w14:textId="0E6E0D4C" w:rsidR="00614D10" w:rsidRDefault="001D02DC" w:rsidP="00614D10">
      <w:pPr>
        <w:pStyle w:val="SingleTxtG"/>
      </w:pPr>
      <w:r>
        <w:t>2</w:t>
      </w:r>
      <w:r w:rsidR="00297AC5">
        <w:t>.5</w:t>
      </w:r>
      <w:r w:rsidR="00A92CB8">
        <w:t>.</w:t>
      </w:r>
      <w:r w:rsidR="00297AC5">
        <w:tab/>
      </w:r>
      <w:r>
        <w:t>Only</w:t>
      </w:r>
      <w:r w:rsidR="00504FF8">
        <w:t xml:space="preserve"> one</w:t>
      </w:r>
      <w:r w:rsidR="00297AC5">
        <w:t xml:space="preserve"> general purpose standard </w:t>
      </w:r>
      <w:r>
        <w:t>was</w:t>
      </w:r>
      <w:r w:rsidR="00297AC5">
        <w:t xml:space="preserve"> </w:t>
      </w:r>
      <w:r>
        <w:t>notified this session</w:t>
      </w:r>
      <w:r w:rsidR="00414277">
        <w:t xml:space="preserve"> (</w:t>
      </w:r>
      <w:proofErr w:type="spellStart"/>
      <w:r w:rsidR="00414277">
        <w:t>prEN</w:t>
      </w:r>
      <w:proofErr w:type="spellEnd"/>
      <w:r w:rsidR="00414277">
        <w:t xml:space="preserve"> 590, used in the </w:t>
      </w:r>
      <w:r w:rsidR="00ED0C27">
        <w:rPr>
          <w:rFonts w:asciiTheme="majorBidi" w:hAnsiTheme="majorBidi" w:cstheme="majorBidi"/>
        </w:rPr>
        <w:t>Proper Shipping Name</w:t>
      </w:r>
      <w:r w:rsidR="00414277">
        <w:t xml:space="preserve"> of UN 1202 Diesel Fuel</w:t>
      </w:r>
      <w:r w:rsidR="00ED0C27">
        <w:t xml:space="preserve"> and in the definition of FL vehicle in Chapter 9.1 of ADR</w:t>
      </w:r>
      <w:r w:rsidR="00414277">
        <w:t>)</w:t>
      </w:r>
      <w:r>
        <w:t>, but since it is still at the enquiry stage, the Joint Meeting does not need to make a decision at this time</w:t>
      </w:r>
      <w:r w:rsidR="0061645F">
        <w:t>.</w:t>
      </w:r>
    </w:p>
    <w:p w14:paraId="764735E0" w14:textId="02C6D9CC" w:rsidR="0061645F" w:rsidRPr="0061645F" w:rsidRDefault="00243FA7" w:rsidP="00243FA7">
      <w:pPr>
        <w:pStyle w:val="HChG"/>
      </w:pPr>
      <w:r>
        <w:tab/>
      </w:r>
      <w:r>
        <w:tab/>
      </w:r>
      <w:r w:rsidR="0061645F" w:rsidRPr="0061645F">
        <w:t>Proposals</w:t>
      </w:r>
    </w:p>
    <w:p w14:paraId="0554AD80" w14:textId="0DB5525D" w:rsidR="00193421" w:rsidRDefault="00A521B8" w:rsidP="00614D10">
      <w:pPr>
        <w:pStyle w:val="SingleTxtG"/>
        <w:rPr>
          <w:b/>
        </w:rPr>
      </w:pPr>
      <w:r>
        <w:rPr>
          <w:b/>
        </w:rPr>
        <w:t>3</w:t>
      </w:r>
      <w:r w:rsidR="00193421">
        <w:rPr>
          <w:b/>
        </w:rPr>
        <w:t>.</w:t>
      </w:r>
      <w:r w:rsidR="00193421">
        <w:rPr>
          <w:b/>
        </w:rPr>
        <w:tab/>
      </w:r>
      <w:r w:rsidR="00193421" w:rsidRPr="00614D10">
        <w:rPr>
          <w:b/>
          <w:bCs/>
        </w:rPr>
        <w:t>Proposed</w:t>
      </w:r>
      <w:r w:rsidR="00193421">
        <w:rPr>
          <w:b/>
        </w:rPr>
        <w:t xml:space="preserve"> </w:t>
      </w:r>
      <w:r w:rsidR="00A95E35">
        <w:rPr>
          <w:b/>
        </w:rPr>
        <w:t>additions</w:t>
      </w:r>
      <w:r w:rsidR="00193421">
        <w:rPr>
          <w:b/>
        </w:rPr>
        <w:t xml:space="preserve"> to the l</w:t>
      </w:r>
      <w:r w:rsidR="00193421" w:rsidRPr="00E33565">
        <w:rPr>
          <w:b/>
        </w:rPr>
        <w:t>ist of standards for reference in RID/ADR 202</w:t>
      </w:r>
      <w:r w:rsidR="00E11BB2">
        <w:rPr>
          <w:b/>
        </w:rPr>
        <w:t>3</w:t>
      </w:r>
    </w:p>
    <w:p w14:paraId="01EE6300" w14:textId="324048E9" w:rsidR="00301BE1" w:rsidRDefault="00301BE1" w:rsidP="008B4C17">
      <w:pPr>
        <w:tabs>
          <w:tab w:val="left" w:pos="426"/>
        </w:tabs>
        <w:spacing w:before="120" w:after="120"/>
        <w:ind w:left="1134" w:right="1134"/>
        <w:rPr>
          <w:b/>
          <w:bCs/>
          <w:u w:val="single"/>
        </w:rPr>
      </w:pPr>
      <w:r>
        <w:rPr>
          <w:b/>
          <w:bCs/>
        </w:rPr>
        <w:t>3</w:t>
      </w:r>
      <w:r w:rsidR="0094444F" w:rsidRPr="00614D10">
        <w:rPr>
          <w:b/>
          <w:bCs/>
        </w:rPr>
        <w:t>.</w:t>
      </w:r>
      <w:r w:rsidR="00377A83" w:rsidRPr="00614D10">
        <w:rPr>
          <w:b/>
          <w:bCs/>
        </w:rPr>
        <w:t>1</w:t>
      </w:r>
      <w:r w:rsidR="0094444F" w:rsidRPr="00614D10">
        <w:rPr>
          <w:b/>
          <w:bCs/>
        </w:rPr>
        <w:t>.</w:t>
      </w:r>
      <w:r w:rsidR="0094444F" w:rsidRPr="00614D10">
        <w:rPr>
          <w:b/>
          <w:bCs/>
        </w:rPr>
        <w:tab/>
      </w:r>
      <w:r w:rsidR="0094444F" w:rsidRPr="00E33565">
        <w:rPr>
          <w:b/>
          <w:bCs/>
          <w:u w:val="single"/>
        </w:rPr>
        <w:t xml:space="preserve">Draft amendments relating to standard </w:t>
      </w:r>
      <w:r>
        <w:rPr>
          <w:b/>
          <w:bCs/>
          <w:u w:val="single"/>
        </w:rPr>
        <w:t>EN 1439:2022</w:t>
      </w:r>
    </w:p>
    <w:p w14:paraId="27F12250" w14:textId="73629FD4" w:rsidR="008B4C17" w:rsidRPr="008B4C17" w:rsidRDefault="008B4C17" w:rsidP="008B4C17">
      <w:pPr>
        <w:tabs>
          <w:tab w:val="left" w:pos="426"/>
        </w:tabs>
        <w:spacing w:before="120" w:after="120"/>
        <w:ind w:left="1134" w:right="1134"/>
        <w:rPr>
          <w:bCs/>
        </w:rPr>
      </w:pPr>
      <w:r>
        <w:rPr>
          <w:bCs/>
        </w:rPr>
        <w:t>4.1.4.1 P200 (11)</w:t>
      </w:r>
      <w:r>
        <w:rPr>
          <w:bCs/>
        </w:rPr>
        <w:tab/>
      </w:r>
      <w:r w:rsidR="00B62086">
        <w:rPr>
          <w:bCs/>
        </w:rPr>
        <w:t>R</w:t>
      </w:r>
      <w:r>
        <w:rPr>
          <w:bCs/>
        </w:rPr>
        <w:t xml:space="preserve">eplace the reference to “EN 1439:2017  </w:t>
      </w:r>
      <w:r w:rsidRPr="008B4C17">
        <w:rPr>
          <w:bCs/>
        </w:rPr>
        <w:t>LPG equipment and accessories - Procedure for checking LPG cylinders before, during and after filling</w:t>
      </w:r>
      <w:r>
        <w:rPr>
          <w:bCs/>
        </w:rPr>
        <w:t xml:space="preserve">” by “EN 1439:2022 </w:t>
      </w:r>
      <w:r w:rsidRPr="008B4C17">
        <w:rPr>
          <w:bCs/>
          <w:iCs/>
        </w:rPr>
        <w:t>LPG equipment and accessories - Procedure for checking transportable refillable LPG cylinders before, during and after filling</w:t>
      </w:r>
      <w:r>
        <w:rPr>
          <w:bCs/>
          <w:iCs/>
        </w:rPr>
        <w:t>”</w:t>
      </w:r>
    </w:p>
    <w:p w14:paraId="5E95B712" w14:textId="56650CC6" w:rsidR="008B4C17" w:rsidRDefault="008B4C17" w:rsidP="008B4C17">
      <w:pPr>
        <w:tabs>
          <w:tab w:val="left" w:pos="426"/>
        </w:tabs>
        <w:spacing w:before="120" w:after="120"/>
        <w:ind w:left="1134" w:right="1134"/>
        <w:rPr>
          <w:bCs/>
        </w:rPr>
      </w:pPr>
      <w:r w:rsidRPr="008B4C17">
        <w:rPr>
          <w:bCs/>
        </w:rPr>
        <w:t>4.1.4.1</w:t>
      </w:r>
      <w:r>
        <w:rPr>
          <w:bCs/>
        </w:rPr>
        <w:t xml:space="preserve"> P200 (12), 2.1</w:t>
      </w:r>
      <w:r>
        <w:rPr>
          <w:bCs/>
        </w:rPr>
        <w:tab/>
      </w:r>
      <w:r w:rsidR="00B62086">
        <w:rPr>
          <w:bCs/>
        </w:rPr>
        <w:t>Replace “EN 1439:2017” by “EN 1439:2022 (or until 31 December 2024, EN 1439:2017)”.</w:t>
      </w:r>
    </w:p>
    <w:p w14:paraId="7DA7E7C2" w14:textId="77777777" w:rsidR="004E24F3" w:rsidRPr="008B4C17" w:rsidRDefault="004E24F3" w:rsidP="008B4C17">
      <w:pPr>
        <w:tabs>
          <w:tab w:val="left" w:pos="426"/>
        </w:tabs>
        <w:spacing w:before="120" w:after="120"/>
        <w:ind w:left="1134" w:right="1134"/>
        <w:rPr>
          <w:bCs/>
        </w:rPr>
      </w:pPr>
    </w:p>
    <w:p w14:paraId="338537CE" w14:textId="78BD8105" w:rsidR="0094444F" w:rsidRDefault="007C0791" w:rsidP="0094444F">
      <w:pPr>
        <w:tabs>
          <w:tab w:val="left" w:pos="426"/>
        </w:tabs>
        <w:spacing w:before="120" w:after="120"/>
        <w:ind w:left="1134"/>
        <w:rPr>
          <w:b/>
          <w:bCs/>
          <w:u w:val="single"/>
        </w:rPr>
      </w:pPr>
      <w:r>
        <w:rPr>
          <w:b/>
          <w:bCs/>
          <w:u w:val="single"/>
        </w:rPr>
        <w:t>3</w:t>
      </w:r>
      <w:r w:rsidR="00FC33D6">
        <w:rPr>
          <w:b/>
          <w:bCs/>
          <w:u w:val="single"/>
        </w:rPr>
        <w:t>.2</w:t>
      </w:r>
      <w:r w:rsidR="00FC33D6">
        <w:rPr>
          <w:b/>
          <w:bCs/>
          <w:u w:val="single"/>
        </w:rPr>
        <w:tab/>
        <w:t xml:space="preserve">Draft amendment relating to standard </w:t>
      </w:r>
      <w:r w:rsidR="0094444F" w:rsidRPr="00E33565">
        <w:rPr>
          <w:b/>
          <w:bCs/>
          <w:u w:val="single"/>
        </w:rPr>
        <w:t xml:space="preserve">EN </w:t>
      </w:r>
      <w:r w:rsidR="00FC33D6">
        <w:rPr>
          <w:b/>
          <w:bCs/>
          <w:u w:val="single"/>
        </w:rPr>
        <w:t xml:space="preserve">ISO </w:t>
      </w:r>
      <w:r w:rsidR="00C86B1A">
        <w:rPr>
          <w:b/>
          <w:bCs/>
          <w:u w:val="single"/>
        </w:rPr>
        <w:t>1</w:t>
      </w:r>
      <w:r w:rsidR="00B62086">
        <w:rPr>
          <w:b/>
          <w:bCs/>
          <w:u w:val="single"/>
        </w:rPr>
        <w:t>42</w:t>
      </w:r>
      <w:r w:rsidR="00FC33D6">
        <w:rPr>
          <w:b/>
          <w:bCs/>
          <w:u w:val="single"/>
        </w:rPr>
        <w:t>4</w:t>
      </w:r>
      <w:r w:rsidR="00B62086">
        <w:rPr>
          <w:b/>
          <w:bCs/>
          <w:u w:val="single"/>
        </w:rPr>
        <w:t>5</w:t>
      </w:r>
      <w:r w:rsidR="00C86B1A">
        <w:rPr>
          <w:b/>
          <w:bCs/>
          <w:u w:val="single"/>
        </w:rPr>
        <w:t>:202</w:t>
      </w:r>
      <w:r w:rsidR="00B62086">
        <w:rPr>
          <w:b/>
          <w:bCs/>
          <w:u w:val="single"/>
        </w:rPr>
        <w:t>1</w:t>
      </w:r>
    </w:p>
    <w:p w14:paraId="6129E47E" w14:textId="78713D3C" w:rsidR="00301BE1" w:rsidRDefault="00301BE1" w:rsidP="0094444F">
      <w:pPr>
        <w:tabs>
          <w:tab w:val="left" w:pos="426"/>
        </w:tabs>
        <w:spacing w:before="120" w:after="120"/>
        <w:ind w:left="1134"/>
        <w:rPr>
          <w:bCs/>
        </w:rPr>
      </w:pPr>
      <w:r w:rsidRPr="00301BE1">
        <w:rPr>
          <w:bCs/>
        </w:rPr>
        <w:t>6.2.4.1</w:t>
      </w:r>
      <w:r>
        <w:rPr>
          <w:bCs/>
        </w:rPr>
        <w:t xml:space="preserve"> Amend the table</w:t>
      </w:r>
      <w:r w:rsidR="00FC33D6">
        <w:rPr>
          <w:bCs/>
        </w:rPr>
        <w:t xml:space="preserve"> “</w:t>
      </w:r>
      <w:r w:rsidR="00FC33D6">
        <w:rPr>
          <w:bCs/>
          <w:i/>
        </w:rPr>
        <w:t>for closures”</w:t>
      </w:r>
      <w:r w:rsidR="00FC33D6" w:rsidRPr="00FC33D6">
        <w:rPr>
          <w:bCs/>
        </w:rPr>
        <w:t xml:space="preserve"> as follows</w:t>
      </w:r>
      <w:r w:rsidR="00FC33D6">
        <w:rPr>
          <w:bCs/>
        </w:rPr>
        <w:t>:</w:t>
      </w:r>
    </w:p>
    <w:p w14:paraId="2B47164B" w14:textId="22C4CE32" w:rsidR="00FC33D6" w:rsidRPr="00FC33D6" w:rsidRDefault="00FC33D6" w:rsidP="00A6451D">
      <w:pPr>
        <w:pStyle w:val="Paragraphedeliste"/>
        <w:numPr>
          <w:ilvl w:val="0"/>
          <w:numId w:val="36"/>
        </w:numPr>
        <w:tabs>
          <w:tab w:val="left" w:pos="426"/>
        </w:tabs>
        <w:spacing w:before="120" w:after="120"/>
        <w:ind w:right="1134"/>
        <w:rPr>
          <w:bCs/>
        </w:rPr>
      </w:pPr>
      <w:r>
        <w:rPr>
          <w:bCs/>
        </w:rPr>
        <w:lastRenderedPageBreak/>
        <w:t>For EN ISO 14245:2019</w:t>
      </w:r>
      <w:r w:rsidR="009F247F">
        <w:rPr>
          <w:bCs/>
        </w:rPr>
        <w:t xml:space="preserve"> in column (4) replace “Until further notice” by “Between 1 January 2021 and 31 December 2024”. After the row for EN ISO 14245:2019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C86B1A" w:rsidRPr="002E3365" w14:paraId="1450EC76" w14:textId="77777777" w:rsidTr="003679BC">
        <w:trPr>
          <w:cantSplit/>
        </w:trPr>
        <w:tc>
          <w:tcPr>
            <w:tcW w:w="1949" w:type="dxa"/>
          </w:tcPr>
          <w:p w14:paraId="55797374" w14:textId="19CAB33C" w:rsidR="00C86B1A" w:rsidRPr="002E3365" w:rsidRDefault="00C86B1A" w:rsidP="00E56B49">
            <w:pPr>
              <w:widowControl w:val="0"/>
              <w:spacing w:before="60" w:after="60"/>
            </w:pPr>
            <w:r w:rsidRPr="002E3365">
              <w:t xml:space="preserve">EN </w:t>
            </w:r>
            <w:r w:rsidR="00FC33D6">
              <w:t>ISO 14245</w:t>
            </w:r>
            <w:r w:rsidRPr="002E3365">
              <w:t>:</w:t>
            </w:r>
            <w:r>
              <w:t>202</w:t>
            </w:r>
            <w:r w:rsidR="00FC33D6">
              <w:t>1</w:t>
            </w:r>
          </w:p>
        </w:tc>
        <w:tc>
          <w:tcPr>
            <w:tcW w:w="3118" w:type="dxa"/>
          </w:tcPr>
          <w:p w14:paraId="2F4F17A9" w14:textId="06F4CF47" w:rsidR="00C86B1A" w:rsidRPr="00301BE1" w:rsidRDefault="00FC33D6" w:rsidP="00E56B49">
            <w:pPr>
              <w:widowControl w:val="0"/>
              <w:spacing w:before="60" w:after="120"/>
            </w:pPr>
            <w:r>
              <w:rPr>
                <w:iCs/>
              </w:rPr>
              <w:t xml:space="preserve">Gas Cylinders – Specifications and testing of LPG cylinder valves – Self-closing </w:t>
            </w:r>
          </w:p>
        </w:tc>
        <w:tc>
          <w:tcPr>
            <w:tcW w:w="1134" w:type="dxa"/>
          </w:tcPr>
          <w:p w14:paraId="084B852A" w14:textId="77777777" w:rsidR="00C86B1A" w:rsidRPr="002E3365" w:rsidRDefault="00C86B1A" w:rsidP="00E56B49">
            <w:pPr>
              <w:widowControl w:val="0"/>
              <w:spacing w:before="60" w:after="60"/>
            </w:pPr>
            <w:r w:rsidRPr="002E3365">
              <w:t>6.2.3.1 and 6.2.3.3</w:t>
            </w:r>
          </w:p>
        </w:tc>
        <w:tc>
          <w:tcPr>
            <w:tcW w:w="851" w:type="dxa"/>
          </w:tcPr>
          <w:p w14:paraId="54405CC5" w14:textId="77777777" w:rsidR="00C86B1A" w:rsidRPr="002E3365" w:rsidRDefault="00C86B1A" w:rsidP="00E56B49">
            <w:pPr>
              <w:widowControl w:val="0"/>
              <w:spacing w:before="60" w:after="60"/>
            </w:pPr>
            <w:r w:rsidRPr="002E3365">
              <w:t>Until further notice</w:t>
            </w:r>
          </w:p>
        </w:tc>
        <w:tc>
          <w:tcPr>
            <w:tcW w:w="425" w:type="dxa"/>
          </w:tcPr>
          <w:p w14:paraId="4433DA77" w14:textId="77777777" w:rsidR="00C86B1A" w:rsidRPr="002E3365" w:rsidRDefault="00C86B1A" w:rsidP="00E56B49">
            <w:pPr>
              <w:widowControl w:val="0"/>
              <w:spacing w:before="60" w:after="60"/>
            </w:pPr>
          </w:p>
        </w:tc>
      </w:tr>
    </w:tbl>
    <w:p w14:paraId="579B37EE" w14:textId="77777777" w:rsidR="00414277" w:rsidRDefault="00414277" w:rsidP="00EA5CAB">
      <w:pPr>
        <w:tabs>
          <w:tab w:val="left" w:pos="426"/>
        </w:tabs>
        <w:spacing w:after="120"/>
        <w:ind w:left="1134"/>
        <w:rPr>
          <w:b/>
          <w:bCs/>
        </w:rPr>
      </w:pPr>
    </w:p>
    <w:p w14:paraId="3454EEEA" w14:textId="2451223D" w:rsidR="00193421" w:rsidRDefault="007C0791" w:rsidP="00193421">
      <w:pPr>
        <w:tabs>
          <w:tab w:val="left" w:pos="426"/>
        </w:tabs>
        <w:spacing w:before="120" w:after="120"/>
        <w:ind w:left="1134"/>
        <w:rPr>
          <w:b/>
          <w:bCs/>
          <w:u w:val="single"/>
        </w:rPr>
      </w:pPr>
      <w:r>
        <w:rPr>
          <w:b/>
          <w:bCs/>
        </w:rPr>
        <w:t>3</w:t>
      </w:r>
      <w:r w:rsidR="00193421" w:rsidRPr="00614D10">
        <w:rPr>
          <w:b/>
          <w:bCs/>
        </w:rPr>
        <w:t>.</w:t>
      </w:r>
      <w:r w:rsidR="009F247F">
        <w:rPr>
          <w:b/>
          <w:bCs/>
        </w:rPr>
        <w:t>3</w:t>
      </w:r>
      <w:r w:rsidR="00193421" w:rsidRPr="00614D10">
        <w:rPr>
          <w:b/>
          <w:bCs/>
        </w:rPr>
        <w:t>.</w:t>
      </w:r>
      <w:r w:rsidR="00193421" w:rsidRPr="00614D10">
        <w:rPr>
          <w:b/>
          <w:bCs/>
        </w:rPr>
        <w:tab/>
      </w:r>
      <w:r w:rsidR="00193421" w:rsidRPr="00E33565">
        <w:rPr>
          <w:b/>
          <w:bCs/>
          <w:u w:val="single"/>
        </w:rPr>
        <w:t xml:space="preserve">Draft amendments relating to standard EN </w:t>
      </w:r>
      <w:r w:rsidR="009F247F">
        <w:rPr>
          <w:b/>
          <w:bCs/>
          <w:u w:val="single"/>
        </w:rPr>
        <w:t xml:space="preserve">ISO </w:t>
      </w:r>
      <w:r w:rsidR="0091597A">
        <w:rPr>
          <w:b/>
          <w:bCs/>
          <w:u w:val="single"/>
        </w:rPr>
        <w:t>1</w:t>
      </w:r>
      <w:r w:rsidR="009F247F">
        <w:rPr>
          <w:b/>
          <w:bCs/>
          <w:u w:val="single"/>
        </w:rPr>
        <w:t>5995</w:t>
      </w:r>
      <w:r w:rsidR="0091597A">
        <w:rPr>
          <w:b/>
          <w:bCs/>
          <w:u w:val="single"/>
        </w:rPr>
        <w:t>:2019</w:t>
      </w:r>
    </w:p>
    <w:p w14:paraId="395E699D" w14:textId="231E3170" w:rsidR="00193421" w:rsidRPr="00E33565" w:rsidRDefault="00193421" w:rsidP="00CC2CB9">
      <w:pPr>
        <w:pStyle w:val="SingleTxtG"/>
      </w:pPr>
      <w:r w:rsidRPr="00E33565">
        <w:t>6.2.4.1</w:t>
      </w:r>
      <w:r>
        <w:tab/>
      </w:r>
      <w:r>
        <w:tab/>
      </w:r>
      <w:r w:rsidRPr="00E33565">
        <w:t>Amend the Table under “</w:t>
      </w:r>
      <w:r w:rsidR="0091597A">
        <w:t>for closures</w:t>
      </w:r>
      <w:r w:rsidRPr="00E33565">
        <w:t xml:space="preserve">” </w:t>
      </w:r>
      <w:r w:rsidR="00F9096A">
        <w:t>as follows:</w:t>
      </w:r>
    </w:p>
    <w:p w14:paraId="5AE48F01" w14:textId="2F00CEE3" w:rsidR="009F247F" w:rsidRPr="00FC33D6" w:rsidRDefault="009F247F" w:rsidP="009F247F">
      <w:pPr>
        <w:pStyle w:val="Paragraphedeliste"/>
        <w:numPr>
          <w:ilvl w:val="0"/>
          <w:numId w:val="36"/>
        </w:numPr>
        <w:tabs>
          <w:tab w:val="left" w:pos="426"/>
        </w:tabs>
        <w:spacing w:before="120" w:after="120"/>
        <w:rPr>
          <w:bCs/>
        </w:rPr>
      </w:pPr>
      <w:r>
        <w:rPr>
          <w:bCs/>
        </w:rPr>
        <w:t>For EN ISO 15995:2019 in column (4) replace “Until further notice” by “Between 1 January 2021 and 31 December 2024”. After the row for EN ISO 15995:2019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8330FC" w:rsidRPr="002E3365" w14:paraId="2AC4956A" w14:textId="77777777" w:rsidTr="003679BC">
        <w:trPr>
          <w:cantSplit/>
        </w:trPr>
        <w:tc>
          <w:tcPr>
            <w:tcW w:w="1949" w:type="dxa"/>
          </w:tcPr>
          <w:p w14:paraId="00B1636B" w14:textId="68205070" w:rsidR="008330FC" w:rsidRPr="002E3365" w:rsidRDefault="008330FC" w:rsidP="00EB43C8">
            <w:pPr>
              <w:widowControl w:val="0"/>
              <w:spacing w:before="60" w:after="60"/>
            </w:pPr>
            <w:r w:rsidRPr="002E3365">
              <w:t>EN 1</w:t>
            </w:r>
            <w:r w:rsidR="009F247F">
              <w:t>5995</w:t>
            </w:r>
            <w:r w:rsidRPr="002E3365">
              <w:t>:20</w:t>
            </w:r>
            <w:r w:rsidR="009F247F">
              <w:t>21</w:t>
            </w:r>
            <w:r w:rsidRPr="002E3365">
              <w:t xml:space="preserve"> </w:t>
            </w:r>
          </w:p>
        </w:tc>
        <w:tc>
          <w:tcPr>
            <w:tcW w:w="3118" w:type="dxa"/>
          </w:tcPr>
          <w:p w14:paraId="303FAC01" w14:textId="6483EAD0" w:rsidR="008330FC" w:rsidRPr="002E3365" w:rsidRDefault="009F247F" w:rsidP="00EB43C8">
            <w:pPr>
              <w:widowControl w:val="0"/>
              <w:spacing w:before="60" w:after="120"/>
            </w:pPr>
            <w:r>
              <w:rPr>
                <w:iCs/>
              </w:rPr>
              <w:t>Gas Cylinders – Specifications and testing of LPG cylinder valves – Manually operated</w:t>
            </w:r>
          </w:p>
        </w:tc>
        <w:tc>
          <w:tcPr>
            <w:tcW w:w="1134" w:type="dxa"/>
          </w:tcPr>
          <w:p w14:paraId="15B67BAF" w14:textId="77777777" w:rsidR="008330FC" w:rsidRPr="002E3365" w:rsidRDefault="008330FC" w:rsidP="00EB43C8">
            <w:pPr>
              <w:widowControl w:val="0"/>
              <w:spacing w:before="60" w:after="60"/>
            </w:pPr>
            <w:r w:rsidRPr="002E3365">
              <w:t>6.2.3.1 and 6.2.3.3</w:t>
            </w:r>
          </w:p>
        </w:tc>
        <w:tc>
          <w:tcPr>
            <w:tcW w:w="851" w:type="dxa"/>
          </w:tcPr>
          <w:p w14:paraId="14B394F9" w14:textId="77777777" w:rsidR="008330FC" w:rsidRPr="002E3365" w:rsidRDefault="008330FC" w:rsidP="00EB43C8">
            <w:pPr>
              <w:widowControl w:val="0"/>
              <w:spacing w:before="60" w:after="60"/>
            </w:pPr>
            <w:r w:rsidRPr="002E3365">
              <w:t>Until further notice</w:t>
            </w:r>
          </w:p>
        </w:tc>
        <w:tc>
          <w:tcPr>
            <w:tcW w:w="425" w:type="dxa"/>
          </w:tcPr>
          <w:p w14:paraId="4866CC9E" w14:textId="77777777" w:rsidR="008330FC" w:rsidRPr="002E3365" w:rsidRDefault="008330FC" w:rsidP="00EB43C8">
            <w:pPr>
              <w:widowControl w:val="0"/>
              <w:spacing w:before="60" w:after="60"/>
            </w:pPr>
          </w:p>
        </w:tc>
      </w:tr>
    </w:tbl>
    <w:p w14:paraId="2684E6DD" w14:textId="77777777" w:rsidR="00F5361D" w:rsidRPr="00EA5CAB" w:rsidRDefault="00F5361D" w:rsidP="00EA5CAB">
      <w:pPr>
        <w:tabs>
          <w:tab w:val="left" w:pos="426"/>
        </w:tabs>
        <w:spacing w:after="120"/>
        <w:ind w:left="1134"/>
        <w:rPr>
          <w:b/>
          <w:bCs/>
        </w:rPr>
      </w:pPr>
    </w:p>
    <w:p w14:paraId="4C2AB8DE" w14:textId="31038C8E" w:rsidR="0094444F" w:rsidRDefault="007C0791" w:rsidP="00F52987">
      <w:pPr>
        <w:pStyle w:val="Bullet1G"/>
        <w:spacing w:before="120"/>
        <w:ind w:left="1701" w:hanging="567"/>
      </w:pPr>
      <w:r>
        <w:rPr>
          <w:b/>
          <w:bCs/>
        </w:rPr>
        <w:t>3</w:t>
      </w:r>
      <w:r w:rsidR="0094444F" w:rsidRPr="00614D10">
        <w:rPr>
          <w:b/>
          <w:bCs/>
        </w:rPr>
        <w:t>.</w:t>
      </w:r>
      <w:r>
        <w:rPr>
          <w:b/>
          <w:bCs/>
        </w:rPr>
        <w:t>4</w:t>
      </w:r>
      <w:r w:rsidR="0094444F" w:rsidRPr="00614D10">
        <w:rPr>
          <w:b/>
          <w:bCs/>
        </w:rPr>
        <w:t>.</w:t>
      </w:r>
      <w:r w:rsidR="0094444F" w:rsidRPr="00614D10">
        <w:rPr>
          <w:b/>
          <w:bCs/>
        </w:rPr>
        <w:tab/>
      </w:r>
      <w:r w:rsidR="0094444F" w:rsidRPr="00E33565">
        <w:rPr>
          <w:b/>
          <w:bCs/>
          <w:u w:val="single"/>
        </w:rPr>
        <w:t xml:space="preserve">Draft amendments relating to standard EN </w:t>
      </w:r>
      <w:r w:rsidR="001361B9">
        <w:rPr>
          <w:b/>
          <w:bCs/>
          <w:u w:val="single"/>
        </w:rPr>
        <w:t>1</w:t>
      </w:r>
      <w:r w:rsidR="009F247F">
        <w:rPr>
          <w:b/>
          <w:bCs/>
          <w:u w:val="single"/>
        </w:rPr>
        <w:t>3</w:t>
      </w:r>
      <w:r w:rsidR="001361B9">
        <w:rPr>
          <w:b/>
          <w:bCs/>
          <w:u w:val="single"/>
        </w:rPr>
        <w:t>7</w:t>
      </w:r>
      <w:r w:rsidR="009F247F">
        <w:rPr>
          <w:b/>
          <w:bCs/>
          <w:u w:val="single"/>
        </w:rPr>
        <w:t>9</w:t>
      </w:r>
      <w:r w:rsidR="001361B9">
        <w:rPr>
          <w:b/>
          <w:bCs/>
          <w:u w:val="single"/>
        </w:rPr>
        <w:t>9:202</w:t>
      </w:r>
      <w:r w:rsidR="009F247F">
        <w:rPr>
          <w:b/>
          <w:bCs/>
          <w:u w:val="single"/>
        </w:rPr>
        <w:t>2</w:t>
      </w:r>
    </w:p>
    <w:p w14:paraId="1E02FFC8" w14:textId="1B176883" w:rsidR="0094444F" w:rsidRDefault="0094444F" w:rsidP="0094444F">
      <w:pPr>
        <w:pStyle w:val="SingleTxtG"/>
      </w:pPr>
      <w:r>
        <w:t>6.4.2.</w:t>
      </w:r>
      <w:r w:rsidR="001361B9">
        <w:t>1</w:t>
      </w:r>
      <w:r>
        <w:tab/>
      </w:r>
      <w:r>
        <w:tab/>
      </w:r>
      <w:r w:rsidR="00297AC5">
        <w:t xml:space="preserve">In the table “for </w:t>
      </w:r>
      <w:r w:rsidR="009F247F">
        <w:t>closures</w:t>
      </w:r>
      <w:r w:rsidR="00297AC5">
        <w:t>”, i</w:t>
      </w:r>
      <w:r w:rsidR="001361B9">
        <w:t>nsert the following new row after the row beginning EN 14638-3:2010 +A1:2012</w:t>
      </w:r>
      <w:r w:rsidR="006E5E16">
        <w:t xml:space="preserve"> (except the note in clause 3.11).</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1361B9" w:rsidRPr="00564F4E" w14:paraId="3E0C9EB9" w14:textId="77777777" w:rsidTr="0034572A">
        <w:tc>
          <w:tcPr>
            <w:tcW w:w="1524" w:type="dxa"/>
            <w:vAlign w:val="center"/>
          </w:tcPr>
          <w:p w14:paraId="40986EC9" w14:textId="4D0DAFBC" w:rsidR="001361B9" w:rsidRPr="00564F4E" w:rsidRDefault="001361B9" w:rsidP="006318E8">
            <w:pPr>
              <w:widowControl w:val="0"/>
              <w:spacing w:before="60" w:after="60"/>
            </w:pPr>
            <w:r w:rsidRPr="00F01354">
              <w:rPr>
                <w:bCs/>
              </w:rPr>
              <w:t>EN</w:t>
            </w:r>
            <w:r w:rsidR="0034572A">
              <w:rPr>
                <w:bCs/>
              </w:rPr>
              <w:t xml:space="preserve"> </w:t>
            </w:r>
            <w:r>
              <w:rPr>
                <w:bCs/>
              </w:rPr>
              <w:t>1</w:t>
            </w:r>
            <w:r w:rsidR="006318E8">
              <w:rPr>
                <w:bCs/>
              </w:rPr>
              <w:t>3</w:t>
            </w:r>
            <w:r>
              <w:rPr>
                <w:bCs/>
              </w:rPr>
              <w:t>7</w:t>
            </w:r>
            <w:r w:rsidR="006318E8">
              <w:rPr>
                <w:bCs/>
              </w:rPr>
              <w:t>9</w:t>
            </w:r>
            <w:r>
              <w:rPr>
                <w:bCs/>
              </w:rPr>
              <w:t>9:</w:t>
            </w:r>
            <w:r w:rsidRPr="00F01354">
              <w:rPr>
                <w:bCs/>
              </w:rPr>
              <w:t>20</w:t>
            </w:r>
            <w:r>
              <w:rPr>
                <w:bCs/>
              </w:rPr>
              <w:t>20</w:t>
            </w:r>
          </w:p>
        </w:tc>
        <w:tc>
          <w:tcPr>
            <w:tcW w:w="3543" w:type="dxa"/>
          </w:tcPr>
          <w:p w14:paraId="32DEE053" w14:textId="03C6F1C5" w:rsidR="001361B9" w:rsidRPr="00564F4E" w:rsidRDefault="006E5E16" w:rsidP="0009095F">
            <w:pPr>
              <w:widowControl w:val="0"/>
              <w:spacing w:before="60" w:after="120"/>
            </w:pPr>
            <w:r>
              <w:rPr>
                <w:bCs/>
              </w:rPr>
              <w:t>LPG equipment and accessories – Contents gauges for Liquefied Petroleum Gas (LPG) pressure vessels</w:t>
            </w:r>
          </w:p>
        </w:tc>
        <w:tc>
          <w:tcPr>
            <w:tcW w:w="1134" w:type="dxa"/>
            <w:vAlign w:val="center"/>
          </w:tcPr>
          <w:p w14:paraId="2B5098AF" w14:textId="32A1C179" w:rsidR="001361B9" w:rsidRPr="00564F4E" w:rsidRDefault="001361B9" w:rsidP="0009095F">
            <w:pPr>
              <w:widowControl w:val="0"/>
              <w:spacing w:before="60" w:after="60"/>
            </w:pPr>
            <w:r>
              <w:t>6.2.3</w:t>
            </w:r>
            <w:r w:rsidR="006E5E16">
              <w:t>.1</w:t>
            </w:r>
            <w:r w:rsidRPr="00564F4E">
              <w:t xml:space="preserve"> and 6.2.</w:t>
            </w:r>
            <w:r w:rsidR="006812D2">
              <w:t>3</w:t>
            </w:r>
            <w:r w:rsidR="006E5E16">
              <w:t>.3</w:t>
            </w:r>
          </w:p>
        </w:tc>
        <w:tc>
          <w:tcPr>
            <w:tcW w:w="851" w:type="dxa"/>
            <w:vAlign w:val="center"/>
          </w:tcPr>
          <w:p w14:paraId="4DFE44D2" w14:textId="77777777" w:rsidR="001361B9" w:rsidRPr="00564F4E" w:rsidRDefault="001361B9" w:rsidP="0009095F">
            <w:pPr>
              <w:widowControl w:val="0"/>
              <w:spacing w:before="60" w:after="60"/>
            </w:pPr>
            <w:r w:rsidRPr="00564F4E">
              <w:t>Until further notice</w:t>
            </w:r>
          </w:p>
        </w:tc>
        <w:tc>
          <w:tcPr>
            <w:tcW w:w="425" w:type="dxa"/>
            <w:vAlign w:val="center"/>
          </w:tcPr>
          <w:p w14:paraId="2EA2FE90" w14:textId="77777777" w:rsidR="001361B9" w:rsidRPr="00564F4E" w:rsidRDefault="001361B9" w:rsidP="0009095F">
            <w:pPr>
              <w:widowControl w:val="0"/>
              <w:spacing w:before="60" w:after="60"/>
            </w:pPr>
          </w:p>
        </w:tc>
      </w:tr>
    </w:tbl>
    <w:p w14:paraId="69EACBF2" w14:textId="4684C335" w:rsidR="006E5E16" w:rsidRPr="006E5E16" w:rsidRDefault="006E5E16" w:rsidP="000F1809">
      <w:pPr>
        <w:tabs>
          <w:tab w:val="left" w:pos="426"/>
        </w:tabs>
        <w:spacing w:before="120" w:after="120"/>
        <w:ind w:left="1134" w:right="1134"/>
        <w:jc w:val="both"/>
        <w:rPr>
          <w:bCs/>
        </w:rPr>
      </w:pPr>
      <w:r w:rsidRPr="006E5E16">
        <w:rPr>
          <w:bCs/>
        </w:rPr>
        <w:t>6.8.2.6.1</w:t>
      </w:r>
      <w:r>
        <w:rPr>
          <w:bCs/>
        </w:rPr>
        <w:tab/>
        <w:t xml:space="preserve">In the table “for equipment”, insert the following new row after the </w:t>
      </w:r>
      <w:r w:rsidR="000F1809">
        <w:rPr>
          <w:bCs/>
        </w:rPr>
        <w:t xml:space="preserve">last </w:t>
      </w:r>
      <w:r>
        <w:rPr>
          <w:bCs/>
        </w:rPr>
        <w:t xml:space="preserve">row beginning </w:t>
      </w:r>
      <w:r w:rsidR="000F1809">
        <w:rPr>
          <w:bCs/>
        </w:rPr>
        <w:t>EN 13175:2019 +A1:2020</w:t>
      </w:r>
      <w:r w:rsidR="00F9096A">
        <w:rPr>
          <w:bCs/>
        </w:rPr>
        <w:t>.</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0F1809" w:rsidRPr="007C0791" w14:paraId="4FBA0EE2" w14:textId="77777777" w:rsidTr="003679BC">
        <w:tc>
          <w:tcPr>
            <w:tcW w:w="1524" w:type="dxa"/>
            <w:vAlign w:val="center"/>
          </w:tcPr>
          <w:p w14:paraId="1EFA3E99" w14:textId="211B8DE6" w:rsidR="000F1809" w:rsidRPr="007C0791" w:rsidRDefault="000F1809" w:rsidP="006318E8">
            <w:pPr>
              <w:widowControl w:val="0"/>
              <w:spacing w:before="60" w:after="60"/>
              <w:rPr>
                <w:strike/>
              </w:rPr>
            </w:pPr>
            <w:r w:rsidRPr="00F01354">
              <w:rPr>
                <w:bCs/>
              </w:rPr>
              <w:t>EN</w:t>
            </w:r>
            <w:r>
              <w:rPr>
                <w:bCs/>
              </w:rPr>
              <w:t xml:space="preserve"> 1</w:t>
            </w:r>
            <w:r w:rsidR="006318E8">
              <w:rPr>
                <w:bCs/>
              </w:rPr>
              <w:t>3</w:t>
            </w:r>
            <w:r>
              <w:rPr>
                <w:bCs/>
              </w:rPr>
              <w:t>7</w:t>
            </w:r>
            <w:r w:rsidR="006318E8">
              <w:rPr>
                <w:bCs/>
              </w:rPr>
              <w:t>9</w:t>
            </w:r>
            <w:r>
              <w:rPr>
                <w:bCs/>
              </w:rPr>
              <w:t>9:</w:t>
            </w:r>
            <w:r w:rsidRPr="00F01354">
              <w:rPr>
                <w:bCs/>
              </w:rPr>
              <w:t>20</w:t>
            </w:r>
            <w:r>
              <w:rPr>
                <w:bCs/>
              </w:rPr>
              <w:t>20</w:t>
            </w:r>
          </w:p>
        </w:tc>
        <w:tc>
          <w:tcPr>
            <w:tcW w:w="3543" w:type="dxa"/>
          </w:tcPr>
          <w:p w14:paraId="014042A3" w14:textId="6E2DC350" w:rsidR="000F1809" w:rsidRPr="007C0791" w:rsidRDefault="000F1809" w:rsidP="000F1809">
            <w:pPr>
              <w:widowControl w:val="0"/>
              <w:spacing w:before="60" w:after="120"/>
              <w:rPr>
                <w:strike/>
              </w:rPr>
            </w:pPr>
            <w:r>
              <w:rPr>
                <w:bCs/>
              </w:rPr>
              <w:t>LPG equipment and accessories – Contents gauges for Liquefied Petroleum Gas (LPG) pressure vessels</w:t>
            </w:r>
          </w:p>
        </w:tc>
        <w:tc>
          <w:tcPr>
            <w:tcW w:w="1134" w:type="dxa"/>
            <w:vAlign w:val="center"/>
          </w:tcPr>
          <w:p w14:paraId="19490C88" w14:textId="3CA5F8A9" w:rsidR="000F1809" w:rsidRPr="006E5E16" w:rsidRDefault="000F1809" w:rsidP="000F1809">
            <w:pPr>
              <w:widowControl w:val="0"/>
              <w:spacing w:before="60" w:after="60"/>
            </w:pPr>
            <w:r>
              <w:t>6.8.2.2.1 and 6.8.2.2.11</w:t>
            </w:r>
          </w:p>
        </w:tc>
        <w:tc>
          <w:tcPr>
            <w:tcW w:w="851" w:type="dxa"/>
            <w:vAlign w:val="center"/>
          </w:tcPr>
          <w:p w14:paraId="2272826B" w14:textId="77777777" w:rsidR="000F1809" w:rsidRPr="006E5E16" w:rsidRDefault="000F1809" w:rsidP="000F1809">
            <w:pPr>
              <w:widowControl w:val="0"/>
              <w:spacing w:before="60" w:after="60"/>
            </w:pPr>
            <w:r w:rsidRPr="006E5E16">
              <w:t>Until further notice</w:t>
            </w:r>
          </w:p>
        </w:tc>
        <w:tc>
          <w:tcPr>
            <w:tcW w:w="425" w:type="dxa"/>
            <w:vAlign w:val="center"/>
          </w:tcPr>
          <w:p w14:paraId="1E020D04" w14:textId="77777777" w:rsidR="000F1809" w:rsidRPr="007C0791" w:rsidRDefault="000F1809" w:rsidP="000F1809">
            <w:pPr>
              <w:widowControl w:val="0"/>
              <w:spacing w:before="60" w:after="60"/>
              <w:rPr>
                <w:strike/>
              </w:rPr>
            </w:pPr>
          </w:p>
        </w:tc>
      </w:tr>
    </w:tbl>
    <w:p w14:paraId="57F2F6FD" w14:textId="77777777" w:rsidR="006E5E16" w:rsidRDefault="006E5E16" w:rsidP="00EA5CAB">
      <w:pPr>
        <w:tabs>
          <w:tab w:val="left" w:pos="426"/>
        </w:tabs>
        <w:spacing w:after="120"/>
        <w:ind w:left="1134"/>
        <w:rPr>
          <w:b/>
          <w:bCs/>
        </w:rPr>
      </w:pPr>
    </w:p>
    <w:p w14:paraId="403E3ED0" w14:textId="248E3B93" w:rsidR="0094444F" w:rsidRPr="0094444F" w:rsidRDefault="000F1809" w:rsidP="0094444F">
      <w:pPr>
        <w:tabs>
          <w:tab w:val="left" w:pos="426"/>
        </w:tabs>
        <w:spacing w:before="120" w:after="120"/>
        <w:ind w:left="1134"/>
        <w:rPr>
          <w:b/>
          <w:bCs/>
          <w:u w:val="single"/>
        </w:rPr>
      </w:pPr>
      <w:r>
        <w:rPr>
          <w:b/>
          <w:bCs/>
        </w:rPr>
        <w:t>3</w:t>
      </w:r>
      <w:r w:rsidR="0094444F" w:rsidRPr="00614D10">
        <w:rPr>
          <w:b/>
          <w:bCs/>
        </w:rPr>
        <w:t>.</w:t>
      </w:r>
      <w:r>
        <w:rPr>
          <w:b/>
          <w:bCs/>
        </w:rPr>
        <w:t>5</w:t>
      </w:r>
      <w:r w:rsidR="0094444F" w:rsidRPr="00614D10">
        <w:rPr>
          <w:b/>
          <w:bCs/>
        </w:rPr>
        <w:t>.</w:t>
      </w:r>
      <w:r w:rsidR="0094444F" w:rsidRPr="00614D10">
        <w:rPr>
          <w:b/>
          <w:bCs/>
        </w:rPr>
        <w:tab/>
      </w:r>
      <w:r w:rsidR="0094444F" w:rsidRPr="0094444F">
        <w:rPr>
          <w:b/>
          <w:bCs/>
          <w:u w:val="single"/>
        </w:rPr>
        <w:t xml:space="preserve">Draft amendments relating to standard EN </w:t>
      </w:r>
      <w:r w:rsidR="001361B9">
        <w:rPr>
          <w:b/>
          <w:bCs/>
          <w:u w:val="single"/>
        </w:rPr>
        <w:t xml:space="preserve">ISO </w:t>
      </w:r>
      <w:r w:rsidR="00F9096A">
        <w:rPr>
          <w:b/>
          <w:bCs/>
          <w:u w:val="single"/>
        </w:rPr>
        <w:t>23088</w:t>
      </w:r>
      <w:r w:rsidR="0094444F" w:rsidRPr="0094444F">
        <w:rPr>
          <w:b/>
          <w:bCs/>
          <w:u w:val="single"/>
        </w:rPr>
        <w:t>:20</w:t>
      </w:r>
      <w:r w:rsidR="001361B9">
        <w:rPr>
          <w:b/>
          <w:bCs/>
          <w:u w:val="single"/>
        </w:rPr>
        <w:t>20</w:t>
      </w:r>
    </w:p>
    <w:p w14:paraId="272F7A9A" w14:textId="66506BC3" w:rsidR="0094444F" w:rsidRDefault="000F1809" w:rsidP="001361B9">
      <w:pPr>
        <w:pStyle w:val="SingleTxtG"/>
      </w:pPr>
      <w:r>
        <w:t>6.4.2.</w:t>
      </w:r>
      <w:r w:rsidR="00F9096A">
        <w:t>2</w:t>
      </w:r>
      <w:r w:rsidR="00F9096A">
        <w:tab/>
      </w:r>
      <w:r w:rsidR="0094444F">
        <w:tab/>
      </w:r>
      <w:r w:rsidR="00F9096A">
        <w:t>Amend</w:t>
      </w:r>
      <w:r w:rsidR="001361B9">
        <w:t xml:space="preserve"> the </w:t>
      </w:r>
      <w:r>
        <w:t xml:space="preserve">table </w:t>
      </w:r>
      <w:r w:rsidR="00F9096A">
        <w:t>as follows:</w:t>
      </w:r>
    </w:p>
    <w:p w14:paraId="3642F607" w14:textId="07E63DB1" w:rsidR="00F9096A" w:rsidRDefault="00F9096A" w:rsidP="00F9096A">
      <w:pPr>
        <w:pStyle w:val="SingleTxtG"/>
        <w:numPr>
          <w:ilvl w:val="0"/>
          <w:numId w:val="36"/>
        </w:numPr>
      </w:pPr>
      <w:r>
        <w:t>For “EN 14876:2007, in column (3) replace “Until further notice” with “Until 31 December 2024”. After the row for “EN</w:t>
      </w:r>
      <w:r w:rsidR="00A92CB8">
        <w:t xml:space="preserve"> 14876:2007”,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A92CB8" w:rsidRPr="007C0791" w14:paraId="73600FC0" w14:textId="77777777" w:rsidTr="00A92CB8">
        <w:tc>
          <w:tcPr>
            <w:tcW w:w="1524" w:type="dxa"/>
            <w:vAlign w:val="center"/>
          </w:tcPr>
          <w:p w14:paraId="080DAA90" w14:textId="53BD2E8C" w:rsidR="00A92CB8" w:rsidRPr="007C0791" w:rsidRDefault="00A92CB8" w:rsidP="00E56B49">
            <w:pPr>
              <w:widowControl w:val="0"/>
              <w:spacing w:before="60" w:after="60"/>
              <w:rPr>
                <w:strike/>
              </w:rPr>
            </w:pPr>
            <w:r w:rsidRPr="00F01354">
              <w:rPr>
                <w:bCs/>
              </w:rPr>
              <w:t>EN</w:t>
            </w:r>
            <w:r>
              <w:rPr>
                <w:bCs/>
              </w:rPr>
              <w:t xml:space="preserve"> ISO 23088:</w:t>
            </w:r>
            <w:r w:rsidRPr="00F01354">
              <w:rPr>
                <w:bCs/>
              </w:rPr>
              <w:t>20</w:t>
            </w:r>
            <w:r>
              <w:rPr>
                <w:bCs/>
              </w:rPr>
              <w:t>20</w:t>
            </w:r>
          </w:p>
        </w:tc>
        <w:tc>
          <w:tcPr>
            <w:tcW w:w="4252" w:type="dxa"/>
          </w:tcPr>
          <w:p w14:paraId="0F54F9FB" w14:textId="42ADF21D" w:rsidR="00A92CB8" w:rsidRPr="007C0791" w:rsidRDefault="00A92CB8" w:rsidP="00E56B49">
            <w:pPr>
              <w:widowControl w:val="0"/>
              <w:spacing w:before="60" w:after="120"/>
              <w:rPr>
                <w:strike/>
              </w:rPr>
            </w:pPr>
            <w:r>
              <w:rPr>
                <w:bCs/>
              </w:rPr>
              <w:t>Gas cylinders – Periodic inspection and testing of welded steel pressure drums – Capacities up to 1</w:t>
            </w:r>
            <w:r w:rsidR="0094746A">
              <w:rPr>
                <w:bCs/>
              </w:rPr>
              <w:t> </w:t>
            </w:r>
            <w:r>
              <w:rPr>
                <w:bCs/>
              </w:rPr>
              <w:t>000 l</w:t>
            </w:r>
          </w:p>
        </w:tc>
        <w:tc>
          <w:tcPr>
            <w:tcW w:w="1701" w:type="dxa"/>
            <w:vAlign w:val="center"/>
          </w:tcPr>
          <w:p w14:paraId="641421C3" w14:textId="7D2F3347" w:rsidR="00A92CB8" w:rsidRPr="007C0791" w:rsidRDefault="00A92CB8" w:rsidP="00E56B49">
            <w:pPr>
              <w:widowControl w:val="0"/>
              <w:spacing w:before="60" w:after="60"/>
              <w:rPr>
                <w:strike/>
              </w:rPr>
            </w:pPr>
            <w:r>
              <w:t>Mandatorily from 1 January 2025</w:t>
            </w:r>
          </w:p>
        </w:tc>
      </w:tr>
    </w:tbl>
    <w:p w14:paraId="26D95897" w14:textId="77777777" w:rsidR="00A92CB8" w:rsidRDefault="00A92CB8" w:rsidP="00A92CB8">
      <w:pPr>
        <w:pStyle w:val="SingleTxtG"/>
      </w:pPr>
    </w:p>
    <w:p w14:paraId="0DB1F3D2" w14:textId="391F78C9" w:rsidR="00193421" w:rsidRPr="00E33565" w:rsidRDefault="00A92CB8" w:rsidP="00193421">
      <w:pPr>
        <w:tabs>
          <w:tab w:val="left" w:pos="426"/>
        </w:tabs>
        <w:spacing w:before="120" w:after="120"/>
        <w:ind w:left="1134"/>
        <w:rPr>
          <w:b/>
          <w:bCs/>
          <w:u w:val="single"/>
        </w:rPr>
      </w:pPr>
      <w:r>
        <w:rPr>
          <w:b/>
          <w:bCs/>
        </w:rPr>
        <w:t>3</w:t>
      </w:r>
      <w:r w:rsidR="00193421" w:rsidRPr="00614D10">
        <w:rPr>
          <w:b/>
          <w:bCs/>
        </w:rPr>
        <w:t>.</w:t>
      </w:r>
      <w:r>
        <w:rPr>
          <w:b/>
          <w:bCs/>
        </w:rPr>
        <w:t>6</w:t>
      </w:r>
      <w:r w:rsidR="00193421" w:rsidRPr="00614D10">
        <w:rPr>
          <w:b/>
          <w:bCs/>
        </w:rPr>
        <w:t>.</w:t>
      </w:r>
      <w:r w:rsidR="00193421" w:rsidRPr="00614D10">
        <w:rPr>
          <w:b/>
          <w:bCs/>
        </w:rPr>
        <w:tab/>
      </w:r>
      <w:r w:rsidR="00193421" w:rsidRPr="00E33565">
        <w:rPr>
          <w:b/>
          <w:bCs/>
          <w:u w:val="single"/>
        </w:rPr>
        <w:t xml:space="preserve">Draft amendments relating to standard EN </w:t>
      </w:r>
      <w:r w:rsidR="001222B6">
        <w:rPr>
          <w:b/>
          <w:bCs/>
          <w:u w:val="single"/>
        </w:rPr>
        <w:t>ISO 20475:2020</w:t>
      </w:r>
    </w:p>
    <w:p w14:paraId="7EE3778F" w14:textId="4C8386AB" w:rsidR="00193421" w:rsidRPr="00E33565" w:rsidRDefault="00193421" w:rsidP="00193421">
      <w:pPr>
        <w:tabs>
          <w:tab w:val="left" w:pos="426"/>
        </w:tabs>
        <w:spacing w:before="120" w:after="120"/>
        <w:ind w:left="1134"/>
        <w:rPr>
          <w:bCs/>
        </w:rPr>
      </w:pPr>
      <w:r w:rsidRPr="00E33565">
        <w:rPr>
          <w:bCs/>
        </w:rPr>
        <w:t>6.2.4.</w:t>
      </w:r>
      <w:r w:rsidR="00A92CB8">
        <w:rPr>
          <w:bCs/>
        </w:rPr>
        <w:t>2</w:t>
      </w:r>
      <w:r w:rsidR="00A92CB8">
        <w:rPr>
          <w:bCs/>
        </w:rPr>
        <w:tab/>
      </w:r>
      <w:r>
        <w:rPr>
          <w:bCs/>
        </w:rPr>
        <w:tab/>
      </w:r>
      <w:r w:rsidRPr="00E33565">
        <w:rPr>
          <w:bCs/>
        </w:rPr>
        <w:t xml:space="preserve">Amend the </w:t>
      </w:r>
      <w:r w:rsidR="00322DEC">
        <w:rPr>
          <w:bCs/>
        </w:rPr>
        <w:t>t</w:t>
      </w:r>
      <w:r w:rsidRPr="00E33565">
        <w:rPr>
          <w:bCs/>
        </w:rPr>
        <w:t>able as follows:</w:t>
      </w:r>
    </w:p>
    <w:p w14:paraId="6E0AA998" w14:textId="076994C2" w:rsidR="00322DEC" w:rsidRDefault="00322DEC" w:rsidP="00322DEC">
      <w:pPr>
        <w:pStyle w:val="Bullet1G"/>
        <w:numPr>
          <w:ilvl w:val="0"/>
          <w:numId w:val="29"/>
        </w:numPr>
        <w:tabs>
          <w:tab w:val="num" w:pos="1418"/>
        </w:tabs>
        <w:suppressAutoHyphens/>
        <w:spacing w:before="120" w:line="240" w:lineRule="atLeast"/>
        <w:ind w:left="1134" w:firstLine="0"/>
      </w:pPr>
      <w:r w:rsidRPr="00917A82">
        <w:t>For “</w:t>
      </w:r>
      <w:r w:rsidRPr="00917A82">
        <w:rPr>
          <w:bCs/>
        </w:rPr>
        <w:t xml:space="preserve">EN </w:t>
      </w:r>
      <w:r w:rsidR="00E30E8C">
        <w:rPr>
          <w:bCs/>
        </w:rPr>
        <w:t>1</w:t>
      </w:r>
      <w:r w:rsidR="00A92CB8">
        <w:rPr>
          <w:bCs/>
        </w:rPr>
        <w:t>5888:2014</w:t>
      </w:r>
      <w:r w:rsidRPr="00917A82">
        <w:t>”, in column (</w:t>
      </w:r>
      <w:r w:rsidR="000F1809">
        <w:t>3</w:t>
      </w:r>
      <w:r w:rsidRPr="00917A82">
        <w:t>), replace “Until further notice” by “</w:t>
      </w:r>
      <w:r w:rsidR="00A92CB8">
        <w:t>until</w:t>
      </w:r>
      <w:r w:rsidRPr="00917A82">
        <w:t xml:space="preserve"> </w:t>
      </w:r>
      <w:r w:rsidR="001222B6">
        <w:t>3</w:t>
      </w:r>
      <w:r w:rsidRPr="00917A82">
        <w:t xml:space="preserve">1 </w:t>
      </w:r>
      <w:r w:rsidR="001222B6">
        <w:t>December 2024</w:t>
      </w:r>
      <w:r w:rsidRPr="00917A82">
        <w:t>”. After the row for “</w:t>
      </w:r>
      <w:r w:rsidRPr="00917A82">
        <w:rPr>
          <w:bCs/>
        </w:rPr>
        <w:t xml:space="preserve">EN </w:t>
      </w:r>
      <w:r w:rsidR="001222B6">
        <w:rPr>
          <w:bCs/>
        </w:rPr>
        <w:t>15888</w:t>
      </w:r>
      <w:r w:rsidR="00E30E8C">
        <w:rPr>
          <w:bCs/>
        </w:rPr>
        <w:t>:</w:t>
      </w:r>
      <w:r w:rsidRPr="00917A82">
        <w:rPr>
          <w:bCs/>
        </w:rPr>
        <w:t>201</w:t>
      </w:r>
      <w:r w:rsidR="001222B6">
        <w:rPr>
          <w:bCs/>
        </w:rPr>
        <w:t>4</w:t>
      </w:r>
      <w:r w:rsidRPr="00917A82">
        <w:t>”,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1222B6" w:rsidRPr="00564F4E" w14:paraId="3C1D5D43" w14:textId="77777777" w:rsidTr="001222B6">
        <w:tc>
          <w:tcPr>
            <w:tcW w:w="1524" w:type="dxa"/>
            <w:vAlign w:val="center"/>
          </w:tcPr>
          <w:p w14:paraId="2A191592" w14:textId="315D70E5" w:rsidR="001222B6" w:rsidRPr="00564F4E" w:rsidRDefault="001222B6" w:rsidP="00EB43C8">
            <w:pPr>
              <w:widowControl w:val="0"/>
              <w:spacing w:before="60" w:after="60"/>
            </w:pPr>
            <w:r w:rsidRPr="00F01354">
              <w:rPr>
                <w:bCs/>
              </w:rPr>
              <w:t xml:space="preserve">EN </w:t>
            </w:r>
            <w:r>
              <w:rPr>
                <w:bCs/>
              </w:rPr>
              <w:t xml:space="preserve">ISO </w:t>
            </w:r>
            <w:r w:rsidR="007E5DBE">
              <w:rPr>
                <w:bCs/>
              </w:rPr>
              <w:t>20475</w:t>
            </w:r>
            <w:r w:rsidRPr="00F01354">
              <w:rPr>
                <w:bCs/>
              </w:rPr>
              <w:t>:20</w:t>
            </w:r>
            <w:r>
              <w:rPr>
                <w:bCs/>
              </w:rPr>
              <w:t>20</w:t>
            </w:r>
          </w:p>
        </w:tc>
        <w:tc>
          <w:tcPr>
            <w:tcW w:w="4252" w:type="dxa"/>
          </w:tcPr>
          <w:p w14:paraId="1F5D4481" w14:textId="3CC9C65B" w:rsidR="001222B6" w:rsidRPr="00564F4E" w:rsidRDefault="007E5DBE" w:rsidP="00EB43C8">
            <w:pPr>
              <w:widowControl w:val="0"/>
              <w:spacing w:before="60" w:after="120"/>
            </w:pPr>
            <w:r>
              <w:rPr>
                <w:bCs/>
              </w:rPr>
              <w:t xml:space="preserve">Gas cylinders – Cylinder bundles – Periodic inspection and testing </w:t>
            </w:r>
          </w:p>
        </w:tc>
        <w:tc>
          <w:tcPr>
            <w:tcW w:w="1701" w:type="dxa"/>
            <w:vAlign w:val="center"/>
          </w:tcPr>
          <w:p w14:paraId="24390FBC" w14:textId="62A4C228" w:rsidR="001222B6" w:rsidRPr="00564F4E" w:rsidRDefault="001222B6" w:rsidP="00EB43C8">
            <w:pPr>
              <w:widowControl w:val="0"/>
              <w:spacing w:before="60" w:after="60"/>
            </w:pPr>
            <w:r>
              <w:t>Mandatorily from 1 January 2025</w:t>
            </w:r>
          </w:p>
        </w:tc>
      </w:tr>
    </w:tbl>
    <w:p w14:paraId="2B787057" w14:textId="77777777" w:rsidR="00EA5CAB" w:rsidRPr="00EA5CAB" w:rsidRDefault="00EA5CAB" w:rsidP="00EA5CAB">
      <w:pPr>
        <w:pStyle w:val="SingleTxtG"/>
      </w:pPr>
    </w:p>
    <w:p w14:paraId="531AE212" w14:textId="60049942" w:rsidR="0094444F" w:rsidRPr="001E1A82" w:rsidRDefault="007E5DBE" w:rsidP="00F52987">
      <w:pPr>
        <w:pStyle w:val="Bullet1G"/>
        <w:spacing w:before="120"/>
        <w:ind w:left="1701" w:hanging="567"/>
        <w:rPr>
          <w:b/>
          <w:bCs/>
        </w:rPr>
      </w:pPr>
      <w:r>
        <w:rPr>
          <w:b/>
          <w:bCs/>
        </w:rPr>
        <w:t>3.7</w:t>
      </w:r>
      <w:r w:rsidR="00D42FE3">
        <w:rPr>
          <w:b/>
          <w:bCs/>
        </w:rPr>
        <w:t>.</w:t>
      </w:r>
      <w:r w:rsidR="0094444F" w:rsidRPr="00614D10">
        <w:rPr>
          <w:b/>
          <w:bCs/>
        </w:rPr>
        <w:tab/>
      </w:r>
      <w:r w:rsidR="0094444F" w:rsidRPr="00E33565">
        <w:rPr>
          <w:b/>
          <w:bCs/>
          <w:u w:val="single"/>
        </w:rPr>
        <w:t xml:space="preserve">Draft </w:t>
      </w:r>
      <w:r>
        <w:rPr>
          <w:b/>
          <w:bCs/>
          <w:u w:val="single"/>
        </w:rPr>
        <w:t>editorial amendments</w:t>
      </w:r>
      <w:r w:rsidR="0094444F" w:rsidRPr="00E33565">
        <w:rPr>
          <w:b/>
          <w:bCs/>
          <w:u w:val="single"/>
        </w:rPr>
        <w:t xml:space="preserve"> relating to </w:t>
      </w:r>
      <w:r>
        <w:rPr>
          <w:b/>
          <w:bCs/>
          <w:u w:val="single"/>
        </w:rPr>
        <w:t>the table in 6.2.4.2</w:t>
      </w:r>
    </w:p>
    <w:p w14:paraId="2A7B3265" w14:textId="12070B77" w:rsidR="007E5DBE" w:rsidRDefault="007E5DBE" w:rsidP="00C149B1">
      <w:pPr>
        <w:pStyle w:val="Bullet1G"/>
        <w:tabs>
          <w:tab w:val="left" w:pos="1701"/>
        </w:tabs>
        <w:suppressAutoHyphens/>
        <w:spacing w:before="120" w:line="240" w:lineRule="atLeast"/>
        <w:ind w:left="1134"/>
      </w:pPr>
      <w:r>
        <w:t>a)</w:t>
      </w:r>
      <w:r>
        <w:tab/>
        <w:t xml:space="preserve">Delete all rows which in which column (3) shows “Until December 2021” or “Until December 2022”, since these standards are no longer applicable. </w:t>
      </w:r>
      <w:r w:rsidR="0094746A">
        <w:t>That is</w:t>
      </w:r>
      <w:r w:rsidR="006E5AB7">
        <w:t>,</w:t>
      </w:r>
      <w:r w:rsidR="0094746A">
        <w:t xml:space="preserve"> delete the rows </w:t>
      </w:r>
      <w:r w:rsidR="0094746A">
        <w:lastRenderedPageBreak/>
        <w:t xml:space="preserve">beginning EN 1968, EN 1802, </w:t>
      </w:r>
      <w:r w:rsidR="001D0FDC">
        <w:t xml:space="preserve">EN ISO 10462, EN 1803, and the earlier editions of EN 1440 and EN 16728. </w:t>
      </w:r>
    </w:p>
    <w:p w14:paraId="336FD998" w14:textId="4292A411" w:rsidR="007E5DBE" w:rsidRDefault="001D0FDC" w:rsidP="00C149B1">
      <w:pPr>
        <w:pStyle w:val="Bullet1G"/>
        <w:tabs>
          <w:tab w:val="left" w:pos="1701"/>
        </w:tabs>
        <w:suppressAutoHyphens/>
        <w:spacing w:before="120" w:line="240" w:lineRule="atLeast"/>
        <w:ind w:left="1134"/>
      </w:pPr>
      <w:r>
        <w:t>b)</w:t>
      </w:r>
      <w:r>
        <w:tab/>
        <w:t xml:space="preserve">Replace “Mandatorily from 1 January 2023” </w:t>
      </w:r>
      <w:r w:rsidR="00F1476A">
        <w:t>and</w:t>
      </w:r>
      <w:r>
        <w:t xml:space="preserve"> “Mandatorily from 1 January 2022” </w:t>
      </w:r>
      <w:r w:rsidR="00F1476A">
        <w:t xml:space="preserve">and </w:t>
      </w:r>
      <w:r>
        <w:t xml:space="preserve">“Mandatorily from 1 January 2019” by “Until further notice”.  This applies to EN ISO 18119, </w:t>
      </w:r>
      <w:r w:rsidR="006E5AB7">
        <w:t>EN ISO 1</w:t>
      </w:r>
      <w:r w:rsidR="00D84241">
        <w:t>0</w:t>
      </w:r>
      <w:r w:rsidR="006E5AB7">
        <w:t>462:2013 +A1:2019, EN ISO 10460, EN ISO 11623, EN 14912, and the lates</w:t>
      </w:r>
      <w:r w:rsidR="00B27377">
        <w:t>t</w:t>
      </w:r>
      <w:r w:rsidR="006E5AB7">
        <w:t xml:space="preserve"> editions of EN 1440 and EN 16728.</w:t>
      </w:r>
    </w:p>
    <w:p w14:paraId="0EACF320" w14:textId="77777777" w:rsidR="00EC6D0C" w:rsidRDefault="00EC6D0C" w:rsidP="00C149B1">
      <w:pPr>
        <w:pStyle w:val="Bullet1G"/>
        <w:tabs>
          <w:tab w:val="left" w:pos="1701"/>
        </w:tabs>
        <w:suppressAutoHyphens/>
        <w:spacing w:before="120" w:line="240" w:lineRule="atLeast"/>
        <w:ind w:left="1134"/>
      </w:pPr>
    </w:p>
    <w:p w14:paraId="639CCD18" w14:textId="168686E3" w:rsidR="001D0FDC" w:rsidRPr="006E5AB7" w:rsidRDefault="006E5AB7" w:rsidP="00C149B1">
      <w:pPr>
        <w:pStyle w:val="Bullet1G"/>
        <w:tabs>
          <w:tab w:val="left" w:pos="1701"/>
        </w:tabs>
        <w:suppressAutoHyphens/>
        <w:spacing w:before="120" w:line="240" w:lineRule="atLeast"/>
        <w:ind w:left="1134"/>
        <w:rPr>
          <w:b/>
          <w:u w:val="single"/>
        </w:rPr>
      </w:pPr>
      <w:r w:rsidRPr="006E5AB7">
        <w:rPr>
          <w:b/>
        </w:rPr>
        <w:t>3.8.</w:t>
      </w:r>
      <w:r>
        <w:rPr>
          <w:b/>
        </w:rPr>
        <w:tab/>
      </w:r>
      <w:r>
        <w:rPr>
          <w:b/>
          <w:u w:val="single"/>
        </w:rPr>
        <w:t>Draft amendment relating to standard EN 12493:2020</w:t>
      </w:r>
    </w:p>
    <w:p w14:paraId="4FFBC1E9" w14:textId="3B95AF16" w:rsidR="001D0FDC" w:rsidRDefault="00EA5CAB" w:rsidP="00C149B1">
      <w:pPr>
        <w:pStyle w:val="Bullet1G"/>
        <w:tabs>
          <w:tab w:val="left" w:pos="1701"/>
        </w:tabs>
        <w:suppressAutoHyphens/>
        <w:spacing w:before="120" w:line="240" w:lineRule="atLeast"/>
        <w:ind w:left="1134"/>
      </w:pPr>
      <w:r>
        <w:t xml:space="preserve">(ADR only) </w:t>
      </w:r>
      <w:r w:rsidR="006E5AB7">
        <w:t>6.8.2.6.1</w:t>
      </w:r>
      <w:r w:rsidR="006E5AB7">
        <w:tab/>
        <w:t>Amend the table “</w:t>
      </w:r>
      <w:r w:rsidR="00414277">
        <w:t>F</w:t>
      </w:r>
      <w:r w:rsidR="006E5AB7">
        <w:t xml:space="preserve">or </w:t>
      </w:r>
      <w:r w:rsidR="00414277">
        <w:t xml:space="preserve">design and construction of </w:t>
      </w:r>
      <w:r w:rsidR="006E5AB7">
        <w:t>tanks”</w:t>
      </w:r>
      <w:r w:rsidR="00414277">
        <w:t xml:space="preserve"> as follows:</w:t>
      </w:r>
    </w:p>
    <w:p w14:paraId="3C881A68" w14:textId="030263A5" w:rsidR="001D0FDC" w:rsidRDefault="00414277" w:rsidP="00414277">
      <w:pPr>
        <w:pStyle w:val="Bullet1G"/>
        <w:numPr>
          <w:ilvl w:val="0"/>
          <w:numId w:val="29"/>
        </w:numPr>
        <w:tabs>
          <w:tab w:val="left" w:pos="1701"/>
        </w:tabs>
        <w:suppressAutoHyphens/>
        <w:spacing w:before="120" w:line="240" w:lineRule="atLeast"/>
      </w:pPr>
      <w:r>
        <w:t>For EN 12493:2013 + A2:2018, in column (4)</w:t>
      </w:r>
      <w:r w:rsidR="003F180A">
        <w:t xml:space="preserve"> replace </w:t>
      </w:r>
      <w:r w:rsidR="00EA5CAB">
        <w:rPr>
          <w:bCs/>
        </w:rPr>
        <w:t xml:space="preserve">“Until further notice” by “Between 1 January 2021 and 31 December 2024”. After the row for EN </w:t>
      </w:r>
      <w:r w:rsidR="00EA5CAB">
        <w:t>12493:2013 + A2:2018, insert the following new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EA5CAB" w:rsidRPr="007C0791" w14:paraId="2C350E18" w14:textId="77777777" w:rsidTr="003679BC">
        <w:tc>
          <w:tcPr>
            <w:tcW w:w="1524" w:type="dxa"/>
            <w:vAlign w:val="center"/>
          </w:tcPr>
          <w:p w14:paraId="0101E505" w14:textId="1ED6DD3F" w:rsidR="00EA5CAB" w:rsidRPr="007C0791" w:rsidRDefault="00EA5CAB" w:rsidP="00E56B49">
            <w:pPr>
              <w:widowControl w:val="0"/>
              <w:spacing w:before="60" w:after="60"/>
              <w:rPr>
                <w:strike/>
              </w:rPr>
            </w:pPr>
            <w:r w:rsidRPr="00F01354">
              <w:rPr>
                <w:bCs/>
              </w:rPr>
              <w:t>EN</w:t>
            </w:r>
            <w:r>
              <w:rPr>
                <w:bCs/>
              </w:rPr>
              <w:t xml:space="preserve"> 12493:</w:t>
            </w:r>
            <w:r w:rsidRPr="00F01354">
              <w:rPr>
                <w:bCs/>
              </w:rPr>
              <w:t>20</w:t>
            </w:r>
            <w:r>
              <w:rPr>
                <w:bCs/>
              </w:rPr>
              <w:t>20</w:t>
            </w:r>
            <w:r w:rsidR="00E0353F">
              <w:rPr>
                <w:bCs/>
              </w:rPr>
              <w:t xml:space="preserve"> (except Annex C)</w:t>
            </w:r>
          </w:p>
        </w:tc>
        <w:tc>
          <w:tcPr>
            <w:tcW w:w="3543" w:type="dxa"/>
          </w:tcPr>
          <w:p w14:paraId="60E6ABF7" w14:textId="77777777" w:rsidR="00EA5CAB" w:rsidRPr="00E0353F" w:rsidRDefault="00EA5CAB" w:rsidP="00E56B49">
            <w:pPr>
              <w:widowControl w:val="0"/>
              <w:spacing w:before="60" w:after="120"/>
              <w:rPr>
                <w:bCs/>
                <w:i/>
              </w:rPr>
            </w:pPr>
            <w:r>
              <w:rPr>
                <w:bCs/>
              </w:rPr>
              <w:t>LPG equipment and accessories – Welded steel pressure vessels for LPG road tankers – Design and construction</w:t>
            </w:r>
          </w:p>
          <w:p w14:paraId="40BB960E" w14:textId="442DFE6B" w:rsidR="00E0353F" w:rsidRPr="007C0791" w:rsidRDefault="00E0353F" w:rsidP="00E56B49">
            <w:pPr>
              <w:widowControl w:val="0"/>
              <w:spacing w:before="60" w:after="120"/>
              <w:rPr>
                <w:strike/>
              </w:rPr>
            </w:pPr>
            <w:r w:rsidRPr="00E0353F">
              <w:rPr>
                <w:i/>
              </w:rPr>
              <w:t>NOTE</w:t>
            </w:r>
            <w:r>
              <w:rPr>
                <w:i/>
              </w:rPr>
              <w:t>:  Road tankers is to be understood in the meaning of “fixed tanks” and “demountable tanks” as per ADR.</w:t>
            </w:r>
          </w:p>
        </w:tc>
        <w:tc>
          <w:tcPr>
            <w:tcW w:w="1134" w:type="dxa"/>
            <w:vAlign w:val="center"/>
          </w:tcPr>
          <w:p w14:paraId="77787B7D" w14:textId="59F3F2B0" w:rsidR="00EA5CAB" w:rsidRPr="006E5E16" w:rsidRDefault="00EA5CAB" w:rsidP="00E56B49">
            <w:pPr>
              <w:widowControl w:val="0"/>
              <w:spacing w:before="60" w:after="60"/>
            </w:pPr>
            <w:r>
              <w:t>6.8.2.1</w:t>
            </w:r>
            <w:r w:rsidR="00E0353F">
              <w:t>, 6.8.2.5, 6.8.3.1, 6.8.3.5</w:t>
            </w:r>
            <w:r w:rsidR="00B27377">
              <w:t>,</w:t>
            </w:r>
            <w:r w:rsidR="00E0353F">
              <w:t xml:space="preserve"> 6.8.</w:t>
            </w:r>
            <w:r w:rsidR="00B27377">
              <w:t>5</w:t>
            </w:r>
            <w:r w:rsidR="00E0353F">
              <w:t>.1 to 6.8.5.3</w:t>
            </w:r>
          </w:p>
        </w:tc>
        <w:tc>
          <w:tcPr>
            <w:tcW w:w="851" w:type="dxa"/>
            <w:vAlign w:val="center"/>
          </w:tcPr>
          <w:p w14:paraId="64265EFF" w14:textId="77777777" w:rsidR="00EA5CAB" w:rsidRPr="006E5E16" w:rsidRDefault="00EA5CAB" w:rsidP="00E56B49">
            <w:pPr>
              <w:widowControl w:val="0"/>
              <w:spacing w:before="60" w:after="60"/>
            </w:pPr>
            <w:r w:rsidRPr="006E5E16">
              <w:t>Until further notice</w:t>
            </w:r>
          </w:p>
        </w:tc>
        <w:tc>
          <w:tcPr>
            <w:tcW w:w="425" w:type="dxa"/>
            <w:vAlign w:val="center"/>
          </w:tcPr>
          <w:p w14:paraId="2F174EC1" w14:textId="77777777" w:rsidR="00EA5CAB" w:rsidRPr="007C0791" w:rsidRDefault="00EA5CAB" w:rsidP="00E56B49">
            <w:pPr>
              <w:widowControl w:val="0"/>
              <w:spacing w:before="60" w:after="60"/>
              <w:rPr>
                <w:strike/>
              </w:rPr>
            </w:pPr>
          </w:p>
        </w:tc>
      </w:tr>
    </w:tbl>
    <w:p w14:paraId="01832E88" w14:textId="61D80478" w:rsidR="0042633E" w:rsidRPr="00243FA7" w:rsidRDefault="001100E6" w:rsidP="001100E6">
      <w:pPr>
        <w:spacing w:before="240" w:after="0" w:line="240" w:lineRule="atLeast"/>
        <w:jc w:val="center"/>
        <w:rPr>
          <w:u w:val="single"/>
          <w:lang w:val="de-DE"/>
        </w:rPr>
      </w:pPr>
      <w:r w:rsidRPr="00243FA7">
        <w:rPr>
          <w:u w:val="single"/>
          <w:lang w:val="de-DE"/>
        </w:rPr>
        <w:tab/>
      </w:r>
      <w:r w:rsidR="00E0353F">
        <w:rPr>
          <w:u w:val="single"/>
          <w:lang w:val="de-DE"/>
        </w:rPr>
        <w:tab/>
      </w:r>
      <w:r w:rsidRPr="00243FA7">
        <w:rPr>
          <w:u w:val="single"/>
          <w:lang w:val="de-DE"/>
        </w:rPr>
        <w:tab/>
      </w:r>
      <w:r w:rsidRPr="00243FA7">
        <w:rPr>
          <w:u w:val="single"/>
          <w:lang w:val="de-DE"/>
        </w:rPr>
        <w:tab/>
      </w:r>
    </w:p>
    <w:sectPr w:rsidR="0042633E" w:rsidRPr="00243FA7" w:rsidSect="00111C1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EA04" w14:textId="77777777" w:rsidR="002F628C" w:rsidRDefault="002F628C"/>
  </w:endnote>
  <w:endnote w:type="continuationSeparator" w:id="0">
    <w:p w14:paraId="735B1DD3" w14:textId="77777777" w:rsidR="002F628C" w:rsidRDefault="002F628C"/>
  </w:endnote>
  <w:endnote w:type="continuationNotice" w:id="1">
    <w:p w14:paraId="1481C608" w14:textId="77777777" w:rsidR="002F628C" w:rsidRDefault="002F6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698A" w14:textId="75045C80"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6133D7">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58C0" w14:textId="716356A9"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6133D7">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C1ECE" w14:textId="77777777" w:rsidR="002F628C" w:rsidRPr="000B175B" w:rsidRDefault="002F628C" w:rsidP="000B175B">
      <w:pPr>
        <w:tabs>
          <w:tab w:val="right" w:pos="2155"/>
        </w:tabs>
        <w:spacing w:after="80"/>
        <w:ind w:left="680"/>
        <w:rPr>
          <w:u w:val="single"/>
        </w:rPr>
      </w:pPr>
      <w:r>
        <w:rPr>
          <w:u w:val="single"/>
        </w:rPr>
        <w:tab/>
      </w:r>
    </w:p>
  </w:footnote>
  <w:footnote w:type="continuationSeparator" w:id="0">
    <w:p w14:paraId="7D44418B" w14:textId="77777777" w:rsidR="002F628C" w:rsidRPr="00FC68B7" w:rsidRDefault="002F628C" w:rsidP="00FC68B7">
      <w:pPr>
        <w:tabs>
          <w:tab w:val="left" w:pos="2155"/>
        </w:tabs>
        <w:spacing w:after="80"/>
        <w:ind w:left="680"/>
        <w:rPr>
          <w:u w:val="single"/>
        </w:rPr>
      </w:pPr>
      <w:r>
        <w:rPr>
          <w:u w:val="single"/>
        </w:rPr>
        <w:tab/>
      </w:r>
    </w:p>
  </w:footnote>
  <w:footnote w:type="continuationNotice" w:id="1">
    <w:p w14:paraId="36B7B1A5" w14:textId="77777777" w:rsidR="002F628C" w:rsidRDefault="002F6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3C50" w14:textId="089629DF" w:rsidR="002B16A1" w:rsidRPr="0009455D" w:rsidRDefault="002B16A1">
    <w:pPr>
      <w:pStyle w:val="En-tte"/>
      <w:rPr>
        <w:lang w:val="fr-CH"/>
      </w:rPr>
    </w:pPr>
    <w:r>
      <w:rPr>
        <w:lang w:val="fr-CH"/>
      </w:rPr>
      <w:t>INF.</w:t>
    </w:r>
    <w:r w:rsidR="007F142E">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5D6B" w14:textId="76513FA3" w:rsidR="002B16A1" w:rsidRPr="00073BC9" w:rsidRDefault="002B16A1" w:rsidP="0009455D">
    <w:pPr>
      <w:pStyle w:val="En-tte"/>
      <w:jc w:val="right"/>
    </w:pPr>
    <w:r>
      <w:t>INF</w:t>
    </w:r>
    <w:r w:rsidR="00193421">
      <w:t>.</w:t>
    </w:r>
    <w:r w:rsidR="007F142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02C7" w14:textId="3BE53F81" w:rsidR="00E0353F" w:rsidRPr="00560572" w:rsidRDefault="002B16A1" w:rsidP="00E37495">
    <w:pPr>
      <w:pStyle w:val="En-tte"/>
      <w:pBdr>
        <w:bottom w:val="single" w:sz="4" w:space="1" w:color="auto"/>
      </w:pBdr>
      <w:jc w:val="right"/>
      <w:rPr>
        <w:sz w:val="28"/>
        <w:szCs w:val="28"/>
      </w:rPr>
    </w:pPr>
    <w:r w:rsidRPr="00560572">
      <w:rPr>
        <w:sz w:val="28"/>
        <w:szCs w:val="28"/>
      </w:rPr>
      <w:t>INF.</w:t>
    </w:r>
    <w:r w:rsidR="007F142E">
      <w:rPr>
        <w:sz w:val="28"/>
        <w:szCs w:val="2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31A12325"/>
    <w:multiLevelType w:val="hybridMultilevel"/>
    <w:tmpl w:val="2728B5CC"/>
    <w:lvl w:ilvl="0" w:tplc="FEFCB6AE">
      <w:start w:val="1"/>
      <w:numFmt w:val="bullet"/>
      <w:lvlText w:val=""/>
      <w:lvlJc w:val="left"/>
      <w:pPr>
        <w:ind w:left="740" w:hanging="360"/>
      </w:pPr>
      <w:rPr>
        <w:rFonts w:ascii="Symbol" w:hAnsi="Symbol" w:hint="default"/>
        <w:b w:val="0"/>
        <w:i w:val="0"/>
        <w:sz w:val="20"/>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517D71D3"/>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04590"/>
    <w:multiLevelType w:val="hybridMultilevel"/>
    <w:tmpl w:val="49DCDCDA"/>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55E02C74"/>
    <w:multiLevelType w:val="multilevel"/>
    <w:tmpl w:val="CEEE0FC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12E6226"/>
    <w:multiLevelType w:val="hybridMultilevel"/>
    <w:tmpl w:val="83C81F2E"/>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2"/>
  </w:num>
  <w:num w:numId="15">
    <w:abstractNumId w:val="18"/>
  </w:num>
  <w:num w:numId="16">
    <w:abstractNumId w:val="14"/>
  </w:num>
  <w:num w:numId="17">
    <w:abstractNumId w:val="29"/>
  </w:num>
  <w:num w:numId="18">
    <w:abstractNumId w:val="32"/>
  </w:num>
  <w:num w:numId="19">
    <w:abstractNumId w:val="27"/>
  </w:num>
  <w:num w:numId="20">
    <w:abstractNumId w:val="13"/>
  </w:num>
  <w:num w:numId="21">
    <w:abstractNumId w:val="20"/>
  </w:num>
  <w:num w:numId="22">
    <w:abstractNumId w:val="33"/>
  </w:num>
  <w:num w:numId="23">
    <w:abstractNumId w:val="19"/>
  </w:num>
  <w:num w:numId="24">
    <w:abstractNumId w:val="22"/>
  </w:num>
  <w:num w:numId="25">
    <w:abstractNumId w:val="31"/>
  </w:num>
  <w:num w:numId="26">
    <w:abstractNumId w:val="21"/>
  </w:num>
  <w:num w:numId="27">
    <w:abstractNumId w:val="11"/>
  </w:num>
  <w:num w:numId="28">
    <w:abstractNumId w:val="30"/>
  </w:num>
  <w:num w:numId="29">
    <w:abstractNumId w:val="24"/>
  </w:num>
  <w:num w:numId="30">
    <w:abstractNumId w:val="25"/>
  </w:num>
  <w:num w:numId="31">
    <w:abstractNumId w:val="29"/>
  </w:num>
  <w:num w:numId="32">
    <w:abstractNumId w:val="28"/>
  </w:num>
  <w:num w:numId="33">
    <w:abstractNumId w:val="23"/>
  </w:num>
  <w:num w:numId="34">
    <w:abstractNumId w:val="29"/>
  </w:num>
  <w:num w:numId="35">
    <w:abstractNumId w:val="16"/>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A8A"/>
    <w:rsid w:val="00017C14"/>
    <w:rsid w:val="00027624"/>
    <w:rsid w:val="00042E34"/>
    <w:rsid w:val="00045C95"/>
    <w:rsid w:val="00050B2C"/>
    <w:rsid w:val="00050F6B"/>
    <w:rsid w:val="00056E1C"/>
    <w:rsid w:val="0005749A"/>
    <w:rsid w:val="00057D31"/>
    <w:rsid w:val="00057F00"/>
    <w:rsid w:val="00060675"/>
    <w:rsid w:val="00062540"/>
    <w:rsid w:val="0006264E"/>
    <w:rsid w:val="000678CD"/>
    <w:rsid w:val="00072C8C"/>
    <w:rsid w:val="00073BC9"/>
    <w:rsid w:val="00075498"/>
    <w:rsid w:val="00081CE0"/>
    <w:rsid w:val="00081E5B"/>
    <w:rsid w:val="00082FAE"/>
    <w:rsid w:val="00084D30"/>
    <w:rsid w:val="00090320"/>
    <w:rsid w:val="00091148"/>
    <w:rsid w:val="000918D7"/>
    <w:rsid w:val="0009259A"/>
    <w:rsid w:val="000931C0"/>
    <w:rsid w:val="0009455D"/>
    <w:rsid w:val="00097793"/>
    <w:rsid w:val="000A2E09"/>
    <w:rsid w:val="000B175B"/>
    <w:rsid w:val="000B3A0F"/>
    <w:rsid w:val="000B41FA"/>
    <w:rsid w:val="000C2A7D"/>
    <w:rsid w:val="000D5A55"/>
    <w:rsid w:val="000D626F"/>
    <w:rsid w:val="000E0415"/>
    <w:rsid w:val="000E233A"/>
    <w:rsid w:val="000E4D5F"/>
    <w:rsid w:val="000E6779"/>
    <w:rsid w:val="000E7EB0"/>
    <w:rsid w:val="000F1809"/>
    <w:rsid w:val="000F5D2C"/>
    <w:rsid w:val="000F7715"/>
    <w:rsid w:val="001022EF"/>
    <w:rsid w:val="00103E99"/>
    <w:rsid w:val="001100E6"/>
    <w:rsid w:val="001108F0"/>
    <w:rsid w:val="00111B25"/>
    <w:rsid w:val="00111C14"/>
    <w:rsid w:val="00116363"/>
    <w:rsid w:val="001179A1"/>
    <w:rsid w:val="001222B6"/>
    <w:rsid w:val="00125674"/>
    <w:rsid w:val="0012612E"/>
    <w:rsid w:val="00126BAB"/>
    <w:rsid w:val="00130515"/>
    <w:rsid w:val="001361B9"/>
    <w:rsid w:val="00140040"/>
    <w:rsid w:val="0014401A"/>
    <w:rsid w:val="00155BE7"/>
    <w:rsid w:val="00156B99"/>
    <w:rsid w:val="0015713B"/>
    <w:rsid w:val="001573E4"/>
    <w:rsid w:val="00161037"/>
    <w:rsid w:val="00166124"/>
    <w:rsid w:val="00167F20"/>
    <w:rsid w:val="0017009E"/>
    <w:rsid w:val="00172600"/>
    <w:rsid w:val="00174305"/>
    <w:rsid w:val="001765D7"/>
    <w:rsid w:val="00176739"/>
    <w:rsid w:val="00180108"/>
    <w:rsid w:val="00180643"/>
    <w:rsid w:val="00184DDA"/>
    <w:rsid w:val="001874B4"/>
    <w:rsid w:val="001900CD"/>
    <w:rsid w:val="00193421"/>
    <w:rsid w:val="00193D85"/>
    <w:rsid w:val="0019444B"/>
    <w:rsid w:val="001A0452"/>
    <w:rsid w:val="001A3481"/>
    <w:rsid w:val="001A3EDC"/>
    <w:rsid w:val="001A4D53"/>
    <w:rsid w:val="001A5251"/>
    <w:rsid w:val="001A5F15"/>
    <w:rsid w:val="001B4B04"/>
    <w:rsid w:val="001B5875"/>
    <w:rsid w:val="001C3A25"/>
    <w:rsid w:val="001C4B28"/>
    <w:rsid w:val="001C4B9C"/>
    <w:rsid w:val="001C6663"/>
    <w:rsid w:val="001C75A0"/>
    <w:rsid w:val="001C7895"/>
    <w:rsid w:val="001D02DC"/>
    <w:rsid w:val="001D0FDC"/>
    <w:rsid w:val="001D15C4"/>
    <w:rsid w:val="001D26DF"/>
    <w:rsid w:val="001D312D"/>
    <w:rsid w:val="001E0DF6"/>
    <w:rsid w:val="001E1A82"/>
    <w:rsid w:val="001E583F"/>
    <w:rsid w:val="001F12DF"/>
    <w:rsid w:val="001F1599"/>
    <w:rsid w:val="001F1961"/>
    <w:rsid w:val="001F19C4"/>
    <w:rsid w:val="001F6980"/>
    <w:rsid w:val="001F6B91"/>
    <w:rsid w:val="001F7A8B"/>
    <w:rsid w:val="002043F0"/>
    <w:rsid w:val="002060B9"/>
    <w:rsid w:val="00211E0B"/>
    <w:rsid w:val="002136D7"/>
    <w:rsid w:val="00215A1B"/>
    <w:rsid w:val="00216BB2"/>
    <w:rsid w:val="00222F2C"/>
    <w:rsid w:val="002303E3"/>
    <w:rsid w:val="00230496"/>
    <w:rsid w:val="002314D7"/>
    <w:rsid w:val="00232575"/>
    <w:rsid w:val="0023589F"/>
    <w:rsid w:val="00242F8B"/>
    <w:rsid w:val="00243FA7"/>
    <w:rsid w:val="00245DD6"/>
    <w:rsid w:val="00247258"/>
    <w:rsid w:val="00250356"/>
    <w:rsid w:val="002547F2"/>
    <w:rsid w:val="002565C8"/>
    <w:rsid w:val="002574B9"/>
    <w:rsid w:val="00257CAC"/>
    <w:rsid w:val="00264807"/>
    <w:rsid w:val="00273433"/>
    <w:rsid w:val="002759DE"/>
    <w:rsid w:val="002815FC"/>
    <w:rsid w:val="00295F1A"/>
    <w:rsid w:val="002974E9"/>
    <w:rsid w:val="00297AC5"/>
    <w:rsid w:val="002A214F"/>
    <w:rsid w:val="002A6D75"/>
    <w:rsid w:val="002A7F94"/>
    <w:rsid w:val="002B109A"/>
    <w:rsid w:val="002B16A1"/>
    <w:rsid w:val="002B400C"/>
    <w:rsid w:val="002B5293"/>
    <w:rsid w:val="002C128F"/>
    <w:rsid w:val="002C1973"/>
    <w:rsid w:val="002C3A37"/>
    <w:rsid w:val="002C4661"/>
    <w:rsid w:val="002C57D6"/>
    <w:rsid w:val="002C6D45"/>
    <w:rsid w:val="002D1828"/>
    <w:rsid w:val="002D4CF0"/>
    <w:rsid w:val="002D4D98"/>
    <w:rsid w:val="002D653A"/>
    <w:rsid w:val="002D6E53"/>
    <w:rsid w:val="002D743E"/>
    <w:rsid w:val="002E2296"/>
    <w:rsid w:val="002E23C9"/>
    <w:rsid w:val="002E38F3"/>
    <w:rsid w:val="002E6DB4"/>
    <w:rsid w:val="002F024B"/>
    <w:rsid w:val="002F046D"/>
    <w:rsid w:val="002F272B"/>
    <w:rsid w:val="002F628C"/>
    <w:rsid w:val="003007E7"/>
    <w:rsid w:val="00300A65"/>
    <w:rsid w:val="00301764"/>
    <w:rsid w:val="00301BE1"/>
    <w:rsid w:val="00302B3E"/>
    <w:rsid w:val="00321665"/>
    <w:rsid w:val="003229D8"/>
    <w:rsid w:val="00322DEC"/>
    <w:rsid w:val="0032343D"/>
    <w:rsid w:val="00323AD2"/>
    <w:rsid w:val="0032508A"/>
    <w:rsid w:val="00336080"/>
    <w:rsid w:val="00336C97"/>
    <w:rsid w:val="00337D65"/>
    <w:rsid w:val="00337F88"/>
    <w:rsid w:val="00342432"/>
    <w:rsid w:val="00343CF9"/>
    <w:rsid w:val="00344336"/>
    <w:rsid w:val="0034444E"/>
    <w:rsid w:val="0034572A"/>
    <w:rsid w:val="00350B59"/>
    <w:rsid w:val="00352D4B"/>
    <w:rsid w:val="00354724"/>
    <w:rsid w:val="00354CED"/>
    <w:rsid w:val="0035638C"/>
    <w:rsid w:val="003564DC"/>
    <w:rsid w:val="003645B0"/>
    <w:rsid w:val="00365611"/>
    <w:rsid w:val="003679BC"/>
    <w:rsid w:val="00370928"/>
    <w:rsid w:val="00373041"/>
    <w:rsid w:val="00377A83"/>
    <w:rsid w:val="003806F0"/>
    <w:rsid w:val="00382512"/>
    <w:rsid w:val="00383C57"/>
    <w:rsid w:val="0038499B"/>
    <w:rsid w:val="0038628F"/>
    <w:rsid w:val="003A1C51"/>
    <w:rsid w:val="003A46BB"/>
    <w:rsid w:val="003A4EC7"/>
    <w:rsid w:val="003A550E"/>
    <w:rsid w:val="003A7295"/>
    <w:rsid w:val="003B115E"/>
    <w:rsid w:val="003B1F60"/>
    <w:rsid w:val="003B3A7E"/>
    <w:rsid w:val="003B4643"/>
    <w:rsid w:val="003C2CC4"/>
    <w:rsid w:val="003C3176"/>
    <w:rsid w:val="003C7026"/>
    <w:rsid w:val="003D4916"/>
    <w:rsid w:val="003D4B23"/>
    <w:rsid w:val="003D58A1"/>
    <w:rsid w:val="003D6C76"/>
    <w:rsid w:val="003E0B55"/>
    <w:rsid w:val="003E278A"/>
    <w:rsid w:val="003E3D94"/>
    <w:rsid w:val="003F07CB"/>
    <w:rsid w:val="003F180A"/>
    <w:rsid w:val="003F1887"/>
    <w:rsid w:val="004019C8"/>
    <w:rsid w:val="0040292E"/>
    <w:rsid w:val="004032CF"/>
    <w:rsid w:val="00413520"/>
    <w:rsid w:val="00414277"/>
    <w:rsid w:val="00414F7A"/>
    <w:rsid w:val="00415221"/>
    <w:rsid w:val="00423002"/>
    <w:rsid w:val="0042633E"/>
    <w:rsid w:val="00431D4D"/>
    <w:rsid w:val="004325CB"/>
    <w:rsid w:val="00433A82"/>
    <w:rsid w:val="00440A07"/>
    <w:rsid w:val="00456441"/>
    <w:rsid w:val="00462880"/>
    <w:rsid w:val="0047298C"/>
    <w:rsid w:val="0047429E"/>
    <w:rsid w:val="00476F24"/>
    <w:rsid w:val="00480B38"/>
    <w:rsid w:val="0048402E"/>
    <w:rsid w:val="004840DC"/>
    <w:rsid w:val="00490954"/>
    <w:rsid w:val="004909E7"/>
    <w:rsid w:val="0049311D"/>
    <w:rsid w:val="004B2A91"/>
    <w:rsid w:val="004B45B0"/>
    <w:rsid w:val="004B536D"/>
    <w:rsid w:val="004B7EA2"/>
    <w:rsid w:val="004C55B0"/>
    <w:rsid w:val="004D51F6"/>
    <w:rsid w:val="004D63B1"/>
    <w:rsid w:val="004E24F3"/>
    <w:rsid w:val="004E4179"/>
    <w:rsid w:val="004E7160"/>
    <w:rsid w:val="004F3F8F"/>
    <w:rsid w:val="004F6BA0"/>
    <w:rsid w:val="00503BEA"/>
    <w:rsid w:val="00504FF8"/>
    <w:rsid w:val="005237C4"/>
    <w:rsid w:val="00530289"/>
    <w:rsid w:val="00533616"/>
    <w:rsid w:val="00535170"/>
    <w:rsid w:val="00535ABA"/>
    <w:rsid w:val="005371A0"/>
    <w:rsid w:val="0053768B"/>
    <w:rsid w:val="00541722"/>
    <w:rsid w:val="005420F2"/>
    <w:rsid w:val="00542768"/>
    <w:rsid w:val="0054285C"/>
    <w:rsid w:val="005445FF"/>
    <w:rsid w:val="00546C90"/>
    <w:rsid w:val="00547A88"/>
    <w:rsid w:val="005546FD"/>
    <w:rsid w:val="0055514F"/>
    <w:rsid w:val="005566B9"/>
    <w:rsid w:val="00560572"/>
    <w:rsid w:val="00564BF4"/>
    <w:rsid w:val="00565297"/>
    <w:rsid w:val="005670DF"/>
    <w:rsid w:val="00571D73"/>
    <w:rsid w:val="00573297"/>
    <w:rsid w:val="00584173"/>
    <w:rsid w:val="00584F2F"/>
    <w:rsid w:val="005850DE"/>
    <w:rsid w:val="00587C17"/>
    <w:rsid w:val="00590478"/>
    <w:rsid w:val="00592CC7"/>
    <w:rsid w:val="00593779"/>
    <w:rsid w:val="00594428"/>
    <w:rsid w:val="00595520"/>
    <w:rsid w:val="005A0287"/>
    <w:rsid w:val="005A44B9"/>
    <w:rsid w:val="005A548A"/>
    <w:rsid w:val="005B1BA0"/>
    <w:rsid w:val="005B3DB3"/>
    <w:rsid w:val="005B5D0E"/>
    <w:rsid w:val="005C58F0"/>
    <w:rsid w:val="005C700B"/>
    <w:rsid w:val="005D15CA"/>
    <w:rsid w:val="005D1867"/>
    <w:rsid w:val="005D2C39"/>
    <w:rsid w:val="005D390C"/>
    <w:rsid w:val="005D4B38"/>
    <w:rsid w:val="005E0637"/>
    <w:rsid w:val="005E1DA6"/>
    <w:rsid w:val="005E6952"/>
    <w:rsid w:val="005E6AAF"/>
    <w:rsid w:val="005F3066"/>
    <w:rsid w:val="005F3E61"/>
    <w:rsid w:val="005F51F6"/>
    <w:rsid w:val="005F69C7"/>
    <w:rsid w:val="005F7732"/>
    <w:rsid w:val="00604DDD"/>
    <w:rsid w:val="006115CC"/>
    <w:rsid w:val="00611FC4"/>
    <w:rsid w:val="00613302"/>
    <w:rsid w:val="006133D7"/>
    <w:rsid w:val="00614D10"/>
    <w:rsid w:val="0061645F"/>
    <w:rsid w:val="006176FB"/>
    <w:rsid w:val="0062380F"/>
    <w:rsid w:val="0062564C"/>
    <w:rsid w:val="00630FCB"/>
    <w:rsid w:val="006318E8"/>
    <w:rsid w:val="00632F10"/>
    <w:rsid w:val="00633628"/>
    <w:rsid w:val="0064017F"/>
    <w:rsid w:val="00640B26"/>
    <w:rsid w:val="00642312"/>
    <w:rsid w:val="00642502"/>
    <w:rsid w:val="00643F0E"/>
    <w:rsid w:val="0064748F"/>
    <w:rsid w:val="00651A29"/>
    <w:rsid w:val="00651D57"/>
    <w:rsid w:val="006643C6"/>
    <w:rsid w:val="00667D6B"/>
    <w:rsid w:val="00671B0D"/>
    <w:rsid w:val="0067573E"/>
    <w:rsid w:val="00676999"/>
    <w:rsid w:val="006770B2"/>
    <w:rsid w:val="006812D2"/>
    <w:rsid w:val="00682407"/>
    <w:rsid w:val="006853B3"/>
    <w:rsid w:val="006904FE"/>
    <w:rsid w:val="006940E1"/>
    <w:rsid w:val="006955B0"/>
    <w:rsid w:val="0069755E"/>
    <w:rsid w:val="006A1D39"/>
    <w:rsid w:val="006A3C72"/>
    <w:rsid w:val="006A57DC"/>
    <w:rsid w:val="006A7392"/>
    <w:rsid w:val="006B03A1"/>
    <w:rsid w:val="006B44AD"/>
    <w:rsid w:val="006B67D9"/>
    <w:rsid w:val="006B6FE3"/>
    <w:rsid w:val="006C5535"/>
    <w:rsid w:val="006D0589"/>
    <w:rsid w:val="006D087A"/>
    <w:rsid w:val="006D513E"/>
    <w:rsid w:val="006E2CC1"/>
    <w:rsid w:val="006E564B"/>
    <w:rsid w:val="006E5AB7"/>
    <w:rsid w:val="006E5E16"/>
    <w:rsid w:val="006E7154"/>
    <w:rsid w:val="006F0884"/>
    <w:rsid w:val="006F4344"/>
    <w:rsid w:val="006F6363"/>
    <w:rsid w:val="007003CD"/>
    <w:rsid w:val="00703A6D"/>
    <w:rsid w:val="00706E67"/>
    <w:rsid w:val="0070701E"/>
    <w:rsid w:val="0070702F"/>
    <w:rsid w:val="0071447C"/>
    <w:rsid w:val="00714B5C"/>
    <w:rsid w:val="00715BE5"/>
    <w:rsid w:val="0072632A"/>
    <w:rsid w:val="007358E8"/>
    <w:rsid w:val="00736ECE"/>
    <w:rsid w:val="007408A0"/>
    <w:rsid w:val="0074533B"/>
    <w:rsid w:val="0075109D"/>
    <w:rsid w:val="00753C81"/>
    <w:rsid w:val="00755298"/>
    <w:rsid w:val="00755BB0"/>
    <w:rsid w:val="00762EA6"/>
    <w:rsid w:val="0076432E"/>
    <w:rsid w:val="007643BC"/>
    <w:rsid w:val="00764F01"/>
    <w:rsid w:val="00770846"/>
    <w:rsid w:val="007810E1"/>
    <w:rsid w:val="00781D93"/>
    <w:rsid w:val="00782C8C"/>
    <w:rsid w:val="007900F5"/>
    <w:rsid w:val="00790877"/>
    <w:rsid w:val="00792467"/>
    <w:rsid w:val="00793C71"/>
    <w:rsid w:val="00794177"/>
    <w:rsid w:val="007942D2"/>
    <w:rsid w:val="0079577B"/>
    <w:rsid w:val="007959FE"/>
    <w:rsid w:val="00795E37"/>
    <w:rsid w:val="007A0CF1"/>
    <w:rsid w:val="007A38B0"/>
    <w:rsid w:val="007A4384"/>
    <w:rsid w:val="007A75D4"/>
    <w:rsid w:val="007A7CC0"/>
    <w:rsid w:val="007B5D17"/>
    <w:rsid w:val="007B5DDD"/>
    <w:rsid w:val="007B614B"/>
    <w:rsid w:val="007B6A61"/>
    <w:rsid w:val="007B6BA5"/>
    <w:rsid w:val="007C0791"/>
    <w:rsid w:val="007C116D"/>
    <w:rsid w:val="007C3390"/>
    <w:rsid w:val="007C42D8"/>
    <w:rsid w:val="007C4F4B"/>
    <w:rsid w:val="007C68C8"/>
    <w:rsid w:val="007D4DE9"/>
    <w:rsid w:val="007D5759"/>
    <w:rsid w:val="007D6D44"/>
    <w:rsid w:val="007D7362"/>
    <w:rsid w:val="007E36CB"/>
    <w:rsid w:val="007E4914"/>
    <w:rsid w:val="007E5DBE"/>
    <w:rsid w:val="007F142E"/>
    <w:rsid w:val="007F1E0D"/>
    <w:rsid w:val="007F2E11"/>
    <w:rsid w:val="007F546E"/>
    <w:rsid w:val="007F5CE2"/>
    <w:rsid w:val="007F6611"/>
    <w:rsid w:val="00803B7F"/>
    <w:rsid w:val="00805B4F"/>
    <w:rsid w:val="00805DE0"/>
    <w:rsid w:val="00810BAC"/>
    <w:rsid w:val="0081100B"/>
    <w:rsid w:val="008153BB"/>
    <w:rsid w:val="008175E9"/>
    <w:rsid w:val="008203B2"/>
    <w:rsid w:val="0082405C"/>
    <w:rsid w:val="008242D7"/>
    <w:rsid w:val="00825578"/>
    <w:rsid w:val="008256D7"/>
    <w:rsid w:val="0082577B"/>
    <w:rsid w:val="00830D15"/>
    <w:rsid w:val="008330FC"/>
    <w:rsid w:val="0083344C"/>
    <w:rsid w:val="00834DF7"/>
    <w:rsid w:val="00835C07"/>
    <w:rsid w:val="00843148"/>
    <w:rsid w:val="00846B4A"/>
    <w:rsid w:val="008558E7"/>
    <w:rsid w:val="0086054B"/>
    <w:rsid w:val="00866893"/>
    <w:rsid w:val="00866F02"/>
    <w:rsid w:val="00867D18"/>
    <w:rsid w:val="008707F8"/>
    <w:rsid w:val="00871F9A"/>
    <w:rsid w:val="00871FD5"/>
    <w:rsid w:val="00876B8E"/>
    <w:rsid w:val="00881335"/>
    <w:rsid w:val="0088172E"/>
    <w:rsid w:val="00881EFA"/>
    <w:rsid w:val="00882A19"/>
    <w:rsid w:val="00883E28"/>
    <w:rsid w:val="00884516"/>
    <w:rsid w:val="00887A7D"/>
    <w:rsid w:val="0089256A"/>
    <w:rsid w:val="008967C0"/>
    <w:rsid w:val="008979B1"/>
    <w:rsid w:val="008A57C8"/>
    <w:rsid w:val="008A5859"/>
    <w:rsid w:val="008A6792"/>
    <w:rsid w:val="008A6B25"/>
    <w:rsid w:val="008A6C4F"/>
    <w:rsid w:val="008A7787"/>
    <w:rsid w:val="008B389E"/>
    <w:rsid w:val="008B41F4"/>
    <w:rsid w:val="008B4C17"/>
    <w:rsid w:val="008B59E3"/>
    <w:rsid w:val="008C401D"/>
    <w:rsid w:val="008C5B2D"/>
    <w:rsid w:val="008C5BCB"/>
    <w:rsid w:val="008C75AA"/>
    <w:rsid w:val="008D045E"/>
    <w:rsid w:val="008D0D4F"/>
    <w:rsid w:val="008D3F25"/>
    <w:rsid w:val="008D4D82"/>
    <w:rsid w:val="008E0E09"/>
    <w:rsid w:val="008E0E46"/>
    <w:rsid w:val="008E5A5D"/>
    <w:rsid w:val="008E7116"/>
    <w:rsid w:val="008F0636"/>
    <w:rsid w:val="008F143B"/>
    <w:rsid w:val="008F33C4"/>
    <w:rsid w:val="008F3882"/>
    <w:rsid w:val="008F3C40"/>
    <w:rsid w:val="008F4B7C"/>
    <w:rsid w:val="0090465B"/>
    <w:rsid w:val="00904D63"/>
    <w:rsid w:val="00906BFE"/>
    <w:rsid w:val="0090792A"/>
    <w:rsid w:val="00913504"/>
    <w:rsid w:val="00914DC3"/>
    <w:rsid w:val="0091597A"/>
    <w:rsid w:val="00915C95"/>
    <w:rsid w:val="00916B9C"/>
    <w:rsid w:val="00924CF0"/>
    <w:rsid w:val="00926E47"/>
    <w:rsid w:val="009324AE"/>
    <w:rsid w:val="009335D5"/>
    <w:rsid w:val="0094444F"/>
    <w:rsid w:val="00945B24"/>
    <w:rsid w:val="00946D3D"/>
    <w:rsid w:val="00946EAC"/>
    <w:rsid w:val="00947162"/>
    <w:rsid w:val="0094746A"/>
    <w:rsid w:val="009479C1"/>
    <w:rsid w:val="00950823"/>
    <w:rsid w:val="00953163"/>
    <w:rsid w:val="00955410"/>
    <w:rsid w:val="009601FF"/>
    <w:rsid w:val="0096068B"/>
    <w:rsid w:val="00960D5D"/>
    <w:rsid w:val="009610D0"/>
    <w:rsid w:val="0096375C"/>
    <w:rsid w:val="009662E6"/>
    <w:rsid w:val="0097095E"/>
    <w:rsid w:val="00971E4D"/>
    <w:rsid w:val="00974F7C"/>
    <w:rsid w:val="00980F57"/>
    <w:rsid w:val="009826E8"/>
    <w:rsid w:val="00982DDC"/>
    <w:rsid w:val="0098592B"/>
    <w:rsid w:val="00985AB9"/>
    <w:rsid w:val="00985FC4"/>
    <w:rsid w:val="00986DFE"/>
    <w:rsid w:val="00990766"/>
    <w:rsid w:val="00991261"/>
    <w:rsid w:val="0099198F"/>
    <w:rsid w:val="00992C68"/>
    <w:rsid w:val="0099552C"/>
    <w:rsid w:val="00995FA1"/>
    <w:rsid w:val="009964C4"/>
    <w:rsid w:val="0099702C"/>
    <w:rsid w:val="009A16C9"/>
    <w:rsid w:val="009A6B7B"/>
    <w:rsid w:val="009A7B81"/>
    <w:rsid w:val="009B29EA"/>
    <w:rsid w:val="009B6116"/>
    <w:rsid w:val="009C144C"/>
    <w:rsid w:val="009C500D"/>
    <w:rsid w:val="009C59B9"/>
    <w:rsid w:val="009D01C0"/>
    <w:rsid w:val="009D0FD7"/>
    <w:rsid w:val="009D6A08"/>
    <w:rsid w:val="009E0A16"/>
    <w:rsid w:val="009E0AE4"/>
    <w:rsid w:val="009E7970"/>
    <w:rsid w:val="009F247F"/>
    <w:rsid w:val="009F2EAC"/>
    <w:rsid w:val="009F57E3"/>
    <w:rsid w:val="009F6961"/>
    <w:rsid w:val="00A00D3D"/>
    <w:rsid w:val="00A07EBB"/>
    <w:rsid w:val="00A10F4F"/>
    <w:rsid w:val="00A11067"/>
    <w:rsid w:val="00A13229"/>
    <w:rsid w:val="00A138AB"/>
    <w:rsid w:val="00A1704A"/>
    <w:rsid w:val="00A23E9E"/>
    <w:rsid w:val="00A370D7"/>
    <w:rsid w:val="00A3791B"/>
    <w:rsid w:val="00A400D3"/>
    <w:rsid w:val="00A41BB8"/>
    <w:rsid w:val="00A425EB"/>
    <w:rsid w:val="00A430C8"/>
    <w:rsid w:val="00A45CB7"/>
    <w:rsid w:val="00A47439"/>
    <w:rsid w:val="00A521B8"/>
    <w:rsid w:val="00A6451D"/>
    <w:rsid w:val="00A72F22"/>
    <w:rsid w:val="00A733BC"/>
    <w:rsid w:val="00A748A6"/>
    <w:rsid w:val="00A749C1"/>
    <w:rsid w:val="00A76A69"/>
    <w:rsid w:val="00A77D0C"/>
    <w:rsid w:val="00A81AF4"/>
    <w:rsid w:val="00A824E7"/>
    <w:rsid w:val="00A865A7"/>
    <w:rsid w:val="00A879A4"/>
    <w:rsid w:val="00A910B4"/>
    <w:rsid w:val="00A92CB8"/>
    <w:rsid w:val="00A92F96"/>
    <w:rsid w:val="00A95935"/>
    <w:rsid w:val="00A95E35"/>
    <w:rsid w:val="00A96696"/>
    <w:rsid w:val="00A976DD"/>
    <w:rsid w:val="00AA0FF8"/>
    <w:rsid w:val="00AA1E08"/>
    <w:rsid w:val="00AA3567"/>
    <w:rsid w:val="00AB2CE7"/>
    <w:rsid w:val="00AB2D13"/>
    <w:rsid w:val="00AB5169"/>
    <w:rsid w:val="00AC0F2C"/>
    <w:rsid w:val="00AC1453"/>
    <w:rsid w:val="00AC49A5"/>
    <w:rsid w:val="00AC502A"/>
    <w:rsid w:val="00AC7298"/>
    <w:rsid w:val="00AE0909"/>
    <w:rsid w:val="00AF3A98"/>
    <w:rsid w:val="00AF58C1"/>
    <w:rsid w:val="00B01321"/>
    <w:rsid w:val="00B03E68"/>
    <w:rsid w:val="00B05D2C"/>
    <w:rsid w:val="00B06643"/>
    <w:rsid w:val="00B15055"/>
    <w:rsid w:val="00B17FC5"/>
    <w:rsid w:val="00B2175D"/>
    <w:rsid w:val="00B27044"/>
    <w:rsid w:val="00B27377"/>
    <w:rsid w:val="00B30179"/>
    <w:rsid w:val="00B37B15"/>
    <w:rsid w:val="00B414AA"/>
    <w:rsid w:val="00B4482F"/>
    <w:rsid w:val="00B45C02"/>
    <w:rsid w:val="00B4691D"/>
    <w:rsid w:val="00B46AB9"/>
    <w:rsid w:val="00B47667"/>
    <w:rsid w:val="00B609E7"/>
    <w:rsid w:val="00B62086"/>
    <w:rsid w:val="00B628EC"/>
    <w:rsid w:val="00B62EEE"/>
    <w:rsid w:val="00B63F27"/>
    <w:rsid w:val="00B70F5A"/>
    <w:rsid w:val="00B71791"/>
    <w:rsid w:val="00B72A1E"/>
    <w:rsid w:val="00B75E02"/>
    <w:rsid w:val="00B77001"/>
    <w:rsid w:val="00B80D50"/>
    <w:rsid w:val="00B81E12"/>
    <w:rsid w:val="00B8509D"/>
    <w:rsid w:val="00B857BE"/>
    <w:rsid w:val="00B8594F"/>
    <w:rsid w:val="00B9110C"/>
    <w:rsid w:val="00BA0587"/>
    <w:rsid w:val="00BA1A4B"/>
    <w:rsid w:val="00BA339B"/>
    <w:rsid w:val="00BB0E72"/>
    <w:rsid w:val="00BB2862"/>
    <w:rsid w:val="00BB3D9E"/>
    <w:rsid w:val="00BC1E7E"/>
    <w:rsid w:val="00BC24E4"/>
    <w:rsid w:val="00BC2E45"/>
    <w:rsid w:val="00BC3E26"/>
    <w:rsid w:val="00BC74E9"/>
    <w:rsid w:val="00BD242C"/>
    <w:rsid w:val="00BD2A2D"/>
    <w:rsid w:val="00BE36A9"/>
    <w:rsid w:val="00BE49ED"/>
    <w:rsid w:val="00BE618E"/>
    <w:rsid w:val="00BE7BEC"/>
    <w:rsid w:val="00BF0A5A"/>
    <w:rsid w:val="00BF0B99"/>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49B1"/>
    <w:rsid w:val="00C15DC2"/>
    <w:rsid w:val="00C2098C"/>
    <w:rsid w:val="00C250FE"/>
    <w:rsid w:val="00C31A6C"/>
    <w:rsid w:val="00C36878"/>
    <w:rsid w:val="00C3710D"/>
    <w:rsid w:val="00C37628"/>
    <w:rsid w:val="00C443B6"/>
    <w:rsid w:val="00C44BB0"/>
    <w:rsid w:val="00C45BBB"/>
    <w:rsid w:val="00C463DD"/>
    <w:rsid w:val="00C46997"/>
    <w:rsid w:val="00C60694"/>
    <w:rsid w:val="00C60D93"/>
    <w:rsid w:val="00C62A7A"/>
    <w:rsid w:val="00C66991"/>
    <w:rsid w:val="00C70809"/>
    <w:rsid w:val="00C745C3"/>
    <w:rsid w:val="00C805A7"/>
    <w:rsid w:val="00C82AD8"/>
    <w:rsid w:val="00C83923"/>
    <w:rsid w:val="00C86B1A"/>
    <w:rsid w:val="00C9213B"/>
    <w:rsid w:val="00C9346D"/>
    <w:rsid w:val="00CA0883"/>
    <w:rsid w:val="00CA2221"/>
    <w:rsid w:val="00CA24A4"/>
    <w:rsid w:val="00CA3137"/>
    <w:rsid w:val="00CA3AF1"/>
    <w:rsid w:val="00CA44E1"/>
    <w:rsid w:val="00CB08EA"/>
    <w:rsid w:val="00CB1981"/>
    <w:rsid w:val="00CB348D"/>
    <w:rsid w:val="00CB34BE"/>
    <w:rsid w:val="00CB4FCE"/>
    <w:rsid w:val="00CB51DE"/>
    <w:rsid w:val="00CB5B76"/>
    <w:rsid w:val="00CB763D"/>
    <w:rsid w:val="00CC0178"/>
    <w:rsid w:val="00CC1589"/>
    <w:rsid w:val="00CC1B3A"/>
    <w:rsid w:val="00CC2CB9"/>
    <w:rsid w:val="00CC4E06"/>
    <w:rsid w:val="00CC4EC6"/>
    <w:rsid w:val="00CD0A8F"/>
    <w:rsid w:val="00CD1C17"/>
    <w:rsid w:val="00CD2214"/>
    <w:rsid w:val="00CD46F5"/>
    <w:rsid w:val="00CD58A9"/>
    <w:rsid w:val="00CD6883"/>
    <w:rsid w:val="00CD6C29"/>
    <w:rsid w:val="00CE2428"/>
    <w:rsid w:val="00CE3584"/>
    <w:rsid w:val="00CE4A8F"/>
    <w:rsid w:val="00CE52ED"/>
    <w:rsid w:val="00CF071D"/>
    <w:rsid w:val="00CF102B"/>
    <w:rsid w:val="00CF116C"/>
    <w:rsid w:val="00CF5A3E"/>
    <w:rsid w:val="00D00745"/>
    <w:rsid w:val="00D03595"/>
    <w:rsid w:val="00D15B04"/>
    <w:rsid w:val="00D2031B"/>
    <w:rsid w:val="00D22806"/>
    <w:rsid w:val="00D231B0"/>
    <w:rsid w:val="00D23EAC"/>
    <w:rsid w:val="00D23F0F"/>
    <w:rsid w:val="00D25EC1"/>
    <w:rsid w:val="00D25FE2"/>
    <w:rsid w:val="00D35112"/>
    <w:rsid w:val="00D37DA9"/>
    <w:rsid w:val="00D406A7"/>
    <w:rsid w:val="00D42FE3"/>
    <w:rsid w:val="00D43252"/>
    <w:rsid w:val="00D44D86"/>
    <w:rsid w:val="00D4540B"/>
    <w:rsid w:val="00D50B7D"/>
    <w:rsid w:val="00D52012"/>
    <w:rsid w:val="00D52588"/>
    <w:rsid w:val="00D53D19"/>
    <w:rsid w:val="00D57536"/>
    <w:rsid w:val="00D61DAF"/>
    <w:rsid w:val="00D6633F"/>
    <w:rsid w:val="00D704E5"/>
    <w:rsid w:val="00D72689"/>
    <w:rsid w:val="00D72727"/>
    <w:rsid w:val="00D731DD"/>
    <w:rsid w:val="00D73D7E"/>
    <w:rsid w:val="00D74114"/>
    <w:rsid w:val="00D84241"/>
    <w:rsid w:val="00D8478F"/>
    <w:rsid w:val="00D871AC"/>
    <w:rsid w:val="00D90395"/>
    <w:rsid w:val="00D90415"/>
    <w:rsid w:val="00D917F9"/>
    <w:rsid w:val="00D91E8D"/>
    <w:rsid w:val="00D978C6"/>
    <w:rsid w:val="00DA0956"/>
    <w:rsid w:val="00DA1020"/>
    <w:rsid w:val="00DA121A"/>
    <w:rsid w:val="00DA2D44"/>
    <w:rsid w:val="00DA357F"/>
    <w:rsid w:val="00DA3E12"/>
    <w:rsid w:val="00DB0BFD"/>
    <w:rsid w:val="00DB5900"/>
    <w:rsid w:val="00DB66FA"/>
    <w:rsid w:val="00DC18AD"/>
    <w:rsid w:val="00DC1F69"/>
    <w:rsid w:val="00DC36B8"/>
    <w:rsid w:val="00DC584A"/>
    <w:rsid w:val="00DD3FE8"/>
    <w:rsid w:val="00DD4241"/>
    <w:rsid w:val="00DD50EB"/>
    <w:rsid w:val="00DE0CB9"/>
    <w:rsid w:val="00DE178B"/>
    <w:rsid w:val="00DE5105"/>
    <w:rsid w:val="00DF1147"/>
    <w:rsid w:val="00DF1A1E"/>
    <w:rsid w:val="00DF3B63"/>
    <w:rsid w:val="00DF4518"/>
    <w:rsid w:val="00DF45EB"/>
    <w:rsid w:val="00DF6A82"/>
    <w:rsid w:val="00DF7CAE"/>
    <w:rsid w:val="00E02011"/>
    <w:rsid w:val="00E02660"/>
    <w:rsid w:val="00E0353F"/>
    <w:rsid w:val="00E11BB2"/>
    <w:rsid w:val="00E1773B"/>
    <w:rsid w:val="00E30E8C"/>
    <w:rsid w:val="00E324A0"/>
    <w:rsid w:val="00E37495"/>
    <w:rsid w:val="00E423C0"/>
    <w:rsid w:val="00E43A2E"/>
    <w:rsid w:val="00E50BC6"/>
    <w:rsid w:val="00E53624"/>
    <w:rsid w:val="00E550E7"/>
    <w:rsid w:val="00E563D0"/>
    <w:rsid w:val="00E57974"/>
    <w:rsid w:val="00E62965"/>
    <w:rsid w:val="00E6414C"/>
    <w:rsid w:val="00E672F0"/>
    <w:rsid w:val="00E7260F"/>
    <w:rsid w:val="00E771AF"/>
    <w:rsid w:val="00E82C50"/>
    <w:rsid w:val="00E86772"/>
    <w:rsid w:val="00E8702D"/>
    <w:rsid w:val="00E87C7D"/>
    <w:rsid w:val="00E916A9"/>
    <w:rsid w:val="00E916DE"/>
    <w:rsid w:val="00E92C9E"/>
    <w:rsid w:val="00E9388E"/>
    <w:rsid w:val="00E96630"/>
    <w:rsid w:val="00EA586A"/>
    <w:rsid w:val="00EA5CAB"/>
    <w:rsid w:val="00EB5B1B"/>
    <w:rsid w:val="00EC10B9"/>
    <w:rsid w:val="00EC2DB3"/>
    <w:rsid w:val="00EC6D0C"/>
    <w:rsid w:val="00ED044A"/>
    <w:rsid w:val="00ED0C27"/>
    <w:rsid w:val="00ED18DC"/>
    <w:rsid w:val="00ED2FA9"/>
    <w:rsid w:val="00ED6201"/>
    <w:rsid w:val="00ED7A2A"/>
    <w:rsid w:val="00ED7C8C"/>
    <w:rsid w:val="00ED7F40"/>
    <w:rsid w:val="00EE3D65"/>
    <w:rsid w:val="00EE4832"/>
    <w:rsid w:val="00EE586A"/>
    <w:rsid w:val="00EF1D7F"/>
    <w:rsid w:val="00EF4426"/>
    <w:rsid w:val="00F0137E"/>
    <w:rsid w:val="00F0148F"/>
    <w:rsid w:val="00F04571"/>
    <w:rsid w:val="00F1476A"/>
    <w:rsid w:val="00F21786"/>
    <w:rsid w:val="00F237F4"/>
    <w:rsid w:val="00F347BC"/>
    <w:rsid w:val="00F3742B"/>
    <w:rsid w:val="00F40CCF"/>
    <w:rsid w:val="00F41FDB"/>
    <w:rsid w:val="00F52987"/>
    <w:rsid w:val="00F5337D"/>
    <w:rsid w:val="00F5361D"/>
    <w:rsid w:val="00F5390C"/>
    <w:rsid w:val="00F56D63"/>
    <w:rsid w:val="00F609A9"/>
    <w:rsid w:val="00F6280E"/>
    <w:rsid w:val="00F7472D"/>
    <w:rsid w:val="00F80C99"/>
    <w:rsid w:val="00F86204"/>
    <w:rsid w:val="00F867EC"/>
    <w:rsid w:val="00F9096A"/>
    <w:rsid w:val="00F91B2B"/>
    <w:rsid w:val="00FA28CC"/>
    <w:rsid w:val="00FA3135"/>
    <w:rsid w:val="00FA3269"/>
    <w:rsid w:val="00FB468B"/>
    <w:rsid w:val="00FC03CD"/>
    <w:rsid w:val="00FC0646"/>
    <w:rsid w:val="00FC0826"/>
    <w:rsid w:val="00FC161F"/>
    <w:rsid w:val="00FC2FC6"/>
    <w:rsid w:val="00FC33D6"/>
    <w:rsid w:val="00FC55A7"/>
    <w:rsid w:val="00FC68B7"/>
    <w:rsid w:val="00FD05AF"/>
    <w:rsid w:val="00FD0A90"/>
    <w:rsid w:val="00FD55B1"/>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85E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link w:val="PieddepageCar"/>
    <w:uiPriority w:val="99"/>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Marquedecommentaire">
    <w:name w:val="annotation reference"/>
    <w:basedOn w:val="Policepardfaut"/>
    <w:rsid w:val="00273433"/>
    <w:rPr>
      <w:sz w:val="16"/>
      <w:szCs w:val="16"/>
    </w:rPr>
  </w:style>
  <w:style w:type="paragraph" w:styleId="Commentaire">
    <w:name w:val="annotation text"/>
    <w:basedOn w:val="Normal"/>
    <w:link w:val="CommentaireCar"/>
    <w:rsid w:val="00273433"/>
  </w:style>
  <w:style w:type="character" w:customStyle="1" w:styleId="CommentaireCar">
    <w:name w:val="Commentaire Car"/>
    <w:basedOn w:val="Policepardfaut"/>
    <w:link w:val="Commentaire"/>
    <w:rsid w:val="00273433"/>
    <w:rPr>
      <w:lang w:val="en-GB"/>
    </w:rPr>
  </w:style>
  <w:style w:type="paragraph" w:styleId="Objetducommentaire">
    <w:name w:val="annotation subject"/>
    <w:basedOn w:val="Commentaire"/>
    <w:next w:val="Commentaire"/>
    <w:link w:val="ObjetducommentaireCar"/>
    <w:rsid w:val="00273433"/>
    <w:rPr>
      <w:b/>
      <w:bCs/>
    </w:rPr>
  </w:style>
  <w:style w:type="character" w:customStyle="1" w:styleId="ObjetducommentaireCar">
    <w:name w:val="Objet du commentaire Car"/>
    <w:basedOn w:val="CommentaireCar"/>
    <w:link w:val="Objetducommentaire"/>
    <w:rsid w:val="00273433"/>
    <w:rPr>
      <w:b/>
      <w:bCs/>
      <w:lang w:val="en-GB"/>
    </w:rPr>
  </w:style>
  <w:style w:type="character" w:customStyle="1" w:styleId="PieddepageCar">
    <w:name w:val="Pied de page Car"/>
    <w:aliases w:val="3_G Car"/>
    <w:link w:val="Pieddepage"/>
    <w:uiPriority w:val="99"/>
    <w:rsid w:val="006A57DC"/>
    <w:rPr>
      <w:sz w:val="16"/>
      <w:lang w:val="en-GB"/>
    </w:rPr>
  </w:style>
  <w:style w:type="paragraph" w:styleId="Paragraphedeliste">
    <w:name w:val="List Paragraph"/>
    <w:basedOn w:val="Normal"/>
    <w:uiPriority w:val="34"/>
    <w:qFormat/>
    <w:rsid w:val="00971E4D"/>
    <w:pPr>
      <w:ind w:left="720"/>
      <w:contextualSpacing/>
    </w:pPr>
  </w:style>
  <w:style w:type="character" w:customStyle="1" w:styleId="H23GChar">
    <w:name w:val="_ H_2/3_G Char"/>
    <w:link w:val="H23G"/>
    <w:locked/>
    <w:rsid w:val="00245DD6"/>
    <w:rPr>
      <w:b/>
      <w:lang w:val="en-GB"/>
    </w:rPr>
  </w:style>
  <w:style w:type="paragraph" w:styleId="NormalWeb">
    <w:name w:val="Normal (Web)"/>
    <w:basedOn w:val="Normal"/>
    <w:uiPriority w:val="99"/>
    <w:unhideWhenUsed/>
    <w:rsid w:val="0075109D"/>
    <w:pPr>
      <w:spacing w:before="100" w:beforeAutospacing="1" w:after="100" w:afterAutospacing="1"/>
    </w:pPr>
    <w:rPr>
      <w:rFonts w:eastAsiaTheme="minorEastAsia"/>
      <w:sz w:val="24"/>
      <w:szCs w:val="24"/>
    </w:rPr>
  </w:style>
  <w:style w:type="paragraph" w:customStyle="1" w:styleId="Default">
    <w:name w:val="Default"/>
    <w:rsid w:val="00A13229"/>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46AFE-9440-44D2-8916-B6CB2E217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09D10-8431-4261-A0F6-2B5F7C59FA7B}">
  <ds:schemaRefs>
    <ds:schemaRef ds:uri="http://schemas.microsoft.com/sharepoint/v3/contenttype/forms"/>
  </ds:schemaRefs>
</ds:datastoreItem>
</file>

<file path=customXml/itemProps3.xml><?xml version="1.0" encoding="utf-8"?>
<ds:datastoreItem xmlns:ds="http://schemas.openxmlformats.org/officeDocument/2006/customXml" ds:itemID="{CBF2EE3D-912F-6E4F-9620-093F27F1CB38}">
  <ds:schemaRefs>
    <ds:schemaRef ds:uri="http://schemas.openxmlformats.org/officeDocument/2006/bibliography"/>
  </ds:schemaRefs>
</ds:datastoreItem>
</file>

<file path=customXml/itemProps4.xml><?xml version="1.0" encoding="utf-8"?>
<ds:datastoreItem xmlns:ds="http://schemas.openxmlformats.org/officeDocument/2006/customXml" ds:itemID="{4C75687A-0C3F-412F-960E-20E8E9BD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916</Words>
  <Characters>5227</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INF</vt:lpstr>
      <vt:lpstr>INF</vt:lpstr>
      <vt:lpstr>INF</vt:lpstr>
    </vt:vector>
  </TitlesOfParts>
  <Manager/>
  <Company>UNECE</Company>
  <LinksUpToDate>false</LinksUpToDate>
  <CharactersWithSpaces>6131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10</cp:revision>
  <cp:lastPrinted>2020-09-10T05:57:00Z</cp:lastPrinted>
  <dcterms:created xsi:type="dcterms:W3CDTF">2021-09-08T12:11:00Z</dcterms:created>
  <dcterms:modified xsi:type="dcterms:W3CDTF">2021-09-09T09:40:00Z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