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8742" w14:textId="77777777" w:rsidR="004E3AAB" w:rsidRPr="00104A1E" w:rsidRDefault="004E3AAB" w:rsidP="00611DA7">
      <w:pPr>
        <w:suppressAutoHyphens/>
        <w:spacing w:before="120" w:after="0" w:line="240" w:lineRule="atLeast"/>
        <w:rPr>
          <w:b/>
          <w:sz w:val="28"/>
          <w:szCs w:val="28"/>
        </w:rPr>
      </w:pPr>
      <w:r w:rsidRPr="00104A1E">
        <w:rPr>
          <w:b/>
          <w:sz w:val="28"/>
          <w:szCs w:val="28"/>
        </w:rPr>
        <w:t>Economic Commission for Europe</w:t>
      </w:r>
    </w:p>
    <w:p w14:paraId="6FBDD720" w14:textId="77777777" w:rsidR="004E3AAB" w:rsidRPr="00104A1E" w:rsidRDefault="004E3AAB" w:rsidP="004E3AAB">
      <w:pPr>
        <w:spacing w:before="120"/>
        <w:rPr>
          <w:sz w:val="28"/>
          <w:szCs w:val="28"/>
        </w:rPr>
      </w:pPr>
      <w:r w:rsidRPr="00104A1E">
        <w:rPr>
          <w:sz w:val="28"/>
          <w:szCs w:val="28"/>
        </w:rPr>
        <w:t>Inland Transport Committee</w:t>
      </w:r>
    </w:p>
    <w:p w14:paraId="60F2D2E5" w14:textId="77777777" w:rsidR="004E3AAB" w:rsidRPr="00104A1E" w:rsidRDefault="004E3AAB" w:rsidP="00E66CAB">
      <w:pPr>
        <w:suppressAutoHyphens/>
        <w:spacing w:before="120" w:after="120" w:line="240" w:lineRule="atLeast"/>
        <w:rPr>
          <w:b/>
          <w:sz w:val="24"/>
          <w:szCs w:val="24"/>
        </w:rPr>
      </w:pPr>
      <w:r w:rsidRPr="00104A1E">
        <w:rPr>
          <w:b/>
          <w:sz w:val="24"/>
          <w:szCs w:val="24"/>
        </w:rPr>
        <w:t>Working Party on the Transport of Dangerous Goods</w:t>
      </w:r>
    </w:p>
    <w:p w14:paraId="5E918729" w14:textId="77777777" w:rsidR="004E3AAB" w:rsidRPr="00104A1E" w:rsidRDefault="004E3AAB" w:rsidP="00762298">
      <w:pPr>
        <w:suppressAutoHyphens/>
        <w:spacing w:after="0" w:line="240" w:lineRule="atLeast"/>
        <w:rPr>
          <w:b/>
        </w:rPr>
      </w:pPr>
      <w:r w:rsidRPr="00104A1E">
        <w:rPr>
          <w:b/>
        </w:rPr>
        <w:t>Joint Meeting of the RID Committee of Experts and the</w:t>
      </w:r>
    </w:p>
    <w:p w14:paraId="0FFB2649" w14:textId="77777777" w:rsidR="004E3AAB" w:rsidRPr="00104A1E" w:rsidRDefault="004E3AAB" w:rsidP="00C164EB">
      <w:pPr>
        <w:suppressAutoHyphens/>
        <w:spacing w:after="0" w:line="240" w:lineRule="atLeast"/>
        <w:rPr>
          <w:b/>
        </w:rPr>
      </w:pPr>
      <w:r w:rsidRPr="00104A1E">
        <w:rPr>
          <w:b/>
        </w:rPr>
        <w:t>Working Party on the Transport of Dangerous Goods</w:t>
      </w:r>
    </w:p>
    <w:p w14:paraId="30F871B2" w14:textId="77777777" w:rsidR="004E3AAB" w:rsidRPr="006E1D01" w:rsidRDefault="004E3AAB" w:rsidP="003F4DCC">
      <w:pPr>
        <w:suppressAutoHyphens/>
        <w:spacing w:after="0" w:line="240" w:lineRule="atLeast"/>
      </w:pPr>
      <w:r w:rsidRPr="006E1D01">
        <w:t xml:space="preserve">Geneva, </w:t>
      </w:r>
      <w:r>
        <w:t>21</w:t>
      </w:r>
      <w:r w:rsidRPr="006E1D01">
        <w:t xml:space="preserve"> September </w:t>
      </w:r>
      <w:r>
        <w:t>to 1</w:t>
      </w:r>
      <w:r>
        <w:rPr>
          <w:vertAlign w:val="superscript"/>
        </w:rPr>
        <w:t xml:space="preserve"> </w:t>
      </w:r>
      <w:r>
        <w:t xml:space="preserve">October </w:t>
      </w:r>
      <w:r w:rsidRPr="006E1D01">
        <w:t>2021</w:t>
      </w:r>
      <w:r>
        <w:tab/>
      </w:r>
      <w:r>
        <w:tab/>
      </w:r>
      <w:r>
        <w:tab/>
      </w:r>
      <w:r>
        <w:tab/>
      </w:r>
      <w:r>
        <w:tab/>
      </w:r>
      <w:r>
        <w:tab/>
      </w:r>
      <w:r>
        <w:tab/>
        <w:t>2 September 2021</w:t>
      </w:r>
    </w:p>
    <w:p w14:paraId="462E95D3" w14:textId="77777777" w:rsidR="004E3AAB" w:rsidRPr="00104A1E" w:rsidRDefault="004E3AAB" w:rsidP="00A5064C">
      <w:pPr>
        <w:suppressAutoHyphens/>
        <w:spacing w:after="0" w:line="240" w:lineRule="atLeast"/>
        <w:rPr>
          <w:lang w:val="en-US"/>
        </w:rPr>
      </w:pPr>
      <w:r w:rsidRPr="00104A1E">
        <w:rPr>
          <w:lang w:val="en-US"/>
        </w:rPr>
        <w:t>Item 3 of the provisional agenda</w:t>
      </w:r>
    </w:p>
    <w:p w14:paraId="20D1643D" w14:textId="0436A988" w:rsidR="006643C6" w:rsidRPr="000F6503" w:rsidRDefault="004E3AAB" w:rsidP="000050F2">
      <w:pPr>
        <w:suppressAutoHyphens/>
        <w:spacing w:after="0" w:line="240" w:lineRule="atLeast"/>
      </w:pPr>
      <w:r w:rsidRPr="00104A1E">
        <w:rPr>
          <w:b/>
        </w:rPr>
        <w:t>Standards</w:t>
      </w:r>
    </w:p>
    <w:p w14:paraId="74FDBFC1" w14:textId="5A83887B" w:rsidR="00D1721E" w:rsidRPr="000F6503" w:rsidRDefault="002574B9" w:rsidP="00D1721E">
      <w:pPr>
        <w:pStyle w:val="HChG"/>
      </w:pPr>
      <w:r w:rsidRPr="000F6503">
        <w:tab/>
      </w:r>
      <w:r w:rsidRPr="000F6503">
        <w:tab/>
      </w:r>
      <w:r w:rsidR="00D1721E" w:rsidRPr="000F6503">
        <w:t xml:space="preserve">Clarification of the </w:t>
      </w:r>
      <w:r w:rsidR="00DB4674" w:rsidRPr="000F6503">
        <w:t xml:space="preserve">requirements for the application of </w:t>
      </w:r>
      <w:r w:rsidR="00D1721E" w:rsidRPr="000F6503">
        <w:t>standards in Chapter</w:t>
      </w:r>
      <w:r w:rsidR="00464894">
        <w:t>s</w:t>
      </w:r>
      <w:r w:rsidR="00D1721E" w:rsidRPr="000F6503">
        <w:t xml:space="preserve"> 6.2 and 6.8</w:t>
      </w:r>
    </w:p>
    <w:p w14:paraId="11F9865F" w14:textId="2BE02D44" w:rsidR="00193421" w:rsidRPr="000F6503" w:rsidRDefault="00D1721E" w:rsidP="00D1721E">
      <w:pPr>
        <w:pStyle w:val="HChG"/>
        <w:rPr>
          <w:sz w:val="24"/>
        </w:rPr>
      </w:pPr>
      <w:r w:rsidRPr="000F6503">
        <w:rPr>
          <w:sz w:val="24"/>
        </w:rPr>
        <w:tab/>
      </w:r>
      <w:r w:rsidRPr="000F6503">
        <w:rPr>
          <w:sz w:val="24"/>
        </w:rPr>
        <w:tab/>
        <w:t>Transmitted by the European Committee for Standardisation (CEN)</w:t>
      </w:r>
      <w:r w:rsidR="00193421" w:rsidRPr="000F6503">
        <w:rPr>
          <w:sz w:val="24"/>
        </w:rPr>
        <w:t xml:space="preserve"> </w:t>
      </w:r>
    </w:p>
    <w:p w14:paraId="52354366" w14:textId="5E3A1F35" w:rsidR="00D1721E" w:rsidRPr="000F6503" w:rsidRDefault="00D1721E" w:rsidP="0030176C">
      <w:pPr>
        <w:pStyle w:val="HChG"/>
      </w:pPr>
      <w:r w:rsidRPr="000F6503">
        <w:tab/>
      </w:r>
      <w:r w:rsidRPr="000F6503">
        <w:tab/>
        <w:t>Introduction</w:t>
      </w:r>
    </w:p>
    <w:p w14:paraId="1984AF11" w14:textId="01E35F3C" w:rsidR="00FC2311" w:rsidRPr="000F6503" w:rsidRDefault="004D6F37" w:rsidP="00193421">
      <w:pPr>
        <w:pStyle w:val="SingleTxtG"/>
      </w:pPr>
      <w:r w:rsidRPr="000F6503">
        <w:t>1.</w:t>
      </w:r>
      <w:r w:rsidRPr="000F6503">
        <w:tab/>
      </w:r>
      <w:r w:rsidR="00AD4FF7" w:rsidRPr="000F6503">
        <w:t xml:space="preserve">At the previous </w:t>
      </w:r>
      <w:r w:rsidR="00FC2311" w:rsidRPr="000F6503">
        <w:t>Joint M</w:t>
      </w:r>
      <w:r w:rsidR="00AD4FF7" w:rsidRPr="000F6503">
        <w:t xml:space="preserve">eeting CEN commented </w:t>
      </w:r>
      <w:r w:rsidR="00FC2311" w:rsidRPr="000F6503">
        <w:t xml:space="preserve">in INF.13 </w:t>
      </w:r>
      <w:r w:rsidR="00AD4FF7" w:rsidRPr="000F6503">
        <w:t xml:space="preserve">that the paragraphs introducing the tables of standards in Chapters 6.2 and 6.8 were not very clear and had been misunderstood </w:t>
      </w:r>
      <w:r w:rsidR="00C84ED7" w:rsidRPr="000F6503">
        <w:t>sometimes</w:t>
      </w:r>
      <w:r w:rsidR="00AD4FF7" w:rsidRPr="000F6503">
        <w:t>.</w:t>
      </w:r>
      <w:r w:rsidR="00C84ED7" w:rsidRPr="000F6503">
        <w:t xml:space="preserve"> </w:t>
      </w:r>
      <w:r w:rsidR="00FC2311" w:rsidRPr="000F6503">
        <w:t xml:space="preserve">The proposed text changes were illustrated with amendments to 6.2.4 with an indication that equivalent changes would be proposed for Chapter 6.8 at the next Joint Meeting. </w:t>
      </w:r>
    </w:p>
    <w:p w14:paraId="11A11D14" w14:textId="5C42C405" w:rsidR="00917F86" w:rsidRPr="000F6503" w:rsidRDefault="00FC2311" w:rsidP="00B07137">
      <w:pPr>
        <w:pStyle w:val="SingleTxtG"/>
        <w:spacing w:after="0"/>
      </w:pPr>
      <w:r w:rsidRPr="000F6503">
        <w:t xml:space="preserve">In </w:t>
      </w:r>
      <w:r w:rsidR="00917F86" w:rsidRPr="000F6503">
        <w:t>s</w:t>
      </w:r>
      <w:r w:rsidRPr="000F6503">
        <w:t xml:space="preserve">ummary, the objectives </w:t>
      </w:r>
      <w:r w:rsidR="00917F86" w:rsidRPr="000F6503">
        <w:t xml:space="preserve">of creating the new text </w:t>
      </w:r>
      <w:r w:rsidRPr="000F6503">
        <w:t>were</w:t>
      </w:r>
      <w:r w:rsidR="00917F86" w:rsidRPr="000F6503">
        <w:t>:</w:t>
      </w:r>
    </w:p>
    <w:p w14:paraId="6DF31F64" w14:textId="1E7808C3" w:rsidR="00917F86" w:rsidRPr="000F6503" w:rsidRDefault="00917F86" w:rsidP="00B07137">
      <w:pPr>
        <w:pStyle w:val="SingleTxtG"/>
        <w:numPr>
          <w:ilvl w:val="0"/>
          <w:numId w:val="36"/>
        </w:numPr>
        <w:spacing w:after="0"/>
        <w:ind w:left="2268" w:hanging="567"/>
      </w:pPr>
      <w:r w:rsidRPr="000F6503">
        <w:t xml:space="preserve">shorten complicated sentences, and so that only one idea was expressed at a </w:t>
      </w:r>
      <w:proofErr w:type="gramStart"/>
      <w:r w:rsidRPr="000F6503">
        <w:t>time;</w:t>
      </w:r>
      <w:proofErr w:type="gramEnd"/>
    </w:p>
    <w:p w14:paraId="7DF4D8BC" w14:textId="34EB5DF9" w:rsidR="00917F86" w:rsidRPr="000F6503" w:rsidRDefault="00917F86" w:rsidP="00B07137">
      <w:pPr>
        <w:pStyle w:val="SingleTxtG"/>
        <w:numPr>
          <w:ilvl w:val="0"/>
          <w:numId w:val="36"/>
        </w:numPr>
        <w:spacing w:after="0"/>
        <w:ind w:left="2268" w:hanging="567"/>
      </w:pPr>
      <w:r w:rsidRPr="000F6503">
        <w:t>present the topics in a more logical order</w:t>
      </w:r>
    </w:p>
    <w:p w14:paraId="4480F70B" w14:textId="1BB1F414" w:rsidR="00917F86" w:rsidRPr="000F6503" w:rsidRDefault="00917F86" w:rsidP="0030176C">
      <w:pPr>
        <w:pStyle w:val="SingleTxtG"/>
        <w:numPr>
          <w:ilvl w:val="0"/>
          <w:numId w:val="36"/>
        </w:numPr>
        <w:ind w:left="2268" w:hanging="567"/>
      </w:pPr>
      <w:r w:rsidRPr="000F6503">
        <w:t>give a better explanation of the purpose of column (3) of the tables of design and construction standards.</w:t>
      </w:r>
    </w:p>
    <w:p w14:paraId="7AF15669" w14:textId="6446511B" w:rsidR="008732A4" w:rsidRPr="000F6503" w:rsidRDefault="008732A4" w:rsidP="008732A4">
      <w:pPr>
        <w:pStyle w:val="SingleTxtG"/>
      </w:pPr>
      <w:r w:rsidRPr="000F6503">
        <w:t>2.</w:t>
      </w:r>
      <w:r w:rsidRPr="000F6503">
        <w:tab/>
      </w:r>
      <w:r w:rsidR="00950CCB" w:rsidRPr="000F6503">
        <w:t xml:space="preserve">The report of the Joint Meeting </w:t>
      </w:r>
      <w:r w:rsidR="00A82E76" w:rsidRPr="000F6503">
        <w:t xml:space="preserve">held </w:t>
      </w:r>
      <w:r w:rsidR="00950CCB" w:rsidRPr="000F6503">
        <w:t xml:space="preserve">in March </w:t>
      </w:r>
      <w:r w:rsidR="00A82E76" w:rsidRPr="000F6503">
        <w:t>2021</w:t>
      </w:r>
      <w:r w:rsidR="00950CCB" w:rsidRPr="000F6503">
        <w:t xml:space="preserve"> states:</w:t>
      </w:r>
    </w:p>
    <w:p w14:paraId="38A094D1" w14:textId="26F8355C" w:rsidR="00950CCB" w:rsidRPr="000F6503" w:rsidRDefault="00950CCB" w:rsidP="00950CCB">
      <w:pPr>
        <w:pStyle w:val="SingleTxtG"/>
      </w:pPr>
      <w:r w:rsidRPr="000F6503">
        <w:t xml:space="preserve">“The Joint Meeting welcomed the initiative by CEN to clarify the requirements for the application of standards in Chapters 6.2 and 6.8. Delegations were invited to send their comments on informal document INF.13 to the representative of CEN, who volunteered to submit an official document for the next session </w:t>
      </w:r>
      <w:proofErr w:type="gramStart"/>
      <w:r w:rsidRPr="000F6503">
        <w:t>taking into account</w:t>
      </w:r>
      <w:proofErr w:type="gramEnd"/>
      <w:r w:rsidRPr="000F6503">
        <w:t xml:space="preserve"> the comments received.”</w:t>
      </w:r>
    </w:p>
    <w:p w14:paraId="17A35BCF" w14:textId="3220E7B5" w:rsidR="00B84432" w:rsidRPr="000F6503" w:rsidRDefault="008732A4" w:rsidP="00426F2D">
      <w:pPr>
        <w:pStyle w:val="Bullet1G"/>
        <w:suppressAutoHyphens/>
        <w:spacing w:before="120" w:line="240" w:lineRule="atLeast"/>
        <w:ind w:left="1134"/>
      </w:pPr>
      <w:r w:rsidRPr="000F6503">
        <w:t>3</w:t>
      </w:r>
      <w:r w:rsidR="00193421" w:rsidRPr="000F6503">
        <w:t>.</w:t>
      </w:r>
      <w:r w:rsidR="00193421" w:rsidRPr="000F6503">
        <w:tab/>
      </w:r>
      <w:r w:rsidR="00950CCB" w:rsidRPr="000F6503">
        <w:t xml:space="preserve">No comments have been received. Unfortunately, the deadline for official papers was missed, but the proposal in INF.13 </w:t>
      </w:r>
      <w:r w:rsidR="000453AE">
        <w:t>(</w:t>
      </w:r>
      <w:r w:rsidR="00544307">
        <w:t>March 2021</w:t>
      </w:r>
      <w:r w:rsidR="000453AE">
        <w:t xml:space="preserve">) </w:t>
      </w:r>
      <w:r w:rsidR="00950CCB" w:rsidRPr="000F6503">
        <w:t>has been further developed to cover Chapter 6.8 so the proposed text changes are now complete and are presented below.</w:t>
      </w:r>
      <w:r w:rsidR="00426F2D" w:rsidRPr="000F6503">
        <w:t xml:space="preserve"> </w:t>
      </w:r>
    </w:p>
    <w:p w14:paraId="7CA11212" w14:textId="6654D3C8" w:rsidR="00426F2D" w:rsidRPr="000F6503" w:rsidRDefault="00B84432" w:rsidP="00426F2D">
      <w:pPr>
        <w:pStyle w:val="Bullet1G"/>
        <w:suppressAutoHyphens/>
        <w:spacing w:before="120" w:line="240" w:lineRule="atLeast"/>
        <w:ind w:left="1134"/>
      </w:pPr>
      <w:r w:rsidRPr="000F6503">
        <w:t>4.</w:t>
      </w:r>
      <w:r w:rsidRPr="000F6503">
        <w:tab/>
      </w:r>
      <w:r w:rsidR="00426F2D" w:rsidRPr="000F6503">
        <w:t xml:space="preserve">New text is shown </w:t>
      </w:r>
      <w:r w:rsidR="00426F2D" w:rsidRPr="000F6503">
        <w:rPr>
          <w:u w:val="single"/>
        </w:rPr>
        <w:t>underlined</w:t>
      </w:r>
      <w:r w:rsidR="00426F2D" w:rsidRPr="000F6503">
        <w:t xml:space="preserve"> and deletions are </w:t>
      </w:r>
      <w:r w:rsidR="00426F2D" w:rsidRPr="000F6503">
        <w:rPr>
          <w:strike/>
        </w:rPr>
        <w:t>stuck through</w:t>
      </w:r>
      <w:r w:rsidR="00426F2D" w:rsidRPr="000F6503">
        <w:t>.</w:t>
      </w:r>
      <w:r w:rsidRPr="000F6503">
        <w:t xml:space="preserve"> Footnotes show the consequential amendments to these proposals if </w:t>
      </w:r>
      <w:r w:rsidR="00544307">
        <w:t>ECE/TRANS/WP.15</w:t>
      </w:r>
      <w:r w:rsidR="00F92197">
        <w:t>/AC.1/</w:t>
      </w:r>
      <w:r w:rsidRPr="000F6503">
        <w:t>2021/23/Rev.1 is adopted.</w:t>
      </w:r>
    </w:p>
    <w:p w14:paraId="764735E0" w14:textId="05622C9F" w:rsidR="0061645F" w:rsidRPr="000F6503" w:rsidRDefault="00950CCB" w:rsidP="0030176C">
      <w:pPr>
        <w:pStyle w:val="HChG"/>
      </w:pPr>
      <w:r w:rsidRPr="000F6503">
        <w:tab/>
      </w:r>
      <w:r w:rsidRPr="000F6503">
        <w:tab/>
      </w:r>
      <w:r w:rsidR="0061645F" w:rsidRPr="000F6503">
        <w:t>Proposals</w:t>
      </w:r>
      <w:r w:rsidR="00C32C82" w:rsidRPr="000F6503">
        <w:t xml:space="preserve"> for Chapter 6.2</w:t>
      </w:r>
    </w:p>
    <w:p w14:paraId="366C9B5C" w14:textId="3B576CC9" w:rsidR="00FB7BE4" w:rsidRPr="000F6503" w:rsidRDefault="00FB7BE4" w:rsidP="000154BF">
      <w:pPr>
        <w:pStyle w:val="Bullet1G"/>
        <w:suppressAutoHyphens/>
        <w:spacing w:before="120" w:line="240" w:lineRule="atLeast"/>
        <w:ind w:left="2268" w:hanging="1134"/>
        <w:rPr>
          <w:b/>
          <w:i/>
        </w:rPr>
      </w:pPr>
      <w:r w:rsidRPr="000F6503">
        <w:rPr>
          <w:b/>
        </w:rPr>
        <w:t>6.2.4.1</w:t>
      </w:r>
      <w:r w:rsidRPr="000F6503">
        <w:rPr>
          <w:b/>
        </w:rPr>
        <w:tab/>
      </w:r>
      <w:r w:rsidRPr="000F6503">
        <w:rPr>
          <w:b/>
        </w:rPr>
        <w:tab/>
      </w:r>
      <w:r w:rsidRPr="000F6503">
        <w:rPr>
          <w:b/>
          <w:i/>
        </w:rPr>
        <w:t>Design, construction and initial inspection and test</w:t>
      </w:r>
    </w:p>
    <w:p w14:paraId="492001BB" w14:textId="533D9223" w:rsidR="001174BE" w:rsidRPr="000F6503" w:rsidRDefault="00FB7BE4" w:rsidP="000154BF">
      <w:pPr>
        <w:pStyle w:val="Bullet1G"/>
        <w:suppressAutoHyphens/>
        <w:spacing w:before="120" w:line="240" w:lineRule="atLeast"/>
        <w:ind w:left="2268" w:hanging="1134"/>
        <w:rPr>
          <w:b/>
          <w:u w:val="single"/>
        </w:rPr>
      </w:pPr>
      <w:r w:rsidRPr="000F6503">
        <w:rPr>
          <w:b/>
        </w:rPr>
        <w:tab/>
      </w:r>
      <w:r w:rsidR="001174BE" w:rsidRPr="000F6503">
        <w:rPr>
          <w:u w:val="single"/>
        </w:rPr>
        <w:t>Since 1 January 2009 the use of the referenced standards has been mandatory. Exceptions are dealt with in 6.2.5.</w:t>
      </w:r>
    </w:p>
    <w:p w14:paraId="6193E618" w14:textId="306F05E7" w:rsidR="00622976" w:rsidRPr="000F6503" w:rsidRDefault="001174BE" w:rsidP="000154BF">
      <w:pPr>
        <w:pStyle w:val="Bullet1G"/>
        <w:suppressAutoHyphens/>
        <w:spacing w:before="120" w:line="240" w:lineRule="atLeast"/>
        <w:ind w:left="2268" w:hanging="1134"/>
        <w:rPr>
          <w:u w:val="single"/>
        </w:rPr>
      </w:pPr>
      <w:r w:rsidRPr="000F6503">
        <w:tab/>
      </w:r>
      <w:r w:rsidR="00FB7BE4" w:rsidRPr="000F6503">
        <w:t xml:space="preserve">Type approval certificates shall be issued in accordance with 1.8.7. </w:t>
      </w:r>
      <w:r w:rsidR="00FB7BE4" w:rsidRPr="000F6503">
        <w:rPr>
          <w:strike/>
        </w:rPr>
        <w:t>The standards referenced in the table below shall be applied for the issue of type approvals as indicated in column (4) to meet the requirements of Chapter 6.2 referred to in column (3).</w:t>
      </w:r>
      <w:r w:rsidR="007A084B" w:rsidRPr="000F6503">
        <w:t xml:space="preserve"> </w:t>
      </w:r>
      <w:r w:rsidR="00622976" w:rsidRPr="000F6503">
        <w:rPr>
          <w:u w:val="single"/>
        </w:rPr>
        <w:t>For the issue of a type approval certificate, o</w:t>
      </w:r>
      <w:r w:rsidR="007A084B" w:rsidRPr="000F6503">
        <w:rPr>
          <w:u w:val="single"/>
        </w:rPr>
        <w:t xml:space="preserve">ne standard applicable according to </w:t>
      </w:r>
      <w:r w:rsidR="00622976" w:rsidRPr="000F6503">
        <w:rPr>
          <w:u w:val="single"/>
        </w:rPr>
        <w:t xml:space="preserve">the indication in </w:t>
      </w:r>
      <w:r w:rsidR="007A084B" w:rsidRPr="000F6503">
        <w:rPr>
          <w:u w:val="single"/>
        </w:rPr>
        <w:t xml:space="preserve">column (4) shall be </w:t>
      </w:r>
      <w:r w:rsidR="008732A4" w:rsidRPr="000F6503">
        <w:rPr>
          <w:u w:val="single"/>
        </w:rPr>
        <w:t xml:space="preserve">chosen </w:t>
      </w:r>
      <w:r w:rsidR="008732A4" w:rsidRPr="000F6503">
        <w:rPr>
          <w:u w:val="single"/>
        </w:rPr>
        <w:lastRenderedPageBreak/>
        <w:t>from the table below</w:t>
      </w:r>
      <w:r w:rsidR="007A084B" w:rsidRPr="000F6503">
        <w:rPr>
          <w:u w:val="single"/>
        </w:rPr>
        <w:t xml:space="preserve">. </w:t>
      </w:r>
      <w:r w:rsidR="00622976" w:rsidRPr="000F6503">
        <w:rPr>
          <w:u w:val="single"/>
        </w:rPr>
        <w:t>If more than one standard may be applied, only one of them shall be chosen.</w:t>
      </w:r>
    </w:p>
    <w:p w14:paraId="01F5DE62" w14:textId="2E423820" w:rsidR="00052C74" w:rsidRPr="000F6503" w:rsidRDefault="007A084B" w:rsidP="000154BF">
      <w:pPr>
        <w:pStyle w:val="Bullet1G"/>
        <w:suppressAutoHyphens/>
        <w:spacing w:before="120" w:line="240" w:lineRule="atLeast"/>
        <w:ind w:left="2268"/>
      </w:pPr>
      <w:r w:rsidRPr="000F6503">
        <w:rPr>
          <w:u w:val="single"/>
        </w:rPr>
        <w:t xml:space="preserve">Column (3) shows the paragraphs of </w:t>
      </w:r>
      <w:r w:rsidR="00622976" w:rsidRPr="000F6503">
        <w:rPr>
          <w:u w:val="single"/>
        </w:rPr>
        <w:t>Chap</w:t>
      </w:r>
      <w:r w:rsidR="00052C74" w:rsidRPr="000F6503">
        <w:rPr>
          <w:u w:val="single"/>
        </w:rPr>
        <w:t>ter 6.2</w:t>
      </w:r>
      <w:r w:rsidRPr="000F6503">
        <w:rPr>
          <w:u w:val="single"/>
        </w:rPr>
        <w:t xml:space="preserve"> to which the standard conforms. </w:t>
      </w:r>
      <w:r w:rsidR="00FB7BE4" w:rsidRPr="000F6503">
        <w:rPr>
          <w:strike/>
        </w:rPr>
        <w:t>The standard shall be applied in accordance with 1.1.5.</w:t>
      </w:r>
    </w:p>
    <w:p w14:paraId="5C6B12FF" w14:textId="08CC979D" w:rsidR="00FB7BE4" w:rsidRPr="000F6503" w:rsidRDefault="00FB7BE4" w:rsidP="000154BF">
      <w:pPr>
        <w:pStyle w:val="Bullet1G"/>
        <w:suppressAutoHyphens/>
        <w:spacing w:before="120" w:line="240" w:lineRule="atLeast"/>
        <w:ind w:left="2268"/>
      </w:pPr>
      <w:r w:rsidRPr="000F6503">
        <w:t>Column (5) gives the latest date when existing type approvals shall be withdrawn according to 1.8.7.2.</w:t>
      </w:r>
      <w:r w:rsidR="00DE2BCF" w:rsidRPr="000F6503">
        <w:t>4</w:t>
      </w:r>
      <w:r w:rsidR="00852C6D" w:rsidRPr="000F6503">
        <w:rPr>
          <w:rStyle w:val="Appelnotedebasdep"/>
        </w:rPr>
        <w:footnoteReference w:id="2"/>
      </w:r>
      <w:r w:rsidRPr="000F6503">
        <w:t>; if no date is shown the type approval remains valid until it expires.</w:t>
      </w:r>
    </w:p>
    <w:p w14:paraId="1B334E53" w14:textId="4F66AF6E" w:rsidR="00FB7BE4" w:rsidRPr="000F6503" w:rsidRDefault="00FB7BE4" w:rsidP="000154BF">
      <w:pPr>
        <w:pStyle w:val="Bullet1G"/>
        <w:suppressAutoHyphens/>
        <w:spacing w:before="120" w:line="240" w:lineRule="atLeast"/>
        <w:ind w:left="2268" w:hanging="567"/>
        <w:rPr>
          <w:strike/>
        </w:rPr>
      </w:pPr>
      <w:r w:rsidRPr="000F6503">
        <w:tab/>
      </w:r>
      <w:r w:rsidRPr="000F6503">
        <w:rPr>
          <w:strike/>
        </w:rPr>
        <w:t>Since 1 January 2009 the use of the referenced standards has been mandatory. Exceptions are dealt with in 6.2.5.</w:t>
      </w:r>
    </w:p>
    <w:p w14:paraId="1BE3EC56" w14:textId="613623DA" w:rsidR="00FB7BE4" w:rsidRPr="000F6503" w:rsidRDefault="00FB7BE4" w:rsidP="000154BF">
      <w:pPr>
        <w:pStyle w:val="Bullet1G"/>
        <w:suppressAutoHyphens/>
        <w:spacing w:before="120" w:line="240" w:lineRule="atLeast"/>
        <w:ind w:left="2268" w:hanging="567"/>
        <w:rPr>
          <w:strike/>
        </w:rPr>
      </w:pPr>
      <w:r w:rsidRPr="000F6503">
        <w:tab/>
      </w:r>
      <w:r w:rsidR="00052C74" w:rsidRPr="000F6503">
        <w:t xml:space="preserve">Standards shall be applied in accordance with 1.1.5. </w:t>
      </w:r>
      <w:r w:rsidR="00052C74" w:rsidRPr="000F6503">
        <w:rPr>
          <w:u w:val="single"/>
        </w:rPr>
        <w:t xml:space="preserve">They </w:t>
      </w:r>
      <w:r w:rsidR="007A084B" w:rsidRPr="000F6503">
        <w:rPr>
          <w:u w:val="single"/>
        </w:rPr>
        <w:t>shall be applied in full, unless otherwise specified in the table below</w:t>
      </w:r>
      <w:r w:rsidR="007A084B" w:rsidRPr="000F6503">
        <w:t xml:space="preserve">. </w:t>
      </w:r>
      <w:r w:rsidRPr="000F6503">
        <w:rPr>
          <w:strike/>
        </w:rPr>
        <w:t>If more than one standard is referenced for the application of the same requirements, only one of them shall be applied, but in full unless otherwise specified in the table below</w:t>
      </w:r>
      <w:r w:rsidRPr="000F6503">
        <w:t>.</w:t>
      </w:r>
    </w:p>
    <w:p w14:paraId="399722F3" w14:textId="6D9586E6" w:rsidR="00FB7BE4" w:rsidRPr="000F6503" w:rsidRDefault="00FB7BE4" w:rsidP="000154BF">
      <w:pPr>
        <w:pStyle w:val="Bullet1G"/>
        <w:suppressAutoHyphens/>
        <w:spacing w:before="120" w:line="240" w:lineRule="atLeast"/>
        <w:ind w:left="2268" w:hanging="567"/>
      </w:pPr>
      <w:r w:rsidRPr="000F6503">
        <w:tab/>
        <w:t xml:space="preserve">The scope of application of each standard is defined in the scope clause of the standard unless otherwise specified in the </w:t>
      </w:r>
      <w:r w:rsidR="00426367" w:rsidRPr="000F6503">
        <w:t>T</w:t>
      </w:r>
      <w:r w:rsidRPr="000F6503">
        <w:t>able below.</w:t>
      </w:r>
    </w:p>
    <w:p w14:paraId="2105AC13" w14:textId="4043C68C" w:rsidR="007A084B" w:rsidRPr="000F6503" w:rsidRDefault="007A084B" w:rsidP="00227C09">
      <w:pPr>
        <w:pStyle w:val="Bullet1G"/>
        <w:suppressAutoHyphens/>
        <w:spacing w:before="120" w:line="240" w:lineRule="atLeast"/>
        <w:ind w:left="1134"/>
      </w:pPr>
      <w:r w:rsidRPr="000F6503">
        <w:t>In Column (3) of the table replace the heading “Applicable sub-sections and paragraphs” by “Requirements the standard compl</w:t>
      </w:r>
      <w:r w:rsidR="00227C09" w:rsidRPr="000F6503">
        <w:t>ies</w:t>
      </w:r>
      <w:r w:rsidRPr="000F6503">
        <w:t xml:space="preserve"> with”</w:t>
      </w:r>
      <w:r w:rsidR="008D4CAB" w:rsidRPr="000F6503">
        <w:t>.</w:t>
      </w:r>
    </w:p>
    <w:p w14:paraId="455B8CD9" w14:textId="48621B99" w:rsidR="007A084B" w:rsidRPr="000F6503" w:rsidRDefault="007A084B" w:rsidP="00817F20">
      <w:pPr>
        <w:pStyle w:val="Bullet1G"/>
        <w:suppressAutoHyphens/>
        <w:spacing w:before="120" w:line="240" w:lineRule="atLeast"/>
        <w:ind w:left="2268" w:hanging="1134"/>
      </w:pPr>
      <w:r w:rsidRPr="000F6503">
        <w:rPr>
          <w:b/>
        </w:rPr>
        <w:t>6.2.4.2</w:t>
      </w:r>
      <w:r w:rsidR="00426F2D" w:rsidRPr="000F6503">
        <w:rPr>
          <w:b/>
        </w:rPr>
        <w:tab/>
      </w:r>
      <w:r w:rsidR="00817F20">
        <w:rPr>
          <w:b/>
        </w:rPr>
        <w:tab/>
      </w:r>
      <w:r w:rsidR="008D4CAB" w:rsidRPr="000F6503">
        <w:t>Replace the fourth paragraph beginning with “</w:t>
      </w:r>
      <w:r w:rsidR="00BD4A62" w:rsidRPr="000F6503">
        <w:t>I</w:t>
      </w:r>
      <w:r w:rsidR="008D4CAB" w:rsidRPr="000F6503">
        <w:t xml:space="preserve">f more than one standard is …” by </w:t>
      </w:r>
      <w:r w:rsidR="00C32C82" w:rsidRPr="000F6503">
        <w:t>“</w:t>
      </w:r>
      <w:r w:rsidR="008D4CAB" w:rsidRPr="000F6503">
        <w:rPr>
          <w:u w:val="single"/>
        </w:rPr>
        <w:t>Standards shall be applied in full, unless otherwise specified in the table below. If more than one standard is referenced for the application of the same requirements, only one of them shall be applied.</w:t>
      </w:r>
      <w:r w:rsidR="00C32C82" w:rsidRPr="000F6503">
        <w:t>”</w:t>
      </w:r>
    </w:p>
    <w:p w14:paraId="52977CB3" w14:textId="74EFD6F5" w:rsidR="00DB4674" w:rsidRPr="000F6503" w:rsidRDefault="00950CCB" w:rsidP="00817F20">
      <w:pPr>
        <w:pStyle w:val="HChG"/>
      </w:pPr>
      <w:r w:rsidRPr="000F6503">
        <w:tab/>
      </w:r>
      <w:r w:rsidR="00C32C82" w:rsidRPr="000F6503">
        <w:tab/>
        <w:t>Proposals for Chapter 6.</w:t>
      </w:r>
      <w:r w:rsidR="00DB4674" w:rsidRPr="000F6503">
        <w:t>8</w:t>
      </w:r>
    </w:p>
    <w:p w14:paraId="20FFFCEC" w14:textId="0C46BCB5" w:rsidR="00CC01BB" w:rsidRPr="000F6503" w:rsidRDefault="00CC01BB" w:rsidP="00CC01BB">
      <w:pPr>
        <w:pStyle w:val="Bullet1G"/>
        <w:suppressAutoHyphens/>
        <w:spacing w:before="120" w:line="240" w:lineRule="atLeast"/>
        <w:ind w:left="1701" w:hanging="567"/>
      </w:pPr>
      <w:r w:rsidRPr="000F6503">
        <w:rPr>
          <w:b/>
        </w:rPr>
        <w:t>6.8.2.6.1</w:t>
      </w:r>
      <w:r w:rsidRPr="000F6503">
        <w:rPr>
          <w:b/>
        </w:rPr>
        <w:tab/>
      </w:r>
      <w:r w:rsidRPr="000F6503">
        <w:rPr>
          <w:b/>
          <w:i/>
        </w:rPr>
        <w:t>Design</w:t>
      </w:r>
      <w:r w:rsidR="00084FAD" w:rsidRPr="000F6503">
        <w:rPr>
          <w:b/>
          <w:i/>
        </w:rPr>
        <w:t xml:space="preserve"> and</w:t>
      </w:r>
      <w:r w:rsidRPr="000F6503">
        <w:rPr>
          <w:b/>
          <w:i/>
        </w:rPr>
        <w:t xml:space="preserve"> construction</w:t>
      </w:r>
    </w:p>
    <w:p w14:paraId="1796AB86" w14:textId="1D655F5A" w:rsidR="00CC01BB" w:rsidRPr="000F6503" w:rsidRDefault="00CC01BB" w:rsidP="000154BF">
      <w:pPr>
        <w:pStyle w:val="Bullet1G"/>
        <w:suppressAutoHyphens/>
        <w:spacing w:before="120" w:line="240" w:lineRule="atLeast"/>
        <w:ind w:left="2268" w:hanging="567"/>
        <w:rPr>
          <w:b/>
          <w:u w:val="single"/>
        </w:rPr>
      </w:pPr>
      <w:r w:rsidRPr="000F6503">
        <w:rPr>
          <w:b/>
        </w:rPr>
        <w:tab/>
      </w:r>
      <w:r w:rsidRPr="000F6503">
        <w:rPr>
          <w:u w:val="single"/>
        </w:rPr>
        <w:t>Since 1 January 2009 the use of the referenced standards has been mandatory. Exceptions are dealt with in 6.8.2.7 and 6.8.3.7.</w:t>
      </w:r>
    </w:p>
    <w:p w14:paraId="0A3EF997" w14:textId="7C078B46" w:rsidR="00CC01BB" w:rsidRPr="000F6503" w:rsidRDefault="00CC01BB" w:rsidP="000154BF">
      <w:pPr>
        <w:pStyle w:val="Bullet1G"/>
        <w:suppressAutoHyphens/>
        <w:spacing w:before="120" w:line="240" w:lineRule="atLeast"/>
        <w:ind w:left="2268" w:hanging="567"/>
        <w:rPr>
          <w:u w:val="single"/>
        </w:rPr>
      </w:pPr>
      <w:r w:rsidRPr="000F6503">
        <w:tab/>
        <w:t>Type approval certificates shall be issued in accordance with 1.8.7 or 6.8.2.3</w:t>
      </w:r>
      <w:r w:rsidR="00032C82" w:rsidRPr="000F6503">
        <w:rPr>
          <w:rStyle w:val="Appelnotedebasdep"/>
        </w:rPr>
        <w:footnoteReference w:id="3"/>
      </w:r>
      <w:r w:rsidRPr="000F6503">
        <w:t xml:space="preserve">. </w:t>
      </w:r>
      <w:r w:rsidRPr="000F6503">
        <w:rPr>
          <w:strike/>
        </w:rPr>
        <w:t>The standards referenced in the table below shall be applied for the issue of type approvals as indicated in column (4) to meet the requirements of Chapter 6.8 referred to in column (3).</w:t>
      </w:r>
      <w:r w:rsidRPr="000F6503">
        <w:t xml:space="preserve"> </w:t>
      </w:r>
      <w:r w:rsidRPr="000F6503">
        <w:rPr>
          <w:u w:val="single"/>
        </w:rPr>
        <w:t>For the issue of a type approval certificate, one standard applicable according to the indication in column (4) shall be chosen from the table below. If more than one standard may be applied, only one of them shall be chosen.</w:t>
      </w:r>
    </w:p>
    <w:p w14:paraId="2CF9DB64" w14:textId="4876EB66" w:rsidR="00CC01BB" w:rsidRPr="000F6503" w:rsidRDefault="00CC01BB" w:rsidP="000154BF">
      <w:pPr>
        <w:pStyle w:val="Bullet1G"/>
        <w:suppressAutoHyphens/>
        <w:spacing w:before="120" w:line="240" w:lineRule="atLeast"/>
        <w:ind w:left="2268"/>
      </w:pPr>
      <w:r w:rsidRPr="000F6503">
        <w:rPr>
          <w:u w:val="single"/>
        </w:rPr>
        <w:t xml:space="preserve">Column (3) shows the paragraphs of Chapter 6.8 to which the standard conforms. </w:t>
      </w:r>
      <w:r w:rsidRPr="000F6503">
        <w:rPr>
          <w:strike/>
        </w:rPr>
        <w:t>The standard shall be applied in accordance with 1.1.5.</w:t>
      </w:r>
    </w:p>
    <w:p w14:paraId="08625463" w14:textId="23D28EE5" w:rsidR="00CC01BB" w:rsidRPr="000F6503" w:rsidRDefault="00CC01BB" w:rsidP="000154BF">
      <w:pPr>
        <w:pStyle w:val="Bullet1G"/>
        <w:suppressAutoHyphens/>
        <w:spacing w:before="120" w:line="240" w:lineRule="atLeast"/>
        <w:ind w:left="2268"/>
      </w:pPr>
      <w:r w:rsidRPr="000F6503">
        <w:t>Column (5) gives the latest date when existing type approvals shall be withdrawn according to 1.8.7.2.4</w:t>
      </w:r>
      <w:r w:rsidR="00A30053" w:rsidRPr="000F6503">
        <w:t xml:space="preserve"> or 6.8.2.3.3</w:t>
      </w:r>
      <w:r w:rsidR="00032C82" w:rsidRPr="000F6503">
        <w:rPr>
          <w:rStyle w:val="Appelnotedebasdep"/>
        </w:rPr>
        <w:footnoteReference w:id="4"/>
      </w:r>
      <w:r w:rsidRPr="000F6503">
        <w:t>; if no date is shown the type approval remains valid until it expires.</w:t>
      </w:r>
    </w:p>
    <w:p w14:paraId="3F4C1143" w14:textId="77777777" w:rsidR="00CC01BB" w:rsidRPr="000F6503" w:rsidRDefault="00CC01BB" w:rsidP="000154BF">
      <w:pPr>
        <w:pStyle w:val="Bullet1G"/>
        <w:suppressAutoHyphens/>
        <w:spacing w:before="120" w:line="240" w:lineRule="atLeast"/>
        <w:ind w:left="2268" w:hanging="567"/>
        <w:rPr>
          <w:strike/>
        </w:rPr>
      </w:pPr>
      <w:r w:rsidRPr="000F6503">
        <w:tab/>
      </w:r>
      <w:r w:rsidRPr="000F6503">
        <w:rPr>
          <w:strike/>
        </w:rPr>
        <w:t>Since 1 January 2009 the use of the referenced standards has been mandatory. Exceptions are dealt with in 6.2.5.</w:t>
      </w:r>
    </w:p>
    <w:p w14:paraId="643F1320" w14:textId="77777777" w:rsidR="00CC01BB" w:rsidRPr="000F6503" w:rsidRDefault="00CC01BB" w:rsidP="000154BF">
      <w:pPr>
        <w:pStyle w:val="Bullet1G"/>
        <w:suppressAutoHyphens/>
        <w:spacing w:before="120" w:line="240" w:lineRule="atLeast"/>
        <w:ind w:left="2268" w:hanging="567"/>
        <w:rPr>
          <w:strike/>
        </w:rPr>
      </w:pPr>
      <w:r w:rsidRPr="000F6503">
        <w:tab/>
        <w:t xml:space="preserve">Standards shall be applied in accordance with 1.1.5. </w:t>
      </w:r>
      <w:r w:rsidRPr="000F6503">
        <w:rPr>
          <w:u w:val="single"/>
        </w:rPr>
        <w:t>They shall be applied in full, unless otherwise specified in the table below</w:t>
      </w:r>
      <w:r w:rsidRPr="000F6503">
        <w:t xml:space="preserve">. </w:t>
      </w:r>
      <w:r w:rsidRPr="000F6503">
        <w:rPr>
          <w:strike/>
        </w:rPr>
        <w:t>If more than one standard is referenced for the application of the same requirements, only one of them shall be applied, but in full unless otherwise specified in the table below</w:t>
      </w:r>
      <w:r w:rsidRPr="000F6503">
        <w:t>.</w:t>
      </w:r>
    </w:p>
    <w:p w14:paraId="62CDA005" w14:textId="77777777" w:rsidR="00CC01BB" w:rsidRPr="000F6503" w:rsidRDefault="00CC01BB" w:rsidP="00CC01BB">
      <w:pPr>
        <w:pStyle w:val="Bullet1G"/>
        <w:suppressAutoHyphens/>
        <w:spacing w:before="120" w:line="240" w:lineRule="atLeast"/>
        <w:ind w:left="1701" w:hanging="567"/>
      </w:pPr>
      <w:r w:rsidRPr="000F6503">
        <w:lastRenderedPageBreak/>
        <w:tab/>
        <w:t>The scope of application of each standard is defined in the scope clause of the standard unless otherwise specified in the Table below.</w:t>
      </w:r>
    </w:p>
    <w:p w14:paraId="0580C127" w14:textId="77777777" w:rsidR="00CC01BB" w:rsidRPr="000F6503" w:rsidRDefault="00CC01BB" w:rsidP="00CC01BB">
      <w:pPr>
        <w:pStyle w:val="Bullet1G"/>
        <w:suppressAutoHyphens/>
        <w:spacing w:before="120" w:line="240" w:lineRule="atLeast"/>
        <w:ind w:left="1134"/>
      </w:pPr>
      <w:r w:rsidRPr="000F6503">
        <w:t>In Column (3) of the table replace the heading “Applicable sub-sections and paragraphs” by “Requirements the standard complies with”.</w:t>
      </w:r>
    </w:p>
    <w:p w14:paraId="71C2502F" w14:textId="1C6D690F" w:rsidR="00AE6EE9" w:rsidRPr="000F6503" w:rsidRDefault="00CC01BB" w:rsidP="00426F2D">
      <w:pPr>
        <w:pStyle w:val="Bullet1G"/>
        <w:keepNext/>
        <w:suppressAutoHyphens/>
        <w:spacing w:before="120" w:line="240" w:lineRule="atLeast"/>
        <w:ind w:left="1701" w:hanging="567"/>
        <w:rPr>
          <w:b/>
          <w:i/>
        </w:rPr>
      </w:pPr>
      <w:r w:rsidRPr="000F6503">
        <w:rPr>
          <w:b/>
        </w:rPr>
        <w:t>6.8.2.6.2</w:t>
      </w:r>
      <w:r w:rsidRPr="000F6503">
        <w:rPr>
          <w:b/>
        </w:rPr>
        <w:tab/>
      </w:r>
      <w:r w:rsidR="00AE6EE9" w:rsidRPr="000F6503">
        <w:rPr>
          <w:b/>
          <w:i/>
        </w:rPr>
        <w:t>Inspection and test</w:t>
      </w:r>
    </w:p>
    <w:p w14:paraId="02116DA3" w14:textId="77777777" w:rsidR="00D83520" w:rsidRPr="000F6503" w:rsidRDefault="00D83520" w:rsidP="000154BF">
      <w:pPr>
        <w:autoSpaceDE w:val="0"/>
        <w:autoSpaceDN w:val="0"/>
        <w:adjustRightInd w:val="0"/>
        <w:spacing w:after="0"/>
        <w:ind w:left="2268" w:right="1134"/>
        <w:rPr>
          <w:strike/>
        </w:rPr>
      </w:pPr>
      <w:r w:rsidRPr="000F6503">
        <w:rPr>
          <w:strike/>
        </w:rPr>
        <w:t>The standards referenced in the table below shall be applied for the inspection and test of tanks as indicated in column (4) to meet the requirements of Chapter 6.8 referred to in column (3). The standards shall be applied in accordance with 1.1.5.</w:t>
      </w:r>
    </w:p>
    <w:p w14:paraId="5FCDB98B" w14:textId="04F4B3F1" w:rsidR="00AE6EE9" w:rsidRPr="000F6503" w:rsidRDefault="000154BF" w:rsidP="000154BF">
      <w:pPr>
        <w:pStyle w:val="Bullet1G"/>
        <w:suppressAutoHyphens/>
        <w:spacing w:before="120" w:line="240" w:lineRule="atLeast"/>
        <w:ind w:left="2268" w:hanging="567"/>
      </w:pPr>
      <w:r>
        <w:tab/>
      </w:r>
      <w:r w:rsidR="00AE6EE9" w:rsidRPr="000F6503">
        <w:t>The use of a referenced standard is mandatory.</w:t>
      </w:r>
    </w:p>
    <w:p w14:paraId="62EC460A" w14:textId="3298CE84" w:rsidR="00AE6EE9" w:rsidRPr="000F6503" w:rsidRDefault="00AE6EE9" w:rsidP="000154BF">
      <w:pPr>
        <w:pStyle w:val="Bullet1G"/>
        <w:suppressAutoHyphens/>
        <w:spacing w:before="120" w:line="240" w:lineRule="atLeast"/>
        <w:ind w:left="2268"/>
        <w:rPr>
          <w:u w:val="single"/>
        </w:rPr>
      </w:pPr>
      <w:r w:rsidRPr="000F6503">
        <w:rPr>
          <w:u w:val="single"/>
        </w:rPr>
        <w:t>One standard applicable according to the indication in column (4) shall be chosen from the table below for the inspection and test of tanks.</w:t>
      </w:r>
    </w:p>
    <w:p w14:paraId="2B3773E6" w14:textId="3444C69A" w:rsidR="00D83520" w:rsidRPr="000F6503" w:rsidRDefault="00D83520" w:rsidP="000154BF">
      <w:pPr>
        <w:pStyle w:val="Bullet1G"/>
        <w:suppressAutoHyphens/>
        <w:spacing w:before="120" w:line="240" w:lineRule="atLeast"/>
        <w:ind w:left="2268"/>
        <w:rPr>
          <w:u w:val="single"/>
        </w:rPr>
      </w:pPr>
      <w:r w:rsidRPr="000F6503">
        <w:rPr>
          <w:u w:val="single"/>
        </w:rPr>
        <w:t>Column (3) shows the paragraphs of Chapter 6.8 to which the standard conforms.</w:t>
      </w:r>
    </w:p>
    <w:p w14:paraId="4901BEB1" w14:textId="09B11F99" w:rsidR="00D83520" w:rsidRPr="000F6503" w:rsidRDefault="00D83520" w:rsidP="000154BF">
      <w:pPr>
        <w:pStyle w:val="Bullet1G"/>
        <w:suppressAutoHyphens/>
        <w:spacing w:before="120" w:line="240" w:lineRule="atLeast"/>
        <w:ind w:left="2268"/>
        <w:rPr>
          <w:u w:val="single"/>
        </w:rPr>
      </w:pPr>
      <w:r w:rsidRPr="000F6503">
        <w:rPr>
          <w:u w:val="single"/>
        </w:rPr>
        <w:t>The standards shall be applied in accordance with 1.1.5.</w:t>
      </w:r>
    </w:p>
    <w:p w14:paraId="4FACE78C" w14:textId="612DEB74" w:rsidR="00D83520" w:rsidRPr="000F6503" w:rsidRDefault="00D83520" w:rsidP="000154BF">
      <w:pPr>
        <w:pStyle w:val="Bullet1G"/>
        <w:suppressAutoHyphens/>
        <w:spacing w:before="120" w:line="240" w:lineRule="atLeast"/>
        <w:ind w:left="2268"/>
      </w:pPr>
      <w:r w:rsidRPr="000F6503">
        <w:t xml:space="preserve">The scope of </w:t>
      </w:r>
      <w:r w:rsidR="00685846" w:rsidRPr="000F6503">
        <w:t>application of each standard is defined in the scope clause of the standard unless otherwise indicated in the table below.”</w:t>
      </w:r>
    </w:p>
    <w:p w14:paraId="39AEA997" w14:textId="77777777" w:rsidR="00685846" w:rsidRPr="000F6503" w:rsidRDefault="00685846" w:rsidP="00685846">
      <w:pPr>
        <w:pStyle w:val="Bullet1G"/>
        <w:suppressAutoHyphens/>
        <w:spacing w:before="120" w:line="240" w:lineRule="atLeast"/>
        <w:ind w:left="1134"/>
      </w:pPr>
      <w:r w:rsidRPr="000F6503">
        <w:t>In Column (3) of the table replace the heading “Applicable sub-sections and paragraphs” by “Requirements the standard complies with”.</w:t>
      </w:r>
    </w:p>
    <w:p w14:paraId="1A222AF0" w14:textId="51595A95" w:rsidR="00AE6EE9" w:rsidRPr="000F6503" w:rsidRDefault="00685846" w:rsidP="00CC01BB">
      <w:pPr>
        <w:pStyle w:val="Bullet1G"/>
        <w:suppressAutoHyphens/>
        <w:spacing w:before="120" w:line="240" w:lineRule="atLeast"/>
        <w:ind w:left="1701" w:hanging="567"/>
        <w:rPr>
          <w:b/>
        </w:rPr>
      </w:pPr>
      <w:r w:rsidRPr="000F6503">
        <w:rPr>
          <w:b/>
        </w:rPr>
        <w:t>6.8.3.6</w:t>
      </w:r>
    </w:p>
    <w:p w14:paraId="4C549FDB" w14:textId="1B552104" w:rsidR="00AE6EE9" w:rsidRPr="000F6503" w:rsidRDefault="00685846" w:rsidP="00685846">
      <w:pPr>
        <w:pStyle w:val="Bullet1G"/>
        <w:suppressAutoHyphens/>
        <w:spacing w:before="120" w:line="240" w:lineRule="atLeast"/>
        <w:ind w:left="1701" w:hanging="567"/>
      </w:pPr>
      <w:r w:rsidRPr="000F6503">
        <w:t>Amend the text following the Note as shown below</w:t>
      </w:r>
      <w:r w:rsidR="00426F2D" w:rsidRPr="000F6503">
        <w:t>.</w:t>
      </w:r>
    </w:p>
    <w:p w14:paraId="2DE12150" w14:textId="40BED396" w:rsidR="00685846" w:rsidRPr="000F6503" w:rsidRDefault="00685846" w:rsidP="000154BF">
      <w:pPr>
        <w:pStyle w:val="SingleTxtG"/>
        <w:ind w:left="2268"/>
        <w:rPr>
          <w:b/>
          <w:u w:val="single"/>
        </w:rPr>
      </w:pPr>
      <w:r w:rsidRPr="000F6503">
        <w:rPr>
          <w:u w:val="single"/>
        </w:rPr>
        <w:t>Since 1 January 2009 the use of the referenced standards has been mandatory. Exceptions are dealt with in 6.8.3.7.</w:t>
      </w:r>
    </w:p>
    <w:p w14:paraId="584151B9" w14:textId="518C8310" w:rsidR="00685846" w:rsidRPr="000F6503" w:rsidRDefault="00685846" w:rsidP="000154BF">
      <w:pPr>
        <w:pStyle w:val="Bullet1G"/>
        <w:suppressAutoHyphens/>
        <w:spacing w:before="120" w:line="240" w:lineRule="atLeast"/>
        <w:ind w:left="2268" w:hanging="567"/>
        <w:rPr>
          <w:u w:val="single"/>
        </w:rPr>
      </w:pPr>
      <w:r w:rsidRPr="000F6503">
        <w:tab/>
        <w:t xml:space="preserve">Type approval certificates shall be issued in accordance with 1.8.7. </w:t>
      </w:r>
      <w:r w:rsidRPr="000F6503">
        <w:rPr>
          <w:strike/>
        </w:rPr>
        <w:t>The standards referenced in the table below shall be applied for the issue of type approvals as indicated in column (4) to meet the requirements of Chapter 6.8 referred to in column (3).</w:t>
      </w:r>
      <w:r w:rsidRPr="000F6503">
        <w:t xml:space="preserve"> </w:t>
      </w:r>
      <w:r w:rsidRPr="000F6503">
        <w:rPr>
          <w:u w:val="single"/>
        </w:rPr>
        <w:t>For the issue of a type approval certificate, one standard applicable according to the indication in column (4) shall be chosen from the table below.  If more than one standard may be applied, only one of them shall be chosen.</w:t>
      </w:r>
      <w:r w:rsidRPr="000F6503">
        <w:t xml:space="preserve"> </w:t>
      </w:r>
      <w:r w:rsidRPr="000F6503">
        <w:rPr>
          <w:u w:val="single"/>
        </w:rPr>
        <w:t xml:space="preserve"> </w:t>
      </w:r>
    </w:p>
    <w:p w14:paraId="676A591B" w14:textId="77777777" w:rsidR="007E61BA" w:rsidRPr="000F6503" w:rsidRDefault="007E61BA" w:rsidP="000154BF">
      <w:pPr>
        <w:pStyle w:val="Bullet1G"/>
        <w:suppressAutoHyphens/>
        <w:spacing w:before="120" w:line="240" w:lineRule="atLeast"/>
        <w:ind w:left="2268"/>
      </w:pPr>
      <w:r w:rsidRPr="000F6503">
        <w:rPr>
          <w:u w:val="single"/>
        </w:rPr>
        <w:t xml:space="preserve">Column (3) shows the paragraphs of Chapter 6.8 to which the standard conforms. </w:t>
      </w:r>
      <w:r w:rsidRPr="000F6503">
        <w:rPr>
          <w:strike/>
        </w:rPr>
        <w:t>The standard shall be applied in accordance with 1.1.5.</w:t>
      </w:r>
      <w:r w:rsidRPr="000F6503">
        <w:t xml:space="preserve"> </w:t>
      </w:r>
    </w:p>
    <w:p w14:paraId="1255E322" w14:textId="102F35B8" w:rsidR="007E61BA" w:rsidRPr="000F6503" w:rsidRDefault="007E61BA" w:rsidP="000154BF">
      <w:pPr>
        <w:pStyle w:val="Bullet1G"/>
        <w:suppressAutoHyphens/>
        <w:spacing w:before="120" w:line="240" w:lineRule="atLeast"/>
        <w:ind w:left="2268"/>
      </w:pPr>
      <w:r w:rsidRPr="000F6503">
        <w:t>Column (5) gives the latest date when existing type approvals shall be withdrawn according to 1.8.7.2.4</w:t>
      </w:r>
      <w:r w:rsidR="00B84432" w:rsidRPr="000F6503">
        <w:rPr>
          <w:rStyle w:val="Appelnotedebasdep"/>
        </w:rPr>
        <w:footnoteReference w:id="5"/>
      </w:r>
      <w:r w:rsidRPr="000F6503">
        <w:t>; if no date is shown the type approval remains valid until it expires.</w:t>
      </w:r>
    </w:p>
    <w:p w14:paraId="7D7A3A7B" w14:textId="7C1ED793" w:rsidR="007E61BA" w:rsidRPr="000F6503" w:rsidRDefault="007E61BA" w:rsidP="000154BF">
      <w:pPr>
        <w:pStyle w:val="SingleTxtG"/>
        <w:ind w:left="2268"/>
        <w:rPr>
          <w:strike/>
        </w:rPr>
      </w:pPr>
      <w:r w:rsidRPr="000F6503">
        <w:rPr>
          <w:strike/>
        </w:rPr>
        <w:t>Since 1 January 2009 the use of the referenced standards has been mandatory. Exceptions are dealt with in 6.</w:t>
      </w:r>
      <w:r w:rsidR="00A30053" w:rsidRPr="000F6503">
        <w:rPr>
          <w:strike/>
        </w:rPr>
        <w:t>8.3.7</w:t>
      </w:r>
      <w:r w:rsidRPr="000F6503">
        <w:rPr>
          <w:strike/>
        </w:rPr>
        <w:t>.</w:t>
      </w:r>
    </w:p>
    <w:p w14:paraId="55226DEE" w14:textId="77777777" w:rsidR="007E61BA" w:rsidRPr="000F6503" w:rsidRDefault="007E61BA" w:rsidP="000154BF">
      <w:pPr>
        <w:pStyle w:val="SingleTxtG"/>
        <w:ind w:left="2268"/>
      </w:pPr>
      <w:r w:rsidRPr="000F6503">
        <w:tab/>
        <w:t xml:space="preserve">Standards shall be applied in accordance with 1.1.5. </w:t>
      </w:r>
      <w:r w:rsidRPr="000F6503">
        <w:rPr>
          <w:u w:val="single"/>
        </w:rPr>
        <w:t>They shall be applied in full, unless otherwise specified in the table below</w:t>
      </w:r>
      <w:r w:rsidRPr="000F6503">
        <w:t xml:space="preserve">. </w:t>
      </w:r>
      <w:r w:rsidRPr="000F6503">
        <w:rPr>
          <w:strike/>
        </w:rPr>
        <w:t>If more than one standard is referenced for the application of the same requirements, only one of them shall be applied, but in full unless otherwise specified in the table below</w:t>
      </w:r>
      <w:r w:rsidRPr="000F6503">
        <w:t>.</w:t>
      </w:r>
    </w:p>
    <w:p w14:paraId="24E01702" w14:textId="77777777" w:rsidR="007E61BA" w:rsidRPr="000F6503" w:rsidRDefault="007E61BA" w:rsidP="000154BF">
      <w:pPr>
        <w:pStyle w:val="SingleTxtG"/>
        <w:ind w:left="2268"/>
      </w:pPr>
      <w:r w:rsidRPr="000F6503">
        <w:tab/>
        <w:t>The scope of application of each standard is defined in the scope clause of the standard unless otherwise specified in the Table below.</w:t>
      </w:r>
    </w:p>
    <w:p w14:paraId="508AAD37" w14:textId="77777777" w:rsidR="0030176C" w:rsidRDefault="0030176C" w:rsidP="0030176C">
      <w:pPr>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p>
    <w:sectPr w:rsidR="0030176C" w:rsidSect="00B02D0F">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75F2" w14:textId="77777777" w:rsidR="004103D3" w:rsidRDefault="004103D3"/>
  </w:endnote>
  <w:endnote w:type="continuationSeparator" w:id="0">
    <w:p w14:paraId="6D88EBBF" w14:textId="77777777" w:rsidR="004103D3" w:rsidRDefault="004103D3"/>
  </w:endnote>
  <w:endnote w:type="continuationNotice" w:id="1">
    <w:p w14:paraId="0D274EB8" w14:textId="77777777" w:rsidR="004103D3" w:rsidRDefault="00410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698A" w14:textId="012F6E97" w:rsidR="002B16A1" w:rsidRPr="003B3A7E" w:rsidRDefault="002B16A1" w:rsidP="003B3A7E">
    <w:pPr>
      <w:pStyle w:val="Pieddepage"/>
    </w:pPr>
    <w:r>
      <w:rPr>
        <w:rStyle w:val="Numrodepage"/>
      </w:rPr>
      <w:fldChar w:fldCharType="begin"/>
    </w:r>
    <w:r>
      <w:rPr>
        <w:rStyle w:val="Numrodepage"/>
      </w:rPr>
      <w:instrText xml:space="preserve"> PAGE </w:instrText>
    </w:r>
    <w:r>
      <w:rPr>
        <w:rStyle w:val="Numrodepage"/>
      </w:rPr>
      <w:fldChar w:fldCharType="separate"/>
    </w:r>
    <w:r w:rsidR="00084FAD">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58C0" w14:textId="6B34AE43" w:rsidR="002B16A1" w:rsidRDefault="002B16A1" w:rsidP="003B3A7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84FAD">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B883" w14:textId="77777777" w:rsidR="004103D3" w:rsidRPr="000B175B" w:rsidRDefault="004103D3" w:rsidP="000B175B">
      <w:pPr>
        <w:tabs>
          <w:tab w:val="right" w:pos="2155"/>
        </w:tabs>
        <w:spacing w:after="80"/>
        <w:ind w:left="680"/>
        <w:rPr>
          <w:u w:val="single"/>
        </w:rPr>
      </w:pPr>
      <w:r>
        <w:rPr>
          <w:u w:val="single"/>
        </w:rPr>
        <w:tab/>
      </w:r>
    </w:p>
  </w:footnote>
  <w:footnote w:type="continuationSeparator" w:id="0">
    <w:p w14:paraId="5A19A465" w14:textId="77777777" w:rsidR="004103D3" w:rsidRPr="00FC68B7" w:rsidRDefault="004103D3" w:rsidP="00FC68B7">
      <w:pPr>
        <w:tabs>
          <w:tab w:val="left" w:pos="2155"/>
        </w:tabs>
        <w:spacing w:after="80"/>
        <w:ind w:left="680"/>
        <w:rPr>
          <w:u w:val="single"/>
        </w:rPr>
      </w:pPr>
      <w:r>
        <w:rPr>
          <w:u w:val="single"/>
        </w:rPr>
        <w:tab/>
      </w:r>
    </w:p>
  </w:footnote>
  <w:footnote w:type="continuationNotice" w:id="1">
    <w:p w14:paraId="2373A862" w14:textId="77777777" w:rsidR="004103D3" w:rsidRDefault="004103D3"/>
  </w:footnote>
  <w:footnote w:id="2">
    <w:p w14:paraId="2BE10CBF" w14:textId="12D366DB" w:rsidR="00852C6D" w:rsidRDefault="000154BF" w:rsidP="000154BF">
      <w:pPr>
        <w:pStyle w:val="Notedebasdepage"/>
        <w:snapToGrid w:val="0"/>
        <w:spacing w:before="120" w:after="120" w:line="240" w:lineRule="auto"/>
      </w:pPr>
      <w:r>
        <w:tab/>
      </w:r>
      <w:r>
        <w:tab/>
      </w:r>
      <w:r w:rsidR="00852C6D">
        <w:rPr>
          <w:rStyle w:val="Appelnotedebasdep"/>
        </w:rPr>
        <w:footnoteRef/>
      </w:r>
      <w:r>
        <w:tab/>
      </w:r>
      <w:r w:rsidR="00852C6D">
        <w:t xml:space="preserve">If </w:t>
      </w:r>
      <w:r w:rsidR="009F6726">
        <w:t>ECE/TRANS/WP.15/AC.1/</w:t>
      </w:r>
      <w:r w:rsidR="009F6726" w:rsidRPr="000F6503">
        <w:t xml:space="preserve">2021/23/Rev.1 </w:t>
      </w:r>
      <w:r w:rsidR="00A82E76">
        <w:t>is adopted “1.8.7.2.4” will become “1.8.7.2.2.2”.</w:t>
      </w:r>
    </w:p>
  </w:footnote>
  <w:footnote w:id="3">
    <w:p w14:paraId="7CE470EA" w14:textId="215D55AA" w:rsidR="00032C82" w:rsidRDefault="000154BF" w:rsidP="000154BF">
      <w:pPr>
        <w:pStyle w:val="Notedebasdepage"/>
        <w:snapToGrid w:val="0"/>
        <w:spacing w:before="120" w:after="120" w:line="240" w:lineRule="auto"/>
      </w:pPr>
      <w:r>
        <w:tab/>
      </w:r>
      <w:r>
        <w:tab/>
      </w:r>
      <w:r w:rsidR="00032C82">
        <w:rPr>
          <w:rStyle w:val="Appelnotedebasdep"/>
        </w:rPr>
        <w:footnoteRef/>
      </w:r>
      <w:r>
        <w:tab/>
      </w:r>
      <w:r w:rsidR="008A6737">
        <w:t>I</w:t>
      </w:r>
      <w:r w:rsidR="00032C82">
        <w:t xml:space="preserve">f </w:t>
      </w:r>
      <w:r w:rsidR="008A6737">
        <w:t>ECE/TRANS/WP.15/AC.1/</w:t>
      </w:r>
      <w:r w:rsidR="008A6737" w:rsidRPr="000F6503">
        <w:t xml:space="preserve">2021/23/Rev.1 </w:t>
      </w:r>
      <w:r w:rsidR="00032C82">
        <w:t>is adopted “or 6.8.2.3” should be deleted.</w:t>
      </w:r>
    </w:p>
  </w:footnote>
  <w:footnote w:id="4">
    <w:p w14:paraId="0A4D09F2" w14:textId="2A9EE375" w:rsidR="00032C82" w:rsidRDefault="000154BF" w:rsidP="000154BF">
      <w:pPr>
        <w:pStyle w:val="Notedebasdepage"/>
        <w:tabs>
          <w:tab w:val="clear" w:pos="1021"/>
        </w:tabs>
        <w:snapToGrid w:val="0"/>
        <w:spacing w:before="120" w:after="120" w:line="240" w:lineRule="auto"/>
      </w:pPr>
      <w:r>
        <w:tab/>
      </w:r>
      <w:r>
        <w:tab/>
      </w:r>
      <w:r w:rsidR="00032C82">
        <w:rPr>
          <w:rStyle w:val="Appelnotedebasdep"/>
        </w:rPr>
        <w:footnoteRef/>
      </w:r>
      <w:r>
        <w:tab/>
      </w:r>
      <w:r w:rsidR="00032C82">
        <w:t xml:space="preserve">If </w:t>
      </w:r>
      <w:r w:rsidR="008A6737">
        <w:t>ECE/TRANS/WP.15/AC.1/</w:t>
      </w:r>
      <w:r w:rsidR="008A6737" w:rsidRPr="000F6503">
        <w:t xml:space="preserve">2021/23/Rev.1 </w:t>
      </w:r>
      <w:r w:rsidR="00032C82">
        <w:t>is adopted “</w:t>
      </w:r>
      <w:r w:rsidR="00A82E76">
        <w:t xml:space="preserve">1.8.7.2.4 </w:t>
      </w:r>
      <w:r w:rsidR="00032C82">
        <w:t>or 6.8.2.3</w:t>
      </w:r>
      <w:r w:rsidR="00A82E76">
        <w:t>.3</w:t>
      </w:r>
      <w:r w:rsidR="00032C82">
        <w:t xml:space="preserve">” should be </w:t>
      </w:r>
      <w:r w:rsidR="00A82E76">
        <w:t>replaced by “1.8.7.2.2.2”</w:t>
      </w:r>
      <w:r w:rsidR="00032C82">
        <w:t>.</w:t>
      </w:r>
    </w:p>
  </w:footnote>
  <w:footnote w:id="5">
    <w:p w14:paraId="7E2C90AF" w14:textId="4A48BDEF" w:rsidR="00B84432" w:rsidRDefault="00243306">
      <w:pPr>
        <w:pStyle w:val="Notedebasdepage"/>
      </w:pPr>
      <w:r>
        <w:tab/>
      </w:r>
      <w:r>
        <w:tab/>
      </w:r>
      <w:r w:rsidR="00B84432">
        <w:rPr>
          <w:rStyle w:val="Appelnotedebasdep"/>
        </w:rPr>
        <w:footnoteRef/>
      </w:r>
      <w:r>
        <w:tab/>
      </w:r>
      <w:r w:rsidR="00B84432">
        <w:t xml:space="preserve">If </w:t>
      </w:r>
      <w:r w:rsidR="00D26FF0">
        <w:t>ECE/TRANS/WP.15/AC.1/</w:t>
      </w:r>
      <w:r w:rsidR="00D26FF0" w:rsidRPr="000F6503">
        <w:t xml:space="preserve">2021/23/Rev.1 </w:t>
      </w:r>
      <w:r w:rsidR="00B84432">
        <w:t>is adopted “1.8.7.2.4” will become “1.8.7.2.2.2”.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3C50" w14:textId="2EBB07EF" w:rsidR="002B16A1" w:rsidRPr="007E61BA" w:rsidRDefault="002B16A1">
    <w:pPr>
      <w:pStyle w:val="En-tte"/>
    </w:pPr>
    <w:r w:rsidRPr="007E61BA">
      <w:t>INF.</w:t>
    </w:r>
    <w:r w:rsidR="00476826">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5D6B" w14:textId="21BAED44" w:rsidR="002B16A1" w:rsidRPr="00073BC9" w:rsidRDefault="002B16A1" w:rsidP="0009455D">
    <w:pPr>
      <w:pStyle w:val="En-tte"/>
      <w:jc w:val="right"/>
    </w:pPr>
    <w:r>
      <w:t>INF</w:t>
    </w:r>
    <w:r w:rsidR="00193421">
      <w:t>.</w:t>
    </w:r>
    <w:r w:rsidR="00476826">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8F03" w14:textId="2F069B9C" w:rsidR="002B16A1" w:rsidRPr="00560572" w:rsidRDefault="002B16A1" w:rsidP="00E37495">
    <w:pPr>
      <w:pStyle w:val="En-tte"/>
      <w:pBdr>
        <w:bottom w:val="single" w:sz="4" w:space="1" w:color="auto"/>
      </w:pBdr>
      <w:jc w:val="right"/>
      <w:rPr>
        <w:sz w:val="28"/>
        <w:szCs w:val="28"/>
      </w:rPr>
    </w:pPr>
    <w:r w:rsidRPr="00560572">
      <w:rPr>
        <w:sz w:val="28"/>
        <w:szCs w:val="28"/>
      </w:rPr>
      <w:t>INF.</w:t>
    </w:r>
    <w:r w:rsidR="00476826">
      <w:rPr>
        <w:sz w:val="28"/>
        <w:szCs w:val="28"/>
      </w:rPr>
      <w:t>13</w:t>
    </w:r>
    <w:r w:rsidR="00730C0B">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7" w15:restartNumberingAfterBreak="0">
    <w:nsid w:val="31A12325"/>
    <w:multiLevelType w:val="hybridMultilevel"/>
    <w:tmpl w:val="2728B5CC"/>
    <w:lvl w:ilvl="0" w:tplc="FEFCB6AE">
      <w:start w:val="1"/>
      <w:numFmt w:val="bullet"/>
      <w:lvlText w:val=""/>
      <w:lvlJc w:val="left"/>
      <w:pPr>
        <w:ind w:left="740" w:hanging="360"/>
      </w:pPr>
      <w:rPr>
        <w:rFonts w:ascii="Symbol" w:hAnsi="Symbol" w:hint="default"/>
        <w:b w:val="0"/>
        <w:i w:val="0"/>
        <w:sz w:val="20"/>
      </w:rPr>
    </w:lvl>
    <w:lvl w:ilvl="1" w:tplc="04090003" w:tentative="1">
      <w:start w:val="1"/>
      <w:numFmt w:val="bullet"/>
      <w:lvlText w:val="o"/>
      <w:lvlJc w:val="left"/>
      <w:pPr>
        <w:tabs>
          <w:tab w:val="num" w:pos="686"/>
        </w:tabs>
        <w:ind w:left="686" w:hanging="360"/>
      </w:pPr>
      <w:rPr>
        <w:rFonts w:ascii="Courier New" w:hAnsi="Courier New" w:hint="default"/>
      </w:rPr>
    </w:lvl>
    <w:lvl w:ilvl="2" w:tplc="04090005" w:tentative="1">
      <w:start w:val="1"/>
      <w:numFmt w:val="bullet"/>
      <w:lvlText w:val=""/>
      <w:lvlJc w:val="left"/>
      <w:pPr>
        <w:tabs>
          <w:tab w:val="num" w:pos="1406"/>
        </w:tabs>
        <w:ind w:left="1406" w:hanging="360"/>
      </w:pPr>
      <w:rPr>
        <w:rFonts w:ascii="Wingdings" w:hAnsi="Wingdings" w:hint="default"/>
      </w:rPr>
    </w:lvl>
    <w:lvl w:ilvl="3" w:tplc="04090001" w:tentative="1">
      <w:start w:val="1"/>
      <w:numFmt w:val="bullet"/>
      <w:lvlText w:val=""/>
      <w:lvlJc w:val="left"/>
      <w:pPr>
        <w:tabs>
          <w:tab w:val="num" w:pos="2126"/>
        </w:tabs>
        <w:ind w:left="2126" w:hanging="360"/>
      </w:pPr>
      <w:rPr>
        <w:rFonts w:ascii="Symbol" w:hAnsi="Symbol" w:hint="default"/>
      </w:rPr>
    </w:lvl>
    <w:lvl w:ilvl="4" w:tplc="04090003" w:tentative="1">
      <w:start w:val="1"/>
      <w:numFmt w:val="bullet"/>
      <w:lvlText w:val="o"/>
      <w:lvlJc w:val="left"/>
      <w:pPr>
        <w:tabs>
          <w:tab w:val="num" w:pos="2846"/>
        </w:tabs>
        <w:ind w:left="2846" w:hanging="360"/>
      </w:pPr>
      <w:rPr>
        <w:rFonts w:ascii="Courier New" w:hAnsi="Courier New" w:hint="default"/>
      </w:rPr>
    </w:lvl>
    <w:lvl w:ilvl="5" w:tplc="04090005" w:tentative="1">
      <w:start w:val="1"/>
      <w:numFmt w:val="bullet"/>
      <w:lvlText w:val=""/>
      <w:lvlJc w:val="left"/>
      <w:pPr>
        <w:tabs>
          <w:tab w:val="num" w:pos="3566"/>
        </w:tabs>
        <w:ind w:left="3566" w:hanging="360"/>
      </w:pPr>
      <w:rPr>
        <w:rFonts w:ascii="Wingdings" w:hAnsi="Wingdings" w:hint="default"/>
      </w:rPr>
    </w:lvl>
    <w:lvl w:ilvl="6" w:tplc="04090001" w:tentative="1">
      <w:start w:val="1"/>
      <w:numFmt w:val="bullet"/>
      <w:lvlText w:val=""/>
      <w:lvlJc w:val="left"/>
      <w:pPr>
        <w:tabs>
          <w:tab w:val="num" w:pos="4286"/>
        </w:tabs>
        <w:ind w:left="4286" w:hanging="360"/>
      </w:pPr>
      <w:rPr>
        <w:rFonts w:ascii="Symbol" w:hAnsi="Symbol" w:hint="default"/>
      </w:rPr>
    </w:lvl>
    <w:lvl w:ilvl="7" w:tplc="04090003" w:tentative="1">
      <w:start w:val="1"/>
      <w:numFmt w:val="bullet"/>
      <w:lvlText w:val="o"/>
      <w:lvlJc w:val="left"/>
      <w:pPr>
        <w:tabs>
          <w:tab w:val="num" w:pos="5006"/>
        </w:tabs>
        <w:ind w:left="5006" w:hanging="360"/>
      </w:pPr>
      <w:rPr>
        <w:rFonts w:ascii="Courier New" w:hAnsi="Courier New" w:hint="default"/>
      </w:rPr>
    </w:lvl>
    <w:lvl w:ilvl="8" w:tplc="04090005" w:tentative="1">
      <w:start w:val="1"/>
      <w:numFmt w:val="bullet"/>
      <w:lvlText w:val=""/>
      <w:lvlJc w:val="left"/>
      <w:pPr>
        <w:tabs>
          <w:tab w:val="num" w:pos="5726"/>
        </w:tabs>
        <w:ind w:left="5726"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517D71D3"/>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04590"/>
    <w:multiLevelType w:val="hybridMultilevel"/>
    <w:tmpl w:val="C9402B86"/>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55E02C74"/>
    <w:multiLevelType w:val="multilevel"/>
    <w:tmpl w:val="CEEE0FC2"/>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CE43239"/>
    <w:multiLevelType w:val="hybridMultilevel"/>
    <w:tmpl w:val="F9F4C4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2"/>
  </w:num>
  <w:num w:numId="15">
    <w:abstractNumId w:val="18"/>
  </w:num>
  <w:num w:numId="16">
    <w:abstractNumId w:val="14"/>
  </w:num>
  <w:num w:numId="17">
    <w:abstractNumId w:val="28"/>
  </w:num>
  <w:num w:numId="18">
    <w:abstractNumId w:val="32"/>
  </w:num>
  <w:num w:numId="19">
    <w:abstractNumId w:val="26"/>
  </w:num>
  <w:num w:numId="20">
    <w:abstractNumId w:val="13"/>
  </w:num>
  <w:num w:numId="21">
    <w:abstractNumId w:val="20"/>
  </w:num>
  <w:num w:numId="22">
    <w:abstractNumId w:val="33"/>
  </w:num>
  <w:num w:numId="23">
    <w:abstractNumId w:val="19"/>
  </w:num>
  <w:num w:numId="24">
    <w:abstractNumId w:val="22"/>
  </w:num>
  <w:num w:numId="25">
    <w:abstractNumId w:val="31"/>
  </w:num>
  <w:num w:numId="26">
    <w:abstractNumId w:val="21"/>
  </w:num>
  <w:num w:numId="27">
    <w:abstractNumId w:val="11"/>
  </w:num>
  <w:num w:numId="28">
    <w:abstractNumId w:val="29"/>
  </w:num>
  <w:num w:numId="29">
    <w:abstractNumId w:val="24"/>
  </w:num>
  <w:num w:numId="30">
    <w:abstractNumId w:val="25"/>
  </w:num>
  <w:num w:numId="31">
    <w:abstractNumId w:val="28"/>
  </w:num>
  <w:num w:numId="32">
    <w:abstractNumId w:val="27"/>
  </w:num>
  <w:num w:numId="33">
    <w:abstractNumId w:val="23"/>
  </w:num>
  <w:num w:numId="34">
    <w:abstractNumId w:val="28"/>
  </w:num>
  <w:num w:numId="35">
    <w:abstractNumId w:val="16"/>
  </w:num>
  <w:num w:numId="3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50F2"/>
    <w:rsid w:val="00006790"/>
    <w:rsid w:val="000154BF"/>
    <w:rsid w:val="00017A8A"/>
    <w:rsid w:val="00017C14"/>
    <w:rsid w:val="0002343B"/>
    <w:rsid w:val="00027624"/>
    <w:rsid w:val="00032C82"/>
    <w:rsid w:val="00042E34"/>
    <w:rsid w:val="000453AE"/>
    <w:rsid w:val="00045C95"/>
    <w:rsid w:val="00050B2C"/>
    <w:rsid w:val="00050F6B"/>
    <w:rsid w:val="00052C74"/>
    <w:rsid w:val="00056E1C"/>
    <w:rsid w:val="0005749A"/>
    <w:rsid w:val="00057D31"/>
    <w:rsid w:val="00057F00"/>
    <w:rsid w:val="00060675"/>
    <w:rsid w:val="00062540"/>
    <w:rsid w:val="0006264E"/>
    <w:rsid w:val="00064235"/>
    <w:rsid w:val="000678CD"/>
    <w:rsid w:val="00072C8C"/>
    <w:rsid w:val="00073BC9"/>
    <w:rsid w:val="00075498"/>
    <w:rsid w:val="00081CE0"/>
    <w:rsid w:val="00081E5B"/>
    <w:rsid w:val="00082FAE"/>
    <w:rsid w:val="00084D30"/>
    <w:rsid w:val="00084FAD"/>
    <w:rsid w:val="00090320"/>
    <w:rsid w:val="00091148"/>
    <w:rsid w:val="000918D7"/>
    <w:rsid w:val="000931C0"/>
    <w:rsid w:val="0009455D"/>
    <w:rsid w:val="00097793"/>
    <w:rsid w:val="000A0CFF"/>
    <w:rsid w:val="000A2E09"/>
    <w:rsid w:val="000B175B"/>
    <w:rsid w:val="000B3A0F"/>
    <w:rsid w:val="000B41FA"/>
    <w:rsid w:val="000C2A7D"/>
    <w:rsid w:val="000D04A5"/>
    <w:rsid w:val="000D5A55"/>
    <w:rsid w:val="000D626F"/>
    <w:rsid w:val="000E0415"/>
    <w:rsid w:val="000E233A"/>
    <w:rsid w:val="000E4D5F"/>
    <w:rsid w:val="000E6779"/>
    <w:rsid w:val="000E7EB0"/>
    <w:rsid w:val="000F5D2C"/>
    <w:rsid w:val="000F6503"/>
    <w:rsid w:val="000F7715"/>
    <w:rsid w:val="001022EF"/>
    <w:rsid w:val="00103E99"/>
    <w:rsid w:val="001100E6"/>
    <w:rsid w:val="001108F0"/>
    <w:rsid w:val="00111B25"/>
    <w:rsid w:val="00116363"/>
    <w:rsid w:val="001174BE"/>
    <w:rsid w:val="001179A1"/>
    <w:rsid w:val="00125674"/>
    <w:rsid w:val="00126BAB"/>
    <w:rsid w:val="00130515"/>
    <w:rsid w:val="001361B9"/>
    <w:rsid w:val="00140040"/>
    <w:rsid w:val="0014401A"/>
    <w:rsid w:val="00152167"/>
    <w:rsid w:val="00155BE7"/>
    <w:rsid w:val="00156B99"/>
    <w:rsid w:val="0015713B"/>
    <w:rsid w:val="001573E4"/>
    <w:rsid w:val="00161037"/>
    <w:rsid w:val="00166124"/>
    <w:rsid w:val="00167F20"/>
    <w:rsid w:val="0017009E"/>
    <w:rsid w:val="00170545"/>
    <w:rsid w:val="00172600"/>
    <w:rsid w:val="001765D7"/>
    <w:rsid w:val="00176739"/>
    <w:rsid w:val="00180643"/>
    <w:rsid w:val="00184DDA"/>
    <w:rsid w:val="001874B4"/>
    <w:rsid w:val="001900CD"/>
    <w:rsid w:val="001906F5"/>
    <w:rsid w:val="00193421"/>
    <w:rsid w:val="00193D85"/>
    <w:rsid w:val="0019444B"/>
    <w:rsid w:val="001A0452"/>
    <w:rsid w:val="001A3481"/>
    <w:rsid w:val="001A3EDC"/>
    <w:rsid w:val="001A4D53"/>
    <w:rsid w:val="001A5251"/>
    <w:rsid w:val="001A5F15"/>
    <w:rsid w:val="001B4B04"/>
    <w:rsid w:val="001B5875"/>
    <w:rsid w:val="001C3A25"/>
    <w:rsid w:val="001C4B28"/>
    <w:rsid w:val="001C4B9C"/>
    <w:rsid w:val="001C6663"/>
    <w:rsid w:val="001C75A0"/>
    <w:rsid w:val="001C7895"/>
    <w:rsid w:val="001D15C4"/>
    <w:rsid w:val="001D26DF"/>
    <w:rsid w:val="001D2999"/>
    <w:rsid w:val="001D312D"/>
    <w:rsid w:val="001D757D"/>
    <w:rsid w:val="001D7BFF"/>
    <w:rsid w:val="001E0DF6"/>
    <w:rsid w:val="001E1A82"/>
    <w:rsid w:val="001E583F"/>
    <w:rsid w:val="001F12DF"/>
    <w:rsid w:val="001F1599"/>
    <w:rsid w:val="001F1961"/>
    <w:rsid w:val="001F19C4"/>
    <w:rsid w:val="001F6980"/>
    <w:rsid w:val="001F6B91"/>
    <w:rsid w:val="001F7A8B"/>
    <w:rsid w:val="002043F0"/>
    <w:rsid w:val="002060B9"/>
    <w:rsid w:val="00211E0B"/>
    <w:rsid w:val="002136D7"/>
    <w:rsid w:val="00215A1B"/>
    <w:rsid w:val="00216BB2"/>
    <w:rsid w:val="00222F2C"/>
    <w:rsid w:val="00227C09"/>
    <w:rsid w:val="002303E3"/>
    <w:rsid w:val="00230496"/>
    <w:rsid w:val="002314D7"/>
    <w:rsid w:val="00232575"/>
    <w:rsid w:val="0023589F"/>
    <w:rsid w:val="00242F8B"/>
    <w:rsid w:val="00243306"/>
    <w:rsid w:val="00245DD6"/>
    <w:rsid w:val="00247258"/>
    <w:rsid w:val="00250356"/>
    <w:rsid w:val="002547F2"/>
    <w:rsid w:val="002565C8"/>
    <w:rsid w:val="002574B9"/>
    <w:rsid w:val="002576D1"/>
    <w:rsid w:val="00257CAC"/>
    <w:rsid w:val="00264648"/>
    <w:rsid w:val="00264807"/>
    <w:rsid w:val="00273433"/>
    <w:rsid w:val="002815FC"/>
    <w:rsid w:val="00295F1A"/>
    <w:rsid w:val="002974E9"/>
    <w:rsid w:val="00297AC5"/>
    <w:rsid w:val="002A214F"/>
    <w:rsid w:val="002A6D75"/>
    <w:rsid w:val="002A7F94"/>
    <w:rsid w:val="002B109A"/>
    <w:rsid w:val="002B16A1"/>
    <w:rsid w:val="002B400C"/>
    <w:rsid w:val="002B5293"/>
    <w:rsid w:val="002C128F"/>
    <w:rsid w:val="002C1973"/>
    <w:rsid w:val="002C3A37"/>
    <w:rsid w:val="002C4661"/>
    <w:rsid w:val="002C518D"/>
    <w:rsid w:val="002C57D6"/>
    <w:rsid w:val="002C6D45"/>
    <w:rsid w:val="002D1828"/>
    <w:rsid w:val="002D4CF0"/>
    <w:rsid w:val="002D4D98"/>
    <w:rsid w:val="002D653A"/>
    <w:rsid w:val="002D6E53"/>
    <w:rsid w:val="002D743E"/>
    <w:rsid w:val="002E2296"/>
    <w:rsid w:val="002E23C9"/>
    <w:rsid w:val="002E482E"/>
    <w:rsid w:val="002E6DB4"/>
    <w:rsid w:val="002F024B"/>
    <w:rsid w:val="002F046D"/>
    <w:rsid w:val="002F272B"/>
    <w:rsid w:val="003007E7"/>
    <w:rsid w:val="00300A65"/>
    <w:rsid w:val="00300C40"/>
    <w:rsid w:val="00301764"/>
    <w:rsid w:val="0030176C"/>
    <w:rsid w:val="00302B3E"/>
    <w:rsid w:val="00310019"/>
    <w:rsid w:val="00313411"/>
    <w:rsid w:val="00321665"/>
    <w:rsid w:val="003229D8"/>
    <w:rsid w:val="00322DEC"/>
    <w:rsid w:val="0032343D"/>
    <w:rsid w:val="00323AD2"/>
    <w:rsid w:val="0032508A"/>
    <w:rsid w:val="00336080"/>
    <w:rsid w:val="00336C97"/>
    <w:rsid w:val="00337D65"/>
    <w:rsid w:val="00337F88"/>
    <w:rsid w:val="00340701"/>
    <w:rsid w:val="00342432"/>
    <w:rsid w:val="00343CF9"/>
    <w:rsid w:val="00344336"/>
    <w:rsid w:val="0034444E"/>
    <w:rsid w:val="0034572A"/>
    <w:rsid w:val="00350B59"/>
    <w:rsid w:val="00352D4B"/>
    <w:rsid w:val="00354724"/>
    <w:rsid w:val="00354CED"/>
    <w:rsid w:val="0035638C"/>
    <w:rsid w:val="003564DC"/>
    <w:rsid w:val="003645B0"/>
    <w:rsid w:val="00365611"/>
    <w:rsid w:val="00370928"/>
    <w:rsid w:val="00373041"/>
    <w:rsid w:val="00377A83"/>
    <w:rsid w:val="003806F0"/>
    <w:rsid w:val="00382512"/>
    <w:rsid w:val="00383C57"/>
    <w:rsid w:val="0038499B"/>
    <w:rsid w:val="0038567F"/>
    <w:rsid w:val="0038628F"/>
    <w:rsid w:val="003A1C51"/>
    <w:rsid w:val="003A46BB"/>
    <w:rsid w:val="003A4EC7"/>
    <w:rsid w:val="003A550E"/>
    <w:rsid w:val="003A7295"/>
    <w:rsid w:val="003B115E"/>
    <w:rsid w:val="003B1F60"/>
    <w:rsid w:val="003B3A7E"/>
    <w:rsid w:val="003B4643"/>
    <w:rsid w:val="003C2CC4"/>
    <w:rsid w:val="003C3176"/>
    <w:rsid w:val="003C7026"/>
    <w:rsid w:val="003D4916"/>
    <w:rsid w:val="003D4B23"/>
    <w:rsid w:val="003D58A1"/>
    <w:rsid w:val="003D6C76"/>
    <w:rsid w:val="003E0B55"/>
    <w:rsid w:val="003E278A"/>
    <w:rsid w:val="003E3D94"/>
    <w:rsid w:val="003F07CB"/>
    <w:rsid w:val="003F1887"/>
    <w:rsid w:val="003F4DCC"/>
    <w:rsid w:val="004019C8"/>
    <w:rsid w:val="0040292E"/>
    <w:rsid w:val="004032CF"/>
    <w:rsid w:val="004103D3"/>
    <w:rsid w:val="00413520"/>
    <w:rsid w:val="00414F7A"/>
    <w:rsid w:val="00415221"/>
    <w:rsid w:val="00423002"/>
    <w:rsid w:val="0042633E"/>
    <w:rsid w:val="00426367"/>
    <w:rsid w:val="00426F2D"/>
    <w:rsid w:val="00431D4D"/>
    <w:rsid w:val="004325CB"/>
    <w:rsid w:val="00433A82"/>
    <w:rsid w:val="00440A07"/>
    <w:rsid w:val="00456441"/>
    <w:rsid w:val="00462880"/>
    <w:rsid w:val="00464894"/>
    <w:rsid w:val="00472079"/>
    <w:rsid w:val="0047298C"/>
    <w:rsid w:val="0047429E"/>
    <w:rsid w:val="004757EE"/>
    <w:rsid w:val="00476826"/>
    <w:rsid w:val="00476F24"/>
    <w:rsid w:val="00480B38"/>
    <w:rsid w:val="0048402E"/>
    <w:rsid w:val="004840DC"/>
    <w:rsid w:val="00490954"/>
    <w:rsid w:val="004909E7"/>
    <w:rsid w:val="0049311D"/>
    <w:rsid w:val="004A7F93"/>
    <w:rsid w:val="004B0976"/>
    <w:rsid w:val="004B2A91"/>
    <w:rsid w:val="004B45B0"/>
    <w:rsid w:val="004B536D"/>
    <w:rsid w:val="004B7EA2"/>
    <w:rsid w:val="004C55B0"/>
    <w:rsid w:val="004D51F6"/>
    <w:rsid w:val="004D63B1"/>
    <w:rsid w:val="004D6F37"/>
    <w:rsid w:val="004D70FB"/>
    <w:rsid w:val="004E3AAB"/>
    <w:rsid w:val="004E4179"/>
    <w:rsid w:val="004E7160"/>
    <w:rsid w:val="004F3F8F"/>
    <w:rsid w:val="004F6BA0"/>
    <w:rsid w:val="004F739E"/>
    <w:rsid w:val="00503BEA"/>
    <w:rsid w:val="00520664"/>
    <w:rsid w:val="005237C4"/>
    <w:rsid w:val="00530289"/>
    <w:rsid w:val="00533616"/>
    <w:rsid w:val="00535170"/>
    <w:rsid w:val="00535ABA"/>
    <w:rsid w:val="005371A0"/>
    <w:rsid w:val="0053768B"/>
    <w:rsid w:val="00541722"/>
    <w:rsid w:val="005420F2"/>
    <w:rsid w:val="00542768"/>
    <w:rsid w:val="0054285C"/>
    <w:rsid w:val="00544307"/>
    <w:rsid w:val="005445FF"/>
    <w:rsid w:val="00547A88"/>
    <w:rsid w:val="005546FD"/>
    <w:rsid w:val="0055514F"/>
    <w:rsid w:val="005566B9"/>
    <w:rsid w:val="00560572"/>
    <w:rsid w:val="00564BF4"/>
    <w:rsid w:val="00564E34"/>
    <w:rsid w:val="00565297"/>
    <w:rsid w:val="005670DF"/>
    <w:rsid w:val="00571D73"/>
    <w:rsid w:val="00573297"/>
    <w:rsid w:val="00584173"/>
    <w:rsid w:val="00584F2F"/>
    <w:rsid w:val="005850DE"/>
    <w:rsid w:val="00587C17"/>
    <w:rsid w:val="00592CC7"/>
    <w:rsid w:val="00593779"/>
    <w:rsid w:val="00594428"/>
    <w:rsid w:val="00595520"/>
    <w:rsid w:val="005A0287"/>
    <w:rsid w:val="005A44B9"/>
    <w:rsid w:val="005A548A"/>
    <w:rsid w:val="005B1BA0"/>
    <w:rsid w:val="005B3DB3"/>
    <w:rsid w:val="005B5545"/>
    <w:rsid w:val="005B5D0E"/>
    <w:rsid w:val="005C58F0"/>
    <w:rsid w:val="005C700B"/>
    <w:rsid w:val="005D15CA"/>
    <w:rsid w:val="005D1867"/>
    <w:rsid w:val="005D2C39"/>
    <w:rsid w:val="005D390C"/>
    <w:rsid w:val="005D4B38"/>
    <w:rsid w:val="005E0637"/>
    <w:rsid w:val="005E1DA6"/>
    <w:rsid w:val="005E6952"/>
    <w:rsid w:val="005E6AAF"/>
    <w:rsid w:val="005F3066"/>
    <w:rsid w:val="005F3E61"/>
    <w:rsid w:val="005F51F6"/>
    <w:rsid w:val="005F69C7"/>
    <w:rsid w:val="005F7732"/>
    <w:rsid w:val="00604DDD"/>
    <w:rsid w:val="006115CC"/>
    <w:rsid w:val="00611DA7"/>
    <w:rsid w:val="00611FC4"/>
    <w:rsid w:val="00613302"/>
    <w:rsid w:val="00614D10"/>
    <w:rsid w:val="0061645F"/>
    <w:rsid w:val="006176FB"/>
    <w:rsid w:val="00622976"/>
    <w:rsid w:val="0062380F"/>
    <w:rsid w:val="0062564C"/>
    <w:rsid w:val="00630FCB"/>
    <w:rsid w:val="00632F10"/>
    <w:rsid w:val="00633628"/>
    <w:rsid w:val="0064017F"/>
    <w:rsid w:val="00640B26"/>
    <w:rsid w:val="00642312"/>
    <w:rsid w:val="00642502"/>
    <w:rsid w:val="00643F0E"/>
    <w:rsid w:val="0064748F"/>
    <w:rsid w:val="00651A29"/>
    <w:rsid w:val="00651D57"/>
    <w:rsid w:val="00655A61"/>
    <w:rsid w:val="006643C6"/>
    <w:rsid w:val="00667D6B"/>
    <w:rsid w:val="00671B0D"/>
    <w:rsid w:val="0067573E"/>
    <w:rsid w:val="00676999"/>
    <w:rsid w:val="006770B2"/>
    <w:rsid w:val="00682407"/>
    <w:rsid w:val="006853B3"/>
    <w:rsid w:val="00685846"/>
    <w:rsid w:val="006940E1"/>
    <w:rsid w:val="006955B0"/>
    <w:rsid w:val="006A1D39"/>
    <w:rsid w:val="006A3C72"/>
    <w:rsid w:val="006A57DC"/>
    <w:rsid w:val="006A7392"/>
    <w:rsid w:val="006B02A6"/>
    <w:rsid w:val="006B03A1"/>
    <w:rsid w:val="006B44AD"/>
    <w:rsid w:val="006B67D9"/>
    <w:rsid w:val="006B6FE3"/>
    <w:rsid w:val="006C5535"/>
    <w:rsid w:val="006D0589"/>
    <w:rsid w:val="006D087A"/>
    <w:rsid w:val="006D513E"/>
    <w:rsid w:val="006E2CC1"/>
    <w:rsid w:val="006E564B"/>
    <w:rsid w:val="006E7154"/>
    <w:rsid w:val="006F0884"/>
    <w:rsid w:val="006F4344"/>
    <w:rsid w:val="006F6363"/>
    <w:rsid w:val="007003CD"/>
    <w:rsid w:val="00703A6D"/>
    <w:rsid w:val="00706E67"/>
    <w:rsid w:val="0070701E"/>
    <w:rsid w:val="0070702F"/>
    <w:rsid w:val="0071447C"/>
    <w:rsid w:val="00714B5C"/>
    <w:rsid w:val="00715BE5"/>
    <w:rsid w:val="0071765D"/>
    <w:rsid w:val="0072632A"/>
    <w:rsid w:val="00726EA1"/>
    <w:rsid w:val="00730C0B"/>
    <w:rsid w:val="007358E8"/>
    <w:rsid w:val="00736ECE"/>
    <w:rsid w:val="007408A0"/>
    <w:rsid w:val="0074533B"/>
    <w:rsid w:val="0074705C"/>
    <w:rsid w:val="0075109D"/>
    <w:rsid w:val="00753C81"/>
    <w:rsid w:val="00755298"/>
    <w:rsid w:val="00755A22"/>
    <w:rsid w:val="00755BB0"/>
    <w:rsid w:val="00762298"/>
    <w:rsid w:val="00762EA6"/>
    <w:rsid w:val="0076432E"/>
    <w:rsid w:val="007643BC"/>
    <w:rsid w:val="00764F01"/>
    <w:rsid w:val="00770846"/>
    <w:rsid w:val="00773224"/>
    <w:rsid w:val="007810E1"/>
    <w:rsid w:val="00781D93"/>
    <w:rsid w:val="00782C8C"/>
    <w:rsid w:val="007900F5"/>
    <w:rsid w:val="00790877"/>
    <w:rsid w:val="00792467"/>
    <w:rsid w:val="00793C71"/>
    <w:rsid w:val="00794177"/>
    <w:rsid w:val="007942D2"/>
    <w:rsid w:val="0079577B"/>
    <w:rsid w:val="007959FE"/>
    <w:rsid w:val="00795E37"/>
    <w:rsid w:val="007A084B"/>
    <w:rsid w:val="007A0CF1"/>
    <w:rsid w:val="007A38B0"/>
    <w:rsid w:val="007A4384"/>
    <w:rsid w:val="007A75D4"/>
    <w:rsid w:val="007A7CC0"/>
    <w:rsid w:val="007B3883"/>
    <w:rsid w:val="007B5D17"/>
    <w:rsid w:val="007B5DDD"/>
    <w:rsid w:val="007B614B"/>
    <w:rsid w:val="007B6A61"/>
    <w:rsid w:val="007B6BA5"/>
    <w:rsid w:val="007C116D"/>
    <w:rsid w:val="007C3390"/>
    <w:rsid w:val="007C42D8"/>
    <w:rsid w:val="007C4F4B"/>
    <w:rsid w:val="007C68C8"/>
    <w:rsid w:val="007C7DB6"/>
    <w:rsid w:val="007D4DE9"/>
    <w:rsid w:val="007D5759"/>
    <w:rsid w:val="007D6D44"/>
    <w:rsid w:val="007D7362"/>
    <w:rsid w:val="007E36CB"/>
    <w:rsid w:val="007E4914"/>
    <w:rsid w:val="007E61BA"/>
    <w:rsid w:val="007F1E0D"/>
    <w:rsid w:val="007F2E11"/>
    <w:rsid w:val="007F546E"/>
    <w:rsid w:val="007F5CE2"/>
    <w:rsid w:val="007F6611"/>
    <w:rsid w:val="00803B7F"/>
    <w:rsid w:val="00805DE0"/>
    <w:rsid w:val="00810BAC"/>
    <w:rsid w:val="0081100B"/>
    <w:rsid w:val="008153BB"/>
    <w:rsid w:val="008175E9"/>
    <w:rsid w:val="00817F20"/>
    <w:rsid w:val="008203B2"/>
    <w:rsid w:val="0082405C"/>
    <w:rsid w:val="008242D7"/>
    <w:rsid w:val="00825578"/>
    <w:rsid w:val="008256D7"/>
    <w:rsid w:val="0082577B"/>
    <w:rsid w:val="00830D15"/>
    <w:rsid w:val="008330FC"/>
    <w:rsid w:val="0083344C"/>
    <w:rsid w:val="00834DF7"/>
    <w:rsid w:val="00835C07"/>
    <w:rsid w:val="00843148"/>
    <w:rsid w:val="00852C6D"/>
    <w:rsid w:val="008558E7"/>
    <w:rsid w:val="0086054B"/>
    <w:rsid w:val="00866893"/>
    <w:rsid w:val="00866F02"/>
    <w:rsid w:val="00867D18"/>
    <w:rsid w:val="008707F8"/>
    <w:rsid w:val="00871F9A"/>
    <w:rsid w:val="00871FD5"/>
    <w:rsid w:val="008732A4"/>
    <w:rsid w:val="00876B8E"/>
    <w:rsid w:val="00881335"/>
    <w:rsid w:val="0088172E"/>
    <w:rsid w:val="00881EFA"/>
    <w:rsid w:val="00882A19"/>
    <w:rsid w:val="00883E28"/>
    <w:rsid w:val="00884516"/>
    <w:rsid w:val="00887A7D"/>
    <w:rsid w:val="0089256A"/>
    <w:rsid w:val="008967C0"/>
    <w:rsid w:val="008979B1"/>
    <w:rsid w:val="008A57C8"/>
    <w:rsid w:val="008A5859"/>
    <w:rsid w:val="008A6737"/>
    <w:rsid w:val="008A6792"/>
    <w:rsid w:val="008A6B25"/>
    <w:rsid w:val="008A6C4F"/>
    <w:rsid w:val="008A7787"/>
    <w:rsid w:val="008B389E"/>
    <w:rsid w:val="008B41F4"/>
    <w:rsid w:val="008B59E3"/>
    <w:rsid w:val="008C401D"/>
    <w:rsid w:val="008C5B2D"/>
    <w:rsid w:val="008C5BCB"/>
    <w:rsid w:val="008C6B47"/>
    <w:rsid w:val="008D045E"/>
    <w:rsid w:val="008D0D4F"/>
    <w:rsid w:val="008D3F25"/>
    <w:rsid w:val="008D4CAB"/>
    <w:rsid w:val="008D4D82"/>
    <w:rsid w:val="008E0E09"/>
    <w:rsid w:val="008E0E46"/>
    <w:rsid w:val="008E5A5D"/>
    <w:rsid w:val="008E7116"/>
    <w:rsid w:val="008F0636"/>
    <w:rsid w:val="008F143B"/>
    <w:rsid w:val="008F33C4"/>
    <w:rsid w:val="008F3882"/>
    <w:rsid w:val="008F3C40"/>
    <w:rsid w:val="008F4B7C"/>
    <w:rsid w:val="00904D63"/>
    <w:rsid w:val="00906BFE"/>
    <w:rsid w:val="00912BCC"/>
    <w:rsid w:val="00913504"/>
    <w:rsid w:val="00914DC3"/>
    <w:rsid w:val="0091597A"/>
    <w:rsid w:val="00915C95"/>
    <w:rsid w:val="00916B9C"/>
    <w:rsid w:val="00917F86"/>
    <w:rsid w:val="00924CF0"/>
    <w:rsid w:val="00926E47"/>
    <w:rsid w:val="00926EF0"/>
    <w:rsid w:val="009324AE"/>
    <w:rsid w:val="00932874"/>
    <w:rsid w:val="009335D5"/>
    <w:rsid w:val="0094444F"/>
    <w:rsid w:val="00945B24"/>
    <w:rsid w:val="00946D3D"/>
    <w:rsid w:val="00946EAC"/>
    <w:rsid w:val="00947162"/>
    <w:rsid w:val="009479C1"/>
    <w:rsid w:val="00950823"/>
    <w:rsid w:val="00950CCB"/>
    <w:rsid w:val="00953163"/>
    <w:rsid w:val="00955410"/>
    <w:rsid w:val="009601FF"/>
    <w:rsid w:val="0096068B"/>
    <w:rsid w:val="00960D5D"/>
    <w:rsid w:val="009610D0"/>
    <w:rsid w:val="0096375C"/>
    <w:rsid w:val="009662E6"/>
    <w:rsid w:val="0097095E"/>
    <w:rsid w:val="00971E4D"/>
    <w:rsid w:val="00974E61"/>
    <w:rsid w:val="00974F7C"/>
    <w:rsid w:val="00980F57"/>
    <w:rsid w:val="009826E8"/>
    <w:rsid w:val="00982DDC"/>
    <w:rsid w:val="0098592B"/>
    <w:rsid w:val="00985AB9"/>
    <w:rsid w:val="00985FC4"/>
    <w:rsid w:val="00986DFE"/>
    <w:rsid w:val="00990766"/>
    <w:rsid w:val="00991261"/>
    <w:rsid w:val="0099198F"/>
    <w:rsid w:val="00992C68"/>
    <w:rsid w:val="0099552C"/>
    <w:rsid w:val="00995FA1"/>
    <w:rsid w:val="009964C4"/>
    <w:rsid w:val="0099702C"/>
    <w:rsid w:val="009A16C9"/>
    <w:rsid w:val="009A6B7B"/>
    <w:rsid w:val="009A7B81"/>
    <w:rsid w:val="009B29EA"/>
    <w:rsid w:val="009B6116"/>
    <w:rsid w:val="009C144C"/>
    <w:rsid w:val="009C34E9"/>
    <w:rsid w:val="009C500D"/>
    <w:rsid w:val="009C59B9"/>
    <w:rsid w:val="009D01C0"/>
    <w:rsid w:val="009D0FD7"/>
    <w:rsid w:val="009D6A08"/>
    <w:rsid w:val="009E0A16"/>
    <w:rsid w:val="009E6F6F"/>
    <w:rsid w:val="009E7970"/>
    <w:rsid w:val="009F2EAC"/>
    <w:rsid w:val="009F57E3"/>
    <w:rsid w:val="009F6726"/>
    <w:rsid w:val="009F6961"/>
    <w:rsid w:val="00A00D3D"/>
    <w:rsid w:val="00A07EBB"/>
    <w:rsid w:val="00A10F4F"/>
    <w:rsid w:val="00A11067"/>
    <w:rsid w:val="00A13229"/>
    <w:rsid w:val="00A138AB"/>
    <w:rsid w:val="00A14DDE"/>
    <w:rsid w:val="00A1704A"/>
    <w:rsid w:val="00A23E9E"/>
    <w:rsid w:val="00A30053"/>
    <w:rsid w:val="00A370D7"/>
    <w:rsid w:val="00A400D3"/>
    <w:rsid w:val="00A41BB8"/>
    <w:rsid w:val="00A425EB"/>
    <w:rsid w:val="00A430C8"/>
    <w:rsid w:val="00A45CB7"/>
    <w:rsid w:val="00A47439"/>
    <w:rsid w:val="00A5064C"/>
    <w:rsid w:val="00A71B04"/>
    <w:rsid w:val="00A72F22"/>
    <w:rsid w:val="00A733BC"/>
    <w:rsid w:val="00A748A6"/>
    <w:rsid w:val="00A749C1"/>
    <w:rsid w:val="00A76A69"/>
    <w:rsid w:val="00A77D0C"/>
    <w:rsid w:val="00A81AF4"/>
    <w:rsid w:val="00A824E7"/>
    <w:rsid w:val="00A82E76"/>
    <w:rsid w:val="00A865A7"/>
    <w:rsid w:val="00A879A4"/>
    <w:rsid w:val="00A910B4"/>
    <w:rsid w:val="00A94EA2"/>
    <w:rsid w:val="00A95935"/>
    <w:rsid w:val="00A95E35"/>
    <w:rsid w:val="00A96696"/>
    <w:rsid w:val="00A976DD"/>
    <w:rsid w:val="00AA0FF8"/>
    <w:rsid w:val="00AA3567"/>
    <w:rsid w:val="00AB2CE7"/>
    <w:rsid w:val="00AB2D13"/>
    <w:rsid w:val="00AB5169"/>
    <w:rsid w:val="00AC0F2C"/>
    <w:rsid w:val="00AC1453"/>
    <w:rsid w:val="00AC502A"/>
    <w:rsid w:val="00AC7298"/>
    <w:rsid w:val="00AD4FF7"/>
    <w:rsid w:val="00AD7B0D"/>
    <w:rsid w:val="00AE0909"/>
    <w:rsid w:val="00AE543C"/>
    <w:rsid w:val="00AE6EE9"/>
    <w:rsid w:val="00AF3A98"/>
    <w:rsid w:val="00AF58C1"/>
    <w:rsid w:val="00B01321"/>
    <w:rsid w:val="00B02D0F"/>
    <w:rsid w:val="00B03E68"/>
    <w:rsid w:val="00B05D2C"/>
    <w:rsid w:val="00B06643"/>
    <w:rsid w:val="00B07137"/>
    <w:rsid w:val="00B15055"/>
    <w:rsid w:val="00B17FC5"/>
    <w:rsid w:val="00B2175D"/>
    <w:rsid w:val="00B27044"/>
    <w:rsid w:val="00B300A8"/>
    <w:rsid w:val="00B30179"/>
    <w:rsid w:val="00B37B15"/>
    <w:rsid w:val="00B414AA"/>
    <w:rsid w:val="00B4482F"/>
    <w:rsid w:val="00B45C02"/>
    <w:rsid w:val="00B4691D"/>
    <w:rsid w:val="00B46AB9"/>
    <w:rsid w:val="00B47667"/>
    <w:rsid w:val="00B609E7"/>
    <w:rsid w:val="00B628EC"/>
    <w:rsid w:val="00B62EEE"/>
    <w:rsid w:val="00B63F27"/>
    <w:rsid w:val="00B70F5A"/>
    <w:rsid w:val="00B71791"/>
    <w:rsid w:val="00B72A1E"/>
    <w:rsid w:val="00B75E02"/>
    <w:rsid w:val="00B77001"/>
    <w:rsid w:val="00B80D50"/>
    <w:rsid w:val="00B81E12"/>
    <w:rsid w:val="00B84432"/>
    <w:rsid w:val="00B8509D"/>
    <w:rsid w:val="00B857BE"/>
    <w:rsid w:val="00B8594F"/>
    <w:rsid w:val="00B9110C"/>
    <w:rsid w:val="00B960C8"/>
    <w:rsid w:val="00BA339B"/>
    <w:rsid w:val="00BB0E72"/>
    <w:rsid w:val="00BB2862"/>
    <w:rsid w:val="00BB3D9E"/>
    <w:rsid w:val="00BC1E7E"/>
    <w:rsid w:val="00BC24E4"/>
    <w:rsid w:val="00BC2E45"/>
    <w:rsid w:val="00BC3E26"/>
    <w:rsid w:val="00BC74E9"/>
    <w:rsid w:val="00BD242C"/>
    <w:rsid w:val="00BD2A2D"/>
    <w:rsid w:val="00BD4A62"/>
    <w:rsid w:val="00BE36A9"/>
    <w:rsid w:val="00BE49ED"/>
    <w:rsid w:val="00BE618E"/>
    <w:rsid w:val="00BE7BEC"/>
    <w:rsid w:val="00BF0A5A"/>
    <w:rsid w:val="00BF0B99"/>
    <w:rsid w:val="00BF0E63"/>
    <w:rsid w:val="00BF103C"/>
    <w:rsid w:val="00BF12A3"/>
    <w:rsid w:val="00BF16D7"/>
    <w:rsid w:val="00BF218C"/>
    <w:rsid w:val="00BF2373"/>
    <w:rsid w:val="00C044E2"/>
    <w:rsid w:val="00C048CB"/>
    <w:rsid w:val="00C066F3"/>
    <w:rsid w:val="00C06865"/>
    <w:rsid w:val="00C07CA9"/>
    <w:rsid w:val="00C10783"/>
    <w:rsid w:val="00C11B07"/>
    <w:rsid w:val="00C12749"/>
    <w:rsid w:val="00C129D5"/>
    <w:rsid w:val="00C149B1"/>
    <w:rsid w:val="00C15DC2"/>
    <w:rsid w:val="00C164EB"/>
    <w:rsid w:val="00C2098C"/>
    <w:rsid w:val="00C250FE"/>
    <w:rsid w:val="00C31A6C"/>
    <w:rsid w:val="00C32C82"/>
    <w:rsid w:val="00C36878"/>
    <w:rsid w:val="00C3710D"/>
    <w:rsid w:val="00C37628"/>
    <w:rsid w:val="00C443B6"/>
    <w:rsid w:val="00C44BB0"/>
    <w:rsid w:val="00C45BBB"/>
    <w:rsid w:val="00C463DD"/>
    <w:rsid w:val="00C46997"/>
    <w:rsid w:val="00C57882"/>
    <w:rsid w:val="00C60694"/>
    <w:rsid w:val="00C60D93"/>
    <w:rsid w:val="00C62A7A"/>
    <w:rsid w:val="00C66991"/>
    <w:rsid w:val="00C70809"/>
    <w:rsid w:val="00C745C3"/>
    <w:rsid w:val="00C805A7"/>
    <w:rsid w:val="00C82AD8"/>
    <w:rsid w:val="00C83923"/>
    <w:rsid w:val="00C84ED7"/>
    <w:rsid w:val="00C9213B"/>
    <w:rsid w:val="00C9346D"/>
    <w:rsid w:val="00CA2221"/>
    <w:rsid w:val="00CA24A4"/>
    <w:rsid w:val="00CA3137"/>
    <w:rsid w:val="00CA3AF1"/>
    <w:rsid w:val="00CA44E1"/>
    <w:rsid w:val="00CB08EA"/>
    <w:rsid w:val="00CB1981"/>
    <w:rsid w:val="00CB348D"/>
    <w:rsid w:val="00CB34BE"/>
    <w:rsid w:val="00CB4FCE"/>
    <w:rsid w:val="00CB51DE"/>
    <w:rsid w:val="00CB53BE"/>
    <w:rsid w:val="00CB5B76"/>
    <w:rsid w:val="00CB763D"/>
    <w:rsid w:val="00CC0178"/>
    <w:rsid w:val="00CC01BB"/>
    <w:rsid w:val="00CC1589"/>
    <w:rsid w:val="00CC1B3A"/>
    <w:rsid w:val="00CC2CB9"/>
    <w:rsid w:val="00CC4E06"/>
    <w:rsid w:val="00CC4EC6"/>
    <w:rsid w:val="00CD1C17"/>
    <w:rsid w:val="00CD2214"/>
    <w:rsid w:val="00CD46F5"/>
    <w:rsid w:val="00CD50E7"/>
    <w:rsid w:val="00CD58A9"/>
    <w:rsid w:val="00CD6883"/>
    <w:rsid w:val="00CD6C29"/>
    <w:rsid w:val="00CE2428"/>
    <w:rsid w:val="00CE3584"/>
    <w:rsid w:val="00CE4A8F"/>
    <w:rsid w:val="00CE52ED"/>
    <w:rsid w:val="00CF071D"/>
    <w:rsid w:val="00CF102B"/>
    <w:rsid w:val="00CF116C"/>
    <w:rsid w:val="00CF5A3E"/>
    <w:rsid w:val="00D00745"/>
    <w:rsid w:val="00D03595"/>
    <w:rsid w:val="00D15B04"/>
    <w:rsid w:val="00D1721E"/>
    <w:rsid w:val="00D2031B"/>
    <w:rsid w:val="00D21404"/>
    <w:rsid w:val="00D22806"/>
    <w:rsid w:val="00D231B0"/>
    <w:rsid w:val="00D23EAC"/>
    <w:rsid w:val="00D23F0F"/>
    <w:rsid w:val="00D24DB3"/>
    <w:rsid w:val="00D25EC1"/>
    <w:rsid w:val="00D25FE2"/>
    <w:rsid w:val="00D26FF0"/>
    <w:rsid w:val="00D37DA9"/>
    <w:rsid w:val="00D406A7"/>
    <w:rsid w:val="00D42FE3"/>
    <w:rsid w:val="00D43252"/>
    <w:rsid w:val="00D44D86"/>
    <w:rsid w:val="00D4540B"/>
    <w:rsid w:val="00D50225"/>
    <w:rsid w:val="00D50B7D"/>
    <w:rsid w:val="00D52012"/>
    <w:rsid w:val="00D52588"/>
    <w:rsid w:val="00D53D19"/>
    <w:rsid w:val="00D57536"/>
    <w:rsid w:val="00D61DAF"/>
    <w:rsid w:val="00D6633F"/>
    <w:rsid w:val="00D66C59"/>
    <w:rsid w:val="00D704E5"/>
    <w:rsid w:val="00D72689"/>
    <w:rsid w:val="00D72727"/>
    <w:rsid w:val="00D731DD"/>
    <w:rsid w:val="00D73D7E"/>
    <w:rsid w:val="00D74114"/>
    <w:rsid w:val="00D83520"/>
    <w:rsid w:val="00D8478F"/>
    <w:rsid w:val="00D871AC"/>
    <w:rsid w:val="00D90395"/>
    <w:rsid w:val="00D90415"/>
    <w:rsid w:val="00D917F9"/>
    <w:rsid w:val="00D91E8D"/>
    <w:rsid w:val="00D978C6"/>
    <w:rsid w:val="00DA0956"/>
    <w:rsid w:val="00DA1020"/>
    <w:rsid w:val="00DA121A"/>
    <w:rsid w:val="00DA2D44"/>
    <w:rsid w:val="00DA357F"/>
    <w:rsid w:val="00DA3E12"/>
    <w:rsid w:val="00DB0BFD"/>
    <w:rsid w:val="00DB1B8B"/>
    <w:rsid w:val="00DB4674"/>
    <w:rsid w:val="00DB5900"/>
    <w:rsid w:val="00DB66FA"/>
    <w:rsid w:val="00DC18AD"/>
    <w:rsid w:val="00DC1F69"/>
    <w:rsid w:val="00DC36B8"/>
    <w:rsid w:val="00DC584A"/>
    <w:rsid w:val="00DD3FE8"/>
    <w:rsid w:val="00DD50EB"/>
    <w:rsid w:val="00DE0CB9"/>
    <w:rsid w:val="00DE178B"/>
    <w:rsid w:val="00DE2BCF"/>
    <w:rsid w:val="00DE5105"/>
    <w:rsid w:val="00DF069D"/>
    <w:rsid w:val="00DF1147"/>
    <w:rsid w:val="00DF1A1E"/>
    <w:rsid w:val="00DF4518"/>
    <w:rsid w:val="00DF45EB"/>
    <w:rsid w:val="00DF6A82"/>
    <w:rsid w:val="00DF7CAE"/>
    <w:rsid w:val="00E02011"/>
    <w:rsid w:val="00E02660"/>
    <w:rsid w:val="00E11BB2"/>
    <w:rsid w:val="00E1773B"/>
    <w:rsid w:val="00E30E8C"/>
    <w:rsid w:val="00E324A0"/>
    <w:rsid w:val="00E37495"/>
    <w:rsid w:val="00E37735"/>
    <w:rsid w:val="00E423C0"/>
    <w:rsid w:val="00E43A2E"/>
    <w:rsid w:val="00E46BB6"/>
    <w:rsid w:val="00E50BC6"/>
    <w:rsid w:val="00E53624"/>
    <w:rsid w:val="00E550E7"/>
    <w:rsid w:val="00E563D0"/>
    <w:rsid w:val="00E57974"/>
    <w:rsid w:val="00E62965"/>
    <w:rsid w:val="00E6414C"/>
    <w:rsid w:val="00E66CAB"/>
    <w:rsid w:val="00E672F0"/>
    <w:rsid w:val="00E7260F"/>
    <w:rsid w:val="00E771AF"/>
    <w:rsid w:val="00E82C50"/>
    <w:rsid w:val="00E84BF2"/>
    <w:rsid w:val="00E86772"/>
    <w:rsid w:val="00E8702D"/>
    <w:rsid w:val="00E87C7D"/>
    <w:rsid w:val="00E916A9"/>
    <w:rsid w:val="00E916DE"/>
    <w:rsid w:val="00E92C9E"/>
    <w:rsid w:val="00E9388E"/>
    <w:rsid w:val="00E96630"/>
    <w:rsid w:val="00EA586A"/>
    <w:rsid w:val="00EB5B1B"/>
    <w:rsid w:val="00EC10B9"/>
    <w:rsid w:val="00EC2DB3"/>
    <w:rsid w:val="00ED044A"/>
    <w:rsid w:val="00ED18DC"/>
    <w:rsid w:val="00ED2FA9"/>
    <w:rsid w:val="00ED6201"/>
    <w:rsid w:val="00ED7A2A"/>
    <w:rsid w:val="00ED7C8C"/>
    <w:rsid w:val="00ED7F40"/>
    <w:rsid w:val="00EE3D65"/>
    <w:rsid w:val="00EE433C"/>
    <w:rsid w:val="00EE4832"/>
    <w:rsid w:val="00EE586A"/>
    <w:rsid w:val="00EF1D7F"/>
    <w:rsid w:val="00EF4426"/>
    <w:rsid w:val="00F0137E"/>
    <w:rsid w:val="00F0148F"/>
    <w:rsid w:val="00F04571"/>
    <w:rsid w:val="00F21786"/>
    <w:rsid w:val="00F237F4"/>
    <w:rsid w:val="00F347BC"/>
    <w:rsid w:val="00F3742B"/>
    <w:rsid w:val="00F40CCF"/>
    <w:rsid w:val="00F41FDB"/>
    <w:rsid w:val="00F52987"/>
    <w:rsid w:val="00F5337D"/>
    <w:rsid w:val="00F5361D"/>
    <w:rsid w:val="00F5390C"/>
    <w:rsid w:val="00F56D63"/>
    <w:rsid w:val="00F609A9"/>
    <w:rsid w:val="00F6280E"/>
    <w:rsid w:val="00F7472D"/>
    <w:rsid w:val="00F80C99"/>
    <w:rsid w:val="00F86204"/>
    <w:rsid w:val="00F867EC"/>
    <w:rsid w:val="00F91B2B"/>
    <w:rsid w:val="00F92197"/>
    <w:rsid w:val="00FA28CC"/>
    <w:rsid w:val="00FA3135"/>
    <w:rsid w:val="00FA3269"/>
    <w:rsid w:val="00FB468B"/>
    <w:rsid w:val="00FB7BE4"/>
    <w:rsid w:val="00FC03CD"/>
    <w:rsid w:val="00FC0646"/>
    <w:rsid w:val="00FC0826"/>
    <w:rsid w:val="00FC161F"/>
    <w:rsid w:val="00FC2311"/>
    <w:rsid w:val="00FC2FC6"/>
    <w:rsid w:val="00FC55A7"/>
    <w:rsid w:val="00FC68B7"/>
    <w:rsid w:val="00FC6F81"/>
    <w:rsid w:val="00FD05AF"/>
    <w:rsid w:val="00FD0A90"/>
    <w:rsid w:val="00FD55B1"/>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85E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EE9"/>
    <w:pPr>
      <w:spacing w:after="240"/>
    </w:pPr>
    <w:rPr>
      <w:lang w:val="en-GB"/>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link w:val="PieddepageCar"/>
    <w:uiPriority w:val="99"/>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auNormal"/>
    <w:next w:val="Grilledutableau"/>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22806"/>
    <w:pPr>
      <w:spacing w:after="0"/>
    </w:pPr>
    <w:rPr>
      <w:rFonts w:ascii="Tahoma" w:hAnsi="Tahoma" w:cs="Tahoma"/>
      <w:sz w:val="16"/>
      <w:szCs w:val="16"/>
    </w:rPr>
  </w:style>
  <w:style w:type="character" w:customStyle="1" w:styleId="TextedebullesCar">
    <w:name w:val="Texte de bulles Car"/>
    <w:link w:val="Textedebulles"/>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customStyle="1" w:styleId="SingleTxtGChar">
    <w:name w:val="_ Single Txt_G Char"/>
    <w:qFormat/>
    <w:locked/>
    <w:rsid w:val="0079577B"/>
    <w:rPr>
      <w:lang w:val="en-GB" w:eastAsia="en-US"/>
    </w:rPr>
  </w:style>
  <w:style w:type="character" w:styleId="Marquedecommentaire">
    <w:name w:val="annotation reference"/>
    <w:basedOn w:val="Policepardfaut"/>
    <w:rsid w:val="00273433"/>
    <w:rPr>
      <w:sz w:val="16"/>
      <w:szCs w:val="16"/>
    </w:rPr>
  </w:style>
  <w:style w:type="paragraph" w:styleId="Commentaire">
    <w:name w:val="annotation text"/>
    <w:basedOn w:val="Normal"/>
    <w:link w:val="CommentaireCar"/>
    <w:rsid w:val="00273433"/>
  </w:style>
  <w:style w:type="character" w:customStyle="1" w:styleId="CommentaireCar">
    <w:name w:val="Commentaire Car"/>
    <w:basedOn w:val="Policepardfaut"/>
    <w:link w:val="Commentaire"/>
    <w:rsid w:val="00273433"/>
    <w:rPr>
      <w:lang w:val="en-GB"/>
    </w:rPr>
  </w:style>
  <w:style w:type="paragraph" w:styleId="Objetducommentaire">
    <w:name w:val="annotation subject"/>
    <w:basedOn w:val="Commentaire"/>
    <w:next w:val="Commentaire"/>
    <w:link w:val="ObjetducommentaireCar"/>
    <w:rsid w:val="00273433"/>
    <w:rPr>
      <w:b/>
      <w:bCs/>
    </w:rPr>
  </w:style>
  <w:style w:type="character" w:customStyle="1" w:styleId="ObjetducommentaireCar">
    <w:name w:val="Objet du commentaire Car"/>
    <w:basedOn w:val="CommentaireCar"/>
    <w:link w:val="Objetducommentaire"/>
    <w:rsid w:val="00273433"/>
    <w:rPr>
      <w:b/>
      <w:bCs/>
      <w:lang w:val="en-GB"/>
    </w:rPr>
  </w:style>
  <w:style w:type="character" w:customStyle="1" w:styleId="PieddepageCar">
    <w:name w:val="Pied de page Car"/>
    <w:aliases w:val="3_G Car"/>
    <w:link w:val="Pieddepage"/>
    <w:uiPriority w:val="99"/>
    <w:rsid w:val="006A57DC"/>
    <w:rPr>
      <w:sz w:val="16"/>
      <w:lang w:val="en-GB"/>
    </w:rPr>
  </w:style>
  <w:style w:type="paragraph" w:styleId="Paragraphedeliste">
    <w:name w:val="List Paragraph"/>
    <w:basedOn w:val="Normal"/>
    <w:uiPriority w:val="34"/>
    <w:qFormat/>
    <w:rsid w:val="00971E4D"/>
    <w:pPr>
      <w:ind w:left="720"/>
      <w:contextualSpacing/>
    </w:pPr>
  </w:style>
  <w:style w:type="character" w:customStyle="1" w:styleId="H23GChar">
    <w:name w:val="_ H_2/3_G Char"/>
    <w:link w:val="H23G"/>
    <w:locked/>
    <w:rsid w:val="00245DD6"/>
    <w:rPr>
      <w:b/>
      <w:lang w:val="en-GB"/>
    </w:rPr>
  </w:style>
  <w:style w:type="paragraph" w:styleId="NormalWeb">
    <w:name w:val="Normal (Web)"/>
    <w:basedOn w:val="Normal"/>
    <w:uiPriority w:val="99"/>
    <w:unhideWhenUsed/>
    <w:rsid w:val="0075109D"/>
    <w:pPr>
      <w:spacing w:before="100" w:beforeAutospacing="1" w:after="100" w:afterAutospacing="1"/>
    </w:pPr>
    <w:rPr>
      <w:rFonts w:eastAsiaTheme="minorEastAsia"/>
      <w:sz w:val="24"/>
      <w:szCs w:val="24"/>
    </w:rPr>
  </w:style>
  <w:style w:type="paragraph" w:customStyle="1" w:styleId="Default">
    <w:name w:val="Default"/>
    <w:rsid w:val="00A13229"/>
    <w:pPr>
      <w:autoSpaceDE w:val="0"/>
      <w:autoSpaceDN w:val="0"/>
      <w:adjustRightInd w:val="0"/>
    </w:pPr>
    <w:rPr>
      <w:color w:val="000000"/>
      <w:sz w:val="24"/>
      <w:szCs w:val="24"/>
      <w:lang w:val="fr-FR" w:eastAsia="fr-FR"/>
    </w:rPr>
  </w:style>
  <w:style w:type="paragraph" w:styleId="Rvision">
    <w:name w:val="Revision"/>
    <w:hidden/>
    <w:uiPriority w:val="99"/>
    <w:semiHidden/>
    <w:rsid w:val="004A7F93"/>
    <w:rPr>
      <w:lang w:val="en-GB"/>
    </w:rPr>
  </w:style>
  <w:style w:type="character" w:styleId="AcronymeHTML">
    <w:name w:val="HTML Acronym"/>
    <w:basedOn w:val="Policepardfaut"/>
    <w:rsid w:val="004E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344331913">
      <w:bodyDiv w:val="1"/>
      <w:marLeft w:val="0"/>
      <w:marRight w:val="0"/>
      <w:marTop w:val="0"/>
      <w:marBottom w:val="0"/>
      <w:divBdr>
        <w:top w:val="none" w:sz="0" w:space="0" w:color="auto"/>
        <w:left w:val="none" w:sz="0" w:space="0" w:color="auto"/>
        <w:bottom w:val="none" w:sz="0" w:space="0" w:color="auto"/>
        <w:right w:val="none" w:sz="0" w:space="0" w:color="auto"/>
      </w:divBdr>
    </w:div>
    <w:div w:id="17251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D557E-2F29-46EC-84EC-0CEB17CDE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0F145-F5FB-44B4-ABAC-B51780C2771C}">
  <ds:schemaRefs>
    <ds:schemaRef ds:uri="http://schemas.microsoft.com/sharepoint/v3/contenttype/forms"/>
  </ds:schemaRefs>
</ds:datastoreItem>
</file>

<file path=customXml/itemProps3.xml><?xml version="1.0" encoding="utf-8"?>
<ds:datastoreItem xmlns:ds="http://schemas.openxmlformats.org/officeDocument/2006/customXml" ds:itemID="{75BF2827-0A1C-AD48-982E-0B12E12C9DF9}">
  <ds:schemaRefs>
    <ds:schemaRef ds:uri="http://schemas.openxmlformats.org/officeDocument/2006/bibliography"/>
  </ds:schemaRefs>
</ds:datastoreItem>
</file>

<file path=customXml/itemProps4.xml><?xml version="1.0" encoding="utf-8"?>
<ds:datastoreItem xmlns:ds="http://schemas.openxmlformats.org/officeDocument/2006/customXml" ds:itemID="{D412DDFB-3A39-41A6-ACBA-8E6228BF6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1210</Words>
  <Characters>6898</Characters>
  <Application>Microsoft Office Word</Application>
  <DocSecurity>0</DocSecurity>
  <Lines>57</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Manager/>
  <Company>UNECE</Company>
  <LinksUpToDate>false</LinksUpToDate>
  <CharactersWithSpaces>8092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Romain Hubert</cp:lastModifiedBy>
  <cp:revision>28</cp:revision>
  <cp:lastPrinted>2021-08-30T14:37:00Z</cp:lastPrinted>
  <dcterms:created xsi:type="dcterms:W3CDTF">2021-09-06T19:29:00Z</dcterms:created>
  <dcterms:modified xsi:type="dcterms:W3CDTF">2021-09-06T22:42:00Z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